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3AB" w:rsidRDefault="003F13AB">
      <w:pPr>
        <w:adjustRightInd/>
        <w:spacing w:before="120" w:after="120" w:line="240" w:lineRule="auto"/>
        <w:ind w:firstLineChars="0" w:firstLine="0"/>
        <w:rPr>
          <w:rFonts w:ascii="仿宋" w:eastAsia="仿宋" w:hAnsi="仿宋"/>
          <w:b/>
          <w:bCs/>
          <w:color w:val="auto"/>
          <w:sz w:val="32"/>
          <w:szCs w:val="32"/>
        </w:rPr>
      </w:pPr>
      <w:bookmarkStart w:id="0" w:name="_Toc470774281"/>
      <w:bookmarkStart w:id="1" w:name="_Toc470781558"/>
      <w:bookmarkStart w:id="2" w:name="_Toc470696738"/>
      <w:bookmarkStart w:id="3" w:name="_Toc484089655"/>
      <w:bookmarkStart w:id="4" w:name="_Toc470860339"/>
      <w:bookmarkStart w:id="5" w:name="_Toc486522024"/>
      <w:bookmarkStart w:id="6" w:name="_Toc485397562"/>
      <w:bookmarkStart w:id="7" w:name="_Toc469761000"/>
      <w:bookmarkStart w:id="8" w:name="_Toc470694897"/>
      <w:bookmarkStart w:id="9" w:name="_Toc470680245"/>
      <w:bookmarkStart w:id="10" w:name="_Toc472410475"/>
    </w:p>
    <w:p w:rsidR="003F13AB" w:rsidRDefault="003F13AB">
      <w:pPr>
        <w:pStyle w:val="Default1"/>
        <w:rPr>
          <w:rFonts w:hint="default"/>
        </w:rPr>
      </w:pPr>
    </w:p>
    <w:p w:rsidR="003F13AB" w:rsidRDefault="00EC6E7E">
      <w:pPr>
        <w:adjustRightInd/>
        <w:spacing w:before="120" w:after="120" w:line="240" w:lineRule="auto"/>
        <w:ind w:firstLineChars="0" w:firstLine="0"/>
        <w:jc w:val="center"/>
        <w:rPr>
          <w:rFonts w:ascii="宋体" w:hAnsi="宋体" w:cs="黑体"/>
          <w:bCs/>
          <w:caps/>
          <w:color w:val="auto"/>
          <w:sz w:val="44"/>
          <w:szCs w:val="44"/>
        </w:rPr>
      </w:pPr>
      <w:r>
        <w:rPr>
          <w:rFonts w:ascii="宋体" w:hAnsi="宋体" w:cs="黑体" w:hint="eastAsia"/>
          <w:bCs/>
          <w:caps/>
          <w:color w:val="auto"/>
          <w:sz w:val="44"/>
          <w:szCs w:val="44"/>
        </w:rPr>
        <w:t>云南农家乐农业集团有限公司</w:t>
      </w:r>
    </w:p>
    <w:p w:rsidR="003F13AB" w:rsidRDefault="00EC6E7E">
      <w:pPr>
        <w:adjustRightInd/>
        <w:spacing w:before="120" w:after="120" w:line="240" w:lineRule="auto"/>
        <w:ind w:firstLineChars="0" w:firstLine="0"/>
        <w:jc w:val="center"/>
        <w:rPr>
          <w:rFonts w:ascii="宋体" w:hAnsi="宋体" w:cs="黑体"/>
          <w:bCs/>
          <w:caps/>
          <w:color w:val="auto"/>
          <w:sz w:val="52"/>
          <w:szCs w:val="52"/>
        </w:rPr>
      </w:pPr>
      <w:r>
        <w:rPr>
          <w:rFonts w:ascii="宋体" w:hAnsi="宋体" w:cs="黑体" w:hint="eastAsia"/>
          <w:bCs/>
          <w:caps/>
          <w:color w:val="auto"/>
          <w:sz w:val="52"/>
          <w:szCs w:val="52"/>
        </w:rPr>
        <w:t>年产</w:t>
      </w:r>
      <w:proofErr w:type="gramStart"/>
      <w:r>
        <w:rPr>
          <w:rFonts w:ascii="宋体" w:hAnsi="宋体" w:cs="黑体" w:hint="eastAsia"/>
          <w:bCs/>
          <w:caps/>
          <w:color w:val="auto"/>
          <w:sz w:val="52"/>
          <w:szCs w:val="52"/>
        </w:rPr>
        <w:t>50万吨缓控释</w:t>
      </w:r>
      <w:proofErr w:type="gramEnd"/>
      <w:r>
        <w:rPr>
          <w:rFonts w:ascii="宋体" w:hAnsi="宋体" w:cs="黑体" w:hint="eastAsia"/>
          <w:bCs/>
          <w:caps/>
          <w:color w:val="auto"/>
          <w:sz w:val="52"/>
          <w:szCs w:val="52"/>
        </w:rPr>
        <w:t>肥料、水溶肥料、专用肥料生产基地建设项目</w:t>
      </w:r>
    </w:p>
    <w:p w:rsidR="003F13AB" w:rsidRDefault="00EC6E7E">
      <w:pPr>
        <w:ind w:firstLineChars="0" w:firstLine="0"/>
        <w:jc w:val="center"/>
        <w:rPr>
          <w:rFonts w:ascii="宋体" w:hAnsi="宋体"/>
          <w:color w:val="auto"/>
          <w:sz w:val="52"/>
          <w:szCs w:val="52"/>
        </w:rPr>
      </w:pPr>
      <w:r>
        <w:rPr>
          <w:rFonts w:ascii="宋体" w:hAnsi="宋体" w:hint="eastAsia"/>
          <w:color w:val="auto"/>
          <w:sz w:val="52"/>
          <w:szCs w:val="52"/>
        </w:rPr>
        <w:t>安全验收评价报告</w:t>
      </w:r>
    </w:p>
    <w:p w:rsidR="003F13AB" w:rsidRDefault="003F13AB">
      <w:pPr>
        <w:adjustRightInd/>
        <w:snapToGrid/>
        <w:spacing w:after="120" w:line="240" w:lineRule="auto"/>
        <w:ind w:firstLineChars="0" w:firstLine="0"/>
        <w:rPr>
          <w:rFonts w:ascii="仿宋" w:eastAsia="仿宋" w:hAnsi="仿宋"/>
          <w:b/>
          <w:bCs/>
          <w:color w:val="auto"/>
          <w:sz w:val="32"/>
          <w:szCs w:val="32"/>
        </w:rPr>
      </w:pPr>
    </w:p>
    <w:p w:rsidR="003F13AB" w:rsidRDefault="003F13AB">
      <w:pPr>
        <w:adjustRightInd/>
        <w:snapToGrid/>
        <w:spacing w:after="120" w:line="240" w:lineRule="auto"/>
        <w:ind w:firstLineChars="0" w:firstLine="0"/>
        <w:rPr>
          <w:rFonts w:ascii="仿宋" w:eastAsia="仿宋" w:hAnsi="仿宋"/>
          <w:b/>
          <w:bCs/>
          <w:color w:val="auto"/>
          <w:sz w:val="32"/>
          <w:szCs w:val="32"/>
        </w:rPr>
      </w:pPr>
    </w:p>
    <w:p w:rsidR="003F13AB" w:rsidRDefault="00EC6E7E">
      <w:pPr>
        <w:adjustRightInd/>
        <w:snapToGrid/>
        <w:ind w:firstLineChars="400" w:firstLine="1280"/>
        <w:rPr>
          <w:rFonts w:ascii="仿宋" w:eastAsia="仿宋" w:hAnsi="仿宋"/>
          <w:color w:val="auto"/>
          <w:kern w:val="0"/>
          <w:sz w:val="32"/>
          <w:szCs w:val="32"/>
        </w:rPr>
      </w:pPr>
      <w:r>
        <w:rPr>
          <w:rFonts w:ascii="仿宋" w:eastAsia="仿宋" w:hAnsi="仿宋" w:hint="eastAsia"/>
          <w:color w:val="auto"/>
          <w:kern w:val="0"/>
          <w:sz w:val="32"/>
          <w:szCs w:val="32"/>
        </w:rPr>
        <w:t>建设单位：云南农家乐农业集团有限公司</w:t>
      </w:r>
    </w:p>
    <w:p w:rsidR="003F13AB" w:rsidRDefault="00EC6E7E">
      <w:pPr>
        <w:adjustRightInd/>
        <w:snapToGrid/>
        <w:ind w:firstLineChars="400" w:firstLine="1280"/>
        <w:rPr>
          <w:rFonts w:ascii="仿宋" w:eastAsia="仿宋" w:hAnsi="仿宋"/>
          <w:color w:val="auto"/>
          <w:kern w:val="0"/>
          <w:sz w:val="32"/>
          <w:szCs w:val="32"/>
        </w:rPr>
      </w:pPr>
      <w:r>
        <w:rPr>
          <w:rFonts w:ascii="仿宋" w:eastAsia="仿宋" w:hAnsi="仿宋" w:hint="eastAsia"/>
          <w:color w:val="auto"/>
          <w:kern w:val="0"/>
          <w:sz w:val="32"/>
          <w:szCs w:val="32"/>
        </w:rPr>
        <w:t>建设单位法定代表人：杨章福</w:t>
      </w:r>
    </w:p>
    <w:p w:rsidR="003F13AB" w:rsidRDefault="00EC6E7E">
      <w:pPr>
        <w:adjustRightInd/>
        <w:snapToGrid/>
        <w:ind w:firstLineChars="400" w:firstLine="1280"/>
        <w:rPr>
          <w:rFonts w:ascii="仿宋" w:eastAsia="仿宋" w:hAnsi="仿宋"/>
          <w:color w:val="auto"/>
          <w:kern w:val="0"/>
          <w:sz w:val="32"/>
          <w:szCs w:val="32"/>
        </w:rPr>
      </w:pPr>
      <w:r>
        <w:rPr>
          <w:rFonts w:ascii="仿宋" w:eastAsia="仿宋" w:hAnsi="仿宋" w:hint="eastAsia"/>
          <w:color w:val="auto"/>
          <w:kern w:val="0"/>
          <w:sz w:val="32"/>
          <w:szCs w:val="32"/>
        </w:rPr>
        <w:t>建设项目单位：云南农家乐农业集团有限公司</w:t>
      </w:r>
    </w:p>
    <w:p w:rsidR="003F13AB" w:rsidRDefault="00EC6E7E">
      <w:pPr>
        <w:adjustRightInd/>
        <w:snapToGrid/>
        <w:ind w:firstLineChars="400" w:firstLine="1280"/>
        <w:rPr>
          <w:rFonts w:ascii="仿宋" w:eastAsia="仿宋" w:hAnsi="仿宋"/>
          <w:color w:val="auto"/>
          <w:kern w:val="0"/>
          <w:sz w:val="32"/>
          <w:szCs w:val="32"/>
        </w:rPr>
      </w:pPr>
      <w:r>
        <w:rPr>
          <w:rFonts w:ascii="仿宋" w:eastAsia="仿宋" w:hAnsi="仿宋" w:hint="eastAsia"/>
          <w:color w:val="auto"/>
          <w:kern w:val="0"/>
          <w:sz w:val="32"/>
          <w:szCs w:val="32"/>
        </w:rPr>
        <w:t>建设项目单位主要负责人：</w:t>
      </w:r>
      <w:r>
        <w:rPr>
          <w:rFonts w:ascii="仿宋" w:eastAsia="仿宋" w:hAnsi="仿宋" w:hint="eastAsia"/>
          <w:kern w:val="0"/>
          <w:sz w:val="32"/>
          <w:szCs w:val="32"/>
        </w:rPr>
        <w:t>杨章福</w:t>
      </w:r>
    </w:p>
    <w:p w:rsidR="003F13AB" w:rsidRDefault="00EC6E7E">
      <w:pPr>
        <w:adjustRightInd/>
        <w:snapToGrid/>
        <w:ind w:firstLineChars="400" w:firstLine="1280"/>
        <w:rPr>
          <w:rFonts w:ascii="仿宋" w:eastAsia="仿宋" w:hAnsi="仿宋"/>
          <w:color w:val="auto"/>
          <w:kern w:val="0"/>
          <w:sz w:val="32"/>
          <w:szCs w:val="32"/>
        </w:rPr>
      </w:pPr>
      <w:r>
        <w:rPr>
          <w:rFonts w:ascii="仿宋" w:eastAsia="仿宋" w:hAnsi="仿宋" w:hint="eastAsia"/>
          <w:color w:val="auto"/>
          <w:kern w:val="0"/>
          <w:sz w:val="32"/>
          <w:szCs w:val="32"/>
        </w:rPr>
        <w:t>建设项目单位联系人：</w:t>
      </w:r>
      <w:r>
        <w:rPr>
          <w:rFonts w:ascii="仿宋" w:eastAsia="仿宋" w:hAnsi="仿宋" w:hint="eastAsia"/>
          <w:kern w:val="0"/>
          <w:sz w:val="32"/>
          <w:szCs w:val="32"/>
        </w:rPr>
        <w:t>汪林</w:t>
      </w:r>
    </w:p>
    <w:p w:rsidR="003F13AB" w:rsidRDefault="00EC6E7E">
      <w:pPr>
        <w:adjustRightInd/>
        <w:snapToGrid/>
        <w:ind w:firstLineChars="400" w:firstLine="1280"/>
        <w:rPr>
          <w:rFonts w:ascii="仿宋" w:eastAsia="仿宋" w:hAnsi="仿宋"/>
          <w:b/>
          <w:color w:val="auto"/>
          <w:kern w:val="0"/>
          <w:sz w:val="32"/>
          <w:szCs w:val="32"/>
        </w:rPr>
      </w:pPr>
      <w:r>
        <w:rPr>
          <w:rFonts w:ascii="仿宋" w:eastAsia="仿宋" w:hAnsi="仿宋" w:hint="eastAsia"/>
          <w:color w:val="auto"/>
          <w:kern w:val="0"/>
          <w:sz w:val="32"/>
          <w:szCs w:val="32"/>
        </w:rPr>
        <w:t>建设项目单位联系电话：</w:t>
      </w:r>
      <w:r>
        <w:rPr>
          <w:rFonts w:ascii="仿宋" w:eastAsia="仿宋" w:hAnsi="仿宋" w:hint="eastAsia"/>
          <w:kern w:val="0"/>
          <w:sz w:val="32"/>
          <w:szCs w:val="32"/>
        </w:rPr>
        <w:t>13608866262</w:t>
      </w:r>
    </w:p>
    <w:p w:rsidR="003F13AB" w:rsidRDefault="003F13AB">
      <w:pPr>
        <w:adjustRightInd/>
        <w:spacing w:before="120" w:after="120" w:line="240" w:lineRule="auto"/>
        <w:ind w:firstLineChars="0" w:firstLine="0"/>
        <w:rPr>
          <w:rFonts w:ascii="仿宋" w:eastAsia="仿宋" w:hAnsi="仿宋"/>
          <w:bCs/>
          <w:caps/>
          <w:color w:val="auto"/>
          <w:sz w:val="32"/>
          <w:szCs w:val="32"/>
        </w:rPr>
      </w:pPr>
    </w:p>
    <w:p w:rsidR="003F13AB" w:rsidRDefault="003F13AB">
      <w:pPr>
        <w:ind w:firstLineChars="0" w:firstLine="0"/>
        <w:rPr>
          <w:rFonts w:ascii="仿宋" w:eastAsia="仿宋" w:hAnsi="仿宋"/>
          <w:b/>
          <w:color w:val="auto"/>
          <w:sz w:val="32"/>
          <w:szCs w:val="32"/>
        </w:rPr>
      </w:pPr>
    </w:p>
    <w:p w:rsidR="003F13AB" w:rsidRDefault="00EC6E7E">
      <w:pPr>
        <w:ind w:firstLineChars="0" w:firstLine="0"/>
        <w:jc w:val="center"/>
        <w:rPr>
          <w:rFonts w:ascii="仿宋" w:eastAsia="仿宋" w:hAnsi="仿宋"/>
          <w:color w:val="auto"/>
          <w:sz w:val="32"/>
          <w:szCs w:val="32"/>
        </w:rPr>
      </w:pPr>
      <w:r>
        <w:rPr>
          <w:rFonts w:ascii="仿宋" w:eastAsia="仿宋" w:hAnsi="仿宋" w:hint="eastAsia"/>
          <w:color w:val="auto"/>
          <w:sz w:val="32"/>
          <w:szCs w:val="32"/>
        </w:rPr>
        <w:t>云南农家乐农业集团有限公司</w:t>
      </w:r>
    </w:p>
    <w:p w:rsidR="003F13AB" w:rsidRDefault="00EC6E7E">
      <w:pPr>
        <w:ind w:firstLine="640"/>
        <w:jc w:val="center"/>
        <w:rPr>
          <w:rFonts w:ascii="仿宋" w:eastAsia="仿宋" w:hAnsi="仿宋"/>
          <w:color w:val="auto"/>
          <w:sz w:val="32"/>
          <w:szCs w:val="32"/>
        </w:rPr>
      </w:pPr>
      <w:r>
        <w:rPr>
          <w:rFonts w:ascii="仿宋" w:eastAsia="仿宋" w:hAnsi="仿宋"/>
          <w:color w:val="auto"/>
          <w:sz w:val="32"/>
          <w:szCs w:val="32"/>
        </w:rPr>
        <w:t>二〇二</w:t>
      </w:r>
      <w:r>
        <w:rPr>
          <w:rFonts w:ascii="仿宋" w:eastAsia="仿宋" w:hAnsi="仿宋" w:hint="eastAsia"/>
          <w:color w:val="auto"/>
          <w:sz w:val="32"/>
          <w:szCs w:val="32"/>
        </w:rPr>
        <w:t>五</w:t>
      </w:r>
      <w:r>
        <w:rPr>
          <w:rFonts w:ascii="仿宋" w:eastAsia="仿宋" w:hAnsi="仿宋"/>
          <w:color w:val="auto"/>
          <w:sz w:val="32"/>
          <w:szCs w:val="32"/>
        </w:rPr>
        <w:t>年</w:t>
      </w:r>
      <w:r>
        <w:rPr>
          <w:rFonts w:ascii="仿宋" w:eastAsia="仿宋" w:hAnsi="仿宋" w:hint="eastAsia"/>
          <w:color w:val="auto"/>
          <w:sz w:val="32"/>
          <w:szCs w:val="32"/>
        </w:rPr>
        <w:t>三</w:t>
      </w:r>
      <w:r>
        <w:rPr>
          <w:rFonts w:ascii="仿宋" w:eastAsia="仿宋" w:hAnsi="仿宋"/>
          <w:color w:val="auto"/>
          <w:sz w:val="32"/>
          <w:szCs w:val="32"/>
        </w:rPr>
        <w:t>月</w:t>
      </w:r>
    </w:p>
    <w:p w:rsidR="003F13AB" w:rsidRDefault="003F13AB">
      <w:pPr>
        <w:pStyle w:val="Default1"/>
        <w:rPr>
          <w:rFonts w:ascii="仿宋" w:eastAsia="仿宋" w:hAnsi="仿宋" w:hint="default"/>
          <w:sz w:val="32"/>
          <w:szCs w:val="32"/>
        </w:rPr>
      </w:pPr>
    </w:p>
    <w:p w:rsidR="003F13AB" w:rsidRDefault="003F13AB">
      <w:pPr>
        <w:pStyle w:val="Default1"/>
        <w:rPr>
          <w:rFonts w:ascii="仿宋" w:eastAsia="仿宋" w:hAnsi="仿宋" w:hint="default"/>
          <w:sz w:val="32"/>
          <w:szCs w:val="32"/>
        </w:rPr>
      </w:pPr>
    </w:p>
    <w:p w:rsidR="003F13AB" w:rsidRDefault="003F13AB">
      <w:pPr>
        <w:pStyle w:val="Default1"/>
        <w:rPr>
          <w:rFonts w:hint="default"/>
          <w:color w:val="auto"/>
        </w:rPr>
      </w:pPr>
    </w:p>
    <w:p w:rsidR="003F13AB" w:rsidRDefault="003F13AB">
      <w:pPr>
        <w:ind w:firstLineChars="0" w:firstLine="0"/>
        <w:jc w:val="center"/>
        <w:rPr>
          <w:rFonts w:ascii="仿宋" w:eastAsia="仿宋" w:hAnsi="仿宋"/>
          <w:bCs/>
          <w:snapToGrid w:val="0"/>
          <w:color w:val="auto"/>
          <w:kern w:val="0"/>
          <w:szCs w:val="28"/>
        </w:rPr>
        <w:sectPr w:rsidR="003F13AB">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588" w:left="1418" w:header="851" w:footer="992" w:gutter="0"/>
          <w:pgNumType w:start="1"/>
          <w:cols w:space="0"/>
          <w:docGrid w:linePitch="381"/>
        </w:sectPr>
      </w:pPr>
    </w:p>
    <w:p w:rsidR="003F13AB" w:rsidRDefault="003F13AB">
      <w:pPr>
        <w:ind w:firstLineChars="0" w:firstLine="0"/>
        <w:rPr>
          <w:rFonts w:ascii="仿宋" w:eastAsia="仿宋" w:hAnsi="仿宋" w:cs="华文中宋"/>
          <w:color w:val="auto"/>
          <w:sz w:val="32"/>
          <w:szCs w:val="32"/>
        </w:rPr>
      </w:pPr>
    </w:p>
    <w:p w:rsidR="003F13AB" w:rsidRDefault="003F13AB">
      <w:pPr>
        <w:pStyle w:val="Default1"/>
        <w:rPr>
          <w:rFonts w:ascii="仿宋" w:eastAsia="仿宋" w:hAnsi="仿宋" w:hint="default"/>
          <w:color w:val="auto"/>
          <w:sz w:val="32"/>
          <w:szCs w:val="32"/>
        </w:rPr>
      </w:pPr>
    </w:p>
    <w:p w:rsidR="003F13AB" w:rsidRDefault="00EC6E7E">
      <w:pPr>
        <w:ind w:firstLineChars="0" w:firstLine="0"/>
        <w:jc w:val="center"/>
        <w:rPr>
          <w:rFonts w:ascii="宋体" w:hAnsi="宋体" w:cs="华文中宋"/>
          <w:color w:val="auto"/>
          <w:sz w:val="44"/>
          <w:szCs w:val="44"/>
        </w:rPr>
      </w:pPr>
      <w:r>
        <w:rPr>
          <w:rFonts w:ascii="宋体" w:hAnsi="宋体" w:cs="华文中宋" w:hint="eastAsia"/>
          <w:color w:val="auto"/>
          <w:sz w:val="44"/>
          <w:szCs w:val="44"/>
        </w:rPr>
        <w:t>云南农家乐农业集团有限公司</w:t>
      </w:r>
    </w:p>
    <w:p w:rsidR="003F13AB" w:rsidRDefault="00EC6E7E">
      <w:pPr>
        <w:ind w:firstLineChars="0" w:firstLine="0"/>
        <w:jc w:val="center"/>
        <w:rPr>
          <w:rFonts w:ascii="宋体" w:hAnsi="宋体" w:cs="华文中宋"/>
          <w:color w:val="auto"/>
          <w:sz w:val="48"/>
          <w:szCs w:val="48"/>
        </w:rPr>
      </w:pPr>
      <w:r>
        <w:rPr>
          <w:rFonts w:ascii="宋体" w:hAnsi="宋体" w:cs="华文中宋" w:hint="eastAsia"/>
          <w:color w:val="auto"/>
          <w:sz w:val="48"/>
          <w:szCs w:val="48"/>
        </w:rPr>
        <w:t>年产</w:t>
      </w:r>
      <w:proofErr w:type="gramStart"/>
      <w:r>
        <w:rPr>
          <w:rFonts w:ascii="宋体" w:hAnsi="宋体" w:cs="华文中宋" w:hint="eastAsia"/>
          <w:color w:val="auto"/>
          <w:sz w:val="48"/>
          <w:szCs w:val="48"/>
        </w:rPr>
        <w:t>50万吨缓控释</w:t>
      </w:r>
      <w:proofErr w:type="gramEnd"/>
      <w:r>
        <w:rPr>
          <w:rFonts w:ascii="宋体" w:hAnsi="宋体" w:cs="华文中宋" w:hint="eastAsia"/>
          <w:color w:val="auto"/>
          <w:sz w:val="48"/>
          <w:szCs w:val="48"/>
        </w:rPr>
        <w:t>肥料、水溶肥料、专用肥料生产基地建设项目</w:t>
      </w:r>
    </w:p>
    <w:p w:rsidR="003F13AB" w:rsidRDefault="00EC6E7E">
      <w:pPr>
        <w:ind w:firstLineChars="0" w:firstLine="0"/>
        <w:jc w:val="center"/>
        <w:rPr>
          <w:rFonts w:ascii="华文中宋" w:eastAsia="华文中宋" w:hAnsi="华文中宋" w:cs="华文中宋"/>
          <w:color w:val="auto"/>
          <w:sz w:val="52"/>
          <w:szCs w:val="52"/>
        </w:rPr>
      </w:pPr>
      <w:r>
        <w:rPr>
          <w:rFonts w:ascii="宋体" w:hAnsi="宋体" w:cs="华文中宋" w:hint="eastAsia"/>
          <w:color w:val="auto"/>
          <w:sz w:val="48"/>
          <w:szCs w:val="48"/>
        </w:rPr>
        <w:t>安全验收评价报告</w:t>
      </w:r>
    </w:p>
    <w:p w:rsidR="003F13AB" w:rsidRDefault="003F13AB">
      <w:pPr>
        <w:pStyle w:val="Default1"/>
        <w:rPr>
          <w:rFonts w:ascii="仿宋" w:eastAsia="仿宋" w:hAnsi="仿宋" w:hint="default"/>
          <w:sz w:val="32"/>
          <w:szCs w:val="32"/>
        </w:rPr>
      </w:pPr>
    </w:p>
    <w:p w:rsidR="003F13AB" w:rsidRDefault="003F13AB">
      <w:pPr>
        <w:pStyle w:val="Default1"/>
        <w:rPr>
          <w:rFonts w:ascii="仿宋" w:eastAsia="仿宋" w:hAnsi="仿宋" w:hint="default"/>
          <w:sz w:val="32"/>
          <w:szCs w:val="32"/>
        </w:rPr>
      </w:pPr>
    </w:p>
    <w:p w:rsidR="003F13AB" w:rsidRDefault="00EC6E7E">
      <w:pPr>
        <w:ind w:leftChars="200" w:left="560" w:firstLineChars="400" w:firstLine="1280"/>
        <w:rPr>
          <w:rFonts w:ascii="仿宋" w:eastAsia="仿宋" w:hAnsi="仿宋" w:cs="仿宋"/>
          <w:bCs/>
          <w:color w:val="auto"/>
          <w:sz w:val="32"/>
          <w:szCs w:val="32"/>
        </w:rPr>
      </w:pPr>
      <w:r>
        <w:rPr>
          <w:rFonts w:ascii="仿宋" w:eastAsia="仿宋" w:hAnsi="仿宋" w:cs="仿宋" w:hint="eastAsia"/>
          <w:bCs/>
          <w:color w:val="auto"/>
          <w:sz w:val="32"/>
          <w:szCs w:val="32"/>
        </w:rPr>
        <w:t>评价机构名称：昭通市</w:t>
      </w:r>
      <w:proofErr w:type="gramStart"/>
      <w:r>
        <w:rPr>
          <w:rFonts w:ascii="仿宋" w:eastAsia="仿宋" w:hAnsi="仿宋" w:cs="仿宋" w:hint="eastAsia"/>
          <w:bCs/>
          <w:color w:val="auto"/>
          <w:sz w:val="32"/>
          <w:szCs w:val="32"/>
        </w:rPr>
        <w:t>鼎安科技</w:t>
      </w:r>
      <w:proofErr w:type="gramEnd"/>
      <w:r>
        <w:rPr>
          <w:rFonts w:ascii="仿宋" w:eastAsia="仿宋" w:hAnsi="仿宋" w:cs="仿宋" w:hint="eastAsia"/>
          <w:bCs/>
          <w:color w:val="auto"/>
          <w:sz w:val="32"/>
          <w:szCs w:val="32"/>
        </w:rPr>
        <w:t>有限公司</w:t>
      </w:r>
    </w:p>
    <w:p w:rsidR="003F13AB" w:rsidRDefault="00EC6E7E">
      <w:pPr>
        <w:ind w:leftChars="200" w:left="560" w:firstLineChars="400" w:firstLine="1280"/>
        <w:rPr>
          <w:rFonts w:ascii="仿宋" w:eastAsia="仿宋" w:hAnsi="仿宋" w:cs="仿宋"/>
          <w:bCs/>
          <w:color w:val="auto"/>
          <w:sz w:val="32"/>
          <w:szCs w:val="32"/>
        </w:rPr>
      </w:pPr>
      <w:r>
        <w:rPr>
          <w:rFonts w:ascii="仿宋" w:eastAsia="仿宋" w:hAnsi="仿宋" w:cs="仿宋" w:hint="eastAsia"/>
          <w:bCs/>
          <w:color w:val="auto"/>
          <w:sz w:val="32"/>
          <w:szCs w:val="32"/>
        </w:rPr>
        <w:t>资质证书编号：APJ-（云）-005</w:t>
      </w:r>
    </w:p>
    <w:p w:rsidR="003F13AB" w:rsidRDefault="00EC6E7E">
      <w:pPr>
        <w:ind w:leftChars="200" w:left="560" w:firstLineChars="400" w:firstLine="1280"/>
        <w:rPr>
          <w:rFonts w:ascii="仿宋" w:eastAsia="仿宋" w:hAnsi="仿宋" w:cs="仿宋"/>
          <w:bCs/>
          <w:color w:val="auto"/>
          <w:sz w:val="32"/>
          <w:szCs w:val="32"/>
        </w:rPr>
      </w:pPr>
      <w:r>
        <w:rPr>
          <w:rFonts w:ascii="仿宋" w:eastAsia="仿宋" w:hAnsi="仿宋" w:cs="仿宋" w:hint="eastAsia"/>
          <w:bCs/>
          <w:color w:val="auto"/>
          <w:sz w:val="32"/>
          <w:szCs w:val="32"/>
        </w:rPr>
        <w:t>法定代表人：毛卫旭</w:t>
      </w:r>
    </w:p>
    <w:p w:rsidR="003F13AB" w:rsidRDefault="00EC6E7E">
      <w:pPr>
        <w:ind w:leftChars="200" w:left="560" w:firstLineChars="400" w:firstLine="1280"/>
        <w:rPr>
          <w:rFonts w:ascii="仿宋" w:eastAsia="仿宋" w:hAnsi="仿宋" w:cs="仿宋"/>
          <w:bCs/>
          <w:color w:val="auto"/>
          <w:sz w:val="32"/>
          <w:szCs w:val="32"/>
        </w:rPr>
      </w:pPr>
      <w:r>
        <w:rPr>
          <w:rFonts w:ascii="仿宋" w:eastAsia="仿宋" w:hAnsi="仿宋" w:cs="仿宋" w:hint="eastAsia"/>
          <w:bCs/>
          <w:color w:val="auto"/>
          <w:sz w:val="32"/>
          <w:szCs w:val="32"/>
        </w:rPr>
        <w:t>项目负责人：杨庆国</w:t>
      </w:r>
    </w:p>
    <w:p w:rsidR="003F13AB" w:rsidRDefault="00EC6E7E">
      <w:pPr>
        <w:ind w:leftChars="200" w:left="560" w:firstLineChars="400" w:firstLine="1280"/>
        <w:rPr>
          <w:rFonts w:ascii="仿宋" w:eastAsia="仿宋" w:hAnsi="仿宋" w:cs="仿宋"/>
          <w:bCs/>
          <w:color w:val="auto"/>
          <w:sz w:val="32"/>
          <w:szCs w:val="32"/>
        </w:rPr>
      </w:pPr>
      <w:r>
        <w:rPr>
          <w:rFonts w:ascii="仿宋" w:eastAsia="仿宋" w:hAnsi="仿宋" w:cs="仿宋" w:hint="eastAsia"/>
          <w:bCs/>
          <w:color w:val="auto"/>
          <w:sz w:val="32"/>
          <w:szCs w:val="32"/>
        </w:rPr>
        <w:t>技术负责人：饶旭军</w:t>
      </w:r>
    </w:p>
    <w:p w:rsidR="003F13AB" w:rsidRDefault="00EC6E7E">
      <w:pPr>
        <w:ind w:leftChars="200" w:left="560" w:firstLineChars="400" w:firstLine="1280"/>
        <w:rPr>
          <w:rFonts w:ascii="仿宋" w:eastAsia="仿宋" w:hAnsi="仿宋" w:cs="仿宋"/>
          <w:bCs/>
          <w:color w:val="auto"/>
          <w:sz w:val="32"/>
          <w:szCs w:val="32"/>
        </w:rPr>
      </w:pPr>
      <w:r>
        <w:rPr>
          <w:rFonts w:ascii="仿宋" w:eastAsia="仿宋" w:hAnsi="仿宋" w:cs="仿宋"/>
          <w:bCs/>
          <w:color w:val="auto"/>
          <w:sz w:val="32"/>
          <w:szCs w:val="32"/>
        </w:rPr>
        <w:t>过程控制负责人：</w:t>
      </w:r>
      <w:r>
        <w:rPr>
          <w:rFonts w:ascii="仿宋" w:eastAsia="仿宋" w:hAnsi="仿宋" w:cs="仿宋" w:hint="eastAsia"/>
          <w:bCs/>
          <w:color w:val="auto"/>
          <w:sz w:val="32"/>
          <w:szCs w:val="32"/>
        </w:rPr>
        <w:t>李晓达</w:t>
      </w:r>
    </w:p>
    <w:p w:rsidR="003F13AB" w:rsidRDefault="00EC6E7E">
      <w:pPr>
        <w:ind w:leftChars="200" w:left="560" w:firstLineChars="400" w:firstLine="1280"/>
        <w:rPr>
          <w:rFonts w:ascii="宋体" w:hAnsi="宋体" w:cs="仿宋"/>
          <w:b/>
          <w:bCs/>
          <w:color w:val="auto"/>
          <w:sz w:val="32"/>
          <w:szCs w:val="32"/>
        </w:rPr>
      </w:pPr>
      <w:r>
        <w:rPr>
          <w:rFonts w:ascii="仿宋" w:eastAsia="仿宋" w:hAnsi="仿宋" w:cs="仿宋" w:hint="eastAsia"/>
          <w:bCs/>
          <w:color w:val="auto"/>
          <w:sz w:val="32"/>
          <w:szCs w:val="32"/>
        </w:rPr>
        <w:t>评价机构联系电话：0870-3170896</w:t>
      </w:r>
    </w:p>
    <w:p w:rsidR="003F13AB" w:rsidRDefault="003F13AB">
      <w:pPr>
        <w:adjustRightInd/>
        <w:spacing w:before="120" w:after="120" w:line="240" w:lineRule="auto"/>
        <w:ind w:firstLineChars="0" w:firstLine="0"/>
        <w:jc w:val="center"/>
        <w:rPr>
          <w:rFonts w:ascii="仿宋" w:eastAsia="仿宋" w:hAnsi="仿宋" w:cs="宋体"/>
          <w:b/>
          <w:bCs/>
          <w:caps/>
          <w:color w:val="auto"/>
          <w:sz w:val="32"/>
          <w:szCs w:val="32"/>
        </w:rPr>
      </w:pPr>
    </w:p>
    <w:p w:rsidR="003F13AB" w:rsidRDefault="003F13AB">
      <w:pPr>
        <w:adjustRightInd/>
        <w:spacing w:before="120" w:after="120" w:line="240" w:lineRule="auto"/>
        <w:ind w:firstLineChars="0" w:firstLine="0"/>
        <w:jc w:val="center"/>
        <w:rPr>
          <w:rFonts w:ascii="仿宋" w:eastAsia="仿宋" w:hAnsi="仿宋" w:cs="宋体"/>
          <w:b/>
          <w:bCs/>
          <w:caps/>
          <w:color w:val="auto"/>
          <w:sz w:val="32"/>
          <w:szCs w:val="32"/>
        </w:rPr>
      </w:pPr>
    </w:p>
    <w:p w:rsidR="003F13AB" w:rsidRDefault="00EC6E7E">
      <w:pPr>
        <w:spacing w:line="240" w:lineRule="auto"/>
        <w:ind w:firstLineChars="0" w:firstLine="0"/>
        <w:jc w:val="center"/>
        <w:rPr>
          <w:rFonts w:ascii="仿宋" w:eastAsia="仿宋" w:hAnsi="仿宋" w:cs="宋体"/>
          <w:color w:val="auto"/>
          <w:sz w:val="32"/>
          <w:szCs w:val="32"/>
        </w:rPr>
      </w:pPr>
      <w:r>
        <w:rPr>
          <w:rFonts w:ascii="仿宋" w:eastAsia="仿宋" w:hAnsi="仿宋" w:cs="宋体" w:hint="eastAsia"/>
          <w:color w:val="auto"/>
          <w:sz w:val="32"/>
          <w:szCs w:val="32"/>
        </w:rPr>
        <w:t>昭通市鼎安科技有限公司</w:t>
      </w:r>
    </w:p>
    <w:p w:rsidR="00576F7A" w:rsidRDefault="00EC6E7E">
      <w:pPr>
        <w:ind w:firstLine="640"/>
        <w:jc w:val="center"/>
        <w:rPr>
          <w:rFonts w:ascii="仿宋" w:eastAsia="仿宋" w:hAnsi="仿宋"/>
          <w:color w:val="auto"/>
          <w:sz w:val="32"/>
          <w:szCs w:val="32"/>
        </w:rPr>
      </w:pPr>
      <w:r>
        <w:rPr>
          <w:rFonts w:ascii="仿宋" w:eastAsia="仿宋" w:hAnsi="仿宋"/>
          <w:color w:val="auto"/>
          <w:sz w:val="32"/>
          <w:szCs w:val="32"/>
        </w:rPr>
        <w:t>二〇二</w:t>
      </w:r>
      <w:r>
        <w:rPr>
          <w:rFonts w:ascii="仿宋" w:eastAsia="仿宋" w:hAnsi="仿宋" w:hint="eastAsia"/>
          <w:color w:val="auto"/>
          <w:sz w:val="32"/>
          <w:szCs w:val="32"/>
        </w:rPr>
        <w:t>五</w:t>
      </w:r>
      <w:r>
        <w:rPr>
          <w:rFonts w:ascii="仿宋" w:eastAsia="仿宋" w:hAnsi="仿宋"/>
          <w:color w:val="auto"/>
          <w:sz w:val="32"/>
          <w:szCs w:val="32"/>
        </w:rPr>
        <w:t>年</w:t>
      </w:r>
      <w:r>
        <w:rPr>
          <w:rFonts w:ascii="仿宋" w:eastAsia="仿宋" w:hAnsi="仿宋" w:hint="eastAsia"/>
          <w:color w:val="auto"/>
          <w:sz w:val="32"/>
          <w:szCs w:val="32"/>
        </w:rPr>
        <w:t>三月</w:t>
      </w:r>
      <w:bookmarkStart w:id="11" w:name="_GoBack"/>
      <w:bookmarkEnd w:id="11"/>
    </w:p>
    <w:p w:rsidR="00576F7A" w:rsidRDefault="00576F7A" w:rsidP="00576F7A">
      <w:pPr>
        <w:pStyle w:val="Default1"/>
      </w:pPr>
      <w:r>
        <w:br w:type="page"/>
      </w:r>
    </w:p>
    <w:p w:rsidR="003F13AB" w:rsidRPr="00576F7A" w:rsidRDefault="00576F7A" w:rsidP="00576F7A">
      <w:pPr>
        <w:ind w:firstLine="560"/>
        <w:jc w:val="center"/>
        <w:rPr>
          <w:rFonts w:ascii="宋体" w:hAnsi="宋体"/>
          <w:b/>
          <w:color w:val="auto"/>
          <w:sz w:val="30"/>
          <w:szCs w:val="30"/>
        </w:rPr>
      </w:pPr>
      <w:r>
        <w:rPr>
          <w:noProof/>
        </w:rPr>
        <w:lastRenderedPageBreak/>
        <w:drawing>
          <wp:inline distT="0" distB="0" distL="0" distR="0" wp14:anchorId="05DFCC26" wp14:editId="75A777C3">
            <wp:extent cx="5400000" cy="7560000"/>
            <wp:effectExtent l="0" t="0" r="0" b="3175"/>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00" cy="7560000"/>
                    </a:xfrm>
                    <a:prstGeom prst="rect">
                      <a:avLst/>
                    </a:prstGeom>
                  </pic:spPr>
                </pic:pic>
              </a:graphicData>
            </a:graphic>
          </wp:inline>
        </w:drawing>
      </w:r>
    </w:p>
    <w:p w:rsidR="003F13AB" w:rsidRDefault="003F13AB">
      <w:pPr>
        <w:pStyle w:val="Default1"/>
        <w:rPr>
          <w:rFonts w:hint="default"/>
          <w:color w:val="auto"/>
        </w:rPr>
        <w:sectPr w:rsidR="003F13AB">
          <w:headerReference w:type="default" r:id="rId16"/>
          <w:footerReference w:type="default" r:id="rId17"/>
          <w:pgSz w:w="11906" w:h="16838"/>
          <w:pgMar w:top="1418" w:right="1418" w:bottom="1588" w:left="1418" w:header="851" w:footer="992" w:gutter="0"/>
          <w:pgNumType w:start="1"/>
          <w:cols w:space="0"/>
          <w:docGrid w:linePitch="381"/>
        </w:sectPr>
      </w:pPr>
    </w:p>
    <w:p w:rsidR="003F13AB" w:rsidRDefault="00EC6E7E">
      <w:pPr>
        <w:spacing w:line="240" w:lineRule="auto"/>
        <w:ind w:firstLineChars="0" w:firstLine="0"/>
        <w:jc w:val="center"/>
        <w:rPr>
          <w:rFonts w:ascii="宋体" w:hAnsi="宋体" w:cs="宋体"/>
          <w:b/>
          <w:color w:val="auto"/>
          <w:sz w:val="44"/>
          <w:szCs w:val="44"/>
          <w:lang w:val="zh-CN"/>
        </w:rPr>
      </w:pPr>
      <w:r>
        <w:rPr>
          <w:rFonts w:ascii="宋体" w:hAnsi="宋体" w:cs="宋体"/>
          <w:b/>
          <w:color w:val="auto"/>
          <w:sz w:val="44"/>
          <w:szCs w:val="44"/>
          <w:lang w:val="zh-CN"/>
        </w:rPr>
        <w:lastRenderedPageBreak/>
        <w:t>现场照片</w:t>
      </w:r>
    </w:p>
    <w:p w:rsidR="003F13AB" w:rsidRDefault="00EC6E7E">
      <w:pPr>
        <w:pStyle w:val="ae"/>
        <w:jc w:val="center"/>
      </w:pPr>
      <w:r>
        <w:rPr>
          <w:noProof/>
        </w:rPr>
        <w:drawing>
          <wp:inline distT="0" distB="0" distL="0" distR="0">
            <wp:extent cx="5399405" cy="3347720"/>
            <wp:effectExtent l="0" t="0" r="0" b="5080"/>
            <wp:docPr id="16" name="图片 16" descr="E:\下载\WeChat Files\wxid_6ow1b1a1k1yn22\FileStorage\Temp\a8cd4d1b08e5be7a70a9b5d3c21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下载\WeChat Files\wxid_6ow1b1a1k1yn22\FileStorage\Temp\a8cd4d1b08e5be7a70a9b5d3c2180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00000" cy="3348000"/>
                    </a:xfrm>
                    <a:prstGeom prst="rect">
                      <a:avLst/>
                    </a:prstGeom>
                    <a:noFill/>
                    <a:ln>
                      <a:noFill/>
                    </a:ln>
                  </pic:spPr>
                </pic:pic>
              </a:graphicData>
            </a:graphic>
          </wp:inline>
        </w:drawing>
      </w:r>
    </w:p>
    <w:p w:rsidR="003F13AB" w:rsidRDefault="00EC6E7E">
      <w:pPr>
        <w:spacing w:line="240" w:lineRule="auto"/>
        <w:ind w:firstLineChars="0" w:firstLine="0"/>
        <w:jc w:val="center"/>
        <w:rPr>
          <w:color w:val="auto"/>
        </w:rPr>
      </w:pPr>
      <w:r>
        <w:rPr>
          <w:rFonts w:hint="eastAsia"/>
          <w:color w:val="auto"/>
        </w:rPr>
        <w:t>图</w:t>
      </w:r>
      <w:r>
        <w:rPr>
          <w:rFonts w:hint="eastAsia"/>
          <w:color w:val="auto"/>
        </w:rPr>
        <w:t xml:space="preserve">1  </w:t>
      </w:r>
      <w:r>
        <w:rPr>
          <w:rFonts w:hint="eastAsia"/>
          <w:color w:val="auto"/>
        </w:rPr>
        <w:t>评价人员现场照片（从左至右：姚继鸿（报告编制人）、杨庆国（项目负责人）、李华保（业主陪同人员））</w:t>
      </w:r>
    </w:p>
    <w:p w:rsidR="003F13AB" w:rsidRDefault="00EC6E7E">
      <w:pPr>
        <w:pStyle w:val="ae"/>
        <w:jc w:val="center"/>
      </w:pPr>
      <w:r>
        <w:rPr>
          <w:noProof/>
        </w:rPr>
        <w:drawing>
          <wp:inline distT="0" distB="0" distL="0" distR="0">
            <wp:extent cx="5399405" cy="3347720"/>
            <wp:effectExtent l="0" t="0" r="0" b="5080"/>
            <wp:docPr id="1" name="图片 1" descr="E:\下载\WeChat Files\wxid_6ow1b1a1k1yn22\FileStorage\Temp\d6fafe4ba91363aca0893ffa8eb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下载\WeChat Files\wxid_6ow1b1a1k1yn22\FileStorage\Temp\d6fafe4ba91363aca0893ffa8eb29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00000" cy="3348000"/>
                    </a:xfrm>
                    <a:prstGeom prst="rect">
                      <a:avLst/>
                    </a:prstGeom>
                    <a:noFill/>
                    <a:ln>
                      <a:noFill/>
                    </a:ln>
                  </pic:spPr>
                </pic:pic>
              </a:graphicData>
            </a:graphic>
          </wp:inline>
        </w:drawing>
      </w:r>
    </w:p>
    <w:p w:rsidR="003F13AB" w:rsidRDefault="00EC6E7E">
      <w:pPr>
        <w:ind w:firstLineChars="0" w:firstLine="0"/>
        <w:jc w:val="center"/>
        <w:rPr>
          <w:color w:val="auto"/>
        </w:rPr>
      </w:pPr>
      <w:r>
        <w:rPr>
          <w:color w:val="auto"/>
        </w:rPr>
        <w:t>图</w:t>
      </w:r>
      <w:r>
        <w:rPr>
          <w:rFonts w:hint="eastAsia"/>
          <w:color w:val="auto"/>
        </w:rPr>
        <w:t xml:space="preserve">2  </w:t>
      </w:r>
      <w:r>
        <w:rPr>
          <w:rFonts w:hint="eastAsia"/>
          <w:color w:val="auto"/>
        </w:rPr>
        <w:t>项目办公楼</w:t>
      </w:r>
    </w:p>
    <w:p w:rsidR="003F13AB" w:rsidRDefault="00EC6E7E">
      <w:pPr>
        <w:pStyle w:val="ae"/>
        <w:jc w:val="center"/>
      </w:pPr>
      <w:r>
        <w:rPr>
          <w:noProof/>
        </w:rPr>
        <w:lastRenderedPageBreak/>
        <w:drawing>
          <wp:inline distT="0" distB="0" distL="0" distR="0">
            <wp:extent cx="5399405" cy="3779520"/>
            <wp:effectExtent l="0" t="0" r="0" b="0"/>
            <wp:docPr id="2" name="图片 2" descr="E:\下载\WeChat Files\wxid_6ow1b1a1k1yn22\FileStorage\Temp\47098ae42581368b33b0f527bfcb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下载\WeChat Files\wxid_6ow1b1a1k1yn22\FileStorage\Temp\47098ae42581368b33b0f527bfcbfd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ind w:firstLineChars="0" w:firstLine="0"/>
        <w:jc w:val="center"/>
        <w:rPr>
          <w:color w:val="auto"/>
        </w:rPr>
      </w:pPr>
      <w:r>
        <w:rPr>
          <w:color w:val="auto"/>
        </w:rPr>
        <w:t>图</w:t>
      </w:r>
      <w:r>
        <w:rPr>
          <w:rFonts w:hint="eastAsia"/>
          <w:color w:val="auto"/>
        </w:rPr>
        <w:t xml:space="preserve">3  </w:t>
      </w:r>
      <w:r>
        <w:rPr>
          <w:rFonts w:hint="eastAsia"/>
          <w:color w:val="auto"/>
        </w:rPr>
        <w:t>锅炉房</w:t>
      </w:r>
    </w:p>
    <w:p w:rsidR="003F13AB" w:rsidRDefault="00EC6E7E">
      <w:pPr>
        <w:pStyle w:val="Default1"/>
        <w:jc w:val="center"/>
        <w:rPr>
          <w:rFonts w:hint="default"/>
          <w:sz w:val="28"/>
          <w:szCs w:val="28"/>
        </w:rPr>
      </w:pPr>
      <w:r>
        <w:rPr>
          <w:noProof/>
          <w:sz w:val="28"/>
          <w:szCs w:val="28"/>
        </w:rPr>
        <w:drawing>
          <wp:inline distT="0" distB="0" distL="0" distR="0">
            <wp:extent cx="5399405" cy="3779520"/>
            <wp:effectExtent l="0" t="0" r="0" b="0"/>
            <wp:docPr id="5" name="图片 5" descr="E:\下载\WeChat Files\wxid_6ow1b1a1k1yn22\FileStorage\Temp\59a496c2f9f650767625abb91222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下载\WeChat Files\wxid_6ow1b1a1k1yn22\FileStorage\Temp\59a496c2f9f650767625abb91222e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pStyle w:val="Default1"/>
        <w:jc w:val="center"/>
        <w:rPr>
          <w:rFonts w:hint="default"/>
          <w:sz w:val="28"/>
          <w:szCs w:val="28"/>
        </w:rPr>
      </w:pPr>
      <w:r>
        <w:rPr>
          <w:rFonts w:ascii="宋体" w:hAnsi="宋体"/>
          <w:sz w:val="28"/>
          <w:szCs w:val="28"/>
        </w:rPr>
        <w:t xml:space="preserve">图4  </w:t>
      </w:r>
      <w:r>
        <w:rPr>
          <w:sz w:val="28"/>
          <w:szCs w:val="28"/>
        </w:rPr>
        <w:t>锅炉房内安全警示标识</w:t>
      </w:r>
    </w:p>
    <w:p w:rsidR="003F13AB" w:rsidRDefault="00EC6E7E" w:rsidP="00EC6E7E">
      <w:pPr>
        <w:pStyle w:val="af7"/>
        <w:tabs>
          <w:tab w:val="center" w:pos="4885"/>
          <w:tab w:val="left" w:pos="8041"/>
        </w:tabs>
        <w:topLinePunct/>
        <w:ind w:firstLineChars="71" w:firstLine="199"/>
        <w:jc w:val="center"/>
        <w:rPr>
          <w:rFonts w:ascii="宋体" w:hAnsi="宋体"/>
          <w:color w:val="auto"/>
          <w:sz w:val="28"/>
        </w:rPr>
      </w:pPr>
      <w:r>
        <w:rPr>
          <w:rFonts w:ascii="宋体" w:hAnsi="宋体"/>
          <w:noProof/>
          <w:color w:val="auto"/>
          <w:sz w:val="28"/>
        </w:rPr>
        <w:lastRenderedPageBreak/>
        <w:drawing>
          <wp:inline distT="0" distB="0" distL="0" distR="0">
            <wp:extent cx="5399405" cy="3779520"/>
            <wp:effectExtent l="0" t="0" r="0" b="0"/>
            <wp:docPr id="4" name="图片 4" descr="E:\下载\WeChat Files\wxid_6ow1b1a1k1yn22\FileStorage\Temp\aa5ccba4d0e5cc56001c9acc4c9f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下载\WeChat Files\wxid_6ow1b1a1k1yn22\FileStorage\Temp\aa5ccba4d0e5cc56001c9acc4c9f86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ind w:firstLineChars="0" w:firstLine="0"/>
        <w:jc w:val="center"/>
        <w:rPr>
          <w:color w:val="auto"/>
        </w:rPr>
      </w:pPr>
      <w:r>
        <w:rPr>
          <w:color w:val="auto"/>
        </w:rPr>
        <w:t>图</w:t>
      </w:r>
      <w:r>
        <w:rPr>
          <w:rFonts w:hint="eastAsia"/>
          <w:color w:val="auto"/>
        </w:rPr>
        <w:t xml:space="preserve">5  </w:t>
      </w:r>
      <w:r>
        <w:rPr>
          <w:rFonts w:hint="eastAsia"/>
          <w:color w:val="auto"/>
        </w:rPr>
        <w:t>成品仓库内部</w:t>
      </w:r>
    </w:p>
    <w:p w:rsidR="003F13AB" w:rsidRDefault="00EC6E7E" w:rsidP="00EC6E7E">
      <w:pPr>
        <w:pStyle w:val="af7"/>
        <w:tabs>
          <w:tab w:val="center" w:pos="4885"/>
          <w:tab w:val="left" w:pos="8041"/>
        </w:tabs>
        <w:topLinePunct/>
        <w:ind w:firstLineChars="71" w:firstLine="199"/>
        <w:rPr>
          <w:rFonts w:ascii="宋体" w:hAnsi="宋体"/>
          <w:color w:val="auto"/>
          <w:sz w:val="28"/>
        </w:rPr>
      </w:pPr>
      <w:r>
        <w:rPr>
          <w:rFonts w:ascii="宋体" w:hAnsi="宋体"/>
          <w:noProof/>
          <w:color w:val="auto"/>
          <w:sz w:val="28"/>
        </w:rPr>
        <w:drawing>
          <wp:inline distT="0" distB="0" distL="0" distR="0">
            <wp:extent cx="5399405" cy="3779520"/>
            <wp:effectExtent l="0" t="0" r="0" b="0"/>
            <wp:docPr id="6" name="图片 6" descr="E:\下载\WeChat Files\wxid_6ow1b1a1k1yn22\FileStorage\Temp\07331ffa7c2c39fa41e52e2a038e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下载\WeChat Files\wxid_6ow1b1a1k1yn22\FileStorage\Temp\07331ffa7c2c39fa41e52e2a038e88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ind w:firstLineChars="0" w:firstLine="0"/>
        <w:jc w:val="center"/>
        <w:rPr>
          <w:color w:val="auto"/>
        </w:rPr>
      </w:pPr>
      <w:r>
        <w:rPr>
          <w:color w:val="auto"/>
        </w:rPr>
        <w:t>图</w:t>
      </w:r>
      <w:r>
        <w:rPr>
          <w:rFonts w:hint="eastAsia"/>
          <w:color w:val="auto"/>
        </w:rPr>
        <w:t xml:space="preserve">6  </w:t>
      </w:r>
      <w:r>
        <w:rPr>
          <w:rFonts w:hint="eastAsia"/>
          <w:color w:val="auto"/>
        </w:rPr>
        <w:t>成品包装岗位及相应安全警示标识</w:t>
      </w:r>
    </w:p>
    <w:p w:rsidR="003F13AB" w:rsidRDefault="00EC6E7E" w:rsidP="00EC6E7E">
      <w:pPr>
        <w:pStyle w:val="af7"/>
        <w:tabs>
          <w:tab w:val="center" w:pos="4885"/>
          <w:tab w:val="left" w:pos="8041"/>
        </w:tabs>
        <w:topLinePunct/>
        <w:ind w:firstLineChars="71" w:firstLine="199"/>
        <w:jc w:val="center"/>
        <w:rPr>
          <w:rFonts w:ascii="宋体" w:hAnsi="宋体"/>
          <w:color w:val="auto"/>
          <w:sz w:val="28"/>
        </w:rPr>
      </w:pPr>
      <w:r>
        <w:rPr>
          <w:rFonts w:ascii="宋体" w:hAnsi="宋体"/>
          <w:noProof/>
          <w:color w:val="auto"/>
          <w:sz w:val="28"/>
        </w:rPr>
        <w:lastRenderedPageBreak/>
        <w:drawing>
          <wp:inline distT="0" distB="0" distL="0" distR="0">
            <wp:extent cx="5399405" cy="3779520"/>
            <wp:effectExtent l="0" t="0" r="0" b="0"/>
            <wp:docPr id="7" name="图片 7" descr="E:\下载\WeChat Files\wxid_6ow1b1a1k1yn22\FileStorage\Temp\006f9f35165c616ff5da8cdada19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下载\WeChat Files\wxid_6ow1b1a1k1yn22\FileStorage\Temp\006f9f35165c616ff5da8cdada19fd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ind w:firstLineChars="0" w:firstLine="0"/>
        <w:jc w:val="center"/>
        <w:rPr>
          <w:color w:val="auto"/>
        </w:rPr>
      </w:pPr>
      <w:r>
        <w:rPr>
          <w:color w:val="auto"/>
        </w:rPr>
        <w:t>图</w:t>
      </w:r>
      <w:r>
        <w:rPr>
          <w:rFonts w:hint="eastAsia"/>
          <w:color w:val="auto"/>
        </w:rPr>
        <w:t xml:space="preserve">7  </w:t>
      </w:r>
      <w:r>
        <w:rPr>
          <w:rFonts w:hint="eastAsia"/>
          <w:color w:val="auto"/>
        </w:rPr>
        <w:t>成品仓库内码垛机器人</w:t>
      </w:r>
    </w:p>
    <w:p w:rsidR="003F13AB" w:rsidRDefault="00EC6E7E">
      <w:pPr>
        <w:ind w:firstLineChars="0" w:firstLine="0"/>
        <w:jc w:val="center"/>
        <w:rPr>
          <w:color w:val="auto"/>
        </w:rPr>
      </w:pPr>
      <w:r>
        <w:rPr>
          <w:noProof/>
          <w:color w:val="auto"/>
        </w:rPr>
        <w:drawing>
          <wp:inline distT="0" distB="0" distL="0" distR="0">
            <wp:extent cx="5399405" cy="3779520"/>
            <wp:effectExtent l="0" t="0" r="0" b="0"/>
            <wp:docPr id="8" name="图片 8" descr="E:\下载\WeChat Files\wxid_6ow1b1a1k1yn22\FileStorage\Temp\1013a6e49e76c65624378a5b2bf6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下载\WeChat Files\wxid_6ow1b1a1k1yn22\FileStorage\Temp\1013a6e49e76c65624378a5b2bf6ad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ind w:firstLineChars="0" w:firstLine="0"/>
        <w:jc w:val="center"/>
        <w:rPr>
          <w:color w:val="auto"/>
        </w:rPr>
      </w:pPr>
      <w:r>
        <w:rPr>
          <w:color w:val="auto"/>
        </w:rPr>
        <w:t>图</w:t>
      </w:r>
      <w:r>
        <w:rPr>
          <w:rFonts w:hint="eastAsia"/>
          <w:color w:val="auto"/>
        </w:rPr>
        <w:t xml:space="preserve">8  </w:t>
      </w:r>
      <w:r>
        <w:rPr>
          <w:rFonts w:hint="eastAsia"/>
          <w:color w:val="auto"/>
        </w:rPr>
        <w:t>码垛机械手工作时安全注意事项</w:t>
      </w:r>
    </w:p>
    <w:p w:rsidR="003F13AB" w:rsidRDefault="00EC6E7E" w:rsidP="00EC6E7E">
      <w:pPr>
        <w:pStyle w:val="af7"/>
        <w:tabs>
          <w:tab w:val="center" w:pos="4885"/>
          <w:tab w:val="left" w:pos="8041"/>
        </w:tabs>
        <w:topLinePunct/>
        <w:ind w:firstLineChars="71" w:firstLine="199"/>
        <w:jc w:val="center"/>
        <w:rPr>
          <w:rFonts w:ascii="宋体" w:hAnsi="宋体"/>
          <w:color w:val="auto"/>
          <w:sz w:val="28"/>
        </w:rPr>
      </w:pPr>
      <w:r>
        <w:rPr>
          <w:rFonts w:ascii="宋体" w:hAnsi="宋体"/>
          <w:noProof/>
          <w:color w:val="auto"/>
          <w:sz w:val="28"/>
        </w:rPr>
        <w:lastRenderedPageBreak/>
        <w:drawing>
          <wp:inline distT="0" distB="0" distL="0" distR="0">
            <wp:extent cx="5399405" cy="3779520"/>
            <wp:effectExtent l="0" t="0" r="0" b="0"/>
            <wp:docPr id="9" name="图片 9" descr="E:\下载\WeChat Files\wxid_6ow1b1a1k1yn22\FileStorage\Temp\b9732eb9f26ab002cab29195b26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下载\WeChat Files\wxid_6ow1b1a1k1yn22\FileStorage\Temp\b9732eb9f26ab002cab29195b2695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ind w:firstLineChars="0" w:firstLine="0"/>
        <w:jc w:val="center"/>
        <w:rPr>
          <w:color w:val="auto"/>
        </w:rPr>
      </w:pPr>
      <w:r>
        <w:rPr>
          <w:color w:val="auto"/>
        </w:rPr>
        <w:t>图</w:t>
      </w:r>
      <w:r>
        <w:rPr>
          <w:rFonts w:hint="eastAsia"/>
          <w:color w:val="auto"/>
        </w:rPr>
        <w:t xml:space="preserve">9  </w:t>
      </w:r>
      <w:r>
        <w:rPr>
          <w:rFonts w:hint="eastAsia"/>
          <w:color w:val="auto"/>
        </w:rPr>
        <w:t>现场码垛机器人急停按钮</w:t>
      </w:r>
    </w:p>
    <w:p w:rsidR="003F13AB" w:rsidRDefault="00EC6E7E" w:rsidP="00EC6E7E">
      <w:pPr>
        <w:pStyle w:val="af7"/>
        <w:tabs>
          <w:tab w:val="center" w:pos="4885"/>
          <w:tab w:val="left" w:pos="8041"/>
        </w:tabs>
        <w:topLinePunct/>
        <w:ind w:firstLineChars="71" w:firstLine="199"/>
        <w:jc w:val="center"/>
        <w:rPr>
          <w:rFonts w:ascii="宋体" w:hAnsi="宋体"/>
          <w:color w:val="auto"/>
          <w:sz w:val="28"/>
        </w:rPr>
      </w:pPr>
      <w:r>
        <w:rPr>
          <w:rFonts w:ascii="宋体" w:hAnsi="宋体"/>
          <w:noProof/>
          <w:color w:val="auto"/>
          <w:sz w:val="28"/>
        </w:rPr>
        <w:drawing>
          <wp:inline distT="0" distB="0" distL="0" distR="0">
            <wp:extent cx="5399405" cy="3779520"/>
            <wp:effectExtent l="0" t="0" r="0" b="0"/>
            <wp:docPr id="10" name="图片 10" descr="E:\下载\WeChat Files\wxid_6ow1b1a1k1yn22\FileStorage\Temp\e01dbf126fd611e3bbf890229861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下载\WeChat Files\wxid_6ow1b1a1k1yn22\FileStorage\Temp\e01dbf126fd611e3bbf890229861c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ind w:firstLineChars="0" w:firstLine="0"/>
        <w:jc w:val="center"/>
        <w:rPr>
          <w:color w:val="auto"/>
        </w:rPr>
      </w:pPr>
      <w:r>
        <w:rPr>
          <w:color w:val="auto"/>
        </w:rPr>
        <w:t>图</w:t>
      </w:r>
      <w:r>
        <w:rPr>
          <w:rFonts w:hint="eastAsia"/>
          <w:color w:val="auto"/>
        </w:rPr>
        <w:t xml:space="preserve">10  </w:t>
      </w:r>
      <w:r>
        <w:rPr>
          <w:rFonts w:hint="eastAsia"/>
          <w:color w:val="auto"/>
        </w:rPr>
        <w:t>原料仓库</w:t>
      </w:r>
    </w:p>
    <w:p w:rsidR="003F13AB" w:rsidRDefault="00EC6E7E" w:rsidP="00EC6E7E">
      <w:pPr>
        <w:pStyle w:val="af7"/>
        <w:tabs>
          <w:tab w:val="center" w:pos="4885"/>
          <w:tab w:val="left" w:pos="8041"/>
        </w:tabs>
        <w:topLinePunct/>
        <w:ind w:firstLineChars="71" w:firstLine="199"/>
        <w:jc w:val="center"/>
        <w:rPr>
          <w:rFonts w:ascii="宋体" w:hAnsi="宋体"/>
          <w:color w:val="auto"/>
          <w:sz w:val="28"/>
        </w:rPr>
      </w:pPr>
      <w:r>
        <w:rPr>
          <w:rFonts w:ascii="宋体" w:hAnsi="宋体"/>
          <w:noProof/>
          <w:color w:val="auto"/>
          <w:sz w:val="28"/>
        </w:rPr>
        <w:lastRenderedPageBreak/>
        <w:drawing>
          <wp:inline distT="0" distB="0" distL="0" distR="0">
            <wp:extent cx="5399405" cy="3779520"/>
            <wp:effectExtent l="0" t="0" r="0" b="0"/>
            <wp:docPr id="13" name="图片 13" descr="E:\下载\WeChat Files\wxid_6ow1b1a1k1yn22\FileStorage\Temp\2656ed1e78ab217242dfded4bc0c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下载\WeChat Files\wxid_6ow1b1a1k1yn22\FileStorage\Temp\2656ed1e78ab217242dfded4bc0c0a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ind w:firstLineChars="0" w:firstLine="0"/>
        <w:jc w:val="center"/>
        <w:rPr>
          <w:rFonts w:ascii="宋体" w:hAnsi="宋体"/>
          <w:szCs w:val="28"/>
        </w:rPr>
      </w:pPr>
      <w:r>
        <w:rPr>
          <w:color w:val="auto"/>
        </w:rPr>
        <w:t>图</w:t>
      </w:r>
      <w:r>
        <w:rPr>
          <w:rFonts w:ascii="宋体" w:hAnsi="宋体" w:hint="eastAsia"/>
          <w:color w:val="auto"/>
        </w:rPr>
        <w:t>11</w:t>
      </w:r>
      <w:r>
        <w:rPr>
          <w:rFonts w:hint="eastAsia"/>
          <w:color w:val="auto"/>
        </w:rPr>
        <w:t xml:space="preserve">  </w:t>
      </w:r>
      <w:r>
        <w:rPr>
          <w:rFonts w:ascii="宋体" w:hAnsi="宋体"/>
          <w:szCs w:val="28"/>
        </w:rPr>
        <w:t>可燃气体检测报警仪控制器</w:t>
      </w:r>
    </w:p>
    <w:p w:rsidR="003F13AB" w:rsidRDefault="00EC6E7E">
      <w:pPr>
        <w:pStyle w:val="Default1"/>
        <w:jc w:val="center"/>
        <w:rPr>
          <w:rFonts w:ascii="宋体" w:hAnsi="宋体" w:hint="default"/>
          <w:sz w:val="28"/>
          <w:szCs w:val="28"/>
        </w:rPr>
      </w:pPr>
      <w:r>
        <w:rPr>
          <w:rFonts w:ascii="宋体" w:hAnsi="宋体"/>
          <w:noProof/>
          <w:sz w:val="28"/>
          <w:szCs w:val="28"/>
        </w:rPr>
        <w:drawing>
          <wp:inline distT="0" distB="0" distL="0" distR="0">
            <wp:extent cx="5399405" cy="3779520"/>
            <wp:effectExtent l="0" t="0" r="0" b="0"/>
            <wp:docPr id="14" name="图片 14" descr="E:\下载\WeChat Files\wxid_6ow1b1a1k1yn22\FileStorage\Temp\f2d2be1a732ac1c4ba2e1c2dce8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下载\WeChat Files\wxid_6ow1b1a1k1yn22\FileStorage\Temp\f2d2be1a732ac1c4ba2e1c2dce852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pStyle w:val="Default1"/>
        <w:jc w:val="center"/>
        <w:rPr>
          <w:rFonts w:ascii="宋体" w:hAnsi="宋体" w:hint="default"/>
          <w:sz w:val="28"/>
          <w:szCs w:val="28"/>
        </w:rPr>
      </w:pPr>
      <w:r>
        <w:rPr>
          <w:rFonts w:ascii="宋体" w:hAnsi="宋体"/>
          <w:sz w:val="28"/>
          <w:szCs w:val="28"/>
        </w:rPr>
        <w:t>图12 配电室</w:t>
      </w:r>
    </w:p>
    <w:p w:rsidR="003F13AB" w:rsidRDefault="00EC6E7E">
      <w:pPr>
        <w:pStyle w:val="Default1"/>
        <w:jc w:val="center"/>
        <w:rPr>
          <w:rFonts w:ascii="宋体" w:hAnsi="宋体" w:hint="default"/>
          <w:sz w:val="28"/>
          <w:szCs w:val="28"/>
        </w:rPr>
      </w:pPr>
      <w:r>
        <w:rPr>
          <w:rFonts w:ascii="宋体" w:hAnsi="宋体"/>
          <w:noProof/>
          <w:sz w:val="28"/>
          <w:szCs w:val="28"/>
        </w:rPr>
        <w:lastRenderedPageBreak/>
        <w:drawing>
          <wp:inline distT="0" distB="0" distL="0" distR="0">
            <wp:extent cx="5399405" cy="3779520"/>
            <wp:effectExtent l="0" t="0" r="0" b="0"/>
            <wp:docPr id="15" name="图片 15" descr="E:\下载\WeChat Files\wxid_6ow1b1a1k1yn22\FileStorage\Temp\4675a9333809b327ae926028eaa7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下载\WeChat Files\wxid_6ow1b1a1k1yn22\FileStorage\Temp\4675a9333809b327ae926028eaa7a5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pStyle w:val="Default1"/>
        <w:jc w:val="center"/>
        <w:rPr>
          <w:rFonts w:ascii="宋体" w:hAnsi="宋体" w:hint="default"/>
          <w:sz w:val="28"/>
          <w:szCs w:val="28"/>
        </w:rPr>
      </w:pPr>
      <w:r>
        <w:rPr>
          <w:rFonts w:ascii="宋体" w:hAnsi="宋体"/>
          <w:sz w:val="28"/>
          <w:szCs w:val="28"/>
        </w:rPr>
        <w:t>图13 生产厂房内安全警示标识</w:t>
      </w:r>
    </w:p>
    <w:p w:rsidR="003F13AB" w:rsidRDefault="00EC6E7E">
      <w:pPr>
        <w:pStyle w:val="Default1"/>
        <w:jc w:val="center"/>
        <w:rPr>
          <w:rFonts w:ascii="宋体" w:hAnsi="宋体" w:hint="default"/>
          <w:sz w:val="28"/>
          <w:szCs w:val="28"/>
        </w:rPr>
      </w:pPr>
      <w:r>
        <w:rPr>
          <w:rFonts w:ascii="宋体" w:hAnsi="宋体"/>
          <w:noProof/>
          <w:sz w:val="28"/>
          <w:szCs w:val="28"/>
        </w:rPr>
        <w:drawing>
          <wp:inline distT="0" distB="0" distL="0" distR="0">
            <wp:extent cx="5399405" cy="3779520"/>
            <wp:effectExtent l="0" t="0" r="0" b="0"/>
            <wp:docPr id="17" name="图片 17" descr="E:\下载\WeChat Files\wxid_6ow1b1a1k1yn22\FileStorage\Temp\9b2c5a034ce88ed9d3dc02c670c4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下载\WeChat Files\wxid_6ow1b1a1k1yn22\FileStorage\Temp\9b2c5a034ce88ed9d3dc02c670c4ce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a:ln>
                      <a:noFill/>
                    </a:ln>
                  </pic:spPr>
                </pic:pic>
              </a:graphicData>
            </a:graphic>
          </wp:inline>
        </w:drawing>
      </w:r>
    </w:p>
    <w:p w:rsidR="003F13AB" w:rsidRDefault="00EC6E7E">
      <w:pPr>
        <w:pStyle w:val="Default1"/>
        <w:jc w:val="center"/>
        <w:rPr>
          <w:rFonts w:ascii="宋体" w:hAnsi="宋体" w:hint="default"/>
          <w:sz w:val="28"/>
          <w:szCs w:val="28"/>
        </w:rPr>
      </w:pPr>
      <w:r>
        <w:rPr>
          <w:rFonts w:ascii="宋体" w:hAnsi="宋体" w:hint="default"/>
          <w:sz w:val="28"/>
          <w:szCs w:val="28"/>
        </w:rPr>
        <w:t>图</w:t>
      </w:r>
      <w:r>
        <w:rPr>
          <w:rFonts w:ascii="宋体" w:hAnsi="宋体"/>
          <w:sz w:val="28"/>
          <w:szCs w:val="28"/>
        </w:rPr>
        <w:t>14 防护罩</w:t>
      </w:r>
    </w:p>
    <w:p w:rsidR="003F13AB" w:rsidRDefault="003F13AB">
      <w:pPr>
        <w:pStyle w:val="Default1"/>
        <w:rPr>
          <w:rFonts w:hint="default"/>
          <w:color w:val="auto"/>
        </w:rPr>
        <w:sectPr w:rsidR="003F13AB">
          <w:headerReference w:type="default" r:id="rId32"/>
          <w:footerReference w:type="default" r:id="rId33"/>
          <w:pgSz w:w="11906" w:h="16838"/>
          <w:pgMar w:top="1418" w:right="1418" w:bottom="1588" w:left="1418" w:header="851" w:footer="992" w:gutter="0"/>
          <w:pgNumType w:start="1"/>
          <w:cols w:space="0"/>
          <w:docGrid w:linePitch="381"/>
        </w:sectPr>
      </w:pPr>
    </w:p>
    <w:p w:rsidR="003F13AB" w:rsidRDefault="00EC6E7E">
      <w:pPr>
        <w:ind w:firstLineChars="0" w:firstLine="0"/>
        <w:jc w:val="center"/>
        <w:rPr>
          <w:rFonts w:ascii="宋体" w:hAnsi="宋体" w:cs="宋体"/>
          <w:b/>
          <w:color w:val="auto"/>
          <w:sz w:val="44"/>
          <w:szCs w:val="44"/>
          <w:lang w:val="zh-CN"/>
        </w:rPr>
      </w:pPr>
      <w:r>
        <w:rPr>
          <w:rFonts w:ascii="宋体" w:hAnsi="宋体" w:cs="宋体" w:hint="eastAsia"/>
          <w:b/>
          <w:color w:val="auto"/>
          <w:sz w:val="44"/>
          <w:szCs w:val="44"/>
          <w:lang w:val="zh-CN"/>
        </w:rPr>
        <w:lastRenderedPageBreak/>
        <w:t>前言</w:t>
      </w:r>
      <w:bookmarkEnd w:id="0"/>
      <w:bookmarkEnd w:id="1"/>
      <w:bookmarkEnd w:id="2"/>
      <w:bookmarkEnd w:id="3"/>
      <w:bookmarkEnd w:id="4"/>
      <w:bookmarkEnd w:id="5"/>
      <w:bookmarkEnd w:id="6"/>
      <w:bookmarkEnd w:id="7"/>
      <w:bookmarkEnd w:id="8"/>
      <w:bookmarkEnd w:id="9"/>
      <w:bookmarkEnd w:id="10"/>
    </w:p>
    <w:p w:rsidR="003F13AB" w:rsidRDefault="00EC6E7E">
      <w:pPr>
        <w:topLinePunct/>
        <w:ind w:firstLine="560"/>
        <w:rPr>
          <w:rFonts w:ascii="宋体" w:hAnsi="宋体"/>
          <w:color w:val="auto"/>
          <w:szCs w:val="20"/>
        </w:rPr>
      </w:pPr>
      <w:r>
        <w:rPr>
          <w:rFonts w:ascii="宋体" w:hAnsi="宋体" w:hint="eastAsia"/>
          <w:color w:val="auto"/>
          <w:szCs w:val="20"/>
        </w:rPr>
        <w:t>随着我国法制化的日趋健全和完善，安全生产监督管理体系也逐步向科学化、规范化、制度化发展，安全评价作为现代先进安全生产管理模式的主要内容之一越来越受到重视。“安全第一、预防为主、综合治理”是我们党和国家始终不渝的安全生产方针。安全评价不仅能有效地提高企业和生产设备的本质安全程度，而且可以为各级应急管理部门的决策和监督检查提供有力的技术支撑。</w:t>
      </w:r>
    </w:p>
    <w:p w:rsidR="003F13AB" w:rsidRDefault="00EC6E7E">
      <w:pPr>
        <w:topLinePunct/>
        <w:ind w:firstLine="560"/>
        <w:rPr>
          <w:color w:val="auto"/>
        </w:rPr>
      </w:pPr>
      <w:r>
        <w:rPr>
          <w:rFonts w:hint="eastAsia"/>
          <w:color w:val="auto"/>
        </w:rPr>
        <w:t>根据《中华人民共和国安全生产法（</w:t>
      </w:r>
      <w:r>
        <w:rPr>
          <w:rFonts w:hint="eastAsia"/>
          <w:color w:val="auto"/>
        </w:rPr>
        <w:t>2021</w:t>
      </w:r>
      <w:r>
        <w:rPr>
          <w:rFonts w:hint="eastAsia"/>
          <w:color w:val="auto"/>
        </w:rPr>
        <w:t>年修订）》（中华人民共和国主席令第八十八号修订后公布，</w:t>
      </w:r>
      <w:r>
        <w:rPr>
          <w:rFonts w:hint="eastAsia"/>
          <w:color w:val="auto"/>
        </w:rPr>
        <w:t>2021</w:t>
      </w:r>
      <w:r>
        <w:rPr>
          <w:rFonts w:hint="eastAsia"/>
          <w:color w:val="auto"/>
        </w:rPr>
        <w:t>年</w:t>
      </w:r>
      <w:r>
        <w:rPr>
          <w:rFonts w:hint="eastAsia"/>
          <w:color w:val="auto"/>
        </w:rPr>
        <w:t>9</w:t>
      </w:r>
      <w:r>
        <w:rPr>
          <w:rFonts w:hint="eastAsia"/>
          <w:color w:val="auto"/>
        </w:rPr>
        <w:t>月</w:t>
      </w:r>
      <w:r>
        <w:rPr>
          <w:rFonts w:hint="eastAsia"/>
          <w:color w:val="auto"/>
        </w:rPr>
        <w:t>1</w:t>
      </w:r>
      <w:r>
        <w:rPr>
          <w:rFonts w:hint="eastAsia"/>
          <w:color w:val="auto"/>
        </w:rPr>
        <w:t>日施行）、《建设项目安全设施“三同时”监督管理办法》（原安监总局令第</w:t>
      </w:r>
      <w:r>
        <w:rPr>
          <w:rFonts w:hint="eastAsia"/>
          <w:color w:val="auto"/>
        </w:rPr>
        <w:t>36</w:t>
      </w:r>
      <w:r>
        <w:rPr>
          <w:rFonts w:hint="eastAsia"/>
          <w:color w:val="auto"/>
        </w:rPr>
        <w:t>号，第</w:t>
      </w:r>
      <w:r>
        <w:rPr>
          <w:rFonts w:hint="eastAsia"/>
          <w:color w:val="auto"/>
        </w:rPr>
        <w:t>77</w:t>
      </w:r>
      <w:r>
        <w:rPr>
          <w:rFonts w:hint="eastAsia"/>
          <w:color w:val="auto"/>
        </w:rPr>
        <w:t>号令修改），</w:t>
      </w:r>
      <w:r>
        <w:rPr>
          <w:rFonts w:hint="eastAsia"/>
          <w:color w:val="auto"/>
        </w:rPr>
        <w:t xml:space="preserve"> </w:t>
      </w:r>
      <w:r>
        <w:rPr>
          <w:rFonts w:hint="eastAsia"/>
          <w:color w:val="auto"/>
        </w:rPr>
        <w:t>“第二十二条建设项目安全设施竣工或者试运行完成后，生产经营单位应当委托具有相应资质的安全评价机构对安全设施进行验收评价，并编制建设项目安全验收评价报告”。</w:t>
      </w:r>
    </w:p>
    <w:p w:rsidR="003F13AB" w:rsidRPr="00611B5C" w:rsidRDefault="00EC6E7E">
      <w:pPr>
        <w:topLinePunct/>
        <w:ind w:firstLine="560"/>
        <w:rPr>
          <w:color w:val="auto"/>
        </w:rPr>
      </w:pPr>
      <w:r>
        <w:rPr>
          <w:rFonts w:hint="eastAsia"/>
          <w:color w:val="auto"/>
        </w:rPr>
        <w:t>在接受云南农家乐农业集团有限公司年产</w:t>
      </w:r>
      <w:proofErr w:type="gramStart"/>
      <w:r>
        <w:rPr>
          <w:rFonts w:hint="eastAsia"/>
          <w:color w:val="auto"/>
        </w:rPr>
        <w:t>50</w:t>
      </w:r>
      <w:r>
        <w:rPr>
          <w:rFonts w:hint="eastAsia"/>
          <w:color w:val="auto"/>
        </w:rPr>
        <w:t>万吨缓控释</w:t>
      </w:r>
      <w:proofErr w:type="gramEnd"/>
      <w:r>
        <w:rPr>
          <w:rFonts w:hint="eastAsia"/>
          <w:color w:val="auto"/>
        </w:rPr>
        <w:t>肥料、水溶肥料、专用肥料生产基地建设项目安全验收评价工作的委托之后，昭通市</w:t>
      </w:r>
      <w:proofErr w:type="gramStart"/>
      <w:r>
        <w:rPr>
          <w:rFonts w:hint="eastAsia"/>
          <w:color w:val="auto"/>
        </w:rPr>
        <w:t>鼎安科技</w:t>
      </w:r>
      <w:proofErr w:type="gramEnd"/>
      <w:r>
        <w:rPr>
          <w:rFonts w:hint="eastAsia"/>
          <w:color w:val="auto"/>
        </w:rPr>
        <w:t>有限公司立即组成相关专业的安全技术人员和技术专家参加的安全评价组，投入该项目的安全验收评价工作。现场调查主要工作内容包括现场踏勘、资料收集、项目隐患查找、与企业进行项目意见交换等。本次提交的评价报告由昭通市</w:t>
      </w:r>
      <w:proofErr w:type="gramStart"/>
      <w:r>
        <w:rPr>
          <w:rFonts w:hint="eastAsia"/>
          <w:color w:val="auto"/>
        </w:rPr>
        <w:t>鼎安科技</w:t>
      </w:r>
      <w:proofErr w:type="gramEnd"/>
      <w:r>
        <w:rPr>
          <w:rFonts w:hint="eastAsia"/>
          <w:color w:val="auto"/>
        </w:rPr>
        <w:t>有限公司安全</w:t>
      </w:r>
      <w:r w:rsidRPr="00611B5C">
        <w:rPr>
          <w:rFonts w:hint="eastAsia"/>
          <w:color w:val="auto"/>
        </w:rPr>
        <w:t>评价组编制完成。</w:t>
      </w:r>
    </w:p>
    <w:p w:rsidR="003F13AB" w:rsidRDefault="00EC6E7E">
      <w:pPr>
        <w:topLinePunct/>
        <w:ind w:firstLine="560"/>
        <w:rPr>
          <w:color w:val="auto"/>
        </w:rPr>
        <w:sectPr w:rsidR="003F13AB">
          <w:headerReference w:type="default" r:id="rId34"/>
          <w:footerReference w:type="default" r:id="rId35"/>
          <w:pgSz w:w="11906" w:h="16838"/>
          <w:pgMar w:top="1418" w:right="1418" w:bottom="1588" w:left="1418" w:header="851" w:footer="992" w:gutter="0"/>
          <w:pgNumType w:start="1"/>
          <w:cols w:space="0"/>
          <w:docGrid w:linePitch="381"/>
        </w:sectPr>
      </w:pPr>
      <w:r w:rsidRPr="00611B5C">
        <w:rPr>
          <w:rFonts w:hint="eastAsia"/>
          <w:color w:val="auto"/>
        </w:rPr>
        <w:t>在评价报告编写过程中，得到了昆明市应急管理局、</w:t>
      </w:r>
      <w:r>
        <w:rPr>
          <w:rFonts w:hint="eastAsia"/>
          <w:color w:val="auto"/>
        </w:rPr>
        <w:t>晋宁区应急管理局、云南农家乐农业集团有限公司相关领导和技术人员的大力支持，同时引用了一些专家学者的研究成果和技术资料，在此</w:t>
      </w:r>
      <w:proofErr w:type="gramStart"/>
      <w:r>
        <w:rPr>
          <w:rFonts w:hint="eastAsia"/>
          <w:color w:val="auto"/>
        </w:rPr>
        <w:t>一</w:t>
      </w:r>
      <w:proofErr w:type="gramEnd"/>
      <w:r>
        <w:rPr>
          <w:rFonts w:hint="eastAsia"/>
          <w:color w:val="auto"/>
        </w:rPr>
        <w:t>并表示感谢。</w:t>
      </w:r>
    </w:p>
    <w:p w:rsidR="003F13AB" w:rsidRDefault="00EC6E7E">
      <w:pPr>
        <w:ind w:firstLineChars="0" w:firstLine="0"/>
        <w:jc w:val="center"/>
        <w:rPr>
          <w:rFonts w:ascii="宋体" w:hAnsi="宋体" w:cs="宋体"/>
          <w:b/>
          <w:color w:val="auto"/>
          <w:sz w:val="44"/>
          <w:szCs w:val="44"/>
          <w:lang w:val="zh-CN"/>
        </w:rPr>
      </w:pPr>
      <w:r>
        <w:rPr>
          <w:rFonts w:ascii="宋体" w:hAnsi="宋体" w:cs="宋体" w:hint="eastAsia"/>
          <w:b/>
          <w:color w:val="auto"/>
          <w:sz w:val="44"/>
          <w:szCs w:val="44"/>
          <w:lang w:val="zh-CN"/>
        </w:rPr>
        <w:lastRenderedPageBreak/>
        <w:t>目  录</w:t>
      </w:r>
    </w:p>
    <w:p w:rsidR="003F13AB" w:rsidRDefault="003F13AB">
      <w:pPr>
        <w:pStyle w:val="10"/>
        <w:tabs>
          <w:tab w:val="right" w:leader="dot" w:pos="9060"/>
        </w:tabs>
        <w:rPr>
          <w:rFonts w:ascii="宋体" w:hAnsi="宋体" w:cs="宋体"/>
          <w:b w:val="0"/>
          <w:bCs w:val="0"/>
          <w:caps w:val="0"/>
          <w:color w:val="auto"/>
          <w:szCs w:val="28"/>
          <w:lang w:val="zh-CN"/>
        </w:rPr>
      </w:pPr>
      <w:bookmarkStart w:id="12" w:name="_Toc23076_WPSOffice_Type2"/>
    </w:p>
    <w:p w:rsidR="003F13AB" w:rsidRDefault="00EC6E7E">
      <w:pPr>
        <w:pStyle w:val="10"/>
        <w:tabs>
          <w:tab w:val="left" w:pos="840"/>
          <w:tab w:val="right" w:leader="dot" w:pos="9060"/>
        </w:tabs>
        <w:rPr>
          <w:rFonts w:ascii="宋体" w:hAnsi="宋体" w:cstheme="minorBidi"/>
          <w:b w:val="0"/>
          <w:bCs w:val="0"/>
          <w:caps w:val="0"/>
          <w:color w:val="auto"/>
          <w:szCs w:val="28"/>
        </w:rPr>
      </w:pPr>
      <w:r>
        <w:rPr>
          <w:bCs w:val="0"/>
          <w:caps w:val="0"/>
          <w:szCs w:val="28"/>
        </w:rPr>
        <w:fldChar w:fldCharType="begin"/>
      </w:r>
      <w:r>
        <w:rPr>
          <w:bCs w:val="0"/>
          <w:caps w:val="0"/>
          <w:szCs w:val="28"/>
        </w:rPr>
        <w:instrText xml:space="preserve"> TOC \o "1-3" \h \z \u </w:instrText>
      </w:r>
      <w:r>
        <w:rPr>
          <w:bCs w:val="0"/>
          <w:caps w:val="0"/>
          <w:szCs w:val="28"/>
        </w:rPr>
        <w:fldChar w:fldCharType="separate"/>
      </w:r>
      <w:hyperlink w:anchor="_Toc187914367" w:history="1">
        <w:r>
          <w:rPr>
            <w:rStyle w:val="af4"/>
            <w:rFonts w:ascii="宋体" w:hAnsi="宋体"/>
            <w:b w:val="0"/>
            <w:szCs w:val="28"/>
          </w:rPr>
          <w:t>1</w:t>
        </w:r>
        <w:r>
          <w:rPr>
            <w:rFonts w:ascii="宋体" w:hAnsi="宋体" w:cstheme="minorBidi"/>
            <w:b w:val="0"/>
            <w:bCs w:val="0"/>
            <w:caps w:val="0"/>
            <w:color w:val="auto"/>
            <w:szCs w:val="28"/>
          </w:rPr>
          <w:tab/>
        </w:r>
        <w:r>
          <w:rPr>
            <w:rStyle w:val="af4"/>
            <w:rFonts w:ascii="宋体" w:hAnsi="宋体" w:hint="eastAsia"/>
            <w:b w:val="0"/>
            <w:szCs w:val="28"/>
          </w:rPr>
          <w:t>安全评价工作经过</w:t>
        </w:r>
        <w:r>
          <w:rPr>
            <w:rFonts w:ascii="宋体" w:hAnsi="宋体"/>
            <w:b w:val="0"/>
            <w:szCs w:val="28"/>
          </w:rPr>
          <w:tab/>
        </w:r>
        <w:r>
          <w:rPr>
            <w:rFonts w:ascii="宋体" w:hAnsi="宋体"/>
            <w:b w:val="0"/>
            <w:szCs w:val="28"/>
          </w:rPr>
          <w:fldChar w:fldCharType="begin"/>
        </w:r>
        <w:r>
          <w:rPr>
            <w:rFonts w:ascii="宋体" w:hAnsi="宋体"/>
            <w:b w:val="0"/>
            <w:szCs w:val="28"/>
          </w:rPr>
          <w:instrText xml:space="preserve"> PAGEREF _Toc187914367 \h </w:instrText>
        </w:r>
        <w:r>
          <w:rPr>
            <w:rFonts w:ascii="宋体" w:hAnsi="宋体"/>
            <w:b w:val="0"/>
            <w:szCs w:val="28"/>
          </w:rPr>
        </w:r>
        <w:r>
          <w:rPr>
            <w:rFonts w:ascii="宋体" w:hAnsi="宋体"/>
            <w:b w:val="0"/>
            <w:szCs w:val="28"/>
          </w:rPr>
          <w:fldChar w:fldCharType="separate"/>
        </w:r>
        <w:r>
          <w:rPr>
            <w:rFonts w:ascii="宋体" w:hAnsi="宋体"/>
            <w:b w:val="0"/>
            <w:szCs w:val="28"/>
          </w:rPr>
          <w:t>1</w:t>
        </w:r>
        <w:r>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68" w:history="1">
        <w:r w:rsidR="00EC6E7E">
          <w:rPr>
            <w:rStyle w:val="af4"/>
            <w:rFonts w:ascii="宋体" w:hAnsi="宋体"/>
            <w:szCs w:val="28"/>
          </w:rPr>
          <w:t xml:space="preserve">1.1 </w:t>
        </w:r>
        <w:r w:rsidR="00EC6E7E">
          <w:rPr>
            <w:rStyle w:val="af4"/>
            <w:rFonts w:ascii="宋体" w:hAnsi="宋体" w:hint="eastAsia"/>
            <w:szCs w:val="28"/>
          </w:rPr>
          <w:t>评价目的</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_Toc187914368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69" w:history="1">
        <w:r w:rsidR="00EC6E7E">
          <w:rPr>
            <w:rStyle w:val="af4"/>
            <w:rFonts w:ascii="宋体" w:hAnsi="宋体"/>
            <w:szCs w:val="28"/>
          </w:rPr>
          <w:t xml:space="preserve">1.2 </w:t>
        </w:r>
        <w:r w:rsidR="00EC6E7E">
          <w:rPr>
            <w:rStyle w:val="af4"/>
            <w:rFonts w:ascii="宋体" w:hAnsi="宋体" w:hint="eastAsia"/>
            <w:szCs w:val="28"/>
          </w:rPr>
          <w:t>前期准备</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_Toc187914369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2</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70" w:history="1">
        <w:r w:rsidR="00EC6E7E">
          <w:rPr>
            <w:rStyle w:val="af4"/>
            <w:rFonts w:ascii="宋体" w:hAnsi="宋体"/>
            <w:szCs w:val="28"/>
          </w:rPr>
          <w:t xml:space="preserve">1.3 </w:t>
        </w:r>
        <w:r w:rsidR="00EC6E7E">
          <w:rPr>
            <w:rStyle w:val="af4"/>
            <w:rFonts w:ascii="宋体" w:hAnsi="宋体" w:hint="eastAsia"/>
            <w:szCs w:val="28"/>
          </w:rPr>
          <w:t>评价对象及范围</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_Toc187914370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2</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71" w:history="1">
        <w:r w:rsidR="00EC6E7E">
          <w:rPr>
            <w:rStyle w:val="af4"/>
            <w:rFonts w:ascii="宋体" w:hAnsi="宋体"/>
            <w:szCs w:val="28"/>
          </w:rPr>
          <w:t xml:space="preserve">1.4 </w:t>
        </w:r>
        <w:r w:rsidR="00EC6E7E">
          <w:rPr>
            <w:rStyle w:val="af4"/>
            <w:rFonts w:ascii="宋体" w:hAnsi="宋体" w:hint="eastAsia"/>
            <w:szCs w:val="28"/>
          </w:rPr>
          <w:t>评价程序</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_Toc187914371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2</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72" w:history="1">
        <w:r w:rsidR="00EC6E7E">
          <w:rPr>
            <w:rStyle w:val="af4"/>
            <w:rFonts w:ascii="宋体" w:hAnsi="宋体"/>
            <w:szCs w:val="28"/>
          </w:rPr>
          <w:t xml:space="preserve">1.5 </w:t>
        </w:r>
        <w:r w:rsidR="00EC6E7E">
          <w:rPr>
            <w:rStyle w:val="af4"/>
            <w:rFonts w:ascii="宋体" w:hAnsi="宋体" w:hint="eastAsia"/>
            <w:szCs w:val="28"/>
          </w:rPr>
          <w:t>评价原则</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_Toc187914372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73" w:history="1">
        <w:r w:rsidR="00EC6E7E">
          <w:rPr>
            <w:rStyle w:val="af4"/>
            <w:rFonts w:ascii="宋体" w:hAnsi="宋体"/>
            <w:szCs w:val="28"/>
          </w:rPr>
          <w:t xml:space="preserve">1.6 </w:t>
        </w:r>
        <w:r w:rsidR="00EC6E7E">
          <w:rPr>
            <w:rStyle w:val="af4"/>
            <w:rFonts w:ascii="宋体" w:hAnsi="宋体" w:hint="eastAsia"/>
            <w:szCs w:val="28"/>
          </w:rPr>
          <w:t>评价基准日</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_Toc187914373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w:t>
        </w:r>
        <w:r w:rsidR="00EC6E7E">
          <w:rPr>
            <w:rFonts w:ascii="宋体" w:hAnsi="宋体"/>
            <w:szCs w:val="28"/>
          </w:rPr>
          <w:fldChar w:fldCharType="end"/>
        </w:r>
      </w:hyperlink>
    </w:p>
    <w:p w:rsidR="003F13AB" w:rsidRDefault="00A90894">
      <w:pPr>
        <w:pStyle w:val="10"/>
        <w:tabs>
          <w:tab w:val="left" w:pos="840"/>
          <w:tab w:val="right" w:leader="dot" w:pos="9060"/>
        </w:tabs>
        <w:rPr>
          <w:rFonts w:ascii="宋体" w:hAnsi="宋体" w:cstheme="minorBidi"/>
          <w:b w:val="0"/>
          <w:bCs w:val="0"/>
          <w:caps w:val="0"/>
          <w:color w:val="auto"/>
          <w:szCs w:val="28"/>
        </w:rPr>
      </w:pPr>
      <w:hyperlink w:anchor="_Toc187914374" w:history="1">
        <w:r w:rsidR="00EC6E7E">
          <w:rPr>
            <w:rStyle w:val="af4"/>
            <w:rFonts w:ascii="宋体" w:hAnsi="宋体"/>
            <w:b w:val="0"/>
            <w:szCs w:val="28"/>
          </w:rPr>
          <w:t>2</w:t>
        </w:r>
        <w:r w:rsidR="00EC6E7E">
          <w:rPr>
            <w:rFonts w:ascii="宋体" w:hAnsi="宋体" w:cstheme="minorBidi"/>
            <w:b w:val="0"/>
            <w:bCs w:val="0"/>
            <w:caps w:val="0"/>
            <w:color w:val="auto"/>
            <w:szCs w:val="28"/>
          </w:rPr>
          <w:tab/>
        </w:r>
        <w:r w:rsidR="00EC6E7E">
          <w:rPr>
            <w:rStyle w:val="af4"/>
            <w:rFonts w:ascii="宋体" w:hAnsi="宋体" w:hint="eastAsia"/>
            <w:b w:val="0"/>
            <w:szCs w:val="28"/>
          </w:rPr>
          <w:t>建设项目概况</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_Toc187914374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5</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75" w:history="1">
        <w:r w:rsidR="00EC6E7E">
          <w:rPr>
            <w:rStyle w:val="af4"/>
            <w:rFonts w:ascii="宋体" w:hAnsi="宋体"/>
            <w:szCs w:val="28"/>
          </w:rPr>
          <w:t xml:space="preserve">2.1 </w:t>
        </w:r>
        <w:r w:rsidR="00EC6E7E">
          <w:rPr>
            <w:rStyle w:val="af4"/>
            <w:rFonts w:ascii="宋体" w:hAnsi="宋体" w:hint="eastAsia"/>
            <w:szCs w:val="28"/>
          </w:rPr>
          <w:t>建设单位概况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_Toc187914375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76" w:history="1">
        <w:r w:rsidR="00EC6E7E">
          <w:rPr>
            <w:rStyle w:val="af4"/>
            <w:rFonts w:ascii="宋体" w:hAnsi="宋体"/>
            <w:szCs w:val="28"/>
          </w:rPr>
          <w:t xml:space="preserve">2.2 </w:t>
        </w:r>
        <w:r w:rsidR="00EC6E7E">
          <w:rPr>
            <w:rStyle w:val="af4"/>
            <w:rFonts w:ascii="宋体" w:hAnsi="宋体" w:hint="eastAsia"/>
            <w:szCs w:val="28"/>
          </w:rPr>
          <w:t>建设项目概况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_Toc187914376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77" w:history="1">
        <w:r w:rsidR="00EC6E7E">
          <w:rPr>
            <w:rStyle w:val="af4"/>
            <w:rFonts w:ascii="宋体" w:hAnsi="宋体"/>
            <w:szCs w:val="28"/>
          </w:rPr>
          <w:t xml:space="preserve">2.2.1 </w:t>
        </w:r>
        <w:r w:rsidR="00EC6E7E">
          <w:rPr>
            <w:rStyle w:val="af4"/>
            <w:rFonts w:ascii="宋体" w:hAnsi="宋体" w:hint="eastAsia"/>
            <w:szCs w:val="28"/>
          </w:rPr>
          <w:t>项目建设概况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_Toc187914377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78" w:history="1">
        <w:r w:rsidR="00EC6E7E">
          <w:rPr>
            <w:rStyle w:val="af4"/>
            <w:rFonts w:ascii="宋体" w:hAnsi="宋体"/>
            <w:szCs w:val="28"/>
          </w:rPr>
          <w:t xml:space="preserve">2.2.2 </w:t>
        </w:r>
        <w:r w:rsidR="00EC6E7E">
          <w:rPr>
            <w:rStyle w:val="af4"/>
            <w:rFonts w:ascii="宋体" w:hAnsi="宋体" w:hint="eastAsia"/>
            <w:szCs w:val="28"/>
          </w:rPr>
          <w:t>项目性质及建设内容</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_Toc187914378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6</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79" w:history="1">
        <w:r w:rsidR="00EC6E7E">
          <w:rPr>
            <w:rStyle w:val="af4"/>
            <w:rFonts w:ascii="宋体" w:hAnsi="宋体"/>
            <w:szCs w:val="28"/>
          </w:rPr>
          <w:t xml:space="preserve">2.2.3 </w:t>
        </w:r>
        <w:r w:rsidR="00EC6E7E">
          <w:rPr>
            <w:rStyle w:val="af4"/>
            <w:rFonts w:ascii="宋体" w:hAnsi="宋体" w:hint="eastAsia"/>
            <w:szCs w:val="28"/>
          </w:rPr>
          <w:t>项目产品方案、生产规模</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_Toc187914379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7</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80" w:history="1">
        <w:r w:rsidR="00EC6E7E">
          <w:rPr>
            <w:rStyle w:val="af4"/>
            <w:rFonts w:ascii="宋体" w:hAnsi="宋体"/>
            <w:szCs w:val="28"/>
          </w:rPr>
          <w:t xml:space="preserve">2.2.4 </w:t>
        </w:r>
        <w:r w:rsidR="00EC6E7E">
          <w:rPr>
            <w:rStyle w:val="af4"/>
            <w:rFonts w:ascii="宋体" w:hAnsi="宋体" w:hint="eastAsia"/>
            <w:szCs w:val="28"/>
          </w:rPr>
          <w:t>项目建设涉及单位简介</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_Toc187914380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7</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81" w:history="1">
        <w:r w:rsidR="00EC6E7E">
          <w:rPr>
            <w:rStyle w:val="af4"/>
            <w:rFonts w:ascii="宋体" w:hAnsi="宋体"/>
            <w:szCs w:val="28"/>
          </w:rPr>
          <w:t xml:space="preserve">2.2.5 </w:t>
        </w:r>
        <w:r w:rsidR="00EC6E7E">
          <w:rPr>
            <w:rStyle w:val="af4"/>
            <w:rFonts w:ascii="宋体" w:hAnsi="宋体" w:hint="eastAsia"/>
            <w:szCs w:val="28"/>
          </w:rPr>
          <w:t>建设项目周边环境情况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_Toc187914381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9</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82" w:history="1">
        <w:r w:rsidR="00EC6E7E">
          <w:rPr>
            <w:rStyle w:val="af4"/>
            <w:rFonts w:ascii="宋体" w:hAnsi="宋体"/>
            <w:szCs w:val="28"/>
          </w:rPr>
          <w:t xml:space="preserve">2.2.6 </w:t>
        </w:r>
        <w:r w:rsidR="00EC6E7E">
          <w:rPr>
            <w:rStyle w:val="af4"/>
            <w:rFonts w:ascii="宋体" w:hAnsi="宋体" w:hint="eastAsia"/>
            <w:szCs w:val="28"/>
          </w:rPr>
          <w:t>自然条件</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_Toc187914382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11</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83" w:history="1">
        <w:r w:rsidR="00EC6E7E">
          <w:rPr>
            <w:rStyle w:val="af4"/>
            <w:rFonts w:ascii="宋体" w:hAnsi="宋体"/>
            <w:szCs w:val="28"/>
          </w:rPr>
          <w:t xml:space="preserve">2.2.7 </w:t>
        </w:r>
        <w:r w:rsidR="00EC6E7E">
          <w:rPr>
            <w:rStyle w:val="af4"/>
            <w:rFonts w:ascii="宋体" w:hAnsi="宋体" w:hint="eastAsia"/>
            <w:szCs w:val="28"/>
          </w:rPr>
          <w:t>总平面布置</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_Toc187914383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13</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84" w:history="1">
        <w:r w:rsidR="00EC6E7E">
          <w:rPr>
            <w:rStyle w:val="af4"/>
            <w:rFonts w:ascii="宋体" w:hAnsi="宋体"/>
            <w:szCs w:val="28"/>
          </w:rPr>
          <w:t xml:space="preserve">2.2.8 </w:t>
        </w:r>
        <w:r w:rsidR="00EC6E7E">
          <w:rPr>
            <w:rStyle w:val="af4"/>
            <w:rFonts w:ascii="宋体" w:hAnsi="宋体" w:hint="eastAsia"/>
            <w:szCs w:val="28"/>
          </w:rPr>
          <w:t>工艺简介</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_Toc187914384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85" w:history="1">
        <w:r w:rsidR="00EC6E7E">
          <w:rPr>
            <w:rStyle w:val="af4"/>
            <w:rFonts w:ascii="宋体" w:hAnsi="宋体"/>
            <w:szCs w:val="28"/>
          </w:rPr>
          <w:t xml:space="preserve">2.2.9 </w:t>
        </w:r>
        <w:r w:rsidR="00EC6E7E">
          <w:rPr>
            <w:rStyle w:val="af4"/>
            <w:rFonts w:ascii="宋体" w:hAnsi="宋体" w:hint="eastAsia"/>
            <w:szCs w:val="28"/>
          </w:rPr>
          <w:t>主要设备、设施</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_Toc187914385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19</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86" w:history="1">
        <w:r w:rsidR="00EC6E7E">
          <w:rPr>
            <w:rStyle w:val="af4"/>
            <w:rFonts w:ascii="宋体" w:hAnsi="宋体"/>
            <w:szCs w:val="28"/>
          </w:rPr>
          <w:t xml:space="preserve">2.2.10 </w:t>
        </w:r>
        <w:r w:rsidR="00EC6E7E">
          <w:rPr>
            <w:rStyle w:val="af4"/>
            <w:rFonts w:ascii="宋体" w:hAnsi="宋体" w:hint="eastAsia"/>
            <w:szCs w:val="28"/>
          </w:rPr>
          <w:t>项目涉及的主要原辅材料</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_Toc187914386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25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87" w:history="1">
        <w:r w:rsidR="00EC6E7E">
          <w:rPr>
            <w:rStyle w:val="af4"/>
            <w:rFonts w:ascii="宋体" w:hAnsi="宋体"/>
            <w:szCs w:val="28"/>
          </w:rPr>
          <w:t xml:space="preserve">2.2.11 </w:t>
        </w:r>
        <w:r w:rsidR="00EC6E7E">
          <w:rPr>
            <w:rStyle w:val="af4"/>
            <w:rFonts w:ascii="宋体" w:hAnsi="宋体" w:hint="eastAsia"/>
            <w:szCs w:val="28"/>
          </w:rPr>
          <w:t>公用工程及辅助设施</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_Toc187914387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25</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88" w:history="1">
        <w:r w:rsidR="00EC6E7E">
          <w:rPr>
            <w:rStyle w:val="af4"/>
            <w:rFonts w:ascii="宋体" w:hAnsi="宋体"/>
            <w:szCs w:val="28"/>
          </w:rPr>
          <w:t xml:space="preserve">2.3 </w:t>
        </w:r>
        <w:r w:rsidR="00EC6E7E">
          <w:rPr>
            <w:rStyle w:val="af4"/>
            <w:rFonts w:ascii="宋体" w:hAnsi="宋体" w:hint="eastAsia"/>
            <w:szCs w:val="28"/>
          </w:rPr>
          <w:t>项目安全投资</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_Toc187914388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27</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89" w:history="1">
        <w:r w:rsidR="00EC6E7E">
          <w:rPr>
            <w:rStyle w:val="af4"/>
            <w:rFonts w:ascii="宋体" w:hAnsi="宋体"/>
            <w:szCs w:val="28"/>
            <w:u w:color="000000"/>
          </w:rPr>
          <w:t xml:space="preserve">2.4 </w:t>
        </w:r>
        <w:r w:rsidR="00EC6E7E">
          <w:rPr>
            <w:rStyle w:val="af4"/>
            <w:rFonts w:ascii="宋体" w:hAnsi="宋体" w:hint="eastAsia"/>
            <w:szCs w:val="28"/>
            <w:u w:color="000000"/>
          </w:rPr>
          <w:t>爆炸区域划分情况及电气设备设置情况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_Toc187914389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28</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90" w:history="1">
        <w:r w:rsidR="00EC6E7E">
          <w:rPr>
            <w:rStyle w:val="af4"/>
            <w:rFonts w:ascii="宋体" w:hAnsi="宋体"/>
            <w:szCs w:val="28"/>
          </w:rPr>
          <w:t xml:space="preserve">2.5 </w:t>
        </w:r>
        <w:r w:rsidR="00EC6E7E">
          <w:rPr>
            <w:rStyle w:val="af4"/>
            <w:rFonts w:ascii="宋体" w:hAnsi="宋体" w:hint="eastAsia"/>
            <w:szCs w:val="28"/>
          </w:rPr>
          <w:t>安全生产管理情况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_Toc187914390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29</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91" w:history="1">
        <w:r w:rsidR="00EC6E7E">
          <w:rPr>
            <w:rStyle w:val="af4"/>
            <w:rFonts w:ascii="宋体" w:hAnsi="宋体"/>
            <w:szCs w:val="28"/>
          </w:rPr>
          <w:t xml:space="preserve">2.5.1 </w:t>
        </w:r>
        <w:r w:rsidR="00EC6E7E">
          <w:rPr>
            <w:rStyle w:val="af4"/>
            <w:rFonts w:ascii="宋体" w:hAnsi="宋体" w:hint="eastAsia"/>
            <w:szCs w:val="28"/>
          </w:rPr>
          <w:t>安全管理机构及职责</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_Toc187914391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29</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92" w:history="1">
        <w:r w:rsidR="00EC6E7E">
          <w:rPr>
            <w:rStyle w:val="af4"/>
            <w:rFonts w:ascii="宋体" w:hAnsi="宋体"/>
            <w:szCs w:val="28"/>
          </w:rPr>
          <w:t xml:space="preserve">2.5.2 </w:t>
        </w:r>
        <w:r w:rsidR="00EC6E7E">
          <w:rPr>
            <w:rStyle w:val="af4"/>
            <w:rFonts w:ascii="宋体" w:hAnsi="宋体" w:hint="eastAsia"/>
            <w:szCs w:val="28"/>
          </w:rPr>
          <w:t>安全管理制度及安全岗位责任制</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_Toc187914392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29</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93" w:history="1">
        <w:r w:rsidR="00EC6E7E">
          <w:rPr>
            <w:rStyle w:val="af4"/>
            <w:rFonts w:ascii="宋体" w:hAnsi="宋体"/>
            <w:szCs w:val="28"/>
          </w:rPr>
          <w:t xml:space="preserve">2.5.3 </w:t>
        </w:r>
        <w:r w:rsidR="00EC6E7E">
          <w:rPr>
            <w:rStyle w:val="af4"/>
            <w:rFonts w:ascii="宋体" w:hAnsi="宋体" w:hint="eastAsia"/>
            <w:szCs w:val="28"/>
          </w:rPr>
          <w:t>安全岗位操作规程</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_Toc187914393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31</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94" w:history="1">
        <w:r w:rsidR="00EC6E7E">
          <w:rPr>
            <w:rStyle w:val="af4"/>
            <w:rFonts w:ascii="宋体" w:hAnsi="宋体"/>
            <w:szCs w:val="28"/>
          </w:rPr>
          <w:t xml:space="preserve">2.5.4 </w:t>
        </w:r>
        <w:r w:rsidR="00EC6E7E">
          <w:rPr>
            <w:rStyle w:val="af4"/>
            <w:rFonts w:ascii="宋体" w:hAnsi="宋体" w:hint="eastAsia"/>
            <w:szCs w:val="28"/>
          </w:rPr>
          <w:t>人员教育培训情况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_Toc187914394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33</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95" w:history="1">
        <w:r w:rsidR="00EC6E7E">
          <w:rPr>
            <w:rStyle w:val="af4"/>
            <w:rFonts w:ascii="宋体" w:hAnsi="宋体"/>
            <w:szCs w:val="28"/>
          </w:rPr>
          <w:t xml:space="preserve">2.5.5 </w:t>
        </w:r>
        <w:r w:rsidR="00EC6E7E">
          <w:rPr>
            <w:rStyle w:val="af4"/>
            <w:rFonts w:ascii="宋体" w:hAnsi="宋体" w:hint="eastAsia"/>
            <w:szCs w:val="28"/>
          </w:rPr>
          <w:t>事故应急救援预案</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_Toc187914395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33</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96" w:history="1">
        <w:r w:rsidR="00EC6E7E">
          <w:rPr>
            <w:rStyle w:val="af4"/>
            <w:rFonts w:ascii="宋体" w:hAnsi="宋体"/>
            <w:szCs w:val="28"/>
          </w:rPr>
          <w:t xml:space="preserve">2.5.6 </w:t>
        </w:r>
        <w:r w:rsidR="00EC6E7E">
          <w:rPr>
            <w:rStyle w:val="af4"/>
            <w:rFonts w:ascii="宋体" w:hAnsi="宋体" w:hint="eastAsia"/>
            <w:szCs w:val="28"/>
          </w:rPr>
          <w:t>保险购买情况及劳动防护用品发放情况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_Toc187914396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34</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397" w:history="1">
        <w:r w:rsidR="00EC6E7E">
          <w:rPr>
            <w:rStyle w:val="af4"/>
            <w:rFonts w:ascii="宋体" w:hAnsi="宋体"/>
            <w:szCs w:val="28"/>
          </w:rPr>
          <w:t xml:space="preserve">2.6 </w:t>
        </w:r>
        <w:r w:rsidR="00EC6E7E">
          <w:rPr>
            <w:rStyle w:val="af4"/>
            <w:rFonts w:ascii="宋体" w:hAnsi="宋体" w:hint="eastAsia"/>
            <w:szCs w:val="28"/>
          </w:rPr>
          <w:t>安全设施设置情况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_Toc187914397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98" w:history="1">
        <w:r w:rsidR="00EC6E7E">
          <w:rPr>
            <w:rStyle w:val="af4"/>
            <w:rFonts w:ascii="宋体" w:hAnsi="宋体"/>
            <w:szCs w:val="28"/>
          </w:rPr>
          <w:t xml:space="preserve">2.6.1 </w:t>
        </w:r>
        <w:r w:rsidR="00EC6E7E">
          <w:rPr>
            <w:rStyle w:val="af4"/>
            <w:rFonts w:ascii="宋体" w:hAnsi="宋体" w:hint="eastAsia"/>
            <w:szCs w:val="28"/>
          </w:rPr>
          <w:t>预防和控制事故设施</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_Toc187914398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399" w:history="1">
        <w:r w:rsidR="00EC6E7E">
          <w:rPr>
            <w:rStyle w:val="af4"/>
            <w:rFonts w:ascii="宋体" w:hAnsi="宋体"/>
            <w:szCs w:val="28"/>
          </w:rPr>
          <w:t xml:space="preserve">2.6.2 </w:t>
        </w:r>
        <w:r w:rsidR="00EC6E7E">
          <w:rPr>
            <w:rStyle w:val="af4"/>
            <w:rFonts w:ascii="宋体" w:hAnsi="宋体" w:hint="eastAsia"/>
            <w:szCs w:val="28"/>
          </w:rPr>
          <w:t>控制事故设施</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_Toc187914399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37</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00" w:history="1">
        <w:r w:rsidR="00EC6E7E">
          <w:rPr>
            <w:rStyle w:val="af4"/>
            <w:rFonts w:ascii="宋体" w:hAnsi="宋体"/>
            <w:szCs w:val="28"/>
          </w:rPr>
          <w:t xml:space="preserve">2.6.3 </w:t>
        </w:r>
        <w:r w:rsidR="00EC6E7E">
          <w:rPr>
            <w:rStyle w:val="af4"/>
            <w:rFonts w:ascii="宋体" w:hAnsi="宋体" w:hint="eastAsia"/>
            <w:szCs w:val="28"/>
          </w:rPr>
          <w:t>减少与消除事故影响设施</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_Toc187914400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37</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01" w:history="1">
        <w:r w:rsidR="00EC6E7E">
          <w:rPr>
            <w:rStyle w:val="af4"/>
            <w:rFonts w:ascii="宋体" w:hAnsi="宋体"/>
            <w:szCs w:val="28"/>
          </w:rPr>
          <w:t xml:space="preserve">2.6.4 </w:t>
        </w:r>
        <w:r w:rsidR="00EC6E7E">
          <w:rPr>
            <w:rStyle w:val="af4"/>
            <w:rFonts w:ascii="宋体" w:hAnsi="宋体" w:hint="eastAsia"/>
            <w:szCs w:val="28"/>
          </w:rPr>
          <w:t>主要安全设施</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_Toc187914401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38</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02" w:history="1">
        <w:r w:rsidR="00EC6E7E">
          <w:rPr>
            <w:rStyle w:val="af4"/>
            <w:rFonts w:ascii="宋体" w:hAnsi="宋体"/>
            <w:szCs w:val="28"/>
          </w:rPr>
          <w:t xml:space="preserve">2.7 </w:t>
        </w:r>
        <w:r w:rsidR="00EC6E7E">
          <w:rPr>
            <w:rStyle w:val="af4"/>
            <w:rFonts w:ascii="宋体" w:hAnsi="宋体" w:hint="eastAsia"/>
            <w:szCs w:val="28"/>
          </w:rPr>
          <w:t>工程施工及其质量情况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_Toc187914402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39</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03" w:history="1">
        <w:r w:rsidR="00EC6E7E">
          <w:rPr>
            <w:rStyle w:val="af4"/>
            <w:rFonts w:ascii="宋体" w:hAnsi="宋体"/>
            <w:szCs w:val="28"/>
          </w:rPr>
          <w:t xml:space="preserve">2.7.1 </w:t>
        </w:r>
        <w:r w:rsidR="00EC6E7E">
          <w:rPr>
            <w:rStyle w:val="af4"/>
            <w:rFonts w:ascii="宋体" w:hAnsi="宋体" w:hint="eastAsia"/>
            <w:szCs w:val="28"/>
          </w:rPr>
          <w:t>设计变更情况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_Toc187914403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39</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04" w:history="1">
        <w:r w:rsidR="00EC6E7E">
          <w:rPr>
            <w:rStyle w:val="af4"/>
            <w:rFonts w:ascii="宋体" w:hAnsi="宋体"/>
            <w:szCs w:val="28"/>
          </w:rPr>
          <w:t xml:space="preserve">2.7.2 </w:t>
        </w:r>
        <w:r w:rsidR="00EC6E7E">
          <w:rPr>
            <w:rStyle w:val="af4"/>
            <w:rFonts w:ascii="宋体" w:hAnsi="宋体" w:hint="eastAsia"/>
            <w:szCs w:val="28"/>
          </w:rPr>
          <w:t>工程施工及质量情况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_Toc187914404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42</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05" w:history="1">
        <w:r w:rsidR="00EC6E7E">
          <w:rPr>
            <w:rStyle w:val="af4"/>
            <w:rFonts w:ascii="宋体" w:hAnsi="宋体"/>
            <w:szCs w:val="28"/>
          </w:rPr>
          <w:t xml:space="preserve">2.8 </w:t>
        </w:r>
        <w:r w:rsidR="00EC6E7E">
          <w:rPr>
            <w:rStyle w:val="af4"/>
            <w:rFonts w:ascii="宋体" w:hAnsi="宋体" w:hint="eastAsia"/>
            <w:szCs w:val="28"/>
          </w:rPr>
          <w:t>试生产情况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_Toc187914405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42</w:t>
        </w:r>
        <w:r w:rsidR="00EC6E7E">
          <w:rPr>
            <w:rFonts w:ascii="宋体" w:hAnsi="宋体"/>
            <w:szCs w:val="28"/>
          </w:rPr>
          <w:fldChar w:fldCharType="end"/>
        </w:r>
      </w:hyperlink>
    </w:p>
    <w:p w:rsidR="003F13AB" w:rsidRDefault="00A90894">
      <w:pPr>
        <w:pStyle w:val="10"/>
        <w:tabs>
          <w:tab w:val="left" w:pos="840"/>
          <w:tab w:val="right" w:leader="dot" w:pos="9060"/>
        </w:tabs>
        <w:rPr>
          <w:rFonts w:ascii="宋体" w:hAnsi="宋体" w:cstheme="minorBidi"/>
          <w:b w:val="0"/>
          <w:bCs w:val="0"/>
          <w:caps w:val="0"/>
          <w:color w:val="auto"/>
          <w:szCs w:val="28"/>
        </w:rPr>
      </w:pPr>
      <w:hyperlink w:anchor="_Toc187914406" w:history="1">
        <w:r w:rsidR="00EC6E7E">
          <w:rPr>
            <w:rStyle w:val="af4"/>
            <w:rFonts w:ascii="宋体" w:hAnsi="宋体"/>
            <w:b w:val="0"/>
            <w:szCs w:val="28"/>
          </w:rPr>
          <w:t>3</w:t>
        </w:r>
        <w:r w:rsidR="00EC6E7E">
          <w:rPr>
            <w:rFonts w:ascii="宋体" w:hAnsi="宋体" w:cstheme="minorBidi"/>
            <w:b w:val="0"/>
            <w:bCs w:val="0"/>
            <w:caps w:val="0"/>
            <w:color w:val="auto"/>
            <w:szCs w:val="28"/>
          </w:rPr>
          <w:tab/>
        </w:r>
        <w:r w:rsidR="00EC6E7E">
          <w:rPr>
            <w:rStyle w:val="af4"/>
            <w:rFonts w:ascii="宋体" w:hAnsi="宋体" w:hint="eastAsia"/>
            <w:b w:val="0"/>
            <w:szCs w:val="28"/>
          </w:rPr>
          <w:t>危险、有害因素辨识结果及依据说明</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_Toc187914406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43</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07" w:history="1">
        <w:r w:rsidR="00EC6E7E">
          <w:rPr>
            <w:rStyle w:val="af4"/>
            <w:rFonts w:ascii="宋体" w:hAnsi="宋体"/>
            <w:szCs w:val="28"/>
          </w:rPr>
          <w:t xml:space="preserve">3.1 </w:t>
        </w:r>
        <w:r w:rsidR="00EC6E7E">
          <w:rPr>
            <w:rStyle w:val="af4"/>
            <w:rFonts w:ascii="宋体" w:hAnsi="宋体" w:hint="eastAsia"/>
            <w:szCs w:val="28"/>
          </w:rPr>
          <w:t>辨识与分析的目的</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_Toc187914407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43</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08" w:history="1">
        <w:r w:rsidR="00EC6E7E">
          <w:rPr>
            <w:rStyle w:val="af4"/>
            <w:rFonts w:ascii="宋体" w:hAnsi="宋体"/>
            <w:szCs w:val="28"/>
          </w:rPr>
          <w:t xml:space="preserve">3.2 </w:t>
        </w:r>
        <w:r w:rsidR="00EC6E7E">
          <w:rPr>
            <w:rStyle w:val="af4"/>
            <w:rFonts w:ascii="宋体" w:hAnsi="宋体" w:hint="eastAsia"/>
            <w:szCs w:val="28"/>
          </w:rPr>
          <w:t>危险有害因素辨识主要依据</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_Toc187914408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43</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09" w:history="1">
        <w:r w:rsidR="00EC6E7E">
          <w:rPr>
            <w:rStyle w:val="af4"/>
            <w:rFonts w:ascii="宋体" w:hAnsi="宋体"/>
            <w:szCs w:val="28"/>
          </w:rPr>
          <w:t xml:space="preserve">3.3 </w:t>
        </w:r>
        <w:r w:rsidR="00EC6E7E">
          <w:rPr>
            <w:rStyle w:val="af4"/>
            <w:rFonts w:ascii="宋体" w:hAnsi="宋体" w:hint="eastAsia"/>
            <w:szCs w:val="28"/>
          </w:rPr>
          <w:t>危险、有害因素产生的原因</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_Toc187914409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10" w:history="1">
        <w:r w:rsidR="00EC6E7E">
          <w:rPr>
            <w:rStyle w:val="af4"/>
            <w:rFonts w:ascii="宋体" w:hAnsi="宋体"/>
            <w:szCs w:val="28"/>
          </w:rPr>
          <w:t xml:space="preserve">3.3.1 </w:t>
        </w:r>
        <w:r w:rsidR="00EC6E7E">
          <w:rPr>
            <w:rStyle w:val="af4"/>
            <w:rFonts w:ascii="宋体" w:hAnsi="宋体" w:hint="eastAsia"/>
            <w:szCs w:val="28"/>
          </w:rPr>
          <w:t>运行失控与设备故障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_Toc187914410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11" w:history="1">
        <w:r w:rsidR="00EC6E7E">
          <w:rPr>
            <w:rStyle w:val="af4"/>
            <w:rFonts w:ascii="宋体" w:hAnsi="宋体"/>
            <w:szCs w:val="28"/>
          </w:rPr>
          <w:t xml:space="preserve">3.3.2 </w:t>
        </w:r>
        <w:r w:rsidR="00EC6E7E">
          <w:rPr>
            <w:rStyle w:val="af4"/>
            <w:rFonts w:ascii="宋体" w:hAnsi="宋体" w:hint="eastAsia"/>
            <w:szCs w:val="28"/>
          </w:rPr>
          <w:t>人员失误</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_Toc187914411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12" w:history="1">
        <w:r w:rsidR="00EC6E7E">
          <w:rPr>
            <w:rStyle w:val="af4"/>
            <w:rFonts w:ascii="宋体" w:hAnsi="宋体"/>
            <w:szCs w:val="28"/>
          </w:rPr>
          <w:t xml:space="preserve">3.3.3 </w:t>
        </w:r>
        <w:r w:rsidR="00EC6E7E">
          <w:rPr>
            <w:rStyle w:val="af4"/>
            <w:rFonts w:ascii="宋体" w:hAnsi="宋体" w:hint="eastAsia"/>
            <w:szCs w:val="28"/>
          </w:rPr>
          <w:t>管理缺陷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_Toc187914412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13" w:history="1">
        <w:r w:rsidR="00EC6E7E">
          <w:rPr>
            <w:rStyle w:val="af4"/>
            <w:rFonts w:ascii="宋体" w:hAnsi="宋体"/>
            <w:szCs w:val="28"/>
          </w:rPr>
          <w:t xml:space="preserve">3.3.4 </w:t>
        </w:r>
        <w:r w:rsidR="00EC6E7E">
          <w:rPr>
            <w:rStyle w:val="af4"/>
            <w:rFonts w:ascii="宋体" w:hAnsi="宋体" w:hint="eastAsia"/>
            <w:szCs w:val="28"/>
          </w:rPr>
          <w:t>环境因素</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_Toc187914413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45</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14" w:history="1">
        <w:r w:rsidR="00EC6E7E">
          <w:rPr>
            <w:rStyle w:val="af4"/>
            <w:rFonts w:ascii="宋体" w:hAnsi="宋体"/>
            <w:szCs w:val="28"/>
          </w:rPr>
          <w:t xml:space="preserve">3.4 </w:t>
        </w:r>
        <w:r w:rsidR="00EC6E7E">
          <w:rPr>
            <w:rStyle w:val="af4"/>
            <w:rFonts w:ascii="宋体" w:hAnsi="宋体" w:hint="eastAsia"/>
            <w:szCs w:val="28"/>
          </w:rPr>
          <w:t>危险、有害物质辨识</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_Toc187914414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46</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15" w:history="1">
        <w:r w:rsidR="00EC6E7E">
          <w:rPr>
            <w:rStyle w:val="af4"/>
            <w:rFonts w:ascii="宋体" w:hAnsi="宋体"/>
            <w:szCs w:val="28"/>
          </w:rPr>
          <w:t xml:space="preserve">3.4.1 </w:t>
        </w:r>
        <w:r w:rsidR="00EC6E7E">
          <w:rPr>
            <w:rStyle w:val="af4"/>
            <w:rFonts w:ascii="宋体" w:hAnsi="宋体" w:hint="eastAsia"/>
            <w:szCs w:val="28"/>
          </w:rPr>
          <w:t>危险化学品辨识</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_Toc187914415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46</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16" w:history="1">
        <w:r w:rsidR="00EC6E7E">
          <w:rPr>
            <w:rStyle w:val="af4"/>
            <w:rFonts w:ascii="宋体" w:hAnsi="宋体"/>
            <w:szCs w:val="28"/>
          </w:rPr>
          <w:t xml:space="preserve">3.4.2 </w:t>
        </w:r>
        <w:r w:rsidR="00EC6E7E">
          <w:rPr>
            <w:rStyle w:val="af4"/>
            <w:rFonts w:ascii="宋体" w:hAnsi="宋体" w:hint="eastAsia"/>
            <w:szCs w:val="28"/>
          </w:rPr>
          <w:t>主要危险、有害物质危险性分析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_Toc187914416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46</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17" w:history="1">
        <w:r w:rsidR="00EC6E7E">
          <w:rPr>
            <w:rStyle w:val="af4"/>
            <w:rFonts w:ascii="宋体" w:hAnsi="宋体"/>
            <w:szCs w:val="28"/>
          </w:rPr>
          <w:t xml:space="preserve">3.5 </w:t>
        </w:r>
        <w:r w:rsidR="00EC6E7E">
          <w:rPr>
            <w:rStyle w:val="af4"/>
            <w:rFonts w:ascii="宋体" w:hAnsi="宋体" w:hint="eastAsia"/>
            <w:szCs w:val="28"/>
          </w:rPr>
          <w:t>危险、有害因素辨识</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_Toc187914417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46</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18" w:history="1">
        <w:r w:rsidR="00EC6E7E">
          <w:rPr>
            <w:rStyle w:val="af4"/>
            <w:rFonts w:ascii="宋体" w:hAnsi="宋体"/>
            <w:szCs w:val="28"/>
          </w:rPr>
          <w:t xml:space="preserve">3.5.1 </w:t>
        </w:r>
        <w:r w:rsidR="00EC6E7E">
          <w:rPr>
            <w:rStyle w:val="af4"/>
            <w:rFonts w:ascii="宋体" w:hAnsi="宋体" w:hint="eastAsia"/>
            <w:szCs w:val="28"/>
          </w:rPr>
          <w:t>作业过程危险、有害因素分析结果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_Toc187914418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46</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19" w:history="1">
        <w:r w:rsidR="00EC6E7E">
          <w:rPr>
            <w:rStyle w:val="af4"/>
            <w:rFonts w:ascii="宋体" w:hAnsi="宋体"/>
            <w:szCs w:val="28"/>
          </w:rPr>
          <w:t xml:space="preserve">3.5.2 </w:t>
        </w:r>
        <w:r w:rsidR="00EC6E7E">
          <w:rPr>
            <w:rStyle w:val="af4"/>
            <w:rFonts w:ascii="宋体" w:hAnsi="宋体" w:hint="eastAsia"/>
            <w:szCs w:val="28"/>
          </w:rPr>
          <w:t>危险、有害因素分布情况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_Toc187914419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46</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20" w:history="1">
        <w:r w:rsidR="00EC6E7E">
          <w:rPr>
            <w:rStyle w:val="af4"/>
            <w:rFonts w:ascii="宋体" w:hAnsi="宋体"/>
            <w:szCs w:val="28"/>
          </w:rPr>
          <w:t xml:space="preserve">3.6 </w:t>
        </w:r>
        <w:r w:rsidR="00EC6E7E">
          <w:rPr>
            <w:rStyle w:val="af4"/>
            <w:rFonts w:ascii="宋体" w:hAnsi="宋体" w:hint="eastAsia"/>
            <w:szCs w:val="28"/>
          </w:rPr>
          <w:t>危险化学品重大危险源辨识</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_Toc187914420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49</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21" w:history="1">
        <w:r w:rsidR="00EC6E7E">
          <w:rPr>
            <w:rStyle w:val="af4"/>
            <w:rFonts w:ascii="宋体" w:hAnsi="宋体"/>
            <w:szCs w:val="28"/>
          </w:rPr>
          <w:t xml:space="preserve">3.7 </w:t>
        </w:r>
        <w:r w:rsidR="00EC6E7E">
          <w:rPr>
            <w:rStyle w:val="af4"/>
            <w:rFonts w:ascii="宋体" w:hAnsi="宋体" w:hint="eastAsia"/>
            <w:szCs w:val="28"/>
          </w:rPr>
          <w:t>剧毒化学品、易制毒品化学品、监控化学品、易制爆危险化学品以及重点监管危险化学品辨识结果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_Toc187914421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49</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22" w:history="1">
        <w:r w:rsidR="00EC6E7E">
          <w:rPr>
            <w:rStyle w:val="af4"/>
            <w:rFonts w:ascii="宋体" w:hAnsi="宋体"/>
            <w:szCs w:val="28"/>
          </w:rPr>
          <w:t>3.8</w:t>
        </w:r>
        <w:r w:rsidR="00EC6E7E">
          <w:rPr>
            <w:rStyle w:val="af4"/>
            <w:rFonts w:ascii="宋体" w:hAnsi="宋体" w:hint="eastAsia"/>
            <w:szCs w:val="28"/>
          </w:rPr>
          <w:t>淘汰落后危险化学品安全生产工艺技术设备辨识结果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_Toc187914422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50</w:t>
        </w:r>
        <w:r w:rsidR="00EC6E7E">
          <w:rPr>
            <w:rFonts w:ascii="宋体" w:hAnsi="宋体"/>
            <w:szCs w:val="28"/>
          </w:rPr>
          <w:fldChar w:fldCharType="end"/>
        </w:r>
      </w:hyperlink>
    </w:p>
    <w:p w:rsidR="003F13AB" w:rsidRDefault="00A90894">
      <w:pPr>
        <w:pStyle w:val="10"/>
        <w:tabs>
          <w:tab w:val="left" w:pos="840"/>
          <w:tab w:val="right" w:leader="dot" w:pos="9060"/>
        </w:tabs>
        <w:rPr>
          <w:rFonts w:ascii="宋体" w:hAnsi="宋体" w:cstheme="minorBidi"/>
          <w:b w:val="0"/>
          <w:bCs w:val="0"/>
          <w:caps w:val="0"/>
          <w:color w:val="auto"/>
          <w:szCs w:val="28"/>
        </w:rPr>
      </w:pPr>
      <w:hyperlink w:anchor="_Toc187914423" w:history="1">
        <w:r w:rsidR="00EC6E7E">
          <w:rPr>
            <w:rStyle w:val="af4"/>
            <w:rFonts w:ascii="宋体" w:hAnsi="宋体"/>
            <w:b w:val="0"/>
            <w:szCs w:val="28"/>
          </w:rPr>
          <w:t>4</w:t>
        </w:r>
        <w:r w:rsidR="00EC6E7E">
          <w:rPr>
            <w:rFonts w:ascii="宋体" w:hAnsi="宋体" w:cstheme="minorBidi"/>
            <w:b w:val="0"/>
            <w:bCs w:val="0"/>
            <w:caps w:val="0"/>
            <w:color w:val="auto"/>
            <w:szCs w:val="28"/>
          </w:rPr>
          <w:tab/>
        </w:r>
        <w:r w:rsidR="00EC6E7E">
          <w:rPr>
            <w:rStyle w:val="af4"/>
            <w:rFonts w:ascii="宋体" w:hAnsi="宋体" w:hint="eastAsia"/>
            <w:b w:val="0"/>
            <w:szCs w:val="28"/>
          </w:rPr>
          <w:t>评价单元划分及评价方法选择</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_Toc187914423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51</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24" w:history="1">
        <w:r w:rsidR="00EC6E7E">
          <w:rPr>
            <w:rStyle w:val="af4"/>
            <w:rFonts w:ascii="宋体" w:hAnsi="宋体"/>
            <w:szCs w:val="28"/>
          </w:rPr>
          <w:t xml:space="preserve">4.1 </w:t>
        </w:r>
        <w:r w:rsidR="00EC6E7E">
          <w:rPr>
            <w:rStyle w:val="af4"/>
            <w:rFonts w:ascii="宋体" w:hAnsi="宋体" w:hint="eastAsia"/>
            <w:szCs w:val="28"/>
          </w:rPr>
          <w:t>评价单元的划分</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_Toc187914424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51</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25" w:history="1">
        <w:r w:rsidR="00EC6E7E">
          <w:rPr>
            <w:rStyle w:val="af4"/>
            <w:rFonts w:ascii="宋体" w:hAnsi="宋体"/>
            <w:szCs w:val="28"/>
          </w:rPr>
          <w:t xml:space="preserve">4.1.1 </w:t>
        </w:r>
        <w:r w:rsidR="00EC6E7E">
          <w:rPr>
            <w:rStyle w:val="af4"/>
            <w:rFonts w:ascii="宋体" w:hAnsi="宋体" w:hint="eastAsia"/>
            <w:szCs w:val="28"/>
          </w:rPr>
          <w:t>评价单元的划分原则</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_Toc187914425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51</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26" w:history="1">
        <w:r w:rsidR="00EC6E7E">
          <w:rPr>
            <w:rStyle w:val="af4"/>
            <w:rFonts w:ascii="宋体" w:hAnsi="宋体"/>
            <w:szCs w:val="28"/>
          </w:rPr>
          <w:t xml:space="preserve">4.1.2 </w:t>
        </w:r>
        <w:r w:rsidR="00EC6E7E">
          <w:rPr>
            <w:rStyle w:val="af4"/>
            <w:rFonts w:ascii="宋体" w:hAnsi="宋体" w:hint="eastAsia"/>
            <w:szCs w:val="28"/>
          </w:rPr>
          <w:t>评价单元划分方法</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_Toc187914426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51</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27" w:history="1">
        <w:r w:rsidR="00EC6E7E">
          <w:rPr>
            <w:rStyle w:val="af4"/>
            <w:rFonts w:ascii="宋体" w:hAnsi="宋体"/>
            <w:szCs w:val="28"/>
          </w:rPr>
          <w:t xml:space="preserve">4.1.3 </w:t>
        </w:r>
        <w:r w:rsidR="00EC6E7E">
          <w:rPr>
            <w:rStyle w:val="af4"/>
            <w:rFonts w:ascii="宋体" w:hAnsi="宋体" w:hint="eastAsia"/>
            <w:szCs w:val="28"/>
          </w:rPr>
          <w:t>评价单元划分结果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_Toc187914427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51</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28" w:history="1">
        <w:r w:rsidR="00EC6E7E">
          <w:rPr>
            <w:rStyle w:val="af4"/>
            <w:rFonts w:ascii="宋体" w:hAnsi="宋体"/>
            <w:szCs w:val="28"/>
          </w:rPr>
          <w:t xml:space="preserve">4.2 </w:t>
        </w:r>
        <w:r w:rsidR="00EC6E7E">
          <w:rPr>
            <w:rStyle w:val="af4"/>
            <w:rFonts w:ascii="宋体" w:hAnsi="宋体" w:hint="eastAsia"/>
            <w:szCs w:val="28"/>
          </w:rPr>
          <w:t>评价方法的选择</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_Toc187914428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52</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29" w:history="1">
        <w:r w:rsidR="00EC6E7E">
          <w:rPr>
            <w:rStyle w:val="af4"/>
            <w:rFonts w:ascii="宋体" w:hAnsi="宋体"/>
            <w:szCs w:val="28"/>
          </w:rPr>
          <w:t xml:space="preserve">4.3 </w:t>
        </w:r>
        <w:r w:rsidR="00EC6E7E">
          <w:rPr>
            <w:rStyle w:val="af4"/>
            <w:rFonts w:ascii="宋体" w:hAnsi="宋体" w:hint="eastAsia"/>
            <w:szCs w:val="28"/>
          </w:rPr>
          <w:t>评价方法简介</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_Toc187914429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52</w:t>
        </w:r>
        <w:r w:rsidR="00EC6E7E">
          <w:rPr>
            <w:rFonts w:ascii="宋体" w:hAnsi="宋体"/>
            <w:szCs w:val="28"/>
          </w:rPr>
          <w:fldChar w:fldCharType="end"/>
        </w:r>
      </w:hyperlink>
    </w:p>
    <w:p w:rsidR="003F13AB" w:rsidRDefault="00A90894">
      <w:pPr>
        <w:pStyle w:val="10"/>
        <w:tabs>
          <w:tab w:val="left" w:pos="840"/>
          <w:tab w:val="right" w:leader="dot" w:pos="9060"/>
        </w:tabs>
        <w:rPr>
          <w:rFonts w:ascii="宋体" w:hAnsi="宋体" w:cstheme="minorBidi"/>
          <w:b w:val="0"/>
          <w:bCs w:val="0"/>
          <w:caps w:val="0"/>
          <w:color w:val="auto"/>
          <w:szCs w:val="28"/>
        </w:rPr>
      </w:pPr>
      <w:hyperlink w:anchor="_Toc187914430" w:history="1">
        <w:r w:rsidR="00EC6E7E">
          <w:rPr>
            <w:rStyle w:val="af4"/>
            <w:rFonts w:ascii="宋体" w:hAnsi="宋体"/>
            <w:b w:val="0"/>
            <w:szCs w:val="28"/>
          </w:rPr>
          <w:t>5</w:t>
        </w:r>
        <w:r w:rsidR="00EC6E7E">
          <w:rPr>
            <w:rFonts w:ascii="宋体" w:hAnsi="宋体" w:cstheme="minorBidi"/>
            <w:b w:val="0"/>
            <w:bCs w:val="0"/>
            <w:caps w:val="0"/>
            <w:color w:val="auto"/>
            <w:szCs w:val="28"/>
          </w:rPr>
          <w:tab/>
        </w:r>
        <w:r w:rsidR="00EC6E7E">
          <w:rPr>
            <w:rStyle w:val="af4"/>
            <w:rFonts w:ascii="宋体" w:hAnsi="宋体" w:hint="eastAsia"/>
            <w:b w:val="0"/>
            <w:szCs w:val="28"/>
          </w:rPr>
          <w:t>“三同时”符合性评价结果</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_Toc187914430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53</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31" w:history="1">
        <w:r w:rsidR="00EC6E7E">
          <w:rPr>
            <w:rStyle w:val="af4"/>
            <w:rFonts w:ascii="宋体" w:hAnsi="宋体"/>
            <w:szCs w:val="28"/>
          </w:rPr>
          <w:t xml:space="preserve">5.1 </w:t>
        </w:r>
        <w:r w:rsidR="00EC6E7E">
          <w:rPr>
            <w:rStyle w:val="af4"/>
            <w:rFonts w:ascii="宋体" w:hAnsi="宋体" w:hint="eastAsia"/>
            <w:szCs w:val="28"/>
          </w:rPr>
          <w:t>建设项目安全设施“三同时”符合性分析评价结果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_Toc187914431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53</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32" w:history="1">
        <w:r w:rsidR="00EC6E7E">
          <w:rPr>
            <w:rStyle w:val="af4"/>
            <w:rFonts w:ascii="宋体" w:hAnsi="宋体"/>
            <w:szCs w:val="28"/>
          </w:rPr>
          <w:t xml:space="preserve">5.2 </w:t>
        </w:r>
        <w:r w:rsidR="00EC6E7E">
          <w:rPr>
            <w:rStyle w:val="af4"/>
            <w:rFonts w:ascii="宋体" w:hAnsi="宋体" w:hint="eastAsia"/>
            <w:szCs w:val="28"/>
          </w:rPr>
          <w:t>安全对策措施落实情况分析评价结果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_Toc187914432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53</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433" w:history="1">
        <w:r w:rsidR="00EC6E7E">
          <w:rPr>
            <w:rStyle w:val="af4"/>
            <w:rFonts w:ascii="宋体" w:hAnsi="宋体"/>
            <w:b w:val="0"/>
            <w:szCs w:val="28"/>
          </w:rPr>
          <w:t xml:space="preserve">6  </w:t>
        </w:r>
        <w:r w:rsidR="00EC6E7E">
          <w:rPr>
            <w:rStyle w:val="af4"/>
            <w:rFonts w:ascii="宋体" w:hAnsi="宋体" w:hint="eastAsia"/>
            <w:b w:val="0"/>
            <w:szCs w:val="28"/>
          </w:rPr>
          <w:t>固有危险程度定量分析评价</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_Toc187914433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54</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34" w:history="1">
        <w:r w:rsidR="00EC6E7E">
          <w:rPr>
            <w:rStyle w:val="af4"/>
            <w:rFonts w:ascii="宋体" w:hAnsi="宋体"/>
            <w:szCs w:val="28"/>
          </w:rPr>
          <w:t xml:space="preserve">6.1 </w:t>
        </w:r>
        <w:r w:rsidR="00EC6E7E">
          <w:rPr>
            <w:rStyle w:val="af4"/>
            <w:rFonts w:ascii="宋体" w:hAnsi="宋体" w:hint="eastAsia"/>
            <w:szCs w:val="28"/>
          </w:rPr>
          <w:t>定量分析评价结果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_Toc187914434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54</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435" w:history="1">
        <w:r w:rsidR="00EC6E7E">
          <w:rPr>
            <w:rStyle w:val="af4"/>
            <w:rFonts w:ascii="宋体" w:hAnsi="宋体"/>
            <w:b w:val="0"/>
            <w:szCs w:val="28"/>
          </w:rPr>
          <w:t xml:space="preserve">7  </w:t>
        </w:r>
        <w:r w:rsidR="00EC6E7E">
          <w:rPr>
            <w:rStyle w:val="af4"/>
            <w:rFonts w:ascii="宋体" w:hAnsi="宋体" w:hint="eastAsia"/>
            <w:b w:val="0"/>
            <w:szCs w:val="28"/>
          </w:rPr>
          <w:t>安全条件和安全运行条件分析评价结果</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_Toc187914435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55</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36" w:history="1">
        <w:r w:rsidR="00EC6E7E">
          <w:rPr>
            <w:rStyle w:val="af4"/>
            <w:rFonts w:ascii="宋体" w:hAnsi="宋体"/>
            <w:szCs w:val="28"/>
          </w:rPr>
          <w:t>7.1</w:t>
        </w:r>
        <w:r w:rsidR="00EC6E7E">
          <w:rPr>
            <w:rStyle w:val="af4"/>
            <w:rFonts w:ascii="宋体" w:hAnsi="宋体" w:hint="eastAsia"/>
            <w:szCs w:val="28"/>
          </w:rPr>
          <w:t>总平面布置单元评价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_Toc187914436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37" w:history="1">
        <w:r w:rsidR="00EC6E7E">
          <w:rPr>
            <w:rStyle w:val="af4"/>
            <w:rFonts w:ascii="宋体" w:hAnsi="宋体"/>
            <w:szCs w:val="28"/>
          </w:rPr>
          <w:t xml:space="preserve">7.1.1 </w:t>
        </w:r>
        <w:r w:rsidR="00EC6E7E">
          <w:rPr>
            <w:rStyle w:val="af4"/>
            <w:rFonts w:ascii="宋体" w:hAnsi="宋体" w:hint="eastAsia"/>
            <w:szCs w:val="28"/>
          </w:rPr>
          <w:t>总平面布置单元评价结果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_Toc187914437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38" w:history="1">
        <w:r w:rsidR="00EC6E7E">
          <w:rPr>
            <w:rStyle w:val="af4"/>
            <w:rFonts w:ascii="宋体" w:hAnsi="宋体"/>
            <w:szCs w:val="28"/>
          </w:rPr>
          <w:t xml:space="preserve">7.1.2 </w:t>
        </w:r>
        <w:r w:rsidR="00EC6E7E">
          <w:rPr>
            <w:rStyle w:val="af4"/>
            <w:rFonts w:ascii="宋体" w:hAnsi="宋体" w:hint="eastAsia"/>
            <w:szCs w:val="28"/>
          </w:rPr>
          <w:t>厂内建构筑物与周边建筑物距离检查评价结果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_Toc187914438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39" w:history="1">
        <w:r w:rsidR="00EC6E7E">
          <w:rPr>
            <w:rStyle w:val="af4"/>
            <w:rFonts w:ascii="宋体" w:hAnsi="宋体"/>
            <w:szCs w:val="28"/>
          </w:rPr>
          <w:t xml:space="preserve">7.1.3 </w:t>
        </w:r>
        <w:r w:rsidR="00EC6E7E">
          <w:rPr>
            <w:rStyle w:val="af4"/>
            <w:rFonts w:ascii="宋体" w:hAnsi="宋体" w:hint="eastAsia"/>
            <w:szCs w:val="28"/>
          </w:rPr>
          <w:t>项目所在地的自然条件对项目运行的影响分析评价结果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_Toc187914439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55</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40" w:history="1">
        <w:r w:rsidR="00EC6E7E">
          <w:rPr>
            <w:rStyle w:val="af4"/>
            <w:rFonts w:ascii="宋体" w:hAnsi="宋体"/>
            <w:szCs w:val="28"/>
          </w:rPr>
          <w:t>7.2</w:t>
        </w:r>
        <w:r w:rsidR="00EC6E7E">
          <w:rPr>
            <w:rStyle w:val="af4"/>
            <w:rFonts w:ascii="宋体" w:hAnsi="宋体" w:hint="eastAsia"/>
            <w:szCs w:val="28"/>
          </w:rPr>
          <w:t>工艺及设备设施单元评价结果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_Toc187914440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55</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41" w:history="1">
        <w:r w:rsidR="00EC6E7E">
          <w:rPr>
            <w:rStyle w:val="af4"/>
            <w:rFonts w:ascii="宋体" w:hAnsi="宋体"/>
            <w:szCs w:val="28"/>
          </w:rPr>
          <w:t xml:space="preserve">7.3 </w:t>
        </w:r>
        <w:r w:rsidR="00EC6E7E">
          <w:rPr>
            <w:rStyle w:val="af4"/>
            <w:rFonts w:ascii="宋体" w:hAnsi="宋体" w:hint="eastAsia"/>
            <w:szCs w:val="28"/>
          </w:rPr>
          <w:t>公用工程及辅助设施单元评价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_Toc187914441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55</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42" w:history="1">
        <w:r w:rsidR="00EC6E7E">
          <w:rPr>
            <w:rStyle w:val="af4"/>
            <w:rFonts w:ascii="宋体" w:hAnsi="宋体"/>
            <w:szCs w:val="28"/>
          </w:rPr>
          <w:t xml:space="preserve">7.4 </w:t>
        </w:r>
        <w:r w:rsidR="00EC6E7E">
          <w:rPr>
            <w:rStyle w:val="af4"/>
            <w:rFonts w:ascii="宋体" w:hAnsi="宋体" w:hint="eastAsia"/>
            <w:szCs w:val="28"/>
          </w:rPr>
          <w:t>安全管理及应急救援单元结果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_Toc187914442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56</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43" w:history="1">
        <w:r w:rsidR="00EC6E7E">
          <w:rPr>
            <w:rStyle w:val="af4"/>
            <w:rFonts w:ascii="宋体" w:hAnsi="宋体"/>
            <w:szCs w:val="28"/>
          </w:rPr>
          <w:t xml:space="preserve">7.5 </w:t>
        </w:r>
        <w:r w:rsidR="00EC6E7E">
          <w:rPr>
            <w:rStyle w:val="af4"/>
            <w:rFonts w:ascii="宋体" w:hAnsi="宋体" w:hint="eastAsia"/>
            <w:szCs w:val="28"/>
          </w:rPr>
          <w:t>重大安全隐患判定符合性分析结果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_Toc187914443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56</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444" w:history="1">
        <w:r w:rsidR="00EC6E7E">
          <w:rPr>
            <w:rStyle w:val="af4"/>
            <w:rFonts w:ascii="宋体" w:hAnsi="宋体"/>
            <w:b w:val="0"/>
            <w:szCs w:val="28"/>
          </w:rPr>
          <w:t xml:space="preserve">8  </w:t>
        </w:r>
        <w:r w:rsidR="00EC6E7E">
          <w:rPr>
            <w:rStyle w:val="af4"/>
            <w:rFonts w:ascii="宋体" w:hAnsi="宋体" w:hint="eastAsia"/>
            <w:b w:val="0"/>
            <w:szCs w:val="28"/>
          </w:rPr>
          <w:t>存在问题及整改措施</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_Toc187914444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57</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45" w:history="1">
        <w:r w:rsidR="00EC6E7E">
          <w:rPr>
            <w:rStyle w:val="af4"/>
            <w:rFonts w:ascii="宋体" w:hAnsi="宋体"/>
            <w:szCs w:val="28"/>
          </w:rPr>
          <w:t xml:space="preserve">8.1 </w:t>
        </w:r>
        <w:r w:rsidR="00EC6E7E">
          <w:rPr>
            <w:rStyle w:val="af4"/>
            <w:rFonts w:ascii="宋体" w:hAnsi="宋体" w:hint="eastAsia"/>
            <w:szCs w:val="28"/>
          </w:rPr>
          <w:t>存在的问题</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_Toc187914445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57</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46" w:history="1">
        <w:r w:rsidR="00EC6E7E">
          <w:rPr>
            <w:rStyle w:val="af4"/>
            <w:rFonts w:ascii="宋体" w:hAnsi="宋体"/>
            <w:szCs w:val="28"/>
          </w:rPr>
          <w:t xml:space="preserve">8.2 </w:t>
        </w:r>
        <w:r w:rsidR="00EC6E7E">
          <w:rPr>
            <w:rStyle w:val="af4"/>
            <w:rFonts w:ascii="宋体" w:hAnsi="宋体" w:hint="eastAsia"/>
            <w:szCs w:val="28"/>
          </w:rPr>
          <w:t>整改情况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_Toc187914446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57</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447" w:history="1">
        <w:r w:rsidR="00EC6E7E">
          <w:rPr>
            <w:rStyle w:val="af4"/>
            <w:rFonts w:ascii="宋体" w:hAnsi="宋体"/>
            <w:b w:val="0"/>
            <w:szCs w:val="28"/>
          </w:rPr>
          <w:t xml:space="preserve">9  </w:t>
        </w:r>
        <w:r w:rsidR="00EC6E7E">
          <w:rPr>
            <w:rStyle w:val="af4"/>
            <w:rFonts w:ascii="宋体" w:hAnsi="宋体" w:hint="eastAsia"/>
            <w:b w:val="0"/>
            <w:szCs w:val="28"/>
          </w:rPr>
          <w:t>安全对策措施及建议</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_Toc187914447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58</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48" w:history="1">
        <w:r w:rsidR="00EC6E7E">
          <w:rPr>
            <w:rStyle w:val="af4"/>
            <w:rFonts w:ascii="宋体" w:hAnsi="宋体"/>
            <w:szCs w:val="28"/>
          </w:rPr>
          <w:t xml:space="preserve">9.1 </w:t>
        </w:r>
        <w:r w:rsidR="00EC6E7E">
          <w:rPr>
            <w:rStyle w:val="af4"/>
            <w:rFonts w:ascii="宋体" w:hAnsi="宋体" w:hint="eastAsia"/>
            <w:szCs w:val="28"/>
          </w:rPr>
          <w:t>安全运行条件对策措施及建议</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_Toc187914448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58</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49" w:history="1">
        <w:r w:rsidR="00EC6E7E">
          <w:rPr>
            <w:rStyle w:val="af4"/>
            <w:rFonts w:ascii="宋体" w:hAnsi="宋体"/>
            <w:szCs w:val="28"/>
          </w:rPr>
          <w:t xml:space="preserve">9.2 </w:t>
        </w:r>
        <w:r w:rsidR="00EC6E7E">
          <w:rPr>
            <w:rStyle w:val="af4"/>
            <w:rFonts w:ascii="宋体" w:hAnsi="宋体" w:hint="eastAsia"/>
            <w:szCs w:val="28"/>
          </w:rPr>
          <w:t>安全管理对策措施及建议</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_Toc187914449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59</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50" w:history="1">
        <w:r w:rsidR="00EC6E7E">
          <w:rPr>
            <w:rStyle w:val="af4"/>
            <w:rFonts w:ascii="宋体" w:hAnsi="宋体"/>
            <w:szCs w:val="28"/>
          </w:rPr>
          <w:t xml:space="preserve">9.3 </w:t>
        </w:r>
        <w:r w:rsidR="00EC6E7E">
          <w:rPr>
            <w:rStyle w:val="af4"/>
            <w:rFonts w:ascii="宋体" w:hAnsi="宋体" w:hint="eastAsia"/>
            <w:szCs w:val="28"/>
          </w:rPr>
          <w:t>应急救援对策措施及建议</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_Toc187914450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61</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51" w:history="1">
        <w:r w:rsidR="00EC6E7E">
          <w:rPr>
            <w:rStyle w:val="af4"/>
            <w:rFonts w:ascii="宋体" w:hAnsi="宋体"/>
            <w:szCs w:val="28"/>
          </w:rPr>
          <w:t xml:space="preserve">9.4 </w:t>
        </w:r>
        <w:r w:rsidR="00EC6E7E">
          <w:rPr>
            <w:rStyle w:val="af4"/>
            <w:rFonts w:ascii="宋体" w:hAnsi="宋体" w:hint="eastAsia"/>
            <w:szCs w:val="28"/>
          </w:rPr>
          <w:t>其他方面</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_Toc187914451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62</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452" w:history="1">
        <w:r w:rsidR="00EC6E7E">
          <w:rPr>
            <w:rStyle w:val="af4"/>
            <w:rFonts w:ascii="宋体" w:hAnsi="宋体"/>
            <w:b w:val="0"/>
            <w:szCs w:val="28"/>
          </w:rPr>
          <w:t xml:space="preserve">10  </w:t>
        </w:r>
        <w:r w:rsidR="00EC6E7E">
          <w:rPr>
            <w:rStyle w:val="af4"/>
            <w:rFonts w:ascii="宋体" w:hAnsi="宋体" w:hint="eastAsia"/>
            <w:b w:val="0"/>
            <w:szCs w:val="28"/>
          </w:rPr>
          <w:t>安全评价结论</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_Toc187914452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64</w:t>
        </w:r>
        <w:r w:rsidR="00EC6E7E">
          <w:rPr>
            <w:rFonts w:ascii="宋体" w:hAnsi="宋体"/>
            <w:b w:val="0"/>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453" w:history="1">
        <w:r w:rsidR="00EC6E7E">
          <w:rPr>
            <w:rStyle w:val="af4"/>
            <w:rFonts w:ascii="宋体" w:hAnsi="宋体"/>
            <w:b w:val="0"/>
            <w:szCs w:val="28"/>
          </w:rPr>
          <w:t xml:space="preserve">11  </w:t>
        </w:r>
        <w:r w:rsidR="00EC6E7E">
          <w:rPr>
            <w:rStyle w:val="af4"/>
            <w:rFonts w:ascii="宋体" w:hAnsi="宋体" w:hint="eastAsia"/>
            <w:b w:val="0"/>
            <w:szCs w:val="28"/>
          </w:rPr>
          <w:t>与建设单位交换意见</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_Toc187914453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66</w:t>
        </w:r>
        <w:r w:rsidR="00EC6E7E">
          <w:rPr>
            <w:rFonts w:ascii="宋体" w:hAnsi="宋体"/>
            <w:b w:val="0"/>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454" w:history="1">
        <w:r w:rsidR="00EC6E7E">
          <w:rPr>
            <w:rStyle w:val="af4"/>
            <w:rFonts w:ascii="宋体" w:hAnsi="宋体" w:hint="eastAsia"/>
            <w:b w:val="0"/>
            <w:szCs w:val="28"/>
          </w:rPr>
          <w:t>附件</w:t>
        </w:r>
        <w:r w:rsidR="00EC6E7E">
          <w:rPr>
            <w:rStyle w:val="af4"/>
            <w:rFonts w:ascii="宋体" w:hAnsi="宋体"/>
            <w:b w:val="0"/>
            <w:szCs w:val="28"/>
          </w:rPr>
          <w:t xml:space="preserve">1  </w:t>
        </w:r>
        <w:r w:rsidR="00EC6E7E">
          <w:rPr>
            <w:rStyle w:val="af4"/>
            <w:rFonts w:ascii="宋体" w:hAnsi="宋体" w:hint="eastAsia"/>
            <w:b w:val="0"/>
            <w:szCs w:val="28"/>
          </w:rPr>
          <w:t>建设项目相关图纸</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_Toc187914454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67</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55" w:history="1">
        <w:r w:rsidR="00EC6E7E">
          <w:rPr>
            <w:rStyle w:val="af4"/>
            <w:rFonts w:ascii="宋体" w:hAnsi="宋体"/>
            <w:szCs w:val="28"/>
          </w:rPr>
          <w:t>1.1</w:t>
        </w:r>
        <w:r w:rsidR="00EC6E7E">
          <w:rPr>
            <w:rStyle w:val="af4"/>
            <w:rFonts w:ascii="宋体" w:hAnsi="宋体" w:hint="eastAsia"/>
            <w:szCs w:val="28"/>
          </w:rPr>
          <w:t>总平面布置图</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_Toc187914455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67</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456" w:history="1">
        <w:r w:rsidR="00EC6E7E">
          <w:rPr>
            <w:rStyle w:val="af4"/>
            <w:rFonts w:ascii="宋体" w:hAnsi="宋体" w:hint="eastAsia"/>
            <w:b w:val="0"/>
            <w:szCs w:val="28"/>
          </w:rPr>
          <w:t>附件</w:t>
        </w:r>
        <w:r w:rsidR="00EC6E7E">
          <w:rPr>
            <w:rStyle w:val="af4"/>
            <w:rFonts w:ascii="宋体" w:hAnsi="宋体"/>
            <w:b w:val="0"/>
            <w:szCs w:val="28"/>
          </w:rPr>
          <w:t xml:space="preserve">2  </w:t>
        </w:r>
        <w:r w:rsidR="00EC6E7E">
          <w:rPr>
            <w:rStyle w:val="af4"/>
            <w:rFonts w:ascii="宋体" w:hAnsi="宋体" w:hint="eastAsia"/>
            <w:b w:val="0"/>
            <w:szCs w:val="28"/>
          </w:rPr>
          <w:t>危险和有害因素分析</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_Toc187914456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68</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57" w:history="1">
        <w:r w:rsidR="00EC6E7E">
          <w:rPr>
            <w:rStyle w:val="af4"/>
            <w:rFonts w:ascii="宋体" w:hAnsi="宋体"/>
            <w:szCs w:val="28"/>
          </w:rPr>
          <w:t xml:space="preserve">2.1 </w:t>
        </w:r>
        <w:r w:rsidR="00EC6E7E">
          <w:rPr>
            <w:rStyle w:val="af4"/>
            <w:rFonts w:ascii="宋体" w:hAnsi="宋体" w:hint="eastAsia"/>
            <w:szCs w:val="28"/>
          </w:rPr>
          <w:t>主要危险、有害物质的理化特性</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_Toc187914457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68</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58" w:history="1">
        <w:r w:rsidR="00EC6E7E">
          <w:rPr>
            <w:rStyle w:val="af4"/>
            <w:rFonts w:ascii="宋体" w:hAnsi="宋体"/>
            <w:szCs w:val="28"/>
          </w:rPr>
          <w:t xml:space="preserve">2.2 </w:t>
        </w:r>
        <w:r w:rsidR="00EC6E7E">
          <w:rPr>
            <w:rStyle w:val="af4"/>
            <w:rFonts w:ascii="宋体" w:hAnsi="宋体" w:hint="eastAsia"/>
            <w:szCs w:val="28"/>
          </w:rPr>
          <w:t>危险产生的原因</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_Toc187914458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74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59" w:history="1">
        <w:r w:rsidR="00EC6E7E">
          <w:rPr>
            <w:rStyle w:val="af4"/>
            <w:rFonts w:ascii="宋体" w:hAnsi="宋体"/>
            <w:szCs w:val="28"/>
          </w:rPr>
          <w:t xml:space="preserve">2.2.1 </w:t>
        </w:r>
        <w:r w:rsidR="00EC6E7E">
          <w:rPr>
            <w:rStyle w:val="af4"/>
            <w:rFonts w:ascii="宋体" w:hAnsi="宋体" w:hint="eastAsia"/>
            <w:szCs w:val="28"/>
          </w:rPr>
          <w:t>运行失控与设备故障</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_Toc187914459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74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60" w:history="1">
        <w:r w:rsidR="00EC6E7E">
          <w:rPr>
            <w:rStyle w:val="af4"/>
            <w:rFonts w:ascii="宋体" w:hAnsi="宋体"/>
            <w:szCs w:val="28"/>
          </w:rPr>
          <w:t xml:space="preserve">2.2.2 </w:t>
        </w:r>
        <w:r w:rsidR="00EC6E7E">
          <w:rPr>
            <w:rStyle w:val="af4"/>
            <w:rFonts w:ascii="宋体" w:hAnsi="宋体" w:hint="eastAsia"/>
            <w:szCs w:val="28"/>
          </w:rPr>
          <w:t>人员失误</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_Toc187914460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74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61" w:history="1">
        <w:r w:rsidR="00EC6E7E">
          <w:rPr>
            <w:rStyle w:val="af4"/>
            <w:rFonts w:ascii="宋体" w:hAnsi="宋体"/>
            <w:szCs w:val="28"/>
          </w:rPr>
          <w:t xml:space="preserve">2.2.3 </w:t>
        </w:r>
        <w:r w:rsidR="00EC6E7E">
          <w:rPr>
            <w:rStyle w:val="af4"/>
            <w:rFonts w:ascii="宋体" w:hAnsi="宋体" w:hint="eastAsia"/>
            <w:szCs w:val="28"/>
          </w:rPr>
          <w:t>管理缺陷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_Toc187914461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74</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62" w:history="1">
        <w:r w:rsidR="00EC6E7E">
          <w:rPr>
            <w:rStyle w:val="af4"/>
            <w:rFonts w:ascii="宋体" w:hAnsi="宋体"/>
            <w:szCs w:val="28"/>
          </w:rPr>
          <w:t xml:space="preserve">2.3 </w:t>
        </w:r>
        <w:r w:rsidR="00EC6E7E">
          <w:rPr>
            <w:rStyle w:val="af4"/>
            <w:rFonts w:ascii="宋体" w:hAnsi="宋体" w:hint="eastAsia"/>
            <w:szCs w:val="28"/>
          </w:rPr>
          <w:t>生产过程危险、有害因素分析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_Toc187914462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74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63" w:history="1">
        <w:r w:rsidR="00EC6E7E">
          <w:rPr>
            <w:rStyle w:val="af4"/>
            <w:rFonts w:ascii="宋体" w:hAnsi="宋体"/>
            <w:szCs w:val="28"/>
          </w:rPr>
          <w:t>2.3.1</w:t>
        </w:r>
        <w:r w:rsidR="00EC6E7E">
          <w:rPr>
            <w:rStyle w:val="af4"/>
            <w:rFonts w:ascii="宋体" w:hAnsi="宋体" w:hint="eastAsia"/>
            <w:szCs w:val="28"/>
          </w:rPr>
          <w:t>火灾、爆炸危险性分析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_Toc187914463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74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64" w:history="1">
        <w:r w:rsidR="00EC6E7E">
          <w:rPr>
            <w:rStyle w:val="af4"/>
            <w:rFonts w:ascii="宋体" w:hAnsi="宋体"/>
            <w:szCs w:val="28"/>
          </w:rPr>
          <w:t xml:space="preserve">2.3.2 </w:t>
        </w:r>
        <w:r w:rsidR="00EC6E7E">
          <w:rPr>
            <w:rStyle w:val="af4"/>
            <w:rFonts w:ascii="宋体" w:hAnsi="宋体" w:hint="eastAsia"/>
            <w:szCs w:val="28"/>
          </w:rPr>
          <w:t>锅炉爆炸危险性分析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_Toc187914464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76</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65" w:history="1">
        <w:r w:rsidR="00EC6E7E">
          <w:rPr>
            <w:rStyle w:val="af4"/>
            <w:rFonts w:ascii="宋体" w:hAnsi="宋体"/>
            <w:szCs w:val="28"/>
          </w:rPr>
          <w:t>2.3.3</w:t>
        </w:r>
        <w:r w:rsidR="00EC6E7E">
          <w:rPr>
            <w:rStyle w:val="af4"/>
            <w:rFonts w:ascii="宋体" w:hAnsi="宋体" w:hint="eastAsia"/>
            <w:szCs w:val="28"/>
          </w:rPr>
          <w:t>容器爆炸和压力管道爆炸危险性分析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_Toc187914465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79</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66" w:history="1">
        <w:r w:rsidR="00EC6E7E">
          <w:rPr>
            <w:rStyle w:val="af4"/>
            <w:rFonts w:ascii="宋体" w:hAnsi="宋体"/>
            <w:szCs w:val="28"/>
          </w:rPr>
          <w:t>2.3.4</w:t>
        </w:r>
        <w:r w:rsidR="00EC6E7E">
          <w:rPr>
            <w:rStyle w:val="af4"/>
            <w:rFonts w:ascii="宋体" w:hAnsi="宋体" w:hint="eastAsia"/>
            <w:szCs w:val="28"/>
          </w:rPr>
          <w:t>高温灼伤和化学灼伤危险性分析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_Toc187914466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80</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67" w:history="1">
        <w:r w:rsidR="00EC6E7E">
          <w:rPr>
            <w:rStyle w:val="af4"/>
            <w:rFonts w:ascii="宋体" w:hAnsi="宋体"/>
            <w:szCs w:val="28"/>
          </w:rPr>
          <w:t>2.3.5</w:t>
        </w:r>
        <w:r w:rsidR="00EC6E7E">
          <w:rPr>
            <w:rStyle w:val="af4"/>
            <w:rFonts w:ascii="宋体" w:hAnsi="宋体" w:hint="eastAsia"/>
            <w:szCs w:val="28"/>
          </w:rPr>
          <w:t>中毒和窒息危险性分析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_Toc187914467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80</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68" w:history="1">
        <w:r w:rsidR="00EC6E7E">
          <w:rPr>
            <w:rStyle w:val="af4"/>
            <w:rFonts w:ascii="宋体" w:hAnsi="宋体"/>
            <w:szCs w:val="28"/>
          </w:rPr>
          <w:t>2.3.6</w:t>
        </w:r>
        <w:r w:rsidR="00EC6E7E">
          <w:rPr>
            <w:rStyle w:val="af4"/>
            <w:rFonts w:ascii="宋体" w:hAnsi="宋体" w:hint="eastAsia"/>
            <w:szCs w:val="28"/>
          </w:rPr>
          <w:t>起重伤害危险性分析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_Toc187914468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81</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69" w:history="1">
        <w:r w:rsidR="00EC6E7E">
          <w:rPr>
            <w:rStyle w:val="af4"/>
            <w:rFonts w:ascii="宋体" w:hAnsi="宋体"/>
            <w:szCs w:val="28"/>
          </w:rPr>
          <w:t>2.3.7</w:t>
        </w:r>
        <w:r w:rsidR="00EC6E7E">
          <w:rPr>
            <w:rStyle w:val="af4"/>
            <w:rFonts w:ascii="宋体" w:hAnsi="宋体" w:hint="eastAsia"/>
            <w:szCs w:val="28"/>
          </w:rPr>
          <w:t>机械伤害危险性分析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_Toc187914469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83</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70" w:history="1">
        <w:r w:rsidR="00EC6E7E">
          <w:rPr>
            <w:rStyle w:val="af4"/>
            <w:rFonts w:ascii="宋体" w:hAnsi="宋体"/>
            <w:szCs w:val="28"/>
          </w:rPr>
          <w:t>2.3.8</w:t>
        </w:r>
        <w:r w:rsidR="00EC6E7E">
          <w:rPr>
            <w:rStyle w:val="af4"/>
            <w:rFonts w:ascii="宋体" w:hAnsi="宋体" w:hint="eastAsia"/>
            <w:szCs w:val="28"/>
          </w:rPr>
          <w:t>触电危险性分析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_Toc187914470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83</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71" w:history="1">
        <w:r w:rsidR="00EC6E7E">
          <w:rPr>
            <w:rStyle w:val="af4"/>
            <w:rFonts w:ascii="宋体" w:hAnsi="宋体"/>
            <w:szCs w:val="28"/>
          </w:rPr>
          <w:t>2.3.9</w:t>
        </w:r>
        <w:r w:rsidR="00EC6E7E">
          <w:rPr>
            <w:rStyle w:val="af4"/>
            <w:rFonts w:ascii="宋体" w:hAnsi="宋体" w:hint="eastAsia"/>
            <w:szCs w:val="28"/>
          </w:rPr>
          <w:t>高处坠落危险性分析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_Toc187914471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72" w:history="1">
        <w:r w:rsidR="00EC6E7E">
          <w:rPr>
            <w:rStyle w:val="af4"/>
            <w:rFonts w:ascii="宋体" w:hAnsi="宋体"/>
            <w:szCs w:val="28"/>
          </w:rPr>
          <w:t>2.3.10</w:t>
        </w:r>
        <w:r w:rsidR="00EC6E7E">
          <w:rPr>
            <w:rStyle w:val="af4"/>
            <w:rFonts w:ascii="宋体" w:hAnsi="宋体" w:hint="eastAsia"/>
            <w:szCs w:val="28"/>
          </w:rPr>
          <w:t>车辆伤害危险性分析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_Toc187914472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73" w:history="1">
        <w:r w:rsidR="00EC6E7E">
          <w:rPr>
            <w:rStyle w:val="af4"/>
            <w:rFonts w:ascii="宋体" w:hAnsi="宋体"/>
            <w:szCs w:val="28"/>
          </w:rPr>
          <w:t>2.3.11</w:t>
        </w:r>
        <w:r w:rsidR="00EC6E7E">
          <w:rPr>
            <w:rStyle w:val="af4"/>
            <w:rFonts w:ascii="宋体" w:hAnsi="宋体" w:hint="eastAsia"/>
            <w:szCs w:val="28"/>
          </w:rPr>
          <w:t>物体打击危险性分析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_Toc187914473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74" w:history="1">
        <w:r w:rsidR="00EC6E7E">
          <w:rPr>
            <w:rStyle w:val="af4"/>
            <w:rFonts w:ascii="宋体" w:hAnsi="宋体"/>
            <w:szCs w:val="28"/>
          </w:rPr>
          <w:t>2.3.12</w:t>
        </w:r>
        <w:r w:rsidR="00EC6E7E">
          <w:rPr>
            <w:rStyle w:val="af4"/>
            <w:rFonts w:ascii="宋体" w:hAnsi="宋体" w:hint="eastAsia"/>
            <w:szCs w:val="28"/>
          </w:rPr>
          <w:t>淹溺危险性分析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_Toc187914474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86</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75" w:history="1">
        <w:r w:rsidR="00EC6E7E">
          <w:rPr>
            <w:rStyle w:val="af4"/>
            <w:rFonts w:ascii="宋体" w:hAnsi="宋体"/>
            <w:szCs w:val="28"/>
          </w:rPr>
          <w:t>2.3.13</w:t>
        </w:r>
        <w:r w:rsidR="00EC6E7E">
          <w:rPr>
            <w:rStyle w:val="af4"/>
            <w:rFonts w:ascii="宋体" w:hAnsi="宋体" w:hint="eastAsia"/>
            <w:szCs w:val="28"/>
          </w:rPr>
          <w:t>噪声危险性分析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_Toc187914475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86</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76" w:history="1">
        <w:r w:rsidR="00EC6E7E">
          <w:rPr>
            <w:rStyle w:val="af4"/>
            <w:rFonts w:ascii="宋体" w:hAnsi="宋体"/>
            <w:szCs w:val="28"/>
          </w:rPr>
          <w:t>2.4</w:t>
        </w:r>
        <w:r w:rsidR="00EC6E7E">
          <w:rPr>
            <w:rStyle w:val="af4"/>
            <w:rFonts w:ascii="宋体" w:hAnsi="宋体" w:hint="eastAsia"/>
            <w:szCs w:val="28"/>
          </w:rPr>
          <w:t>公用工程及辅助设施危险性分析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_Toc187914476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87</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77" w:history="1">
        <w:r w:rsidR="00EC6E7E">
          <w:rPr>
            <w:rStyle w:val="af4"/>
            <w:rFonts w:ascii="宋体" w:hAnsi="宋体"/>
            <w:szCs w:val="28"/>
          </w:rPr>
          <w:t xml:space="preserve">2.4.1 </w:t>
        </w:r>
        <w:r w:rsidR="00EC6E7E">
          <w:rPr>
            <w:rStyle w:val="af4"/>
            <w:rFonts w:ascii="宋体" w:hAnsi="宋体" w:hint="eastAsia"/>
            <w:szCs w:val="28"/>
          </w:rPr>
          <w:t>电气系统危险有害因素分析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_Toc187914477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87</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78" w:history="1">
        <w:r w:rsidR="00EC6E7E">
          <w:rPr>
            <w:rStyle w:val="af4"/>
            <w:rFonts w:ascii="宋体" w:hAnsi="宋体"/>
            <w:szCs w:val="28"/>
          </w:rPr>
          <w:t xml:space="preserve">2.4.2 </w:t>
        </w:r>
        <w:r w:rsidR="00EC6E7E">
          <w:rPr>
            <w:rStyle w:val="af4"/>
            <w:rFonts w:ascii="宋体" w:hAnsi="宋体" w:hint="eastAsia"/>
            <w:szCs w:val="28"/>
          </w:rPr>
          <w:t>给排水系统危险有害因素分析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_Toc187914478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88</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79" w:history="1">
        <w:r w:rsidR="00EC6E7E">
          <w:rPr>
            <w:rStyle w:val="af4"/>
            <w:rFonts w:ascii="宋体" w:hAnsi="宋体"/>
            <w:szCs w:val="28"/>
          </w:rPr>
          <w:t xml:space="preserve">2.4.3 </w:t>
        </w:r>
        <w:r w:rsidR="00EC6E7E">
          <w:rPr>
            <w:rStyle w:val="af4"/>
            <w:rFonts w:ascii="宋体" w:hAnsi="宋体" w:hint="eastAsia"/>
            <w:szCs w:val="28"/>
          </w:rPr>
          <w:t>消防系统危险有害因素分析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_Toc187914479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88</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80" w:history="1">
        <w:r w:rsidR="00EC6E7E">
          <w:rPr>
            <w:rStyle w:val="af4"/>
            <w:rFonts w:ascii="宋体" w:hAnsi="宋体"/>
            <w:szCs w:val="28"/>
          </w:rPr>
          <w:t xml:space="preserve">2.5 </w:t>
        </w:r>
        <w:r w:rsidR="00EC6E7E">
          <w:rPr>
            <w:rStyle w:val="af4"/>
            <w:rFonts w:ascii="宋体" w:hAnsi="宋体" w:hint="eastAsia"/>
            <w:szCs w:val="28"/>
          </w:rPr>
          <w:t>自然条件危险性分析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_Toc187914480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89</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81" w:history="1">
        <w:r w:rsidR="00EC6E7E">
          <w:rPr>
            <w:rStyle w:val="af4"/>
            <w:rFonts w:ascii="宋体" w:hAnsi="宋体"/>
            <w:szCs w:val="28"/>
          </w:rPr>
          <w:t>2.6</w:t>
        </w:r>
        <w:r w:rsidR="00EC6E7E">
          <w:rPr>
            <w:rStyle w:val="af4"/>
            <w:rFonts w:ascii="宋体" w:hAnsi="宋体" w:hint="eastAsia"/>
            <w:szCs w:val="28"/>
          </w:rPr>
          <w:t>周边环境危险有害因分析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_Toc187914481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89</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82" w:history="1">
        <w:r w:rsidR="00EC6E7E">
          <w:rPr>
            <w:rStyle w:val="af4"/>
            <w:rFonts w:ascii="宋体" w:hAnsi="宋体"/>
            <w:szCs w:val="28"/>
          </w:rPr>
          <w:t>2.7</w:t>
        </w:r>
        <w:r w:rsidR="00EC6E7E">
          <w:rPr>
            <w:rStyle w:val="af4"/>
            <w:rFonts w:ascii="宋体" w:hAnsi="宋体" w:hint="eastAsia"/>
            <w:szCs w:val="28"/>
          </w:rPr>
          <w:t>设备设施检维修过程危险性分析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_Toc187914482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90</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83" w:history="1">
        <w:r w:rsidR="00EC6E7E">
          <w:rPr>
            <w:rStyle w:val="af4"/>
            <w:rFonts w:ascii="宋体" w:hAnsi="宋体"/>
            <w:szCs w:val="28"/>
          </w:rPr>
          <w:t xml:space="preserve">2.8 </w:t>
        </w:r>
        <w:r w:rsidR="00EC6E7E">
          <w:rPr>
            <w:rStyle w:val="af4"/>
            <w:rFonts w:ascii="宋体" w:hAnsi="宋体" w:hint="eastAsia"/>
            <w:szCs w:val="28"/>
          </w:rPr>
          <w:t>特殊作业危险性分析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_Toc187914483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93</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84" w:history="1">
        <w:r w:rsidR="00EC6E7E">
          <w:rPr>
            <w:rStyle w:val="af4"/>
            <w:rFonts w:ascii="宋体" w:hAnsi="宋体"/>
            <w:szCs w:val="28"/>
          </w:rPr>
          <w:t xml:space="preserve">2.9 </w:t>
        </w:r>
        <w:r w:rsidR="00EC6E7E">
          <w:rPr>
            <w:rStyle w:val="af4"/>
            <w:rFonts w:ascii="宋体" w:hAnsi="宋体" w:hint="eastAsia"/>
            <w:szCs w:val="28"/>
          </w:rPr>
          <w:t>安全管理方面的危险性分析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_Toc187914484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97</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85" w:history="1">
        <w:r w:rsidR="00EC6E7E">
          <w:rPr>
            <w:rStyle w:val="af4"/>
            <w:rFonts w:ascii="宋体" w:hAnsi="宋体"/>
            <w:szCs w:val="28"/>
          </w:rPr>
          <w:t xml:space="preserve">2.10 </w:t>
        </w:r>
        <w:r w:rsidR="00EC6E7E">
          <w:rPr>
            <w:rStyle w:val="af4"/>
            <w:rFonts w:ascii="宋体" w:hAnsi="宋体" w:hint="eastAsia"/>
            <w:szCs w:val="28"/>
          </w:rPr>
          <w:t>人员不安全行为危险性分析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_Toc187914485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98</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86" w:history="1">
        <w:r w:rsidR="00EC6E7E">
          <w:rPr>
            <w:rStyle w:val="af4"/>
            <w:rFonts w:ascii="宋体" w:hAnsi="宋体"/>
            <w:szCs w:val="28"/>
          </w:rPr>
          <w:t xml:space="preserve">2.11 </w:t>
        </w:r>
        <w:r w:rsidR="00EC6E7E">
          <w:rPr>
            <w:rStyle w:val="af4"/>
            <w:rFonts w:ascii="宋体" w:hAnsi="宋体" w:hint="eastAsia"/>
            <w:szCs w:val="28"/>
          </w:rPr>
          <w:t>危险有害因素分布情况</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_Toc187914486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99</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87" w:history="1">
        <w:r w:rsidR="00EC6E7E">
          <w:rPr>
            <w:rStyle w:val="af4"/>
            <w:rFonts w:ascii="宋体" w:hAnsi="宋体"/>
            <w:szCs w:val="28"/>
          </w:rPr>
          <w:t xml:space="preserve">2.12 </w:t>
        </w:r>
        <w:r w:rsidR="00EC6E7E">
          <w:rPr>
            <w:rStyle w:val="af4"/>
            <w:rFonts w:ascii="宋体" w:hAnsi="宋体" w:hint="eastAsia"/>
            <w:szCs w:val="28"/>
          </w:rPr>
          <w:t>危险化学品重大危险源辨识</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_Toc187914487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102</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88" w:history="1">
        <w:r w:rsidR="00EC6E7E">
          <w:rPr>
            <w:rStyle w:val="af4"/>
            <w:rFonts w:ascii="宋体" w:hAnsi="宋体"/>
            <w:szCs w:val="28"/>
          </w:rPr>
          <w:t xml:space="preserve">2.13 </w:t>
        </w:r>
        <w:r w:rsidR="00EC6E7E">
          <w:rPr>
            <w:rStyle w:val="af4"/>
            <w:rFonts w:ascii="宋体" w:hAnsi="宋体" w:hint="eastAsia"/>
            <w:szCs w:val="28"/>
          </w:rPr>
          <w:t>剧毒化学品、易制毒化学品和监控化学品、易制爆危险化学品以及重点监管危险化学品辨识</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_Toc187914488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103</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89" w:history="1">
        <w:r w:rsidR="00EC6E7E">
          <w:rPr>
            <w:rStyle w:val="af4"/>
            <w:rFonts w:ascii="宋体" w:hAnsi="宋体"/>
            <w:szCs w:val="28"/>
          </w:rPr>
          <w:t>2.14</w:t>
        </w:r>
        <w:r w:rsidR="00EC6E7E">
          <w:rPr>
            <w:rStyle w:val="af4"/>
            <w:rFonts w:ascii="宋体" w:hAnsi="宋体" w:hint="eastAsia"/>
            <w:szCs w:val="28"/>
          </w:rPr>
          <w:t>淘汰落后危险化学品安全生产工艺技术设备辨识</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_Toc187914489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104</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90" w:history="1">
        <w:r w:rsidR="00EC6E7E">
          <w:rPr>
            <w:rStyle w:val="af4"/>
            <w:rFonts w:ascii="宋体" w:hAnsi="宋体"/>
            <w:szCs w:val="28"/>
          </w:rPr>
          <w:t>2.15</w:t>
        </w:r>
        <w:r w:rsidR="00EC6E7E">
          <w:rPr>
            <w:rStyle w:val="af4"/>
            <w:rFonts w:ascii="宋体" w:hAnsi="宋体" w:hint="eastAsia"/>
            <w:szCs w:val="28"/>
          </w:rPr>
          <w:t>事故案例</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_Toc187914490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107</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91" w:history="1">
        <w:r w:rsidR="00EC6E7E">
          <w:rPr>
            <w:rStyle w:val="af4"/>
            <w:rFonts w:ascii="宋体" w:hAnsi="宋体"/>
            <w:szCs w:val="28"/>
          </w:rPr>
          <w:t xml:space="preserve">2.15.1 </w:t>
        </w:r>
        <w:r w:rsidR="00EC6E7E">
          <w:rPr>
            <w:rStyle w:val="af4"/>
            <w:rFonts w:ascii="宋体" w:hAnsi="宋体" w:hint="eastAsia"/>
            <w:szCs w:val="28"/>
          </w:rPr>
          <w:t>事故案例背景</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_Toc187914491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107</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92" w:history="1">
        <w:r w:rsidR="00EC6E7E">
          <w:rPr>
            <w:rStyle w:val="af4"/>
            <w:rFonts w:ascii="宋体" w:hAnsi="宋体"/>
            <w:szCs w:val="28"/>
          </w:rPr>
          <w:t>2.15.2</w:t>
        </w:r>
        <w:r w:rsidR="00EC6E7E">
          <w:rPr>
            <w:rStyle w:val="af4"/>
            <w:rFonts w:ascii="宋体" w:hAnsi="宋体" w:hint="eastAsia"/>
            <w:szCs w:val="28"/>
          </w:rPr>
          <w:t>案例原因分析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_Toc187914492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108</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493" w:history="1">
        <w:r w:rsidR="00EC6E7E">
          <w:rPr>
            <w:rStyle w:val="af4"/>
            <w:rFonts w:ascii="宋体" w:hAnsi="宋体"/>
            <w:szCs w:val="28"/>
          </w:rPr>
          <w:t>2.15.3</w:t>
        </w:r>
        <w:r w:rsidR="00EC6E7E">
          <w:rPr>
            <w:rStyle w:val="af4"/>
            <w:rFonts w:ascii="宋体" w:hAnsi="宋体" w:hint="eastAsia"/>
            <w:szCs w:val="28"/>
          </w:rPr>
          <w:t>事故防范和整改措施</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_Toc187914493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108</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494" w:history="1">
        <w:r w:rsidR="00EC6E7E">
          <w:rPr>
            <w:rStyle w:val="af4"/>
            <w:rFonts w:ascii="宋体" w:hAnsi="宋体" w:hint="eastAsia"/>
            <w:b w:val="0"/>
            <w:szCs w:val="28"/>
          </w:rPr>
          <w:t>附件</w:t>
        </w:r>
        <w:r w:rsidR="00EC6E7E">
          <w:rPr>
            <w:rStyle w:val="af4"/>
            <w:rFonts w:ascii="宋体" w:hAnsi="宋体"/>
            <w:b w:val="0"/>
            <w:szCs w:val="28"/>
          </w:rPr>
          <w:t xml:space="preserve">3  </w:t>
        </w:r>
        <w:r w:rsidR="00EC6E7E">
          <w:rPr>
            <w:rStyle w:val="af4"/>
            <w:rFonts w:ascii="宋体" w:hAnsi="宋体" w:hint="eastAsia"/>
            <w:b w:val="0"/>
            <w:szCs w:val="28"/>
          </w:rPr>
          <w:t>选用的安全评价方法简介</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_Toc187914494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109</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95" w:history="1">
        <w:r w:rsidR="00EC6E7E">
          <w:rPr>
            <w:rStyle w:val="af4"/>
            <w:rFonts w:ascii="宋体" w:hAnsi="宋体"/>
            <w:szCs w:val="28"/>
          </w:rPr>
          <w:t xml:space="preserve">3.1 </w:t>
        </w:r>
        <w:r w:rsidR="00EC6E7E">
          <w:rPr>
            <w:rStyle w:val="af4"/>
            <w:rFonts w:ascii="宋体" w:hAnsi="宋体" w:hint="eastAsia"/>
            <w:szCs w:val="28"/>
          </w:rPr>
          <w:t>安全检查表法</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_Toc187914495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109</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96" w:history="1">
        <w:r w:rsidR="00EC6E7E">
          <w:rPr>
            <w:rStyle w:val="af4"/>
            <w:rFonts w:ascii="宋体" w:hAnsi="宋体"/>
            <w:szCs w:val="28"/>
          </w:rPr>
          <w:t xml:space="preserve">3.2 </w:t>
        </w:r>
        <w:r w:rsidR="00EC6E7E">
          <w:rPr>
            <w:rStyle w:val="af4"/>
            <w:rFonts w:ascii="宋体" w:hAnsi="宋体" w:hint="eastAsia"/>
            <w:szCs w:val="28"/>
          </w:rPr>
          <w:t>安全检查表法（</w:t>
        </w:r>
        <w:r w:rsidR="00EC6E7E">
          <w:rPr>
            <w:rStyle w:val="af4"/>
            <w:rFonts w:ascii="宋体" w:hAnsi="宋体"/>
            <w:szCs w:val="28"/>
          </w:rPr>
          <w:t>SCL</w:t>
        </w:r>
        <w:r w:rsidR="00EC6E7E">
          <w:rPr>
            <w:rStyle w:val="af4"/>
            <w:rFonts w:ascii="宋体" w:hAnsi="宋体" w:hint="eastAsia"/>
            <w:szCs w:val="28"/>
          </w:rPr>
          <w:t>）</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_Toc187914496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109</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97" w:history="1">
        <w:r w:rsidR="00EC6E7E">
          <w:rPr>
            <w:rStyle w:val="af4"/>
            <w:rFonts w:ascii="宋体" w:hAnsi="宋体"/>
            <w:szCs w:val="28"/>
          </w:rPr>
          <w:t xml:space="preserve">3.3 </w:t>
        </w:r>
        <w:r w:rsidR="00EC6E7E">
          <w:rPr>
            <w:rStyle w:val="af4"/>
            <w:rFonts w:ascii="宋体" w:hAnsi="宋体" w:hint="eastAsia"/>
            <w:szCs w:val="28"/>
          </w:rPr>
          <w:t>“蒸气云雾爆炸伤害模型计算法”评价方法</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_Toc187914497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110</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498" w:history="1">
        <w:r w:rsidR="00EC6E7E">
          <w:rPr>
            <w:rStyle w:val="af4"/>
            <w:rFonts w:ascii="宋体" w:hAnsi="宋体" w:hint="eastAsia"/>
            <w:b w:val="0"/>
            <w:szCs w:val="28"/>
          </w:rPr>
          <w:t>附件</w:t>
        </w:r>
        <w:r w:rsidR="00EC6E7E">
          <w:rPr>
            <w:rStyle w:val="af4"/>
            <w:rFonts w:ascii="宋体" w:hAnsi="宋体"/>
            <w:b w:val="0"/>
            <w:szCs w:val="28"/>
          </w:rPr>
          <w:t xml:space="preserve">4 </w:t>
        </w:r>
        <w:r w:rsidR="00EC6E7E">
          <w:rPr>
            <w:rStyle w:val="af4"/>
            <w:rFonts w:ascii="宋体" w:hAnsi="宋体" w:hint="eastAsia"/>
            <w:b w:val="0"/>
            <w:szCs w:val="28"/>
          </w:rPr>
          <w:t>固有危险程度定量分析评价</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_Toc187914498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111</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499" w:history="1">
        <w:r w:rsidR="00EC6E7E">
          <w:rPr>
            <w:rStyle w:val="af4"/>
            <w:rFonts w:ascii="宋体" w:hAnsi="宋体"/>
            <w:szCs w:val="28"/>
          </w:rPr>
          <w:t>4.1</w:t>
        </w:r>
        <w:r w:rsidR="00EC6E7E">
          <w:rPr>
            <w:rStyle w:val="af4"/>
            <w:rFonts w:ascii="宋体" w:hAnsi="宋体" w:hint="eastAsia"/>
            <w:szCs w:val="28"/>
          </w:rPr>
          <w:t>锅炉爆炸事故后果模拟分析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_Toc187914499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111</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500" w:history="1">
        <w:r w:rsidR="00EC6E7E">
          <w:rPr>
            <w:rStyle w:val="af4"/>
            <w:rFonts w:ascii="宋体" w:hAnsi="宋体" w:hint="eastAsia"/>
            <w:b w:val="0"/>
            <w:szCs w:val="28"/>
          </w:rPr>
          <w:t>附件</w:t>
        </w:r>
        <w:r w:rsidR="00EC6E7E">
          <w:rPr>
            <w:rStyle w:val="af4"/>
            <w:rFonts w:ascii="宋体" w:hAnsi="宋体"/>
            <w:b w:val="0"/>
            <w:szCs w:val="28"/>
          </w:rPr>
          <w:t xml:space="preserve">5  </w:t>
        </w:r>
        <w:r w:rsidR="00EC6E7E">
          <w:rPr>
            <w:rStyle w:val="af4"/>
            <w:rFonts w:ascii="宋体" w:hAnsi="宋体" w:hint="eastAsia"/>
            <w:b w:val="0"/>
            <w:szCs w:val="28"/>
          </w:rPr>
          <w:t>“三同时”符合性评价及安全对策措施落实情况分析单元</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_Toc187914500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114</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01" w:history="1">
        <w:r w:rsidR="00EC6E7E">
          <w:rPr>
            <w:rStyle w:val="af4"/>
            <w:rFonts w:ascii="宋体" w:hAnsi="宋体"/>
            <w:szCs w:val="28"/>
          </w:rPr>
          <w:t xml:space="preserve">5.1 </w:t>
        </w:r>
        <w:r w:rsidR="00EC6E7E">
          <w:rPr>
            <w:rStyle w:val="af4"/>
            <w:rFonts w:ascii="宋体" w:hAnsi="宋体" w:hint="eastAsia"/>
            <w:szCs w:val="28"/>
          </w:rPr>
          <w:t>“三同时”符合性分析评价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_Toc187914501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114</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02" w:history="1">
        <w:r w:rsidR="00EC6E7E">
          <w:rPr>
            <w:rStyle w:val="af4"/>
            <w:rFonts w:ascii="宋体" w:hAnsi="宋体"/>
            <w:szCs w:val="28"/>
          </w:rPr>
          <w:t xml:space="preserve">5.2 </w:t>
        </w:r>
        <w:r w:rsidR="00EC6E7E">
          <w:rPr>
            <w:rStyle w:val="af4"/>
            <w:rFonts w:ascii="宋体" w:hAnsi="宋体" w:hint="eastAsia"/>
            <w:szCs w:val="28"/>
          </w:rPr>
          <w:t>安全对策措施落实情况分析评价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_Toc187914502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115</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03" w:history="1">
        <w:r w:rsidR="00EC6E7E">
          <w:rPr>
            <w:rStyle w:val="af4"/>
            <w:rFonts w:ascii="宋体" w:hAnsi="宋体"/>
            <w:bCs/>
            <w:szCs w:val="28"/>
          </w:rPr>
          <w:t>6.6.8</w:t>
        </w:r>
        <w:r w:rsidR="00EC6E7E">
          <w:rPr>
            <w:rStyle w:val="af4"/>
            <w:rFonts w:ascii="宋体" w:hAnsi="宋体" w:hint="eastAsia"/>
            <w:bCs/>
            <w:szCs w:val="28"/>
          </w:rPr>
          <w:t>储存安全措施</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_Toc187914503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133</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504" w:history="1">
        <w:r w:rsidR="00EC6E7E">
          <w:rPr>
            <w:rStyle w:val="af4"/>
            <w:rFonts w:ascii="宋体" w:hAnsi="宋体" w:hint="eastAsia"/>
            <w:b w:val="0"/>
            <w:szCs w:val="28"/>
          </w:rPr>
          <w:t>附件</w:t>
        </w:r>
        <w:r w:rsidR="00EC6E7E">
          <w:rPr>
            <w:rStyle w:val="af4"/>
            <w:rFonts w:ascii="宋体" w:hAnsi="宋体"/>
            <w:b w:val="0"/>
            <w:szCs w:val="28"/>
          </w:rPr>
          <w:t xml:space="preserve">6  </w:t>
        </w:r>
        <w:r w:rsidR="00EC6E7E">
          <w:rPr>
            <w:rStyle w:val="af4"/>
            <w:rFonts w:ascii="宋体" w:hAnsi="宋体" w:hint="eastAsia"/>
            <w:b w:val="0"/>
            <w:szCs w:val="28"/>
          </w:rPr>
          <w:t>安全条件和安全生产条件分析评价</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_Toc187914504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137</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05" w:history="1">
        <w:r w:rsidR="00EC6E7E">
          <w:rPr>
            <w:rStyle w:val="af4"/>
            <w:rFonts w:ascii="宋体" w:hAnsi="宋体"/>
            <w:szCs w:val="28"/>
          </w:rPr>
          <w:t>6.1</w:t>
        </w:r>
        <w:r w:rsidR="00EC6E7E">
          <w:rPr>
            <w:rStyle w:val="af4"/>
            <w:rFonts w:ascii="宋体" w:hAnsi="宋体" w:hint="eastAsia"/>
            <w:szCs w:val="28"/>
          </w:rPr>
          <w:t>总平面布置评价单元分析评价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_Toc187914505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137</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06" w:history="1">
        <w:r w:rsidR="00EC6E7E">
          <w:rPr>
            <w:rStyle w:val="af4"/>
            <w:rFonts w:ascii="宋体" w:hAnsi="宋体"/>
            <w:szCs w:val="28"/>
          </w:rPr>
          <w:t>6.1.1</w:t>
        </w:r>
        <w:r w:rsidR="00EC6E7E">
          <w:rPr>
            <w:rStyle w:val="af4"/>
            <w:rFonts w:ascii="宋体" w:hAnsi="宋体" w:hint="eastAsia"/>
            <w:szCs w:val="28"/>
          </w:rPr>
          <w:t>总平面布置安全检查表</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_Toc187914506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137</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07" w:history="1">
        <w:r w:rsidR="00EC6E7E">
          <w:rPr>
            <w:rStyle w:val="af4"/>
            <w:rFonts w:ascii="宋体" w:hAnsi="宋体"/>
            <w:szCs w:val="28"/>
          </w:rPr>
          <w:t xml:space="preserve">6.1.2 </w:t>
        </w:r>
        <w:r w:rsidR="00EC6E7E">
          <w:rPr>
            <w:rStyle w:val="af4"/>
            <w:rFonts w:ascii="宋体" w:hAnsi="宋体" w:hint="eastAsia"/>
            <w:szCs w:val="28"/>
          </w:rPr>
          <w:t>厂内建构筑物与周边建筑物距离检查表</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_Toc187914507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140</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08" w:history="1">
        <w:r w:rsidR="00EC6E7E">
          <w:rPr>
            <w:rStyle w:val="af4"/>
            <w:rFonts w:ascii="宋体" w:hAnsi="宋体"/>
            <w:szCs w:val="28"/>
          </w:rPr>
          <w:t xml:space="preserve">6.1.3 </w:t>
        </w:r>
        <w:r w:rsidR="00EC6E7E">
          <w:rPr>
            <w:rStyle w:val="af4"/>
            <w:rFonts w:ascii="宋体" w:hAnsi="宋体" w:hint="eastAsia"/>
            <w:szCs w:val="28"/>
          </w:rPr>
          <w:t>项目所在地的自然条件对项目生产的影响分析评价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_Toc187914508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141</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09" w:history="1">
        <w:r w:rsidR="00EC6E7E">
          <w:rPr>
            <w:rStyle w:val="af4"/>
            <w:rFonts w:ascii="宋体" w:hAnsi="宋体"/>
            <w:szCs w:val="28"/>
          </w:rPr>
          <w:t xml:space="preserve">6.1.4 </w:t>
        </w:r>
        <w:r w:rsidR="00EC6E7E">
          <w:rPr>
            <w:rStyle w:val="af4"/>
            <w:rFonts w:ascii="宋体" w:hAnsi="宋体" w:hint="eastAsia"/>
            <w:szCs w:val="28"/>
          </w:rPr>
          <w:t>单元小结</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_Toc187914509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142</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10" w:history="1">
        <w:r w:rsidR="00EC6E7E">
          <w:rPr>
            <w:rStyle w:val="af4"/>
            <w:rFonts w:ascii="宋体" w:hAnsi="宋体"/>
            <w:szCs w:val="28"/>
          </w:rPr>
          <w:t xml:space="preserve">6.2 </w:t>
        </w:r>
        <w:r w:rsidR="00EC6E7E">
          <w:rPr>
            <w:rStyle w:val="af4"/>
            <w:rFonts w:ascii="宋体" w:hAnsi="宋体" w:hint="eastAsia"/>
            <w:szCs w:val="28"/>
          </w:rPr>
          <w:t>生产工艺及设备设施单元评价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_Toc187914510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142</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11" w:history="1">
        <w:r w:rsidR="00EC6E7E">
          <w:rPr>
            <w:rStyle w:val="af4"/>
            <w:rFonts w:ascii="宋体" w:hAnsi="宋体"/>
            <w:szCs w:val="28"/>
          </w:rPr>
          <w:t xml:space="preserve">6.2.1 </w:t>
        </w:r>
        <w:r w:rsidR="00EC6E7E">
          <w:rPr>
            <w:rStyle w:val="af4"/>
            <w:rFonts w:ascii="宋体" w:hAnsi="宋体" w:hint="eastAsia"/>
            <w:szCs w:val="28"/>
          </w:rPr>
          <w:t>生产工艺及设备设施安全检查表评价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_Toc187914511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142</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12" w:history="1">
        <w:r w:rsidR="00EC6E7E">
          <w:rPr>
            <w:rStyle w:val="af4"/>
            <w:rFonts w:ascii="宋体" w:hAnsi="宋体"/>
            <w:szCs w:val="28"/>
          </w:rPr>
          <w:t>6.2.2</w:t>
        </w:r>
        <w:r w:rsidR="00EC6E7E">
          <w:rPr>
            <w:rStyle w:val="af4"/>
            <w:rFonts w:ascii="宋体" w:hAnsi="宋体" w:hint="eastAsia"/>
            <w:szCs w:val="28"/>
          </w:rPr>
          <w:t>单元小结</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_Toc187914512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144</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13" w:history="1">
        <w:r w:rsidR="00EC6E7E">
          <w:rPr>
            <w:rStyle w:val="af4"/>
            <w:rFonts w:ascii="宋体" w:hAnsi="宋体"/>
            <w:szCs w:val="28"/>
          </w:rPr>
          <w:t xml:space="preserve">6.3 </w:t>
        </w:r>
        <w:r w:rsidR="00EC6E7E">
          <w:rPr>
            <w:rStyle w:val="af4"/>
            <w:rFonts w:ascii="宋体" w:hAnsi="宋体" w:hint="eastAsia"/>
            <w:szCs w:val="28"/>
          </w:rPr>
          <w:t>公用工程及辅助设施单元评价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_Toc187914513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14" w:history="1">
        <w:r w:rsidR="00EC6E7E">
          <w:rPr>
            <w:rStyle w:val="af4"/>
            <w:rFonts w:ascii="宋体" w:hAnsi="宋体"/>
            <w:szCs w:val="28"/>
          </w:rPr>
          <w:t>6.3.1</w:t>
        </w:r>
        <w:r w:rsidR="00EC6E7E">
          <w:rPr>
            <w:rStyle w:val="af4"/>
            <w:rFonts w:ascii="宋体" w:hAnsi="宋体" w:hint="eastAsia"/>
            <w:szCs w:val="28"/>
          </w:rPr>
          <w:t>公用工程及辅助设施单元评价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_Toc187914514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144</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15" w:history="1">
        <w:r w:rsidR="00EC6E7E">
          <w:rPr>
            <w:rStyle w:val="af4"/>
            <w:rFonts w:ascii="宋体" w:hAnsi="宋体"/>
            <w:szCs w:val="28"/>
          </w:rPr>
          <w:t xml:space="preserve">6.3.2 </w:t>
        </w:r>
        <w:r w:rsidR="00EC6E7E">
          <w:rPr>
            <w:rStyle w:val="af4"/>
            <w:rFonts w:ascii="宋体" w:hAnsi="宋体" w:hint="eastAsia"/>
            <w:szCs w:val="28"/>
          </w:rPr>
          <w:t>单元小结</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_Toc187914515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146</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16" w:history="1">
        <w:r w:rsidR="00EC6E7E">
          <w:rPr>
            <w:rStyle w:val="af4"/>
            <w:rFonts w:ascii="宋体" w:hAnsi="宋体"/>
            <w:szCs w:val="28"/>
          </w:rPr>
          <w:t xml:space="preserve">6.4 </w:t>
        </w:r>
        <w:r w:rsidR="00EC6E7E">
          <w:rPr>
            <w:rStyle w:val="af4"/>
            <w:rFonts w:ascii="宋体" w:hAnsi="宋体" w:hint="eastAsia"/>
            <w:szCs w:val="28"/>
          </w:rPr>
          <w:t>安全管理及应急救援单元评价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_Toc187914516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146</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17" w:history="1">
        <w:r w:rsidR="00EC6E7E">
          <w:rPr>
            <w:rStyle w:val="af4"/>
            <w:rFonts w:ascii="宋体" w:hAnsi="宋体"/>
            <w:szCs w:val="28"/>
          </w:rPr>
          <w:t xml:space="preserve">6.4.1 </w:t>
        </w:r>
        <w:r w:rsidR="00EC6E7E">
          <w:rPr>
            <w:rStyle w:val="af4"/>
            <w:rFonts w:ascii="宋体" w:hAnsi="宋体" w:hint="eastAsia"/>
            <w:szCs w:val="28"/>
          </w:rPr>
          <w:t>安全管理安全评价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_Toc187914517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146</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18" w:history="1">
        <w:r w:rsidR="00EC6E7E">
          <w:rPr>
            <w:rStyle w:val="af4"/>
            <w:rFonts w:ascii="宋体" w:hAnsi="宋体"/>
            <w:szCs w:val="28"/>
          </w:rPr>
          <w:t xml:space="preserve">6.4.2 </w:t>
        </w:r>
        <w:r w:rsidR="00EC6E7E">
          <w:rPr>
            <w:rStyle w:val="af4"/>
            <w:rFonts w:ascii="宋体" w:hAnsi="宋体" w:hint="eastAsia"/>
            <w:szCs w:val="28"/>
          </w:rPr>
          <w:t>应急救援预案安全评价</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_Toc187914518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148</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19" w:history="1">
        <w:r w:rsidR="00EC6E7E">
          <w:rPr>
            <w:rStyle w:val="af4"/>
            <w:rFonts w:ascii="宋体" w:hAnsi="宋体"/>
            <w:szCs w:val="28"/>
          </w:rPr>
          <w:t>6.4.3</w:t>
        </w:r>
        <w:r w:rsidR="00EC6E7E">
          <w:rPr>
            <w:rStyle w:val="af4"/>
            <w:rFonts w:ascii="宋体" w:hAnsi="宋体" w:hint="eastAsia"/>
            <w:szCs w:val="28"/>
          </w:rPr>
          <w:t>单元小结</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_Toc187914519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150</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20" w:history="1">
        <w:r w:rsidR="00EC6E7E">
          <w:rPr>
            <w:rStyle w:val="af4"/>
            <w:rFonts w:ascii="宋体" w:hAnsi="宋体"/>
            <w:szCs w:val="28"/>
          </w:rPr>
          <w:t xml:space="preserve">6.5 </w:t>
        </w:r>
        <w:r w:rsidR="00EC6E7E">
          <w:rPr>
            <w:rStyle w:val="af4"/>
            <w:rFonts w:ascii="宋体" w:hAnsi="宋体" w:hint="eastAsia"/>
            <w:szCs w:val="28"/>
          </w:rPr>
          <w:t>重大安全隐患判定符合性分析</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_Toc187914520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150</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21" w:history="1">
        <w:r w:rsidR="00EC6E7E">
          <w:rPr>
            <w:rStyle w:val="af4"/>
            <w:rFonts w:ascii="宋体" w:hAnsi="宋体"/>
            <w:szCs w:val="28"/>
          </w:rPr>
          <w:t xml:space="preserve">6.5.1 </w:t>
        </w:r>
        <w:r w:rsidR="00EC6E7E">
          <w:rPr>
            <w:rStyle w:val="af4"/>
            <w:rFonts w:ascii="宋体" w:hAnsi="宋体" w:hint="eastAsia"/>
            <w:szCs w:val="28"/>
          </w:rPr>
          <w:t>重大生产安全事故隐患判定</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_Toc187914521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150</w:t>
        </w:r>
        <w:r w:rsidR="00EC6E7E">
          <w:rPr>
            <w:rFonts w:ascii="宋体" w:hAnsi="宋体"/>
            <w:szCs w:val="28"/>
          </w:rPr>
          <w:fldChar w:fldCharType="end"/>
        </w:r>
      </w:hyperlink>
    </w:p>
    <w:p w:rsidR="003F13AB" w:rsidRDefault="00A90894">
      <w:pPr>
        <w:pStyle w:val="30"/>
        <w:tabs>
          <w:tab w:val="right" w:leader="dot" w:pos="9060"/>
        </w:tabs>
        <w:ind w:left="1120" w:firstLine="560"/>
        <w:rPr>
          <w:rFonts w:ascii="宋体" w:hAnsi="宋体" w:cstheme="minorBidi"/>
          <w:color w:val="auto"/>
          <w:szCs w:val="28"/>
        </w:rPr>
      </w:pPr>
      <w:hyperlink w:anchor="_Toc187914522" w:history="1">
        <w:r w:rsidR="00EC6E7E">
          <w:rPr>
            <w:rStyle w:val="af4"/>
            <w:rFonts w:ascii="宋体" w:hAnsi="宋体"/>
            <w:szCs w:val="28"/>
          </w:rPr>
          <w:t xml:space="preserve">5.5.2 </w:t>
        </w:r>
        <w:r w:rsidR="00EC6E7E">
          <w:rPr>
            <w:rStyle w:val="af4"/>
            <w:rFonts w:ascii="宋体" w:hAnsi="宋体" w:hint="eastAsia"/>
            <w:szCs w:val="28"/>
          </w:rPr>
          <w:t>单元小结</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_Toc187914522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151</w:t>
        </w:r>
        <w:r w:rsidR="00EC6E7E">
          <w:rPr>
            <w:rFonts w:ascii="宋体" w:hAnsi="宋体"/>
            <w:szCs w:val="28"/>
          </w:rPr>
          <w:fldChar w:fldCharType="end"/>
        </w:r>
      </w:hyperlink>
    </w:p>
    <w:p w:rsidR="003F13AB" w:rsidRDefault="00A90894">
      <w:pPr>
        <w:pStyle w:val="10"/>
        <w:tabs>
          <w:tab w:val="right" w:leader="dot" w:pos="9060"/>
        </w:tabs>
        <w:rPr>
          <w:rFonts w:ascii="宋体" w:hAnsi="宋体" w:cstheme="minorBidi"/>
          <w:b w:val="0"/>
          <w:bCs w:val="0"/>
          <w:caps w:val="0"/>
          <w:color w:val="auto"/>
          <w:szCs w:val="28"/>
        </w:rPr>
      </w:pPr>
      <w:hyperlink w:anchor="_Toc187914523" w:history="1">
        <w:r w:rsidR="00EC6E7E">
          <w:rPr>
            <w:rStyle w:val="af4"/>
            <w:rFonts w:ascii="宋体" w:hAnsi="宋体" w:hint="eastAsia"/>
            <w:b w:val="0"/>
            <w:szCs w:val="28"/>
          </w:rPr>
          <w:t>附件</w:t>
        </w:r>
        <w:r w:rsidR="00EC6E7E">
          <w:rPr>
            <w:rStyle w:val="af4"/>
            <w:rFonts w:ascii="宋体" w:hAnsi="宋体"/>
            <w:b w:val="0"/>
            <w:szCs w:val="28"/>
          </w:rPr>
          <w:t xml:space="preserve">7  </w:t>
        </w:r>
        <w:r w:rsidR="00EC6E7E">
          <w:rPr>
            <w:rStyle w:val="af4"/>
            <w:rFonts w:ascii="宋体" w:hAnsi="宋体" w:hint="eastAsia"/>
            <w:b w:val="0"/>
            <w:szCs w:val="28"/>
          </w:rPr>
          <w:t>评价依据</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_Toc187914523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152</w:t>
        </w:r>
        <w:r w:rsidR="00EC6E7E">
          <w:rPr>
            <w:rFonts w:ascii="宋体" w:hAnsi="宋体"/>
            <w:b w:val="0"/>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24" w:history="1">
        <w:r w:rsidR="00EC6E7E">
          <w:rPr>
            <w:rStyle w:val="af4"/>
            <w:rFonts w:ascii="宋体" w:hAnsi="宋体"/>
            <w:szCs w:val="28"/>
          </w:rPr>
          <w:t xml:space="preserve">7.1 </w:t>
        </w:r>
        <w:r w:rsidR="00EC6E7E">
          <w:rPr>
            <w:rStyle w:val="af4"/>
            <w:rFonts w:ascii="宋体" w:hAnsi="宋体" w:hint="eastAsia"/>
            <w:szCs w:val="28"/>
          </w:rPr>
          <w:t>法律法规</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_Toc187914524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152</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25" w:history="1">
        <w:r w:rsidR="00EC6E7E">
          <w:rPr>
            <w:rStyle w:val="af4"/>
            <w:rFonts w:ascii="宋体" w:hAnsi="宋体"/>
            <w:szCs w:val="28"/>
          </w:rPr>
          <w:t xml:space="preserve">7.2 </w:t>
        </w:r>
        <w:r w:rsidR="00EC6E7E">
          <w:rPr>
            <w:rStyle w:val="af4"/>
            <w:rFonts w:ascii="宋体" w:hAnsi="宋体" w:hint="eastAsia"/>
            <w:szCs w:val="28"/>
          </w:rPr>
          <w:t>行政法规</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_Toc187914525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153</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26" w:history="1">
        <w:r w:rsidR="00EC6E7E">
          <w:rPr>
            <w:rStyle w:val="af4"/>
            <w:rFonts w:ascii="宋体" w:hAnsi="宋体"/>
            <w:szCs w:val="28"/>
          </w:rPr>
          <w:t xml:space="preserve">7.3 </w:t>
        </w:r>
        <w:r w:rsidR="00EC6E7E">
          <w:rPr>
            <w:rStyle w:val="af4"/>
            <w:rFonts w:ascii="宋体" w:hAnsi="宋体" w:hint="eastAsia"/>
            <w:szCs w:val="28"/>
          </w:rPr>
          <w:t>部门规章</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_Toc187914526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154</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27" w:history="1">
        <w:r w:rsidR="00EC6E7E">
          <w:rPr>
            <w:rStyle w:val="af4"/>
            <w:rFonts w:ascii="宋体" w:hAnsi="宋体"/>
            <w:szCs w:val="28"/>
          </w:rPr>
          <w:t>7.4</w:t>
        </w:r>
        <w:r w:rsidR="00EC6E7E">
          <w:rPr>
            <w:rStyle w:val="af4"/>
            <w:rFonts w:ascii="宋体" w:hAnsi="宋体" w:hint="eastAsia"/>
            <w:szCs w:val="28"/>
          </w:rPr>
          <w:t>地方法规及文件</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_Toc187914527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156</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28" w:history="1">
        <w:r w:rsidR="00EC6E7E">
          <w:rPr>
            <w:rStyle w:val="af4"/>
            <w:rFonts w:ascii="宋体" w:hAnsi="宋体"/>
            <w:szCs w:val="28"/>
          </w:rPr>
          <w:t xml:space="preserve">7.5 </w:t>
        </w:r>
        <w:r w:rsidR="00EC6E7E">
          <w:rPr>
            <w:rStyle w:val="af4"/>
            <w:rFonts w:ascii="宋体" w:hAnsi="宋体" w:hint="eastAsia"/>
            <w:szCs w:val="28"/>
          </w:rPr>
          <w:t>国家及行业有关规范、标准</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_Toc187914528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157</w:t>
        </w:r>
        <w:r w:rsidR="00EC6E7E">
          <w:rPr>
            <w:rFonts w:ascii="宋体" w:hAnsi="宋体"/>
            <w:szCs w:val="28"/>
          </w:rPr>
          <w:fldChar w:fldCharType="end"/>
        </w:r>
      </w:hyperlink>
    </w:p>
    <w:p w:rsidR="003F13AB" w:rsidRDefault="00A90894">
      <w:pPr>
        <w:pStyle w:val="20"/>
        <w:tabs>
          <w:tab w:val="right" w:leader="dot" w:pos="9060"/>
        </w:tabs>
        <w:ind w:firstLine="280"/>
        <w:rPr>
          <w:rFonts w:ascii="宋体" w:hAnsi="宋体" w:cstheme="minorBidi"/>
          <w:smallCaps w:val="0"/>
          <w:color w:val="auto"/>
          <w:szCs w:val="28"/>
        </w:rPr>
      </w:pPr>
      <w:hyperlink w:anchor="_Toc187914529" w:history="1">
        <w:r w:rsidR="00EC6E7E">
          <w:rPr>
            <w:rStyle w:val="af4"/>
            <w:rFonts w:ascii="宋体" w:hAnsi="宋体"/>
            <w:szCs w:val="28"/>
          </w:rPr>
          <w:t xml:space="preserve">7.6 </w:t>
        </w:r>
        <w:r w:rsidR="00EC6E7E">
          <w:rPr>
            <w:rStyle w:val="af4"/>
            <w:rFonts w:ascii="宋体" w:hAnsi="宋体" w:hint="eastAsia"/>
            <w:szCs w:val="28"/>
          </w:rPr>
          <w:t>被评价单位提供的相关资料</w:t>
        </w:r>
        <w:r w:rsidR="00EC6E7E">
          <w:rPr>
            <w:rFonts w:ascii="宋体" w:hAnsi="宋体"/>
            <w:szCs w:val="28"/>
          </w:rPr>
          <w:tab/>
        </w:r>
        <w:r w:rsidR="00EC6E7E">
          <w:rPr>
            <w:rFonts w:ascii="宋体" w:hAnsi="宋体"/>
            <w:szCs w:val="28"/>
          </w:rPr>
          <w:fldChar w:fldCharType="begin"/>
        </w:r>
        <w:r w:rsidR="00EC6E7E">
          <w:rPr>
            <w:rFonts w:ascii="宋体" w:hAnsi="宋体"/>
            <w:szCs w:val="28"/>
          </w:rPr>
          <w:instrText xml:space="preserve"> PAGEREF _Toc187914529 \h </w:instrText>
        </w:r>
        <w:r w:rsidR="00EC6E7E">
          <w:rPr>
            <w:rFonts w:ascii="宋体" w:hAnsi="宋体"/>
            <w:szCs w:val="28"/>
          </w:rPr>
        </w:r>
        <w:r w:rsidR="00EC6E7E">
          <w:rPr>
            <w:rFonts w:ascii="宋体" w:hAnsi="宋体"/>
            <w:szCs w:val="28"/>
          </w:rPr>
          <w:fldChar w:fldCharType="separate"/>
        </w:r>
        <w:r w:rsidR="00EC6E7E">
          <w:rPr>
            <w:rFonts w:ascii="宋体" w:hAnsi="宋体"/>
            <w:szCs w:val="28"/>
          </w:rPr>
          <w:t>159</w:t>
        </w:r>
        <w:r w:rsidR="00EC6E7E">
          <w:rPr>
            <w:rFonts w:ascii="宋体" w:hAnsi="宋体"/>
            <w:szCs w:val="28"/>
          </w:rPr>
          <w:fldChar w:fldCharType="end"/>
        </w:r>
      </w:hyperlink>
    </w:p>
    <w:p w:rsidR="003F13AB" w:rsidRDefault="00A90894">
      <w:pPr>
        <w:pStyle w:val="10"/>
        <w:tabs>
          <w:tab w:val="right" w:leader="dot" w:pos="9060"/>
        </w:tabs>
        <w:rPr>
          <w:rFonts w:asciiTheme="minorHAnsi" w:eastAsiaTheme="minorEastAsia" w:hAnsiTheme="minorHAnsi" w:cstheme="minorBidi"/>
          <w:b w:val="0"/>
          <w:bCs w:val="0"/>
          <w:caps w:val="0"/>
          <w:color w:val="auto"/>
          <w:sz w:val="21"/>
          <w:szCs w:val="22"/>
        </w:rPr>
      </w:pPr>
      <w:hyperlink w:anchor="_Toc187914530" w:history="1">
        <w:r w:rsidR="00EC6E7E">
          <w:rPr>
            <w:rStyle w:val="af4"/>
            <w:rFonts w:ascii="宋体" w:hAnsi="宋体" w:hint="eastAsia"/>
            <w:b w:val="0"/>
            <w:szCs w:val="28"/>
          </w:rPr>
          <w:t>附件</w:t>
        </w:r>
        <w:r w:rsidR="00EC6E7E">
          <w:rPr>
            <w:rStyle w:val="af4"/>
            <w:rFonts w:ascii="宋体" w:hAnsi="宋体"/>
            <w:b w:val="0"/>
            <w:szCs w:val="28"/>
          </w:rPr>
          <w:t xml:space="preserve">8  </w:t>
        </w:r>
        <w:r w:rsidR="00EC6E7E">
          <w:rPr>
            <w:rStyle w:val="af4"/>
            <w:rFonts w:ascii="宋体" w:hAnsi="宋体" w:hint="eastAsia"/>
            <w:b w:val="0"/>
            <w:szCs w:val="28"/>
          </w:rPr>
          <w:t>企业提供的原始资料</w:t>
        </w:r>
        <w:r w:rsidR="00EC6E7E">
          <w:rPr>
            <w:rFonts w:ascii="宋体" w:hAnsi="宋体"/>
            <w:b w:val="0"/>
            <w:szCs w:val="28"/>
          </w:rPr>
          <w:tab/>
        </w:r>
        <w:r w:rsidR="00EC6E7E">
          <w:rPr>
            <w:rFonts w:ascii="宋体" w:hAnsi="宋体"/>
            <w:b w:val="0"/>
            <w:szCs w:val="28"/>
          </w:rPr>
          <w:fldChar w:fldCharType="begin"/>
        </w:r>
        <w:r w:rsidR="00EC6E7E">
          <w:rPr>
            <w:rFonts w:ascii="宋体" w:hAnsi="宋体"/>
            <w:b w:val="0"/>
            <w:szCs w:val="28"/>
          </w:rPr>
          <w:instrText xml:space="preserve"> PAGEREF _Toc187914530 \h </w:instrText>
        </w:r>
        <w:r w:rsidR="00EC6E7E">
          <w:rPr>
            <w:rFonts w:ascii="宋体" w:hAnsi="宋体"/>
            <w:b w:val="0"/>
            <w:szCs w:val="28"/>
          </w:rPr>
        </w:r>
        <w:r w:rsidR="00EC6E7E">
          <w:rPr>
            <w:rFonts w:ascii="宋体" w:hAnsi="宋体"/>
            <w:b w:val="0"/>
            <w:szCs w:val="28"/>
          </w:rPr>
          <w:fldChar w:fldCharType="separate"/>
        </w:r>
        <w:r w:rsidR="00EC6E7E">
          <w:rPr>
            <w:rFonts w:ascii="宋体" w:hAnsi="宋体"/>
            <w:b w:val="0"/>
            <w:szCs w:val="28"/>
          </w:rPr>
          <w:t>160</w:t>
        </w:r>
        <w:r w:rsidR="00EC6E7E">
          <w:rPr>
            <w:rFonts w:ascii="宋体" w:hAnsi="宋体"/>
            <w:b w:val="0"/>
            <w:szCs w:val="28"/>
          </w:rPr>
          <w:fldChar w:fldCharType="end"/>
        </w:r>
      </w:hyperlink>
    </w:p>
    <w:p w:rsidR="003F13AB" w:rsidRDefault="00EC6E7E">
      <w:pPr>
        <w:pStyle w:val="WPSOffice1"/>
        <w:widowControl w:val="0"/>
        <w:tabs>
          <w:tab w:val="right" w:leader="dot" w:pos="9070"/>
        </w:tabs>
        <w:adjustRightInd w:val="0"/>
        <w:snapToGrid w:val="0"/>
        <w:spacing w:line="360" w:lineRule="auto"/>
        <w:jc w:val="both"/>
        <w:rPr>
          <w:kern w:val="2"/>
          <w:sz w:val="28"/>
          <w:szCs w:val="28"/>
        </w:rPr>
      </w:pPr>
      <w:r>
        <w:rPr>
          <w:bCs/>
          <w:caps/>
          <w:kern w:val="2"/>
          <w:sz w:val="28"/>
          <w:szCs w:val="28"/>
        </w:rPr>
        <w:fldChar w:fldCharType="end"/>
      </w:r>
    </w:p>
    <w:bookmarkEnd w:id="12"/>
    <w:p w:rsidR="003F13AB" w:rsidRDefault="003F13AB">
      <w:pPr>
        <w:pStyle w:val="WPSOffice1"/>
        <w:widowControl w:val="0"/>
        <w:tabs>
          <w:tab w:val="right" w:leader="dot" w:pos="9070"/>
        </w:tabs>
        <w:adjustRightInd w:val="0"/>
        <w:snapToGrid w:val="0"/>
        <w:spacing w:line="360" w:lineRule="auto"/>
        <w:jc w:val="both"/>
        <w:rPr>
          <w:rFonts w:ascii="宋体" w:hAnsi="宋体"/>
          <w:sz w:val="28"/>
          <w:szCs w:val="28"/>
        </w:rPr>
      </w:pPr>
    </w:p>
    <w:p w:rsidR="003F13AB" w:rsidRDefault="003F13AB">
      <w:pPr>
        <w:pStyle w:val="WPSOffice1"/>
        <w:widowControl w:val="0"/>
        <w:tabs>
          <w:tab w:val="right" w:leader="dot" w:pos="9070"/>
        </w:tabs>
        <w:adjustRightInd w:val="0"/>
        <w:snapToGrid w:val="0"/>
        <w:spacing w:line="360" w:lineRule="auto"/>
        <w:jc w:val="both"/>
        <w:rPr>
          <w:rFonts w:ascii="宋体" w:hAnsi="宋体"/>
          <w:sz w:val="28"/>
          <w:szCs w:val="28"/>
        </w:rPr>
        <w:sectPr w:rsidR="003F13AB">
          <w:headerReference w:type="default" r:id="rId36"/>
          <w:footerReference w:type="default" r:id="rId37"/>
          <w:pgSz w:w="11906" w:h="16838"/>
          <w:pgMar w:top="1418" w:right="1418" w:bottom="1588" w:left="1418" w:header="851" w:footer="992" w:gutter="0"/>
          <w:pgNumType w:start="1"/>
          <w:cols w:space="0"/>
          <w:docGrid w:linePitch="381"/>
        </w:sectPr>
      </w:pPr>
    </w:p>
    <w:p w:rsidR="003F13AB" w:rsidRDefault="00EC6E7E">
      <w:pPr>
        <w:pStyle w:val="1"/>
        <w:keepNext w:val="0"/>
        <w:keepLines w:val="0"/>
        <w:numPr>
          <w:ilvl w:val="0"/>
          <w:numId w:val="1"/>
        </w:numPr>
        <w:ind w:left="0" w:firstLine="0"/>
        <w:textAlignment w:val="center"/>
        <w:rPr>
          <w:rFonts w:ascii="宋体" w:hAnsi="宋体"/>
          <w:b/>
          <w:bCs w:val="0"/>
          <w:color w:val="auto"/>
          <w:szCs w:val="20"/>
        </w:rPr>
      </w:pPr>
      <w:bookmarkStart w:id="13" w:name="_Toc24480_WPSOffice_Level1"/>
      <w:bookmarkStart w:id="14" w:name="_Toc317766301"/>
      <w:bookmarkStart w:id="15" w:name="_Toc3241_WPSOffice_Level1"/>
      <w:bookmarkStart w:id="16" w:name="_Toc11293"/>
      <w:bookmarkStart w:id="17" w:name="_Toc21993"/>
      <w:bookmarkStart w:id="18" w:name="_Toc12328_WPSOffice_Level2"/>
      <w:bookmarkStart w:id="19" w:name="_Toc3942_WPSOffice_Level2"/>
      <w:bookmarkStart w:id="20" w:name="_Toc317766302"/>
      <w:bookmarkEnd w:id="13"/>
      <w:bookmarkEnd w:id="14"/>
      <w:bookmarkEnd w:id="15"/>
      <w:bookmarkEnd w:id="16"/>
      <w:r>
        <w:rPr>
          <w:rFonts w:ascii="宋体" w:hAnsi="宋体" w:hint="eastAsia"/>
          <w:b/>
          <w:bCs w:val="0"/>
          <w:color w:val="auto"/>
          <w:szCs w:val="20"/>
        </w:rPr>
        <w:lastRenderedPageBreak/>
        <w:t xml:space="preserve">  </w:t>
      </w:r>
      <w:bookmarkStart w:id="21" w:name="_Toc166857553"/>
      <w:bookmarkStart w:id="22" w:name="_Toc187914367"/>
      <w:r>
        <w:rPr>
          <w:rFonts w:ascii="宋体" w:hAnsi="宋体" w:hint="eastAsia"/>
          <w:b/>
          <w:bCs w:val="0"/>
          <w:color w:val="auto"/>
          <w:szCs w:val="20"/>
        </w:rPr>
        <w:t>安全评价工作经过</w:t>
      </w:r>
      <w:bookmarkEnd w:id="21"/>
      <w:bookmarkEnd w:id="22"/>
    </w:p>
    <w:p w:rsidR="003F13AB" w:rsidRDefault="00EC6E7E">
      <w:pPr>
        <w:pStyle w:val="2"/>
      </w:pPr>
      <w:bookmarkStart w:id="23" w:name="_Toc166857554"/>
      <w:bookmarkStart w:id="24" w:name="_Toc187914368"/>
      <w:r>
        <w:rPr>
          <w:rFonts w:hint="eastAsia"/>
        </w:rPr>
        <w:t>1.1 评价目的</w:t>
      </w:r>
      <w:bookmarkEnd w:id="17"/>
      <w:bookmarkEnd w:id="18"/>
      <w:bookmarkEnd w:id="19"/>
      <w:bookmarkEnd w:id="20"/>
      <w:bookmarkEnd w:id="23"/>
      <w:bookmarkEnd w:id="24"/>
    </w:p>
    <w:p w:rsidR="003F13AB" w:rsidRDefault="00EC6E7E">
      <w:pPr>
        <w:ind w:firstLine="560"/>
        <w:rPr>
          <w:color w:val="auto"/>
        </w:rPr>
      </w:pPr>
      <w:r>
        <w:rPr>
          <w:rFonts w:hint="eastAsia"/>
          <w:color w:val="auto"/>
        </w:rPr>
        <w:t>安全评价是以实现系统安全为目的，采用系统安全工程的原理与方法，对系统中存在的危险、有害因素进行辨识和分析，判断系统发生事故和职业病的可能性及其严重程度，从而提出合理可行的安全对策措施，指导危险源监控和事故预防，达到最低事故率、最少损失和最优的安全投资效益的目的。本次安全评价要达到的目的包括以下五个方面：</w:t>
      </w:r>
    </w:p>
    <w:p w:rsidR="003F13AB" w:rsidRDefault="00EC6E7E">
      <w:pPr>
        <w:topLinePunct/>
        <w:ind w:firstLine="560"/>
        <w:rPr>
          <w:rFonts w:ascii="宋体" w:hAnsi="宋体" w:cs="宋体"/>
          <w:color w:val="auto"/>
          <w:szCs w:val="28"/>
        </w:rPr>
      </w:pPr>
      <w:r>
        <w:rPr>
          <w:rFonts w:ascii="宋体" w:hAnsi="宋体" w:cs="宋体" w:hint="eastAsia"/>
          <w:color w:val="auto"/>
          <w:szCs w:val="28"/>
        </w:rPr>
        <w:t>1.根据国家相关法律、法规的规定和要求，为云南农家乐农业集团有限公司年产</w:t>
      </w:r>
      <w:proofErr w:type="gramStart"/>
      <w:r>
        <w:rPr>
          <w:rFonts w:ascii="宋体" w:hAnsi="宋体" w:cs="宋体" w:hint="eastAsia"/>
          <w:color w:val="auto"/>
          <w:szCs w:val="28"/>
        </w:rPr>
        <w:t>50万吨缓控释</w:t>
      </w:r>
      <w:proofErr w:type="gramEnd"/>
      <w:r>
        <w:rPr>
          <w:rFonts w:ascii="宋体" w:hAnsi="宋体" w:cs="宋体" w:hint="eastAsia"/>
          <w:color w:val="auto"/>
          <w:szCs w:val="28"/>
        </w:rPr>
        <w:t>肥料、水溶肥料、专用肥料生产基地建设项目完善相关行政审批手续提供安全验收评价报告，是本次安全评价工作的主要目的之一。</w:t>
      </w:r>
    </w:p>
    <w:p w:rsidR="003F13AB" w:rsidRDefault="00EC6E7E">
      <w:pPr>
        <w:topLinePunct/>
        <w:ind w:firstLine="560"/>
        <w:rPr>
          <w:rFonts w:ascii="宋体" w:hAnsi="宋体" w:cs="宋体"/>
          <w:color w:val="auto"/>
          <w:szCs w:val="28"/>
        </w:rPr>
      </w:pPr>
      <w:r>
        <w:rPr>
          <w:rFonts w:ascii="宋体" w:hAnsi="宋体" w:cs="宋体" w:hint="eastAsia"/>
          <w:color w:val="auto"/>
          <w:szCs w:val="28"/>
        </w:rPr>
        <w:t>2.为建设项目的安全验收提供科学依据，指导危险源监控和事故预防，以实现最低的事故率、最少的损失和最优的安全投资效益，以保证建设项目正常投入生产或使用后的安全性和可靠性。</w:t>
      </w:r>
    </w:p>
    <w:p w:rsidR="003F13AB" w:rsidRDefault="00EC6E7E">
      <w:pPr>
        <w:topLinePunct/>
        <w:ind w:firstLine="560"/>
        <w:rPr>
          <w:rFonts w:ascii="宋体" w:hAnsi="宋体" w:cs="宋体"/>
          <w:color w:val="auto"/>
          <w:szCs w:val="28"/>
        </w:rPr>
      </w:pPr>
      <w:r>
        <w:rPr>
          <w:rFonts w:ascii="宋体" w:hAnsi="宋体" w:cs="宋体" w:hint="eastAsia"/>
          <w:color w:val="auto"/>
          <w:szCs w:val="28"/>
        </w:rPr>
        <w:t>3.通过对建设项目安全设施“三同时”落实情况及设施、设备、装置实际运行状况的检查，对未达到安全目标的系统或单元提出具有针对性、可操作性和经济合理性的安全对策措施建议，以利于提高建设项目本质安全程度，满足安全生产要求。</w:t>
      </w:r>
    </w:p>
    <w:p w:rsidR="003F13AB" w:rsidRDefault="00EC6E7E">
      <w:pPr>
        <w:topLinePunct/>
        <w:ind w:firstLine="560"/>
        <w:rPr>
          <w:rFonts w:ascii="宋体" w:hAnsi="宋体" w:cs="宋体"/>
          <w:color w:val="auto"/>
          <w:szCs w:val="28"/>
        </w:rPr>
      </w:pPr>
      <w:r>
        <w:rPr>
          <w:rFonts w:ascii="宋体" w:hAnsi="宋体" w:cs="宋体" w:hint="eastAsia"/>
          <w:color w:val="auto"/>
          <w:szCs w:val="28"/>
        </w:rPr>
        <w:t>4.通过安全验收评价，云南农家乐农业集团有限公司可进一步全面了解和掌握年产</w:t>
      </w:r>
      <w:proofErr w:type="gramStart"/>
      <w:r>
        <w:rPr>
          <w:rFonts w:ascii="宋体" w:hAnsi="宋体" w:cs="宋体" w:hint="eastAsia"/>
          <w:color w:val="auto"/>
          <w:szCs w:val="28"/>
        </w:rPr>
        <w:t>50万吨缓控释</w:t>
      </w:r>
      <w:proofErr w:type="gramEnd"/>
      <w:r>
        <w:rPr>
          <w:rFonts w:ascii="宋体" w:hAnsi="宋体" w:cs="宋体" w:hint="eastAsia"/>
          <w:color w:val="auto"/>
          <w:szCs w:val="28"/>
        </w:rPr>
        <w:t>肥料、水溶肥料、专用肥料生产基地建设项目的安全生产条件和安全管理状况；并通过完善安全措施，以提高建设项目本质安全程度，保障人员的生命安全和财产安全。</w:t>
      </w:r>
    </w:p>
    <w:p w:rsidR="003F13AB" w:rsidRDefault="00EC6E7E">
      <w:pPr>
        <w:topLinePunct/>
        <w:ind w:firstLine="560"/>
        <w:rPr>
          <w:rFonts w:ascii="宋体" w:hAnsi="宋体" w:cs="宋体"/>
          <w:color w:val="auto"/>
          <w:szCs w:val="28"/>
        </w:rPr>
      </w:pPr>
      <w:r>
        <w:rPr>
          <w:rFonts w:ascii="宋体" w:hAnsi="宋体" w:cs="宋体" w:hint="eastAsia"/>
          <w:color w:val="auto"/>
          <w:szCs w:val="28"/>
        </w:rPr>
        <w:t>5.为实现年产</w:t>
      </w:r>
      <w:proofErr w:type="gramStart"/>
      <w:r>
        <w:rPr>
          <w:rFonts w:ascii="宋体" w:hAnsi="宋体" w:cs="宋体" w:hint="eastAsia"/>
          <w:color w:val="auto"/>
          <w:szCs w:val="28"/>
        </w:rPr>
        <w:t>50万吨缓控释</w:t>
      </w:r>
      <w:proofErr w:type="gramEnd"/>
      <w:r>
        <w:rPr>
          <w:rFonts w:ascii="宋体" w:hAnsi="宋体" w:cs="宋体" w:hint="eastAsia"/>
          <w:color w:val="auto"/>
          <w:szCs w:val="28"/>
        </w:rPr>
        <w:t>肥料、水溶肥料、专用肥料生产基地建设项目安全技术、安全管理的标准化和科学化创造条件，并为应急管理部门提供安全监管依据。</w:t>
      </w:r>
    </w:p>
    <w:p w:rsidR="003F13AB" w:rsidRDefault="00EC6E7E">
      <w:pPr>
        <w:pStyle w:val="2"/>
      </w:pPr>
      <w:bookmarkStart w:id="25" w:name="_Toc187914369"/>
      <w:bookmarkStart w:id="26" w:name="_Toc166857555"/>
      <w:r>
        <w:rPr>
          <w:rFonts w:hint="eastAsia"/>
        </w:rPr>
        <w:lastRenderedPageBreak/>
        <w:t>1.2 前期准备</w:t>
      </w:r>
      <w:bookmarkEnd w:id="25"/>
      <w:bookmarkEnd w:id="26"/>
    </w:p>
    <w:p w:rsidR="003F13AB" w:rsidRPr="00611B5C" w:rsidRDefault="00EC6E7E">
      <w:pPr>
        <w:topLinePunct/>
        <w:ind w:firstLine="560"/>
        <w:rPr>
          <w:rFonts w:ascii="宋体" w:hAnsi="宋体" w:cs="宋体"/>
          <w:color w:val="auto"/>
          <w:szCs w:val="28"/>
        </w:rPr>
      </w:pPr>
      <w:r w:rsidRPr="00611B5C">
        <w:rPr>
          <w:rFonts w:ascii="宋体" w:hAnsi="宋体" w:cs="宋体" w:hint="eastAsia"/>
          <w:color w:val="auto"/>
          <w:szCs w:val="28"/>
        </w:rPr>
        <w:t>在接受云南农家乐农业集团有限公司年产</w:t>
      </w:r>
      <w:proofErr w:type="gramStart"/>
      <w:r w:rsidRPr="00611B5C">
        <w:rPr>
          <w:rFonts w:ascii="宋体" w:hAnsi="宋体" w:cs="宋体" w:hint="eastAsia"/>
          <w:color w:val="auto"/>
          <w:szCs w:val="28"/>
        </w:rPr>
        <w:t>50万吨缓控释</w:t>
      </w:r>
      <w:proofErr w:type="gramEnd"/>
      <w:r w:rsidRPr="00611B5C">
        <w:rPr>
          <w:rFonts w:ascii="宋体" w:hAnsi="宋体" w:cs="宋体" w:hint="eastAsia"/>
          <w:color w:val="auto"/>
          <w:szCs w:val="28"/>
        </w:rPr>
        <w:t>肥料、水溶肥料、专用肥料生产基地建设项目安全验收评价工作的委托之前，昭通市</w:t>
      </w:r>
      <w:proofErr w:type="gramStart"/>
      <w:r w:rsidRPr="00611B5C">
        <w:rPr>
          <w:rFonts w:ascii="宋体" w:hAnsi="宋体" w:cs="宋体" w:hint="eastAsia"/>
          <w:color w:val="auto"/>
          <w:szCs w:val="28"/>
        </w:rPr>
        <w:t>鼎安科技</w:t>
      </w:r>
      <w:proofErr w:type="gramEnd"/>
      <w:r w:rsidRPr="00611B5C">
        <w:rPr>
          <w:rFonts w:ascii="宋体" w:hAnsi="宋体" w:cs="宋体" w:hint="eastAsia"/>
          <w:color w:val="auto"/>
          <w:szCs w:val="28"/>
        </w:rPr>
        <w:t>有限公司对建设项目进行了安全评价风险分析，得出本项目风险在可接受范围内。签订合同后公司立即成立项目相关安全评价组，投入该项目的安全验收评价工作。</w:t>
      </w:r>
    </w:p>
    <w:p w:rsidR="003F13AB" w:rsidRPr="00611B5C" w:rsidRDefault="00EC6E7E">
      <w:pPr>
        <w:pStyle w:val="2"/>
      </w:pPr>
      <w:bookmarkStart w:id="27" w:name="_Toc22078_WPSOffice_Level2"/>
      <w:bookmarkStart w:id="28" w:name="_Toc21459"/>
      <w:bookmarkStart w:id="29" w:name="_Toc317766307"/>
      <w:bookmarkStart w:id="30" w:name="_Toc24480_WPSOffice_Level2"/>
      <w:bookmarkStart w:id="31" w:name="_Toc166857556"/>
      <w:bookmarkStart w:id="32" w:name="_Toc187914370"/>
      <w:r w:rsidRPr="00611B5C">
        <w:rPr>
          <w:rFonts w:hint="eastAsia"/>
        </w:rPr>
        <w:t>1.3 评价对象及范围</w:t>
      </w:r>
      <w:bookmarkEnd w:id="27"/>
      <w:bookmarkEnd w:id="28"/>
      <w:bookmarkEnd w:id="29"/>
      <w:bookmarkEnd w:id="30"/>
      <w:bookmarkEnd w:id="31"/>
      <w:bookmarkEnd w:id="32"/>
    </w:p>
    <w:p w:rsidR="003F13AB" w:rsidRPr="00611B5C" w:rsidRDefault="00EC6E7E">
      <w:pPr>
        <w:topLinePunct/>
        <w:ind w:firstLine="560"/>
        <w:rPr>
          <w:rFonts w:ascii="宋体" w:hAnsi="宋体" w:cs="宋体"/>
          <w:color w:val="auto"/>
          <w:szCs w:val="28"/>
        </w:rPr>
      </w:pPr>
      <w:r w:rsidRPr="00611B5C">
        <w:rPr>
          <w:rFonts w:ascii="宋体" w:hAnsi="宋体" w:cs="宋体" w:hint="eastAsia"/>
          <w:color w:val="auto"/>
          <w:szCs w:val="28"/>
        </w:rPr>
        <w:t>评价对象：云南农家乐农业集团有限公司</w:t>
      </w:r>
    </w:p>
    <w:p w:rsidR="003F13AB" w:rsidRPr="00611B5C" w:rsidRDefault="00EC6E7E">
      <w:pPr>
        <w:topLinePunct/>
        <w:ind w:firstLine="560"/>
        <w:rPr>
          <w:rFonts w:ascii="宋体" w:hAnsi="宋体" w:cs="宋体"/>
          <w:color w:val="auto"/>
          <w:szCs w:val="28"/>
        </w:rPr>
      </w:pPr>
      <w:r w:rsidRPr="00611B5C">
        <w:rPr>
          <w:rFonts w:ascii="宋体" w:hAnsi="宋体" w:cs="宋体" w:hint="eastAsia"/>
          <w:color w:val="auto"/>
          <w:szCs w:val="28"/>
        </w:rPr>
        <w:t>评价范围：云南农家乐农业集团有限公司年产</w:t>
      </w:r>
      <w:proofErr w:type="gramStart"/>
      <w:r w:rsidRPr="00611B5C">
        <w:rPr>
          <w:rFonts w:ascii="宋体" w:hAnsi="宋体" w:cs="宋体" w:hint="eastAsia"/>
          <w:color w:val="auto"/>
          <w:szCs w:val="28"/>
        </w:rPr>
        <w:t>50万吨缓控释</w:t>
      </w:r>
      <w:proofErr w:type="gramEnd"/>
      <w:r w:rsidRPr="00611B5C">
        <w:rPr>
          <w:rFonts w:ascii="宋体" w:hAnsi="宋体" w:cs="宋体" w:hint="eastAsia"/>
          <w:color w:val="auto"/>
          <w:szCs w:val="28"/>
        </w:rPr>
        <w:t>肥料、水溶肥料、专用肥料生产基地建设项目周边环境、总平面布置、工艺及设施、安全设施、公用设施、安全管理等内容。</w:t>
      </w:r>
    </w:p>
    <w:p w:rsidR="003F13AB" w:rsidRPr="00611B5C" w:rsidRDefault="00EC6E7E">
      <w:pPr>
        <w:topLinePunct/>
        <w:ind w:firstLine="560"/>
        <w:rPr>
          <w:rFonts w:ascii="宋体" w:hAnsi="宋体" w:cs="宋体"/>
          <w:color w:val="auto"/>
          <w:szCs w:val="28"/>
        </w:rPr>
      </w:pPr>
      <w:r w:rsidRPr="00611B5C">
        <w:rPr>
          <w:rFonts w:ascii="宋体" w:hAnsi="宋体" w:cs="宋体" w:hint="eastAsia"/>
          <w:color w:val="auto"/>
          <w:szCs w:val="28"/>
        </w:rPr>
        <w:t>云南农家乐农业集团有限公司年产</w:t>
      </w:r>
      <w:proofErr w:type="gramStart"/>
      <w:r w:rsidRPr="00611B5C">
        <w:rPr>
          <w:rFonts w:ascii="宋体" w:hAnsi="宋体" w:cs="宋体" w:hint="eastAsia"/>
          <w:color w:val="auto"/>
          <w:szCs w:val="28"/>
        </w:rPr>
        <w:t>50万吨缓控释</w:t>
      </w:r>
      <w:proofErr w:type="gramEnd"/>
      <w:r w:rsidRPr="00611B5C">
        <w:rPr>
          <w:rFonts w:ascii="宋体" w:hAnsi="宋体" w:cs="宋体" w:hint="eastAsia"/>
          <w:color w:val="auto"/>
          <w:szCs w:val="28"/>
        </w:rPr>
        <w:t>肥料、水溶肥料、专用肥料生产基地建设项目主要建设内容如下表：</w:t>
      </w:r>
    </w:p>
    <w:p w:rsidR="003F13AB" w:rsidRPr="00611B5C" w:rsidRDefault="00EC6E7E">
      <w:pPr>
        <w:pStyle w:val="Default1"/>
        <w:jc w:val="center"/>
        <w:rPr>
          <w:rFonts w:ascii="宋体" w:hAnsi="宋体" w:hint="default"/>
          <w:color w:val="auto"/>
          <w:sz w:val="28"/>
          <w:szCs w:val="28"/>
        </w:rPr>
      </w:pPr>
      <w:r w:rsidRPr="00611B5C">
        <w:rPr>
          <w:rFonts w:ascii="宋体" w:hAnsi="宋体"/>
          <w:color w:val="auto"/>
          <w:sz w:val="28"/>
          <w:szCs w:val="28"/>
        </w:rPr>
        <w:t>表1.3-1 项目主要建设内容表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1386"/>
        <w:gridCol w:w="6929"/>
      </w:tblGrid>
      <w:tr w:rsidR="003F13AB" w:rsidRPr="00611B5C">
        <w:trPr>
          <w:trHeight w:val="90"/>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序号</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名称</w:t>
            </w:r>
          </w:p>
        </w:tc>
        <w:tc>
          <w:tcPr>
            <w:tcW w:w="3819"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建设内容</w:t>
            </w:r>
          </w:p>
        </w:tc>
      </w:tr>
      <w:tr w:rsidR="003F13AB" w:rsidRPr="00611B5C">
        <w:trPr>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1</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综合办公楼</w:t>
            </w:r>
          </w:p>
        </w:tc>
        <w:tc>
          <w:tcPr>
            <w:tcW w:w="3819" w:type="pct"/>
            <w:vAlign w:val="center"/>
          </w:tcPr>
          <w:p w:rsidR="003F13AB" w:rsidRPr="00611B5C" w:rsidRDefault="00EC6E7E">
            <w:pPr>
              <w:adjustRightInd/>
              <w:snapToGrid/>
              <w:spacing w:line="240" w:lineRule="auto"/>
              <w:ind w:firstLineChars="0" w:firstLine="0"/>
              <w:rPr>
                <w:rFonts w:ascii="宋体" w:hAnsi="宋体" w:cs="宋体"/>
                <w:color w:val="auto"/>
                <w:sz w:val="21"/>
                <w:szCs w:val="21"/>
              </w:rPr>
            </w:pPr>
            <w:r w:rsidRPr="00611B5C">
              <w:rPr>
                <w:rFonts w:ascii="宋体" w:hAnsi="宋体" w:cs="宋体" w:hint="eastAsia"/>
                <w:color w:val="auto"/>
                <w:sz w:val="21"/>
                <w:szCs w:val="21"/>
              </w:rPr>
              <w:t>办公楼为收购项目场地时保留的建筑物，总占地面积1110.52m</w:t>
            </w:r>
            <w:r w:rsidRPr="00611B5C">
              <w:rPr>
                <w:rFonts w:ascii="宋体" w:hAnsi="宋体" w:cs="宋体" w:hint="eastAsia"/>
                <w:color w:val="auto"/>
                <w:sz w:val="21"/>
                <w:szCs w:val="21"/>
                <w:vertAlign w:val="superscript"/>
              </w:rPr>
              <w:t>2</w:t>
            </w:r>
            <w:r w:rsidRPr="00611B5C">
              <w:rPr>
                <w:rFonts w:ascii="宋体" w:hAnsi="宋体" w:cs="宋体" w:hint="eastAsia"/>
                <w:color w:val="auto"/>
                <w:sz w:val="21"/>
                <w:szCs w:val="21"/>
              </w:rPr>
              <w:t>，总建筑面积为3677.17m</w:t>
            </w:r>
            <w:r w:rsidRPr="00611B5C">
              <w:rPr>
                <w:rFonts w:ascii="宋体" w:hAnsi="宋体" w:cs="宋体" w:hint="eastAsia"/>
                <w:color w:val="auto"/>
                <w:sz w:val="21"/>
                <w:szCs w:val="21"/>
                <w:vertAlign w:val="superscript"/>
              </w:rPr>
              <w:t>2</w:t>
            </w:r>
            <w:r w:rsidRPr="00611B5C">
              <w:rPr>
                <w:rFonts w:ascii="宋体" w:hAnsi="宋体" w:cs="宋体" w:hint="eastAsia"/>
                <w:color w:val="auto"/>
                <w:sz w:val="21"/>
                <w:szCs w:val="21"/>
              </w:rPr>
              <w:t>，建筑高度15.30m，为框架结构。办公楼一层设置主控制室、接待室、化验室、餐厅；二层、三层为办公室。办公楼承担办公、生产主控、化验、质检及产品展厅等工作。</w:t>
            </w:r>
          </w:p>
        </w:tc>
      </w:tr>
      <w:tr w:rsidR="003F13AB" w:rsidRPr="00611B5C">
        <w:trPr>
          <w:trHeight w:val="650"/>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2</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原料仓库</w:t>
            </w:r>
          </w:p>
        </w:tc>
        <w:tc>
          <w:tcPr>
            <w:tcW w:w="3819" w:type="pct"/>
            <w:vAlign w:val="center"/>
          </w:tcPr>
          <w:p w:rsidR="003F13AB" w:rsidRPr="00611B5C" w:rsidRDefault="00EC6E7E">
            <w:pPr>
              <w:adjustRightInd/>
              <w:snapToGrid/>
              <w:spacing w:line="240" w:lineRule="auto"/>
              <w:ind w:firstLineChars="0" w:firstLine="0"/>
              <w:rPr>
                <w:rFonts w:ascii="宋体" w:hAnsi="宋体" w:cs="宋体"/>
                <w:color w:val="auto"/>
                <w:sz w:val="21"/>
                <w:szCs w:val="21"/>
              </w:rPr>
            </w:pPr>
            <w:r w:rsidRPr="00611B5C">
              <w:rPr>
                <w:rFonts w:ascii="宋体" w:hAnsi="宋体" w:cs="宋体" w:hint="eastAsia"/>
                <w:color w:val="auto"/>
                <w:sz w:val="21"/>
                <w:szCs w:val="21"/>
              </w:rPr>
              <w:t>原料仓库为1层建筑物，总占地面积为8811.59m</w:t>
            </w:r>
            <w:r w:rsidRPr="00611B5C">
              <w:rPr>
                <w:rFonts w:ascii="宋体" w:hAnsi="宋体" w:cs="宋体" w:hint="eastAsia"/>
                <w:color w:val="auto"/>
                <w:sz w:val="21"/>
                <w:szCs w:val="21"/>
                <w:vertAlign w:val="superscript"/>
              </w:rPr>
              <w:t>2</w:t>
            </w:r>
            <w:r w:rsidRPr="00611B5C">
              <w:rPr>
                <w:rFonts w:ascii="宋体" w:hAnsi="宋体" w:cs="宋体" w:hint="eastAsia"/>
                <w:color w:val="auto"/>
                <w:sz w:val="21"/>
                <w:szCs w:val="21"/>
              </w:rPr>
              <w:t>，总建筑面积为8811.59m</w:t>
            </w:r>
            <w:r w:rsidRPr="00611B5C">
              <w:rPr>
                <w:rFonts w:ascii="宋体" w:hAnsi="宋体" w:cs="宋体" w:hint="eastAsia"/>
                <w:color w:val="auto"/>
                <w:sz w:val="21"/>
                <w:szCs w:val="21"/>
                <w:vertAlign w:val="superscript"/>
              </w:rPr>
              <w:t>2</w:t>
            </w:r>
            <w:r w:rsidRPr="00611B5C">
              <w:rPr>
                <w:rFonts w:ascii="宋体" w:hAnsi="宋体" w:cs="宋体" w:hint="eastAsia"/>
                <w:color w:val="auto"/>
                <w:sz w:val="21"/>
                <w:szCs w:val="21"/>
              </w:rPr>
              <w:t>，建筑高度15.33m，为门式钢架结构。</w:t>
            </w:r>
          </w:p>
        </w:tc>
      </w:tr>
      <w:tr w:rsidR="003F13AB" w:rsidRPr="00611B5C">
        <w:trPr>
          <w:trHeight w:val="167"/>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3</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丙类仓库</w:t>
            </w:r>
          </w:p>
        </w:tc>
        <w:tc>
          <w:tcPr>
            <w:tcW w:w="3819" w:type="pct"/>
            <w:vAlign w:val="center"/>
          </w:tcPr>
          <w:p w:rsidR="003F13AB" w:rsidRPr="00611B5C" w:rsidRDefault="00EC6E7E">
            <w:pPr>
              <w:adjustRightInd/>
              <w:snapToGrid/>
              <w:spacing w:line="240" w:lineRule="auto"/>
              <w:ind w:firstLineChars="0" w:firstLine="0"/>
              <w:rPr>
                <w:rFonts w:ascii="宋体" w:hAnsi="宋体" w:cs="宋体"/>
                <w:color w:val="auto"/>
                <w:sz w:val="21"/>
                <w:szCs w:val="21"/>
              </w:rPr>
            </w:pPr>
            <w:r w:rsidRPr="00611B5C">
              <w:rPr>
                <w:rFonts w:ascii="宋体" w:hAnsi="宋体" w:cs="宋体" w:hint="eastAsia"/>
                <w:color w:val="auto"/>
                <w:sz w:val="21"/>
                <w:szCs w:val="21"/>
              </w:rPr>
              <w:t>丙类仓库为1层建筑物，总占地面积为761.39m</w:t>
            </w:r>
            <w:r w:rsidRPr="00611B5C">
              <w:rPr>
                <w:rFonts w:ascii="宋体" w:hAnsi="宋体" w:cs="宋体" w:hint="eastAsia"/>
                <w:color w:val="auto"/>
                <w:sz w:val="21"/>
                <w:szCs w:val="21"/>
                <w:vertAlign w:val="superscript"/>
              </w:rPr>
              <w:t>2</w:t>
            </w:r>
            <w:r w:rsidRPr="00611B5C">
              <w:rPr>
                <w:rFonts w:ascii="宋体" w:hAnsi="宋体" w:cs="宋体" w:hint="eastAsia"/>
                <w:color w:val="auto"/>
                <w:sz w:val="21"/>
                <w:szCs w:val="21"/>
              </w:rPr>
              <w:t>，总建筑面积为761.39m</w:t>
            </w:r>
            <w:r w:rsidRPr="00611B5C">
              <w:rPr>
                <w:rFonts w:ascii="宋体" w:hAnsi="宋体" w:cs="宋体" w:hint="eastAsia"/>
                <w:color w:val="auto"/>
                <w:sz w:val="21"/>
                <w:szCs w:val="21"/>
                <w:vertAlign w:val="superscript"/>
              </w:rPr>
              <w:t>2</w:t>
            </w:r>
            <w:r w:rsidRPr="00611B5C">
              <w:rPr>
                <w:rFonts w:ascii="宋体" w:hAnsi="宋体" w:cs="宋体" w:hint="eastAsia"/>
                <w:color w:val="auto"/>
                <w:sz w:val="21"/>
                <w:szCs w:val="21"/>
              </w:rPr>
              <w:t>，建筑高度12.95m，为门式钢架结构。根据功能需求，分隔为尿素仓库、包材库和废包材库，丙类仓库内部地下设置500m</w:t>
            </w:r>
            <w:r w:rsidRPr="00611B5C">
              <w:rPr>
                <w:rFonts w:ascii="宋体" w:hAnsi="宋体" w:cs="宋体" w:hint="eastAsia"/>
                <w:color w:val="auto"/>
                <w:sz w:val="21"/>
                <w:szCs w:val="21"/>
                <w:vertAlign w:val="superscript"/>
              </w:rPr>
              <w:t>3</w:t>
            </w:r>
            <w:r w:rsidRPr="00611B5C">
              <w:rPr>
                <w:rFonts w:ascii="宋体" w:hAnsi="宋体" w:cs="宋体" w:hint="eastAsia"/>
                <w:color w:val="auto"/>
                <w:sz w:val="21"/>
                <w:szCs w:val="21"/>
              </w:rPr>
              <w:t>的</w:t>
            </w:r>
            <w:proofErr w:type="gramStart"/>
            <w:r w:rsidRPr="00611B5C">
              <w:rPr>
                <w:rFonts w:ascii="宋体" w:hAnsi="宋体" w:cs="宋体" w:hint="eastAsia"/>
                <w:color w:val="auto"/>
                <w:sz w:val="21"/>
                <w:szCs w:val="21"/>
              </w:rPr>
              <w:t>地下式</w:t>
            </w:r>
            <w:proofErr w:type="gramEnd"/>
            <w:r w:rsidRPr="00611B5C">
              <w:rPr>
                <w:rFonts w:ascii="宋体" w:hAnsi="宋体" w:cs="宋体" w:hint="eastAsia"/>
                <w:color w:val="auto"/>
                <w:sz w:val="21"/>
                <w:szCs w:val="21"/>
              </w:rPr>
              <w:t>循环冷却水池。</w:t>
            </w:r>
          </w:p>
        </w:tc>
      </w:tr>
      <w:tr w:rsidR="003F13AB" w:rsidRPr="00611B5C">
        <w:trPr>
          <w:trHeight w:val="247"/>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4</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生产厂房</w:t>
            </w:r>
          </w:p>
        </w:tc>
        <w:tc>
          <w:tcPr>
            <w:tcW w:w="3819" w:type="pct"/>
            <w:vAlign w:val="center"/>
          </w:tcPr>
          <w:p w:rsidR="003F13AB" w:rsidRPr="00611B5C" w:rsidRDefault="00EC6E7E">
            <w:pPr>
              <w:adjustRightInd/>
              <w:snapToGrid/>
              <w:spacing w:line="240" w:lineRule="auto"/>
              <w:ind w:firstLineChars="0" w:firstLine="0"/>
              <w:rPr>
                <w:rFonts w:ascii="宋体" w:hAnsi="宋体" w:cs="宋体"/>
                <w:color w:val="auto"/>
                <w:sz w:val="21"/>
                <w:szCs w:val="21"/>
              </w:rPr>
            </w:pPr>
            <w:r w:rsidRPr="00611B5C">
              <w:rPr>
                <w:rFonts w:ascii="宋体" w:hAnsi="宋体" w:cs="宋体" w:hint="eastAsia"/>
                <w:color w:val="auto"/>
                <w:sz w:val="21"/>
                <w:szCs w:val="21"/>
              </w:rPr>
              <w:t>生产厂房总占地面积为3580.79m</w:t>
            </w:r>
            <w:r w:rsidRPr="00611B5C">
              <w:rPr>
                <w:rFonts w:ascii="宋体" w:hAnsi="宋体" w:cs="宋体" w:hint="eastAsia"/>
                <w:color w:val="auto"/>
                <w:sz w:val="21"/>
                <w:szCs w:val="21"/>
                <w:vertAlign w:val="superscript"/>
              </w:rPr>
              <w:t>2</w:t>
            </w:r>
            <w:r w:rsidRPr="00611B5C">
              <w:rPr>
                <w:rFonts w:ascii="宋体" w:hAnsi="宋体" w:cs="宋体" w:hint="eastAsia"/>
                <w:color w:val="auto"/>
                <w:sz w:val="21"/>
                <w:szCs w:val="21"/>
              </w:rPr>
              <w:t>，总建筑面积为3580.79m</w:t>
            </w:r>
            <w:r w:rsidRPr="00611B5C">
              <w:rPr>
                <w:rFonts w:ascii="宋体" w:hAnsi="宋体" w:cs="宋体" w:hint="eastAsia"/>
                <w:color w:val="auto"/>
                <w:sz w:val="21"/>
                <w:szCs w:val="21"/>
                <w:vertAlign w:val="superscript"/>
              </w:rPr>
              <w:t>2</w:t>
            </w:r>
            <w:r w:rsidRPr="00611B5C">
              <w:rPr>
                <w:rFonts w:ascii="宋体" w:hAnsi="宋体" w:cs="宋体" w:hint="eastAsia"/>
                <w:color w:val="auto"/>
                <w:sz w:val="21"/>
                <w:szCs w:val="21"/>
              </w:rPr>
              <w:t>，为钢筋混凝土框架结构。根据工艺要求，设置1套高塔造粒生产线、1套转鼓半浆法造粒生产线、1套挤压生产线、3套掺混生产线、1套液体水溶肥生产线。造粒塔直径为20.4m（外径）、高119m。其他生产装置区为1层建筑物，高23.9m，设备分多层布置。生产厂房内配套建设锅炉房、车间配电室。</w:t>
            </w:r>
          </w:p>
        </w:tc>
      </w:tr>
      <w:tr w:rsidR="003F13AB" w:rsidRPr="00611B5C">
        <w:trPr>
          <w:trHeight w:val="888"/>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5</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成品仓库</w:t>
            </w:r>
          </w:p>
        </w:tc>
        <w:tc>
          <w:tcPr>
            <w:tcW w:w="3819" w:type="pct"/>
            <w:vAlign w:val="center"/>
          </w:tcPr>
          <w:p w:rsidR="003F13AB" w:rsidRPr="00611B5C" w:rsidRDefault="00EC6E7E">
            <w:pPr>
              <w:adjustRightInd/>
              <w:snapToGrid/>
              <w:spacing w:line="240" w:lineRule="auto"/>
              <w:ind w:firstLineChars="0" w:firstLine="0"/>
              <w:rPr>
                <w:rFonts w:ascii="宋体" w:hAnsi="宋体" w:cs="宋体"/>
                <w:color w:val="auto"/>
                <w:sz w:val="21"/>
                <w:szCs w:val="21"/>
              </w:rPr>
            </w:pPr>
            <w:r w:rsidRPr="00611B5C">
              <w:rPr>
                <w:rFonts w:ascii="宋体" w:hAnsi="宋体" w:cs="宋体" w:hint="eastAsia"/>
                <w:color w:val="auto"/>
                <w:sz w:val="21"/>
                <w:szCs w:val="21"/>
              </w:rPr>
              <w:t>成品仓库为1层建筑物，总占地面积为18031.75m</w:t>
            </w:r>
            <w:r w:rsidRPr="00611B5C">
              <w:rPr>
                <w:rFonts w:ascii="宋体" w:hAnsi="宋体" w:cs="宋体" w:hint="eastAsia"/>
                <w:color w:val="auto"/>
                <w:sz w:val="21"/>
                <w:szCs w:val="21"/>
                <w:vertAlign w:val="superscript"/>
              </w:rPr>
              <w:t>2</w:t>
            </w:r>
            <w:r w:rsidRPr="00611B5C">
              <w:rPr>
                <w:rFonts w:ascii="宋体" w:hAnsi="宋体" w:cs="宋体" w:hint="eastAsia"/>
                <w:color w:val="auto"/>
                <w:sz w:val="21"/>
                <w:szCs w:val="21"/>
              </w:rPr>
              <w:t>，总建筑面积为18031.75m</w:t>
            </w:r>
            <w:r w:rsidRPr="00611B5C">
              <w:rPr>
                <w:rFonts w:ascii="宋体" w:hAnsi="宋体" w:cs="宋体" w:hint="eastAsia"/>
                <w:color w:val="auto"/>
                <w:sz w:val="21"/>
                <w:szCs w:val="21"/>
                <w:vertAlign w:val="superscript"/>
              </w:rPr>
              <w:t>2</w:t>
            </w:r>
            <w:r w:rsidRPr="00611B5C">
              <w:rPr>
                <w:rFonts w:ascii="宋体" w:hAnsi="宋体" w:cs="宋体" w:hint="eastAsia"/>
                <w:color w:val="auto"/>
                <w:sz w:val="21"/>
                <w:szCs w:val="21"/>
              </w:rPr>
              <w:t>，建筑高度15.33m，为门式钢架结构。</w:t>
            </w:r>
          </w:p>
        </w:tc>
      </w:tr>
      <w:tr w:rsidR="003F13AB" w:rsidRPr="00611B5C">
        <w:trPr>
          <w:trHeight w:val="64"/>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6</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门卫室</w:t>
            </w:r>
          </w:p>
        </w:tc>
        <w:tc>
          <w:tcPr>
            <w:tcW w:w="3819" w:type="pct"/>
            <w:vAlign w:val="center"/>
          </w:tcPr>
          <w:p w:rsidR="003F13AB" w:rsidRPr="00611B5C" w:rsidRDefault="00EC6E7E">
            <w:pPr>
              <w:adjustRightInd/>
              <w:snapToGrid/>
              <w:spacing w:line="240" w:lineRule="auto"/>
              <w:ind w:firstLineChars="0" w:firstLine="0"/>
              <w:jc w:val="left"/>
              <w:rPr>
                <w:rFonts w:ascii="宋体" w:hAnsi="宋体" w:cs="宋体"/>
                <w:color w:val="auto"/>
                <w:sz w:val="21"/>
                <w:szCs w:val="21"/>
              </w:rPr>
            </w:pPr>
            <w:r w:rsidRPr="00611B5C">
              <w:rPr>
                <w:rFonts w:ascii="宋体" w:hAnsi="宋体" w:cs="宋体" w:hint="eastAsia"/>
                <w:color w:val="auto"/>
                <w:sz w:val="21"/>
                <w:szCs w:val="21"/>
              </w:rPr>
              <w:t>1层，利旧；</w:t>
            </w:r>
          </w:p>
        </w:tc>
      </w:tr>
      <w:tr w:rsidR="003F13AB" w:rsidRPr="00611B5C">
        <w:trPr>
          <w:trHeight w:val="836"/>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7</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给水</w:t>
            </w:r>
          </w:p>
        </w:tc>
        <w:tc>
          <w:tcPr>
            <w:tcW w:w="3819" w:type="pct"/>
            <w:vAlign w:val="center"/>
          </w:tcPr>
          <w:p w:rsidR="003F13AB" w:rsidRPr="00611B5C" w:rsidRDefault="00EC6E7E">
            <w:pPr>
              <w:adjustRightInd/>
              <w:snapToGrid/>
              <w:spacing w:line="240" w:lineRule="auto"/>
              <w:ind w:firstLineChars="0" w:firstLine="0"/>
              <w:jc w:val="left"/>
              <w:rPr>
                <w:rFonts w:ascii="宋体" w:hAnsi="宋体" w:cs="宋体"/>
                <w:color w:val="auto"/>
                <w:sz w:val="21"/>
                <w:szCs w:val="21"/>
              </w:rPr>
            </w:pPr>
            <w:r w:rsidRPr="00611B5C">
              <w:rPr>
                <w:rFonts w:ascii="宋体" w:hAnsi="宋体" w:cs="宋体" w:hint="eastAsia"/>
                <w:color w:val="auto"/>
                <w:sz w:val="21"/>
                <w:szCs w:val="21"/>
              </w:rPr>
              <w:t>本项目供水由园区供水管网供给，沿区内主要道路布置成环状，供给各用水点，可满足项目生产用水需求，给水管材采用镀锌钢管，采用直埋式敷设。设计供水压力0.30Mpa，供水主管管径DNl00。</w:t>
            </w:r>
          </w:p>
        </w:tc>
      </w:tr>
      <w:tr w:rsidR="003F13AB" w:rsidRPr="00611B5C">
        <w:trPr>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lastRenderedPageBreak/>
              <w:t>8</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消防</w:t>
            </w:r>
          </w:p>
        </w:tc>
        <w:tc>
          <w:tcPr>
            <w:tcW w:w="3819" w:type="pct"/>
            <w:vAlign w:val="center"/>
          </w:tcPr>
          <w:p w:rsidR="003F13AB" w:rsidRPr="00611B5C" w:rsidRDefault="00EC6E7E">
            <w:pPr>
              <w:adjustRightInd/>
              <w:snapToGrid/>
              <w:spacing w:line="240" w:lineRule="auto"/>
              <w:ind w:firstLineChars="0" w:firstLine="0"/>
              <w:jc w:val="left"/>
              <w:rPr>
                <w:rFonts w:ascii="宋体" w:hAnsi="宋体" w:cs="宋体"/>
                <w:color w:val="auto"/>
                <w:sz w:val="21"/>
                <w:szCs w:val="21"/>
              </w:rPr>
            </w:pPr>
            <w:r w:rsidRPr="00611B5C">
              <w:rPr>
                <w:rFonts w:ascii="宋体" w:hAnsi="宋体" w:cs="宋体" w:hint="eastAsia"/>
                <w:color w:val="auto"/>
                <w:sz w:val="21"/>
                <w:szCs w:val="21"/>
              </w:rPr>
              <w:t>本项目供水来自昆明晋宁区二街工业园水管网，园区已经有完善的供水设施，供水管道口径为DN100，水压为0.3MPa。本项目用水主要为生产用水、生活用水、绿化用水及消防用水，生产用水主要为烟囱环保除尘循环喷淋补水、循环冷却水补水和锅炉补水。年用水量为69440m</w:t>
            </w:r>
            <w:r w:rsidRPr="00611B5C">
              <w:rPr>
                <w:rFonts w:ascii="宋体" w:hAnsi="宋体" w:cs="宋体" w:hint="eastAsia"/>
                <w:color w:val="auto"/>
                <w:sz w:val="21"/>
                <w:szCs w:val="21"/>
                <w:vertAlign w:val="superscript"/>
              </w:rPr>
              <w:t>3</w:t>
            </w:r>
            <w:r w:rsidRPr="00611B5C">
              <w:rPr>
                <w:rFonts w:ascii="宋体" w:hAnsi="宋体" w:cs="宋体" w:hint="eastAsia"/>
                <w:color w:val="auto"/>
                <w:sz w:val="21"/>
                <w:szCs w:val="21"/>
              </w:rPr>
              <w:t>。</w:t>
            </w:r>
          </w:p>
        </w:tc>
      </w:tr>
      <w:tr w:rsidR="003F13AB" w:rsidRPr="00611B5C">
        <w:trPr>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9</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排水</w:t>
            </w:r>
          </w:p>
        </w:tc>
        <w:tc>
          <w:tcPr>
            <w:tcW w:w="3819" w:type="pct"/>
            <w:vAlign w:val="center"/>
          </w:tcPr>
          <w:p w:rsidR="003F13AB" w:rsidRPr="00611B5C" w:rsidRDefault="00EC6E7E">
            <w:pPr>
              <w:adjustRightInd/>
              <w:snapToGrid/>
              <w:spacing w:line="240" w:lineRule="auto"/>
              <w:ind w:firstLineChars="0" w:firstLine="0"/>
              <w:jc w:val="left"/>
              <w:rPr>
                <w:rFonts w:ascii="宋体" w:hAnsi="宋体" w:cs="宋体"/>
                <w:color w:val="auto"/>
                <w:sz w:val="21"/>
                <w:szCs w:val="21"/>
              </w:rPr>
            </w:pPr>
            <w:r w:rsidRPr="00611B5C">
              <w:rPr>
                <w:rFonts w:ascii="宋体" w:hAnsi="宋体" w:cs="宋体" w:hint="eastAsia"/>
                <w:color w:val="auto"/>
                <w:sz w:val="21"/>
                <w:szCs w:val="21"/>
              </w:rPr>
              <w:t>实行雨污、清污分流，清净雨水通过厂区雨水排放系统汇入园区排水沟。</w:t>
            </w:r>
          </w:p>
        </w:tc>
      </w:tr>
      <w:tr w:rsidR="003F13AB" w:rsidRPr="00611B5C">
        <w:trPr>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10</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配电</w:t>
            </w:r>
          </w:p>
        </w:tc>
        <w:tc>
          <w:tcPr>
            <w:tcW w:w="3819" w:type="pct"/>
            <w:vAlign w:val="center"/>
          </w:tcPr>
          <w:p w:rsidR="003F13AB" w:rsidRPr="00611B5C" w:rsidRDefault="00EC6E7E">
            <w:pPr>
              <w:adjustRightInd/>
              <w:snapToGrid/>
              <w:spacing w:line="240" w:lineRule="auto"/>
              <w:ind w:firstLineChars="0" w:firstLine="0"/>
              <w:jc w:val="left"/>
              <w:rPr>
                <w:rFonts w:ascii="宋体" w:hAnsi="宋体" w:cs="宋体"/>
                <w:color w:val="auto"/>
                <w:sz w:val="21"/>
                <w:szCs w:val="21"/>
              </w:rPr>
            </w:pPr>
            <w:r w:rsidRPr="00611B5C">
              <w:rPr>
                <w:rFonts w:ascii="宋体" w:hAnsi="宋体" w:cs="宋体" w:hint="eastAsia"/>
                <w:color w:val="auto"/>
                <w:sz w:val="21"/>
                <w:szCs w:val="21"/>
              </w:rPr>
              <w:t>项目电源来自昆明晋宁区二街工业园市政电网。园区已经设置10kV线路至园区道路边，10kV电力线路位于厂址北侧，由10kV电线引至本项目自建10kV变配电室，然后再分配到厂内各用电负荷区。供电能满足运营用电要求，电力稳定、充足，供电有保证。</w:t>
            </w:r>
          </w:p>
        </w:tc>
      </w:tr>
      <w:tr w:rsidR="003F13AB" w:rsidRPr="00611B5C">
        <w:trPr>
          <w:jc w:val="center"/>
        </w:trPr>
        <w:tc>
          <w:tcPr>
            <w:tcW w:w="417"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11</w:t>
            </w:r>
          </w:p>
        </w:tc>
        <w:tc>
          <w:tcPr>
            <w:tcW w:w="764" w:type="pct"/>
            <w:vAlign w:val="center"/>
          </w:tcPr>
          <w:p w:rsidR="003F13AB" w:rsidRPr="00611B5C" w:rsidRDefault="00EC6E7E">
            <w:pPr>
              <w:adjustRightInd/>
              <w:snapToGrid/>
              <w:spacing w:line="240" w:lineRule="auto"/>
              <w:ind w:firstLineChars="0" w:firstLine="0"/>
              <w:jc w:val="center"/>
              <w:rPr>
                <w:rFonts w:ascii="宋体" w:hAnsi="宋体" w:cs="宋体"/>
                <w:color w:val="auto"/>
                <w:sz w:val="21"/>
                <w:szCs w:val="21"/>
              </w:rPr>
            </w:pPr>
            <w:r w:rsidRPr="00611B5C">
              <w:rPr>
                <w:rFonts w:ascii="宋体" w:hAnsi="宋体" w:cs="宋体" w:hint="eastAsia"/>
                <w:color w:val="auto"/>
                <w:sz w:val="21"/>
                <w:szCs w:val="21"/>
              </w:rPr>
              <w:t>供气</w:t>
            </w:r>
          </w:p>
        </w:tc>
        <w:tc>
          <w:tcPr>
            <w:tcW w:w="3819" w:type="pct"/>
            <w:vAlign w:val="center"/>
          </w:tcPr>
          <w:p w:rsidR="003F13AB" w:rsidRPr="00611B5C" w:rsidRDefault="00EC6E7E">
            <w:pPr>
              <w:adjustRightInd/>
              <w:snapToGrid/>
              <w:spacing w:line="240" w:lineRule="auto"/>
              <w:ind w:firstLineChars="0" w:firstLine="0"/>
              <w:jc w:val="left"/>
              <w:rPr>
                <w:rFonts w:ascii="宋体" w:hAnsi="宋体" w:cs="宋体"/>
                <w:color w:val="auto"/>
                <w:sz w:val="21"/>
                <w:szCs w:val="21"/>
              </w:rPr>
            </w:pPr>
            <w:r w:rsidRPr="00611B5C">
              <w:rPr>
                <w:rFonts w:ascii="宋体" w:hAnsi="宋体" w:cs="宋体" w:hint="eastAsia"/>
                <w:color w:val="auto"/>
                <w:sz w:val="21"/>
                <w:szCs w:val="21"/>
              </w:rPr>
              <w:t>项目锅炉和热风炉使用天然气，天然气总管切断阀之后的部分在本项目评价范围内，天然气总管切断阀之前的部分由燃气公司负责。项目补充蒸汽由厂区北面云南</w:t>
            </w:r>
            <w:proofErr w:type="gramStart"/>
            <w:r w:rsidRPr="00611B5C">
              <w:rPr>
                <w:rFonts w:ascii="宋体" w:hAnsi="宋体" w:cs="宋体" w:hint="eastAsia"/>
                <w:color w:val="auto"/>
                <w:sz w:val="21"/>
                <w:szCs w:val="21"/>
              </w:rPr>
              <w:t>浩</w:t>
            </w:r>
            <w:proofErr w:type="gramEnd"/>
            <w:r w:rsidRPr="00611B5C">
              <w:rPr>
                <w:rFonts w:ascii="宋体" w:hAnsi="宋体" w:cs="宋体" w:hint="eastAsia"/>
                <w:color w:val="auto"/>
                <w:sz w:val="21"/>
                <w:szCs w:val="21"/>
              </w:rPr>
              <w:t>坤磷化工集团有限公司架设蒸汽管道供给至云南农家乐农业集团有限公司北面用地红线范围，双方签订蒸汽采供合同，红线范围外蒸汽管道由云南</w:t>
            </w:r>
            <w:proofErr w:type="gramStart"/>
            <w:r w:rsidRPr="00611B5C">
              <w:rPr>
                <w:rFonts w:ascii="宋体" w:hAnsi="宋体" w:cs="宋体" w:hint="eastAsia"/>
                <w:color w:val="auto"/>
                <w:sz w:val="21"/>
                <w:szCs w:val="21"/>
              </w:rPr>
              <w:t>浩</w:t>
            </w:r>
            <w:proofErr w:type="gramEnd"/>
            <w:r w:rsidRPr="00611B5C">
              <w:rPr>
                <w:rFonts w:ascii="宋体" w:hAnsi="宋体" w:cs="宋体" w:hint="eastAsia"/>
                <w:color w:val="auto"/>
                <w:sz w:val="21"/>
                <w:szCs w:val="21"/>
              </w:rPr>
              <w:t>坤磷化工集团有限公司负责。项目安全设施设计挤压肥生产线因市场需求量小等原因未进行建设，</w:t>
            </w:r>
            <w:proofErr w:type="gramStart"/>
            <w:r w:rsidRPr="00611B5C">
              <w:rPr>
                <w:rFonts w:ascii="宋体" w:hAnsi="宋体" w:cs="宋体" w:hint="eastAsia"/>
                <w:color w:val="auto"/>
                <w:sz w:val="21"/>
                <w:szCs w:val="21"/>
              </w:rPr>
              <w:t>半浆法转鼓</w:t>
            </w:r>
            <w:proofErr w:type="gramEnd"/>
            <w:r w:rsidRPr="00611B5C">
              <w:rPr>
                <w:rFonts w:ascii="宋体" w:hAnsi="宋体" w:cs="宋体" w:hint="eastAsia"/>
                <w:color w:val="auto"/>
                <w:sz w:val="21"/>
                <w:szCs w:val="21"/>
              </w:rPr>
              <w:t>复合肥工艺使用到硫酸相关设备设施未进行建设，不在此次评价范围内。</w:t>
            </w:r>
          </w:p>
        </w:tc>
      </w:tr>
    </w:tbl>
    <w:p w:rsidR="003F13AB" w:rsidRPr="00611B5C" w:rsidRDefault="00EC6E7E">
      <w:pPr>
        <w:topLinePunct/>
        <w:ind w:firstLine="560"/>
        <w:rPr>
          <w:rFonts w:ascii="宋体" w:hAnsi="宋体" w:cs="宋体"/>
          <w:color w:val="auto"/>
          <w:szCs w:val="28"/>
        </w:rPr>
      </w:pPr>
      <w:r w:rsidRPr="00611B5C">
        <w:rPr>
          <w:rFonts w:ascii="宋体" w:hAnsi="宋体" w:cs="宋体" w:hint="eastAsia"/>
          <w:color w:val="auto"/>
          <w:szCs w:val="28"/>
        </w:rPr>
        <w:t>项目办公楼、消防水池、门卫室为收购用地时原有建筑物，办公楼和门卫室的内部布置和消防设计、</w:t>
      </w:r>
      <w:r w:rsidRPr="00611B5C">
        <w:rPr>
          <w:color w:val="auto"/>
        </w:rPr>
        <w:t>厂外运输、环境保护、职业卫生等方面不在本次评价范围内，但在本报告中将有所提及</w:t>
      </w:r>
      <w:r w:rsidRPr="00611B5C">
        <w:rPr>
          <w:rFonts w:ascii="宋体" w:hAnsi="宋体" w:cs="宋体" w:hint="eastAsia"/>
          <w:color w:val="auto"/>
          <w:szCs w:val="28"/>
        </w:rPr>
        <w:t>。</w:t>
      </w:r>
    </w:p>
    <w:p w:rsidR="003F13AB" w:rsidRPr="00611B5C" w:rsidRDefault="00EC6E7E">
      <w:pPr>
        <w:pStyle w:val="2"/>
      </w:pPr>
      <w:bookmarkStart w:id="33" w:name="_Toc317766308"/>
      <w:bookmarkStart w:id="34" w:name="_Toc20693_WPSOffice_Level2"/>
      <w:bookmarkStart w:id="35" w:name="_Toc166857557"/>
      <w:bookmarkStart w:id="36" w:name="_Toc21827"/>
      <w:bookmarkStart w:id="37" w:name="_Toc6789_WPSOffice_Level2"/>
      <w:bookmarkStart w:id="38" w:name="_Toc187914371"/>
      <w:r w:rsidRPr="00611B5C">
        <w:rPr>
          <w:rFonts w:hint="eastAsia"/>
        </w:rPr>
        <w:t>1.4 评价程序</w:t>
      </w:r>
      <w:bookmarkEnd w:id="33"/>
      <w:bookmarkEnd w:id="34"/>
      <w:bookmarkEnd w:id="35"/>
      <w:bookmarkEnd w:id="36"/>
      <w:bookmarkEnd w:id="37"/>
      <w:bookmarkEnd w:id="38"/>
    </w:p>
    <w:p w:rsidR="003F13AB" w:rsidRDefault="00EC6E7E">
      <w:pPr>
        <w:topLinePunct/>
        <w:ind w:firstLine="560"/>
        <w:rPr>
          <w:rFonts w:ascii="宋体" w:hAnsi="宋体" w:cs="宋体"/>
          <w:color w:val="auto"/>
          <w:szCs w:val="28"/>
        </w:rPr>
      </w:pPr>
      <w:r w:rsidRPr="00611B5C">
        <w:rPr>
          <w:rFonts w:ascii="宋体" w:hAnsi="宋体" w:cs="宋体" w:hint="eastAsia"/>
          <w:color w:val="auto"/>
          <w:szCs w:val="28"/>
        </w:rPr>
        <w:t>本次安全验收评价程序为：前期准备；辨识与分析危险和有害因素；划分评价单元；定性、定量评价；提出安全对策措施建议；做出</w:t>
      </w:r>
      <w:r>
        <w:rPr>
          <w:rFonts w:ascii="宋体" w:hAnsi="宋体" w:cs="宋体" w:hint="eastAsia"/>
          <w:color w:val="auto"/>
          <w:szCs w:val="28"/>
        </w:rPr>
        <w:t>评价结论；编制安全验收评价报告等，安全验收评价流程见图1.4-1：</w:t>
      </w:r>
    </w:p>
    <w:p w:rsidR="003F13AB" w:rsidRDefault="00EC6E7E">
      <w:pPr>
        <w:ind w:firstLineChars="71" w:firstLine="149"/>
        <w:jc w:val="center"/>
        <w:rPr>
          <w:rFonts w:ascii="宋体" w:hAnsi="宋体"/>
          <w:color w:val="auto"/>
        </w:rPr>
      </w:pPr>
      <w:r>
        <w:rPr>
          <w:noProof/>
          <w:color w:val="auto"/>
          <w:sz w:val="21"/>
        </w:rPr>
        <w:lastRenderedPageBreak/>
        <w:drawing>
          <wp:inline distT="0" distB="0" distL="0" distR="0">
            <wp:extent cx="2000250" cy="4602480"/>
            <wp:effectExtent l="0" t="0" r="0" b="7620"/>
            <wp:docPr id="3" name="图片 3" descr="C:\Users\XY\Documents\安全评价程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XY\Documents\安全评价程序.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008890" cy="4622868"/>
                    </a:xfrm>
                    <a:prstGeom prst="rect">
                      <a:avLst/>
                    </a:prstGeom>
                    <a:noFill/>
                    <a:ln>
                      <a:noFill/>
                    </a:ln>
                  </pic:spPr>
                </pic:pic>
              </a:graphicData>
            </a:graphic>
          </wp:inline>
        </w:drawing>
      </w:r>
    </w:p>
    <w:p w:rsidR="003F13AB" w:rsidRDefault="00EC6E7E">
      <w:pPr>
        <w:ind w:firstLine="560"/>
        <w:jc w:val="center"/>
        <w:rPr>
          <w:rFonts w:ascii="宋体" w:hAnsi="宋体"/>
          <w:color w:val="auto"/>
        </w:rPr>
      </w:pPr>
      <w:r>
        <w:rPr>
          <w:rFonts w:ascii="宋体" w:hAnsi="宋体" w:hint="eastAsia"/>
          <w:color w:val="auto"/>
        </w:rPr>
        <w:t xml:space="preserve">图1.4-1  </w:t>
      </w:r>
      <w:r>
        <w:rPr>
          <w:rFonts w:ascii="宋体" w:hAnsi="宋体"/>
          <w:color w:val="auto"/>
        </w:rPr>
        <w:t>安全设施</w:t>
      </w:r>
      <w:r>
        <w:rPr>
          <w:rFonts w:ascii="宋体" w:hAnsi="宋体" w:hint="eastAsia"/>
          <w:color w:val="auto"/>
        </w:rPr>
        <w:t>验收</w:t>
      </w:r>
      <w:r>
        <w:rPr>
          <w:rFonts w:ascii="宋体" w:hAnsi="宋体"/>
          <w:color w:val="auto"/>
        </w:rPr>
        <w:t>评价</w:t>
      </w:r>
      <w:r>
        <w:rPr>
          <w:rFonts w:ascii="宋体" w:hAnsi="宋体" w:hint="eastAsia"/>
          <w:color w:val="auto"/>
        </w:rPr>
        <w:t>流程图</w:t>
      </w:r>
    </w:p>
    <w:p w:rsidR="003F13AB" w:rsidRDefault="00EC6E7E">
      <w:pPr>
        <w:pStyle w:val="2"/>
      </w:pPr>
      <w:bookmarkStart w:id="39" w:name="_Toc166857558"/>
      <w:bookmarkStart w:id="40" w:name="_Toc187914372"/>
      <w:r>
        <w:rPr>
          <w:rFonts w:hint="eastAsia"/>
        </w:rPr>
        <w:t>1.5 评价原则</w:t>
      </w:r>
      <w:bookmarkEnd w:id="39"/>
      <w:bookmarkEnd w:id="40"/>
    </w:p>
    <w:p w:rsidR="003F13AB" w:rsidRDefault="00EC6E7E">
      <w:pPr>
        <w:topLinePunct/>
        <w:ind w:firstLine="560"/>
        <w:rPr>
          <w:rFonts w:ascii="宋体" w:hAnsi="宋体" w:cs="宋体"/>
          <w:color w:val="auto"/>
          <w:szCs w:val="28"/>
        </w:rPr>
      </w:pPr>
      <w:r>
        <w:rPr>
          <w:rFonts w:ascii="宋体" w:hAnsi="宋体" w:cs="宋体"/>
          <w:color w:val="auto"/>
          <w:szCs w:val="28"/>
        </w:rPr>
        <w:t>本报告将按国家现行有关法律、法规和标准要求进行评价，同时遵守下列原则：</w:t>
      </w:r>
    </w:p>
    <w:p w:rsidR="003F13AB" w:rsidRDefault="00EC6E7E">
      <w:pPr>
        <w:topLinePunct/>
        <w:ind w:firstLine="560"/>
        <w:rPr>
          <w:rFonts w:ascii="宋体" w:hAnsi="宋体" w:cs="宋体"/>
          <w:color w:val="auto"/>
          <w:szCs w:val="28"/>
        </w:rPr>
      </w:pPr>
      <w:r>
        <w:rPr>
          <w:rFonts w:ascii="宋体" w:hAnsi="宋体" w:cs="宋体" w:hint="eastAsia"/>
          <w:color w:val="auto"/>
          <w:szCs w:val="28"/>
        </w:rPr>
        <w:t>（1）</w:t>
      </w:r>
      <w:r>
        <w:rPr>
          <w:rFonts w:ascii="宋体" w:hAnsi="宋体" w:cs="宋体"/>
          <w:color w:val="auto"/>
          <w:szCs w:val="28"/>
        </w:rPr>
        <w:t>严格执行国家现行有关法律、法规、标准和规范的要求，保证对该企业应当具备的安全生产条件进行科学、客观、公正、独立的评价；</w:t>
      </w:r>
    </w:p>
    <w:p w:rsidR="003F13AB" w:rsidRDefault="00EC6E7E">
      <w:pPr>
        <w:topLinePunct/>
        <w:ind w:firstLine="560"/>
        <w:rPr>
          <w:rFonts w:ascii="宋体" w:hAnsi="宋体" w:cs="宋体"/>
          <w:color w:val="auto"/>
          <w:szCs w:val="28"/>
        </w:rPr>
      </w:pPr>
      <w:r>
        <w:rPr>
          <w:rFonts w:ascii="宋体" w:hAnsi="宋体" w:cs="宋体" w:hint="eastAsia"/>
          <w:color w:val="auto"/>
          <w:szCs w:val="28"/>
        </w:rPr>
        <w:t>（2）</w:t>
      </w:r>
      <w:r>
        <w:rPr>
          <w:rFonts w:ascii="宋体" w:hAnsi="宋体" w:cs="宋体"/>
          <w:color w:val="auto"/>
          <w:szCs w:val="28"/>
        </w:rPr>
        <w:t>执行行业现行有关法规、标准、规范和政策的要求，保证评价与经</w:t>
      </w:r>
      <w:r>
        <w:rPr>
          <w:rFonts w:ascii="宋体" w:hAnsi="宋体" w:cs="宋体" w:hint="eastAsia"/>
          <w:color w:val="auto"/>
          <w:szCs w:val="28"/>
        </w:rPr>
        <w:t>济发展的适应性；</w:t>
      </w:r>
    </w:p>
    <w:p w:rsidR="003F13AB" w:rsidRDefault="00EC6E7E">
      <w:pPr>
        <w:topLinePunct/>
        <w:ind w:firstLine="560"/>
        <w:rPr>
          <w:rFonts w:ascii="宋体" w:hAnsi="宋体" w:cs="宋体"/>
          <w:color w:val="auto"/>
          <w:szCs w:val="28"/>
        </w:rPr>
      </w:pPr>
      <w:r>
        <w:rPr>
          <w:rFonts w:ascii="宋体" w:hAnsi="宋体" w:cs="宋体" w:hint="eastAsia"/>
          <w:color w:val="auto"/>
          <w:szCs w:val="28"/>
        </w:rPr>
        <w:t>（3）采用可靠、适用的评价技术和评价方法，保证评价的针对性，确保评价质量，真实、准确地</w:t>
      </w:r>
      <w:proofErr w:type="gramStart"/>
      <w:r>
        <w:rPr>
          <w:rFonts w:ascii="宋体" w:hAnsi="宋体" w:cs="宋体" w:hint="eastAsia"/>
          <w:color w:val="auto"/>
          <w:szCs w:val="28"/>
        </w:rPr>
        <w:t>作出</w:t>
      </w:r>
      <w:proofErr w:type="gramEnd"/>
      <w:r>
        <w:rPr>
          <w:rFonts w:ascii="宋体" w:hAnsi="宋体" w:cs="宋体" w:hint="eastAsia"/>
          <w:color w:val="auto"/>
          <w:szCs w:val="28"/>
        </w:rPr>
        <w:t>评价结论；</w:t>
      </w:r>
    </w:p>
    <w:p w:rsidR="003F13AB" w:rsidRDefault="00EC6E7E">
      <w:pPr>
        <w:topLinePunct/>
        <w:ind w:firstLine="560"/>
        <w:rPr>
          <w:rFonts w:ascii="宋体" w:hAnsi="宋体" w:cs="宋体"/>
          <w:color w:val="auto"/>
          <w:szCs w:val="28"/>
        </w:rPr>
      </w:pPr>
      <w:r>
        <w:rPr>
          <w:rFonts w:ascii="宋体" w:hAnsi="宋体" w:cs="宋体" w:hint="eastAsia"/>
          <w:color w:val="auto"/>
          <w:szCs w:val="28"/>
        </w:rPr>
        <w:t>（4）恪守职业道德，遵循诚实守信的原则，对被评价企业的技术资料和商业运作保密。</w:t>
      </w:r>
    </w:p>
    <w:p w:rsidR="003F13AB" w:rsidRDefault="00EC6E7E">
      <w:pPr>
        <w:pStyle w:val="2"/>
      </w:pPr>
      <w:bookmarkStart w:id="41" w:name="_Toc187914373"/>
      <w:bookmarkStart w:id="42" w:name="_Toc166857559"/>
      <w:r>
        <w:rPr>
          <w:rFonts w:hint="eastAsia"/>
        </w:rPr>
        <w:lastRenderedPageBreak/>
        <w:t>1.6 评价基准日</w:t>
      </w:r>
      <w:bookmarkEnd w:id="41"/>
      <w:bookmarkEnd w:id="42"/>
    </w:p>
    <w:p w:rsidR="003F13AB" w:rsidRDefault="00EC6E7E">
      <w:pPr>
        <w:topLinePunct/>
        <w:ind w:firstLine="560"/>
        <w:rPr>
          <w:rFonts w:ascii="宋体" w:hAnsi="宋体" w:cs="宋体"/>
          <w:color w:val="auto"/>
          <w:szCs w:val="28"/>
        </w:rPr>
      </w:pPr>
      <w:proofErr w:type="gramStart"/>
      <w:r>
        <w:rPr>
          <w:rFonts w:ascii="宋体" w:hAnsi="宋体" w:cs="宋体" w:hint="eastAsia"/>
          <w:color w:val="auto"/>
          <w:szCs w:val="28"/>
        </w:rPr>
        <w:t>评价组</w:t>
      </w:r>
      <w:proofErr w:type="gramEnd"/>
      <w:r>
        <w:rPr>
          <w:rFonts w:ascii="宋体" w:hAnsi="宋体" w:cs="宋体" w:hint="eastAsia"/>
          <w:color w:val="auto"/>
          <w:szCs w:val="28"/>
        </w:rPr>
        <w:t>于2024年12月17日到现场进行勘察，评价基准日：2024年12月17日。</w:t>
      </w:r>
    </w:p>
    <w:p w:rsidR="003F13AB" w:rsidRDefault="00EC6E7E">
      <w:pPr>
        <w:pStyle w:val="1"/>
        <w:keepNext w:val="0"/>
        <w:keepLines w:val="0"/>
        <w:numPr>
          <w:ilvl w:val="0"/>
          <w:numId w:val="1"/>
        </w:numPr>
        <w:ind w:left="0" w:firstLine="0"/>
        <w:textAlignment w:val="center"/>
        <w:rPr>
          <w:rFonts w:ascii="宋体" w:hAnsi="宋体"/>
          <w:b/>
          <w:bCs w:val="0"/>
          <w:color w:val="auto"/>
          <w:szCs w:val="20"/>
        </w:rPr>
      </w:pPr>
      <w:bookmarkStart w:id="43" w:name="_Toc28074"/>
      <w:bookmarkStart w:id="44" w:name="_Toc317766309"/>
      <w:bookmarkStart w:id="45" w:name="_Toc3942_WPSOffice_Level1"/>
      <w:bookmarkStart w:id="46" w:name="_Toc12328_WPSOffice_Level1"/>
      <w:r>
        <w:rPr>
          <w:rFonts w:ascii="宋体" w:hAnsi="宋体" w:hint="eastAsia"/>
          <w:b/>
          <w:bCs w:val="0"/>
          <w:color w:val="auto"/>
          <w:szCs w:val="20"/>
        </w:rPr>
        <w:lastRenderedPageBreak/>
        <w:t xml:space="preserve">  </w:t>
      </w:r>
      <w:bookmarkStart w:id="47" w:name="_Toc166857560"/>
      <w:bookmarkStart w:id="48" w:name="_Toc187914374"/>
      <w:r>
        <w:rPr>
          <w:rFonts w:ascii="宋体" w:hAnsi="宋体" w:hint="eastAsia"/>
          <w:b/>
          <w:bCs w:val="0"/>
          <w:color w:val="auto"/>
          <w:szCs w:val="20"/>
        </w:rPr>
        <w:t>建设项目概况</w:t>
      </w:r>
      <w:bookmarkEnd w:id="43"/>
      <w:bookmarkEnd w:id="44"/>
      <w:bookmarkEnd w:id="45"/>
      <w:bookmarkEnd w:id="46"/>
      <w:bookmarkEnd w:id="47"/>
      <w:bookmarkEnd w:id="48"/>
    </w:p>
    <w:p w:rsidR="003F13AB" w:rsidRDefault="00EC6E7E">
      <w:pPr>
        <w:pStyle w:val="2"/>
      </w:pPr>
      <w:bookmarkStart w:id="49" w:name="_Toc217986231"/>
      <w:bookmarkStart w:id="50" w:name="_Toc13825"/>
      <w:bookmarkStart w:id="51" w:name="_Toc305917930"/>
      <w:bookmarkStart w:id="52" w:name="_Toc21082_WPSOffice_Level2"/>
      <w:bookmarkStart w:id="53" w:name="_Toc15659_WPSOffice_Level2"/>
      <w:bookmarkStart w:id="54" w:name="_Toc187914375"/>
      <w:bookmarkStart w:id="55" w:name="_Toc166857561"/>
      <w:bookmarkStart w:id="56" w:name="_Toc317766311"/>
      <w:r>
        <w:rPr>
          <w:rFonts w:hint="eastAsia"/>
        </w:rPr>
        <w:t>2.1</w:t>
      </w:r>
      <w:bookmarkEnd w:id="49"/>
      <w:bookmarkEnd w:id="50"/>
      <w:bookmarkEnd w:id="51"/>
      <w:bookmarkEnd w:id="52"/>
      <w:bookmarkEnd w:id="53"/>
      <w:r>
        <w:rPr>
          <w:rFonts w:hint="eastAsia"/>
        </w:rPr>
        <w:t xml:space="preserve"> 建设单位概况</w:t>
      </w:r>
      <w:bookmarkEnd w:id="54"/>
      <w:bookmarkEnd w:id="55"/>
    </w:p>
    <w:p w:rsidR="003F13AB" w:rsidRDefault="00EC6E7E">
      <w:pPr>
        <w:topLinePunct/>
        <w:ind w:firstLine="560"/>
        <w:rPr>
          <w:rFonts w:ascii="宋体" w:hAnsi="宋体"/>
          <w:color w:val="auto"/>
        </w:rPr>
      </w:pPr>
      <w:r>
        <w:rPr>
          <w:rFonts w:ascii="宋体" w:hAnsi="宋体" w:hint="eastAsia"/>
          <w:color w:val="auto"/>
        </w:rPr>
        <w:t>企业名称：云南农家乐农业集团有限公司（以下简称“</w:t>
      </w:r>
      <w:r>
        <w:rPr>
          <w:rFonts w:ascii="宋体" w:hAnsi="宋体" w:hint="eastAsia"/>
          <w:kern w:val="0"/>
          <w:szCs w:val="28"/>
        </w:rPr>
        <w:t>农家乐公司</w:t>
      </w:r>
      <w:r>
        <w:rPr>
          <w:rFonts w:ascii="宋体" w:hAnsi="宋体" w:hint="eastAsia"/>
          <w:color w:val="auto"/>
        </w:rPr>
        <w:t>”）</w:t>
      </w:r>
    </w:p>
    <w:p w:rsidR="003F13AB" w:rsidRDefault="00EC6E7E">
      <w:pPr>
        <w:topLinePunct/>
        <w:ind w:firstLine="560"/>
        <w:rPr>
          <w:rFonts w:ascii="宋体" w:hAnsi="宋体"/>
          <w:color w:val="auto"/>
        </w:rPr>
      </w:pPr>
      <w:r>
        <w:rPr>
          <w:rFonts w:ascii="宋体" w:hAnsi="宋体" w:hint="eastAsia"/>
          <w:color w:val="auto"/>
        </w:rPr>
        <w:t>企业住所：</w:t>
      </w:r>
      <w:r>
        <w:rPr>
          <w:rFonts w:ascii="宋体" w:hAnsi="宋体" w:hint="eastAsia"/>
          <w:kern w:val="0"/>
          <w:szCs w:val="28"/>
        </w:rPr>
        <w:t>云南省昆明市晋宁工业园区二街基地</w:t>
      </w:r>
    </w:p>
    <w:p w:rsidR="003F13AB" w:rsidRDefault="00EC6E7E">
      <w:pPr>
        <w:topLinePunct/>
        <w:ind w:firstLine="560"/>
        <w:rPr>
          <w:rFonts w:ascii="宋体" w:hAnsi="宋体"/>
          <w:color w:val="auto"/>
        </w:rPr>
      </w:pPr>
      <w:r>
        <w:rPr>
          <w:rFonts w:ascii="宋体" w:hAnsi="宋体" w:hint="eastAsia"/>
          <w:color w:val="auto"/>
        </w:rPr>
        <w:t>法定代表人：</w:t>
      </w:r>
      <w:r>
        <w:rPr>
          <w:rFonts w:ascii="宋体" w:hAnsi="宋体" w:cs="宋体" w:hint="eastAsia"/>
          <w:spacing w:val="20"/>
          <w:szCs w:val="28"/>
        </w:rPr>
        <w:t>杨章福</w:t>
      </w:r>
    </w:p>
    <w:p w:rsidR="003F13AB" w:rsidRDefault="00EC6E7E">
      <w:pPr>
        <w:topLinePunct/>
        <w:ind w:firstLine="560"/>
        <w:rPr>
          <w:rFonts w:ascii="宋体" w:hAnsi="宋体"/>
          <w:color w:val="auto"/>
        </w:rPr>
      </w:pPr>
      <w:r>
        <w:rPr>
          <w:rFonts w:ascii="宋体" w:hAnsi="宋体" w:hint="eastAsia"/>
          <w:color w:val="auto"/>
        </w:rPr>
        <w:t>注册资本：</w:t>
      </w:r>
      <w:r>
        <w:rPr>
          <w:rFonts w:ascii="宋体" w:hAnsi="宋体" w:cs="宋体" w:hint="eastAsia"/>
          <w:spacing w:val="20"/>
          <w:szCs w:val="28"/>
        </w:rPr>
        <w:t>壹亿壹仟万元整</w:t>
      </w:r>
    </w:p>
    <w:p w:rsidR="003F13AB" w:rsidRDefault="00EC6E7E">
      <w:pPr>
        <w:topLinePunct/>
        <w:ind w:firstLine="560"/>
        <w:rPr>
          <w:rFonts w:ascii="宋体" w:hAnsi="宋体"/>
          <w:color w:val="auto"/>
        </w:rPr>
      </w:pPr>
      <w:r>
        <w:rPr>
          <w:rFonts w:ascii="宋体" w:hAnsi="宋体" w:hint="eastAsia"/>
          <w:color w:val="auto"/>
        </w:rPr>
        <w:t>经济性质：有限责任公司（自然人投资或控股）</w:t>
      </w:r>
    </w:p>
    <w:p w:rsidR="003F13AB" w:rsidRDefault="00EC6E7E">
      <w:pPr>
        <w:topLinePunct/>
        <w:ind w:firstLine="560"/>
        <w:rPr>
          <w:rFonts w:ascii="宋体" w:hAnsi="宋体"/>
          <w:color w:val="auto"/>
        </w:rPr>
      </w:pPr>
      <w:r>
        <w:rPr>
          <w:rFonts w:ascii="宋体" w:hAnsi="宋体" w:hint="eastAsia"/>
          <w:color w:val="auto"/>
        </w:rPr>
        <w:t>统一社会信用代码：</w:t>
      </w:r>
      <w:r>
        <w:rPr>
          <w:rFonts w:ascii="宋体" w:hAnsi="宋体" w:hint="eastAsia"/>
          <w:szCs w:val="28"/>
        </w:rPr>
        <w:t>91530111MA6QC5XP5P</w:t>
      </w:r>
    </w:p>
    <w:p w:rsidR="003F13AB" w:rsidRDefault="00EC6E7E">
      <w:pPr>
        <w:topLinePunct/>
        <w:ind w:firstLine="560"/>
        <w:rPr>
          <w:rFonts w:ascii="宋体" w:hAnsi="宋体" w:cs="宋体"/>
          <w:spacing w:val="20"/>
          <w:szCs w:val="28"/>
        </w:rPr>
      </w:pPr>
      <w:r>
        <w:rPr>
          <w:rFonts w:ascii="宋体" w:hAnsi="宋体" w:hint="eastAsia"/>
          <w:color w:val="auto"/>
        </w:rPr>
        <w:t>成立日期：</w:t>
      </w:r>
      <w:r>
        <w:rPr>
          <w:rFonts w:ascii="宋体" w:hAnsi="宋体" w:cs="宋体" w:hint="eastAsia"/>
          <w:spacing w:val="20"/>
          <w:szCs w:val="28"/>
        </w:rPr>
        <w:t>2021年06月07日</w:t>
      </w:r>
    </w:p>
    <w:p w:rsidR="003F13AB" w:rsidRDefault="00EC6E7E">
      <w:pPr>
        <w:topLinePunct/>
        <w:ind w:firstLine="560"/>
        <w:rPr>
          <w:rFonts w:ascii="宋体" w:hAnsi="宋体"/>
          <w:color w:val="auto"/>
        </w:rPr>
      </w:pPr>
      <w:r>
        <w:rPr>
          <w:rFonts w:ascii="宋体" w:hAnsi="宋体" w:hint="eastAsia"/>
          <w:color w:val="auto"/>
        </w:rPr>
        <w:t>营业期限：</w:t>
      </w:r>
      <w:r>
        <w:rPr>
          <w:rFonts w:ascii="宋体" w:hAnsi="宋体" w:cs="宋体" w:hint="eastAsia"/>
          <w:spacing w:val="20"/>
          <w:szCs w:val="28"/>
        </w:rPr>
        <w:t>2021年06月07日至2071年06月06日</w:t>
      </w:r>
    </w:p>
    <w:p w:rsidR="003F13AB" w:rsidRDefault="00EC6E7E">
      <w:pPr>
        <w:topLinePunct/>
        <w:ind w:firstLine="560"/>
        <w:rPr>
          <w:rFonts w:ascii="宋体" w:hAnsi="宋体"/>
          <w:color w:val="auto"/>
        </w:rPr>
      </w:pPr>
      <w:r>
        <w:rPr>
          <w:rFonts w:ascii="宋体" w:hAnsi="宋体" w:hint="eastAsia"/>
          <w:color w:val="auto"/>
        </w:rPr>
        <w:t>经营范围：</w:t>
      </w:r>
      <w:r>
        <w:rPr>
          <w:rFonts w:asciiTheme="minorEastAsia" w:eastAsiaTheme="minorEastAsia" w:hAnsiTheme="minorEastAsia" w:cs="仿宋" w:hint="eastAsia"/>
          <w:szCs w:val="28"/>
        </w:rPr>
        <w:t>肥料生产；土壤与肥料</w:t>
      </w:r>
      <w:proofErr w:type="gramStart"/>
      <w:r>
        <w:rPr>
          <w:rFonts w:asciiTheme="minorEastAsia" w:eastAsiaTheme="minorEastAsia" w:hAnsiTheme="minorEastAsia" w:cs="仿宋" w:hint="eastAsia"/>
          <w:szCs w:val="28"/>
        </w:rPr>
        <w:t>的复混加工</w:t>
      </w:r>
      <w:proofErr w:type="gramEnd"/>
      <w:r>
        <w:rPr>
          <w:rFonts w:asciiTheme="minorEastAsia" w:eastAsiaTheme="minorEastAsia" w:hAnsiTheme="minorEastAsia" w:cs="仿宋" w:hint="eastAsia"/>
          <w:szCs w:val="28"/>
        </w:rPr>
        <w:t>；土壤调理剂生产与销售；肥料销售；农药销售；生物有机肥料研发；复合微生物肥料研发；农业科学研究和试验发展；土壤环境污染防治服务；农业面源和重金属污染防治技术服务；海洋生物活性物质提取、纯化、合成技术研发；农作物种植；农林废物资源化无害化利用技术研发；农作物栽培服务；农作物病虫害防治服务；农业机械制造；农业机械销售；商务信息咨询；农业信息咨询；农产品的生产、销售、加工、运输；国内货物运输代理；道路货运代理代办。（依法须经批准的项目，经相关部门批准后方可开展经营活动）</w:t>
      </w:r>
      <w:r>
        <w:rPr>
          <w:rFonts w:ascii="宋体" w:hAnsi="宋体" w:hint="eastAsia"/>
          <w:kern w:val="0"/>
          <w:szCs w:val="28"/>
        </w:rPr>
        <w:t>。</w:t>
      </w:r>
    </w:p>
    <w:p w:rsidR="003F13AB" w:rsidRDefault="00EC6E7E">
      <w:pPr>
        <w:pStyle w:val="2"/>
      </w:pPr>
      <w:bookmarkStart w:id="57" w:name="_Toc166857562"/>
      <w:bookmarkStart w:id="58" w:name="_Toc187914376"/>
      <w:r>
        <w:rPr>
          <w:rFonts w:hint="eastAsia"/>
        </w:rPr>
        <w:t>2.</w:t>
      </w:r>
      <w:r>
        <w:t xml:space="preserve">2 </w:t>
      </w:r>
      <w:r>
        <w:rPr>
          <w:rFonts w:hint="eastAsia"/>
        </w:rPr>
        <w:t>建设项目概况</w:t>
      </w:r>
      <w:bookmarkEnd w:id="57"/>
      <w:bookmarkEnd w:id="58"/>
    </w:p>
    <w:p w:rsidR="003F13AB" w:rsidRDefault="00EC6E7E">
      <w:pPr>
        <w:pStyle w:val="3"/>
      </w:pPr>
      <w:bookmarkStart w:id="59" w:name="_Toc187914377"/>
      <w:r>
        <w:t>2.</w:t>
      </w:r>
      <w:r>
        <w:rPr>
          <w:rFonts w:hint="eastAsia"/>
        </w:rPr>
        <w:t>2</w:t>
      </w:r>
      <w:r>
        <w:t xml:space="preserve">.1 </w:t>
      </w:r>
      <w:r>
        <w:rPr>
          <w:rFonts w:hint="eastAsia"/>
        </w:rPr>
        <w:t>项目建设</w:t>
      </w:r>
      <w:r>
        <w:t>概况</w:t>
      </w:r>
      <w:bookmarkEnd w:id="59"/>
    </w:p>
    <w:p w:rsidR="003F13AB" w:rsidRDefault="00EC6E7E">
      <w:pPr>
        <w:ind w:firstLine="560"/>
        <w:rPr>
          <w:rFonts w:ascii="宋体" w:hAnsi="宋体"/>
          <w:color w:val="auto"/>
        </w:rPr>
      </w:pPr>
      <w:r>
        <w:rPr>
          <w:rFonts w:ascii="宋体" w:hAnsi="宋体" w:hint="eastAsia"/>
          <w:color w:val="auto"/>
        </w:rPr>
        <w:t>1.根据云南农家乐农业集团有限公司提供的资料可知，2022年03月编制可行性研究报告，并于2022年03月15日取得“云南省固定资产投资项目备案证”（备案机关：晋宁区发展和改革局）；</w:t>
      </w:r>
    </w:p>
    <w:p w:rsidR="003F13AB" w:rsidRDefault="00EC6E7E">
      <w:pPr>
        <w:ind w:firstLine="560"/>
        <w:rPr>
          <w:rFonts w:ascii="宋体" w:hAnsi="宋体"/>
          <w:color w:val="auto"/>
        </w:rPr>
      </w:pPr>
      <w:r>
        <w:rPr>
          <w:rFonts w:ascii="宋体" w:hAnsi="宋体" w:hint="eastAsia"/>
          <w:color w:val="auto"/>
        </w:rPr>
        <w:t>2.2022年06月28日取得“建设用地规划许可证”（地字第530115202200013号）；</w:t>
      </w:r>
    </w:p>
    <w:p w:rsidR="003F13AB" w:rsidRPr="00611B5C" w:rsidRDefault="00EC6E7E">
      <w:pPr>
        <w:ind w:firstLine="560"/>
        <w:rPr>
          <w:rFonts w:ascii="宋体" w:hAnsi="宋体"/>
          <w:color w:val="auto"/>
        </w:rPr>
      </w:pPr>
      <w:r>
        <w:rPr>
          <w:rFonts w:ascii="宋体" w:hAnsi="宋体" w:hint="eastAsia"/>
          <w:color w:val="auto"/>
        </w:rPr>
        <w:lastRenderedPageBreak/>
        <w:t>3.</w:t>
      </w:r>
      <w:r>
        <w:rPr>
          <w:rFonts w:ascii="宋体" w:hAnsi="宋体"/>
          <w:color w:val="auto"/>
        </w:rPr>
        <w:t>2</w:t>
      </w:r>
      <w:r w:rsidRPr="00611B5C">
        <w:rPr>
          <w:rFonts w:ascii="宋体" w:hAnsi="宋体"/>
          <w:color w:val="auto"/>
        </w:rPr>
        <w:t>02</w:t>
      </w:r>
      <w:r w:rsidRPr="00611B5C">
        <w:rPr>
          <w:rFonts w:ascii="宋体" w:hAnsi="宋体" w:hint="eastAsia"/>
          <w:color w:val="auto"/>
        </w:rPr>
        <w:t>2</w:t>
      </w:r>
      <w:r w:rsidRPr="00611B5C">
        <w:rPr>
          <w:rFonts w:ascii="宋体" w:hAnsi="宋体"/>
          <w:color w:val="auto"/>
        </w:rPr>
        <w:t>年</w:t>
      </w:r>
      <w:r w:rsidRPr="00611B5C">
        <w:rPr>
          <w:rFonts w:ascii="宋体" w:hAnsi="宋体" w:hint="eastAsia"/>
          <w:color w:val="auto"/>
        </w:rPr>
        <w:t>12</w:t>
      </w:r>
      <w:r w:rsidRPr="00611B5C">
        <w:rPr>
          <w:rFonts w:ascii="宋体" w:hAnsi="宋体"/>
          <w:color w:val="auto"/>
        </w:rPr>
        <w:t>月由</w:t>
      </w:r>
      <w:r w:rsidRPr="00611B5C">
        <w:rPr>
          <w:rFonts w:ascii="宋体" w:hAnsi="宋体" w:hint="eastAsia"/>
          <w:color w:val="auto"/>
        </w:rPr>
        <w:t>云南农家乐农业集团有限公司编制云南农家乐农业集团有限公司年产</w:t>
      </w:r>
      <w:proofErr w:type="gramStart"/>
      <w:r w:rsidRPr="00611B5C">
        <w:rPr>
          <w:rFonts w:ascii="宋体" w:hAnsi="宋体" w:hint="eastAsia"/>
          <w:color w:val="auto"/>
        </w:rPr>
        <w:t>50万吨缓控释</w:t>
      </w:r>
      <w:proofErr w:type="gramEnd"/>
      <w:r w:rsidRPr="00611B5C">
        <w:rPr>
          <w:rFonts w:ascii="宋体" w:hAnsi="宋体" w:hint="eastAsia"/>
          <w:color w:val="auto"/>
        </w:rPr>
        <w:t>肥料、水溶肥料、专用肥料生产基地建设项目安全生产条件和设施综合分析报告</w:t>
      </w:r>
      <w:r w:rsidRPr="00611B5C">
        <w:rPr>
          <w:rFonts w:ascii="宋体" w:hAnsi="宋体"/>
          <w:color w:val="auto"/>
        </w:rPr>
        <w:t>；</w:t>
      </w:r>
    </w:p>
    <w:p w:rsidR="003F13AB" w:rsidRDefault="00EC6E7E">
      <w:pPr>
        <w:ind w:firstLine="560"/>
        <w:rPr>
          <w:rFonts w:ascii="宋体" w:hAnsi="宋体"/>
          <w:color w:val="auto"/>
        </w:rPr>
      </w:pPr>
      <w:r w:rsidRPr="00611B5C">
        <w:rPr>
          <w:rFonts w:ascii="宋体" w:hAnsi="宋体" w:hint="eastAsia"/>
          <w:color w:val="auto"/>
        </w:rPr>
        <w:t>4</w:t>
      </w:r>
      <w:r w:rsidRPr="00611B5C">
        <w:rPr>
          <w:rFonts w:ascii="宋体" w:hAnsi="宋体"/>
          <w:color w:val="auto"/>
        </w:rPr>
        <w:t>.202</w:t>
      </w:r>
      <w:r w:rsidRPr="00611B5C">
        <w:rPr>
          <w:rFonts w:ascii="宋体" w:hAnsi="宋体" w:hint="eastAsia"/>
          <w:color w:val="auto"/>
        </w:rPr>
        <w:t>3</w:t>
      </w:r>
      <w:r w:rsidRPr="00611B5C">
        <w:rPr>
          <w:rFonts w:ascii="宋体" w:hAnsi="宋体"/>
          <w:color w:val="auto"/>
        </w:rPr>
        <w:t>年</w:t>
      </w:r>
      <w:r w:rsidRPr="00611B5C">
        <w:rPr>
          <w:rFonts w:ascii="宋体" w:hAnsi="宋体" w:hint="eastAsia"/>
          <w:color w:val="auto"/>
        </w:rPr>
        <w:t>03</w:t>
      </w:r>
      <w:r w:rsidRPr="00611B5C">
        <w:rPr>
          <w:rFonts w:ascii="宋体" w:hAnsi="宋体"/>
          <w:color w:val="auto"/>
        </w:rPr>
        <w:t>月由昆明兰德设计有限公司编制的</w:t>
      </w:r>
      <w:r w:rsidRPr="00611B5C">
        <w:rPr>
          <w:rFonts w:ascii="宋体" w:hAnsi="宋体" w:hint="eastAsia"/>
          <w:color w:val="auto"/>
        </w:rPr>
        <w:t>云南农家乐农业集团有限公司年产</w:t>
      </w:r>
      <w:proofErr w:type="gramStart"/>
      <w:r w:rsidRPr="00611B5C">
        <w:rPr>
          <w:rFonts w:ascii="宋体" w:hAnsi="宋体" w:hint="eastAsia"/>
          <w:color w:val="auto"/>
        </w:rPr>
        <w:t>50万吨缓控</w:t>
      </w:r>
      <w:r>
        <w:rPr>
          <w:rFonts w:ascii="宋体" w:hAnsi="宋体" w:hint="eastAsia"/>
          <w:color w:val="auto"/>
        </w:rPr>
        <w:t>释</w:t>
      </w:r>
      <w:proofErr w:type="gramEnd"/>
      <w:r>
        <w:rPr>
          <w:rFonts w:ascii="宋体" w:hAnsi="宋体" w:hint="eastAsia"/>
          <w:color w:val="auto"/>
        </w:rPr>
        <w:t>肥料、水溶肥料、专用肥料生产基地建设项目</w:t>
      </w:r>
      <w:r>
        <w:rPr>
          <w:rFonts w:ascii="宋体" w:hAnsi="宋体"/>
          <w:color w:val="auto"/>
        </w:rPr>
        <w:t>安全设施设计通过专家审查；</w:t>
      </w:r>
    </w:p>
    <w:p w:rsidR="003F13AB" w:rsidRDefault="00EC6E7E">
      <w:pPr>
        <w:ind w:firstLine="560"/>
        <w:rPr>
          <w:rFonts w:ascii="宋体" w:hAnsi="宋体"/>
          <w:color w:val="auto"/>
        </w:rPr>
      </w:pPr>
      <w:r>
        <w:rPr>
          <w:rFonts w:ascii="宋体" w:hAnsi="宋体" w:hint="eastAsia"/>
          <w:color w:val="auto"/>
        </w:rPr>
        <w:t>5.</w:t>
      </w:r>
      <w:r>
        <w:rPr>
          <w:rFonts w:ascii="宋体" w:hAnsi="宋体"/>
          <w:color w:val="auto"/>
        </w:rPr>
        <w:t>项目202</w:t>
      </w:r>
      <w:r>
        <w:rPr>
          <w:rFonts w:ascii="宋体" w:hAnsi="宋体" w:hint="eastAsia"/>
          <w:color w:val="auto"/>
        </w:rPr>
        <w:t>3</w:t>
      </w:r>
      <w:r>
        <w:rPr>
          <w:rFonts w:ascii="宋体" w:hAnsi="宋体"/>
          <w:color w:val="auto"/>
        </w:rPr>
        <w:t>年</w:t>
      </w:r>
      <w:r>
        <w:rPr>
          <w:rFonts w:ascii="宋体" w:hAnsi="宋体" w:hint="eastAsia"/>
          <w:color w:val="auto"/>
        </w:rPr>
        <w:t>03</w:t>
      </w:r>
      <w:r>
        <w:rPr>
          <w:rFonts w:ascii="宋体" w:hAnsi="宋体"/>
          <w:color w:val="auto"/>
        </w:rPr>
        <w:t>月开工</w:t>
      </w:r>
      <w:r>
        <w:rPr>
          <w:rFonts w:ascii="宋体" w:hAnsi="宋体" w:hint="eastAsia"/>
          <w:color w:val="auto"/>
        </w:rPr>
        <w:t>，一期（造粒塔）</w:t>
      </w:r>
      <w:r>
        <w:rPr>
          <w:rFonts w:ascii="宋体" w:hAnsi="宋体"/>
          <w:color w:val="auto"/>
        </w:rPr>
        <w:t>施工由</w:t>
      </w:r>
      <w:r>
        <w:rPr>
          <w:rFonts w:ascii="宋体" w:hAnsi="宋体" w:hint="eastAsia"/>
          <w:color w:val="auto"/>
        </w:rPr>
        <w:t>金大陆建设集团有限公司负责；二期（原料仓库、丙类仓库、生产厂房（含锅炉房）、成品仓库以及配套的变配电室、消防泵房、循环冷却水池、事故应急水池等）施工由云南君瑞工程管理有限公司负责；锅炉及压力管道等安装由云南鸿云锅炉有限责任公司负责，各项工程均编制了施工情况报告</w:t>
      </w:r>
      <w:r>
        <w:rPr>
          <w:rFonts w:ascii="宋体" w:hAnsi="宋体"/>
          <w:color w:val="auto"/>
        </w:rPr>
        <w:t>。 202</w:t>
      </w:r>
      <w:r>
        <w:rPr>
          <w:rFonts w:ascii="宋体" w:hAnsi="宋体" w:hint="eastAsia"/>
          <w:color w:val="auto"/>
        </w:rPr>
        <w:t>4</w:t>
      </w:r>
      <w:r>
        <w:rPr>
          <w:rFonts w:ascii="宋体" w:hAnsi="宋体"/>
          <w:color w:val="auto"/>
        </w:rPr>
        <w:t>年</w:t>
      </w:r>
      <w:r>
        <w:rPr>
          <w:rFonts w:ascii="宋体" w:hAnsi="宋体" w:hint="eastAsia"/>
          <w:color w:val="auto"/>
        </w:rPr>
        <w:t>04</w:t>
      </w:r>
      <w:r>
        <w:rPr>
          <w:rFonts w:ascii="宋体" w:hAnsi="宋体"/>
          <w:color w:val="auto"/>
        </w:rPr>
        <w:t>月完成土建</w:t>
      </w:r>
      <w:r>
        <w:rPr>
          <w:rFonts w:ascii="宋体" w:hAnsi="宋体" w:hint="eastAsia"/>
          <w:color w:val="auto"/>
        </w:rPr>
        <w:t>施工和设备管道等安装，由云南工程勘察设计院集团有限公司进行监理，并编制了云南省建筑工程质量评估报告</w:t>
      </w:r>
      <w:r>
        <w:rPr>
          <w:rFonts w:ascii="宋体" w:hAnsi="宋体"/>
          <w:color w:val="auto"/>
        </w:rPr>
        <w:t>；</w:t>
      </w:r>
    </w:p>
    <w:p w:rsidR="003F13AB" w:rsidRDefault="00EC6E7E">
      <w:pPr>
        <w:ind w:firstLine="560"/>
        <w:rPr>
          <w:rFonts w:ascii="宋体" w:hAnsi="宋体"/>
          <w:color w:val="auto"/>
        </w:rPr>
      </w:pPr>
      <w:r>
        <w:rPr>
          <w:rFonts w:ascii="宋体" w:hAnsi="宋体" w:hint="eastAsia"/>
          <w:color w:val="auto"/>
        </w:rPr>
        <w:t>6</w:t>
      </w:r>
      <w:r>
        <w:rPr>
          <w:rFonts w:ascii="宋体" w:hAnsi="宋体"/>
          <w:color w:val="auto"/>
        </w:rPr>
        <w:t>.农家乐公司于</w:t>
      </w:r>
      <w:r>
        <w:rPr>
          <w:rFonts w:ascii="宋体" w:hAnsi="宋体" w:hint="eastAsia"/>
          <w:color w:val="auto"/>
        </w:rPr>
        <w:t>2024年5月编制了安全生产事故</w:t>
      </w:r>
      <w:r>
        <w:rPr>
          <w:rFonts w:ascii="宋体" w:hAnsi="宋体"/>
          <w:color w:val="auto"/>
        </w:rPr>
        <w:t>应急预案，并到晋宁区应急管理局备案，备案号为</w:t>
      </w:r>
      <w:r>
        <w:rPr>
          <w:rFonts w:ascii="宋体" w:hAnsi="宋体" w:hint="eastAsia"/>
          <w:color w:val="auto"/>
        </w:rPr>
        <w:t>530115-2024-015（危）；</w:t>
      </w:r>
    </w:p>
    <w:p w:rsidR="003F13AB" w:rsidRDefault="00EC6E7E">
      <w:pPr>
        <w:ind w:firstLine="560"/>
        <w:rPr>
          <w:rFonts w:ascii="宋体" w:hAnsi="宋体"/>
          <w:color w:val="auto"/>
        </w:rPr>
      </w:pPr>
      <w:r>
        <w:rPr>
          <w:rFonts w:ascii="宋体" w:hAnsi="宋体" w:hint="eastAsia"/>
          <w:color w:val="auto"/>
        </w:rPr>
        <w:t>7.</w:t>
      </w:r>
      <w:r>
        <w:rPr>
          <w:rFonts w:ascii="宋体" w:hAnsi="宋体"/>
          <w:color w:val="auto"/>
        </w:rPr>
        <w:t xml:space="preserve"> </w:t>
      </w:r>
      <w:r>
        <w:rPr>
          <w:rFonts w:ascii="宋体" w:hAnsi="宋体" w:hint="eastAsia"/>
          <w:color w:val="auto"/>
        </w:rPr>
        <w:t>2024年05月公司编制了试生产方案，试生产时间为2024年05月22日至2024年11月20日。</w:t>
      </w:r>
    </w:p>
    <w:p w:rsidR="003F13AB" w:rsidRDefault="00EC6E7E">
      <w:pPr>
        <w:pStyle w:val="3"/>
      </w:pPr>
      <w:bookmarkStart w:id="60" w:name="_Toc187914378"/>
      <w:r>
        <w:t>2.</w:t>
      </w:r>
      <w:r>
        <w:rPr>
          <w:rFonts w:hint="eastAsia"/>
        </w:rPr>
        <w:t>2</w:t>
      </w:r>
      <w:r>
        <w:t>.</w:t>
      </w:r>
      <w:r>
        <w:rPr>
          <w:rFonts w:hint="eastAsia"/>
        </w:rPr>
        <w:t>2 项目性质及建设内容</w:t>
      </w:r>
      <w:bookmarkEnd w:id="60"/>
    </w:p>
    <w:p w:rsidR="003F13AB" w:rsidRDefault="00EC6E7E">
      <w:pPr>
        <w:ind w:firstLine="560"/>
        <w:rPr>
          <w:snapToGrid w:val="0"/>
          <w:color w:val="auto"/>
        </w:rPr>
      </w:pPr>
      <w:r>
        <w:rPr>
          <w:rFonts w:hint="eastAsia"/>
          <w:snapToGrid w:val="0"/>
          <w:color w:val="auto"/>
        </w:rPr>
        <w:t>（</w:t>
      </w:r>
      <w:r>
        <w:rPr>
          <w:rFonts w:hint="eastAsia"/>
          <w:snapToGrid w:val="0"/>
          <w:color w:val="auto"/>
        </w:rPr>
        <w:t>1</w:t>
      </w:r>
      <w:r>
        <w:rPr>
          <w:rFonts w:hint="eastAsia"/>
          <w:snapToGrid w:val="0"/>
          <w:color w:val="auto"/>
        </w:rPr>
        <w:t>）</w:t>
      </w:r>
      <w:r>
        <w:rPr>
          <w:snapToGrid w:val="0"/>
          <w:color w:val="auto"/>
        </w:rPr>
        <w:t>项目性质为</w:t>
      </w:r>
      <w:r>
        <w:rPr>
          <w:rFonts w:hint="eastAsia"/>
          <w:snapToGrid w:val="0"/>
          <w:color w:val="auto"/>
        </w:rPr>
        <w:t>新</w:t>
      </w:r>
      <w:r>
        <w:rPr>
          <w:snapToGrid w:val="0"/>
          <w:color w:val="auto"/>
        </w:rPr>
        <w:t>建。</w:t>
      </w:r>
    </w:p>
    <w:p w:rsidR="003F13AB" w:rsidRDefault="00EC6E7E">
      <w:pPr>
        <w:ind w:firstLine="560"/>
        <w:rPr>
          <w:snapToGrid w:val="0"/>
          <w:color w:val="auto"/>
        </w:rPr>
      </w:pPr>
      <w:r>
        <w:rPr>
          <w:rFonts w:hint="eastAsia"/>
          <w:snapToGrid w:val="0"/>
          <w:color w:val="auto"/>
        </w:rPr>
        <w:t>（</w:t>
      </w:r>
      <w:r>
        <w:rPr>
          <w:rFonts w:hint="eastAsia"/>
          <w:snapToGrid w:val="0"/>
          <w:color w:val="auto"/>
        </w:rPr>
        <w:t>2</w:t>
      </w:r>
      <w:r>
        <w:rPr>
          <w:rFonts w:hint="eastAsia"/>
          <w:snapToGrid w:val="0"/>
          <w:color w:val="auto"/>
        </w:rPr>
        <w:t>）具体建设内容为</w:t>
      </w:r>
      <w:r>
        <w:rPr>
          <w:snapToGrid w:val="0"/>
          <w:color w:val="auto"/>
        </w:rPr>
        <w:t>：</w:t>
      </w:r>
    </w:p>
    <w:p w:rsidR="003F13AB" w:rsidRDefault="00EC6E7E">
      <w:pPr>
        <w:ind w:firstLine="560"/>
        <w:rPr>
          <w:snapToGrid w:val="0"/>
          <w:color w:val="auto"/>
        </w:rPr>
      </w:pPr>
      <w:r>
        <w:rPr>
          <w:rFonts w:hint="eastAsia"/>
          <w:snapToGrid w:val="0"/>
          <w:color w:val="auto"/>
        </w:rPr>
        <w:t>项目工艺装置包括：一套高塔造粒生产线、一套转鼓半浆法造粒生产线、挤压生产线一套、三套掺混生产线、一套液体水溶肥生产线。</w:t>
      </w:r>
    </w:p>
    <w:p w:rsidR="003F13AB" w:rsidRDefault="00EC6E7E">
      <w:pPr>
        <w:ind w:firstLine="560"/>
        <w:rPr>
          <w:snapToGrid w:val="0"/>
          <w:color w:val="auto"/>
        </w:rPr>
      </w:pPr>
      <w:r>
        <w:rPr>
          <w:rFonts w:hint="eastAsia"/>
          <w:snapToGrid w:val="0"/>
          <w:color w:val="auto"/>
        </w:rPr>
        <w:t>办公楼、消防水池、门卫室为收购用地时原有建筑物，利旧。</w:t>
      </w:r>
    </w:p>
    <w:p w:rsidR="003F13AB" w:rsidRDefault="00EC6E7E">
      <w:pPr>
        <w:ind w:firstLine="560"/>
        <w:rPr>
          <w:snapToGrid w:val="0"/>
          <w:color w:val="auto"/>
        </w:rPr>
      </w:pPr>
      <w:r>
        <w:rPr>
          <w:rFonts w:hint="eastAsia"/>
          <w:snapToGrid w:val="0"/>
          <w:color w:val="auto"/>
        </w:rPr>
        <w:t>建筑物建设内容包括综合办公楼、原料仓库、丙类仓库、生产厂房（含锅炉房）、成品仓库以及配套的变配电室、消防泵房、循环冷却水池、事</w:t>
      </w:r>
      <w:r>
        <w:rPr>
          <w:rFonts w:hint="eastAsia"/>
          <w:snapToGrid w:val="0"/>
          <w:color w:val="auto"/>
        </w:rPr>
        <w:lastRenderedPageBreak/>
        <w:t>故应急水池等。</w:t>
      </w:r>
    </w:p>
    <w:p w:rsidR="003F13AB" w:rsidRDefault="00EC6E7E">
      <w:pPr>
        <w:pStyle w:val="3"/>
      </w:pPr>
      <w:bookmarkStart w:id="61" w:name="_Toc187914379"/>
      <w:r>
        <w:t>2.</w:t>
      </w:r>
      <w:r>
        <w:rPr>
          <w:rFonts w:hint="eastAsia"/>
        </w:rPr>
        <w:t>2</w:t>
      </w:r>
      <w:r>
        <w:t>.</w:t>
      </w:r>
      <w:r>
        <w:rPr>
          <w:rFonts w:hint="eastAsia"/>
        </w:rPr>
        <w:t>3 项目产品方案、生产规模</w:t>
      </w:r>
      <w:bookmarkEnd w:id="61"/>
    </w:p>
    <w:p w:rsidR="003F13AB" w:rsidRDefault="00EC6E7E">
      <w:pPr>
        <w:topLinePunct/>
        <w:ind w:firstLine="560"/>
        <w:jc w:val="center"/>
        <w:rPr>
          <w:rFonts w:ascii="宋体" w:hAnsi="宋体"/>
          <w:color w:val="auto"/>
        </w:rPr>
      </w:pPr>
      <w:r>
        <w:rPr>
          <w:rFonts w:ascii="宋体" w:hAnsi="宋体"/>
          <w:color w:val="auto"/>
        </w:rPr>
        <w:t>表</w:t>
      </w:r>
      <w:r>
        <w:rPr>
          <w:rFonts w:ascii="宋体" w:hAnsi="宋体" w:hint="eastAsia"/>
          <w:color w:val="auto"/>
        </w:rPr>
        <w:t>2.2-1 项目产品方案、生产规模</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6"/>
        <w:gridCol w:w="1180"/>
        <w:gridCol w:w="4113"/>
        <w:gridCol w:w="1651"/>
      </w:tblGrid>
      <w:tr w:rsidR="003F13AB">
        <w:trPr>
          <w:jc w:val="center"/>
        </w:trPr>
        <w:tc>
          <w:tcPr>
            <w:tcW w:w="852"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序号</w:t>
            </w:r>
          </w:p>
        </w:tc>
        <w:tc>
          <w:tcPr>
            <w:tcW w:w="1276"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产品名称</w:t>
            </w:r>
          </w:p>
        </w:tc>
        <w:tc>
          <w:tcPr>
            <w:tcW w:w="1180"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生产规模</w:t>
            </w:r>
          </w:p>
        </w:tc>
        <w:tc>
          <w:tcPr>
            <w:tcW w:w="4113"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产品标准</w:t>
            </w:r>
          </w:p>
        </w:tc>
        <w:tc>
          <w:tcPr>
            <w:tcW w:w="1651"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备注</w:t>
            </w:r>
          </w:p>
        </w:tc>
      </w:tr>
      <w:tr w:rsidR="003F13AB">
        <w:trPr>
          <w:jc w:val="center"/>
        </w:trPr>
        <w:tc>
          <w:tcPr>
            <w:tcW w:w="85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1276" w:type="dxa"/>
            <w:vAlign w:val="center"/>
          </w:tcPr>
          <w:p w:rsidR="003F13AB" w:rsidRDefault="00EC6E7E">
            <w:pPr>
              <w:adjustRightInd/>
              <w:spacing w:line="240" w:lineRule="auto"/>
              <w:ind w:firstLineChars="0" w:firstLine="0"/>
              <w:jc w:val="center"/>
              <w:rPr>
                <w:rFonts w:ascii="宋体" w:hAnsi="宋体"/>
                <w:color w:val="auto"/>
                <w:sz w:val="21"/>
                <w:szCs w:val="21"/>
              </w:rPr>
            </w:pPr>
            <w:proofErr w:type="gramStart"/>
            <w:r>
              <w:rPr>
                <w:rFonts w:ascii="宋体" w:hAnsi="宋体" w:hint="eastAsia"/>
                <w:color w:val="auto"/>
                <w:sz w:val="21"/>
                <w:szCs w:val="21"/>
              </w:rPr>
              <w:t>缓控释</w:t>
            </w:r>
            <w:proofErr w:type="gramEnd"/>
            <w:r>
              <w:rPr>
                <w:rFonts w:ascii="宋体" w:hAnsi="宋体" w:hint="eastAsia"/>
                <w:color w:val="auto"/>
                <w:sz w:val="21"/>
                <w:szCs w:val="21"/>
              </w:rPr>
              <w:t>肥料</w:t>
            </w:r>
          </w:p>
        </w:tc>
        <w:tc>
          <w:tcPr>
            <w:tcW w:w="118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r>
              <w:rPr>
                <w:rFonts w:ascii="宋体" w:hAnsi="宋体"/>
                <w:color w:val="auto"/>
                <w:sz w:val="21"/>
                <w:szCs w:val="21"/>
              </w:rPr>
              <w:t>5</w:t>
            </w:r>
            <w:r>
              <w:rPr>
                <w:rFonts w:ascii="宋体" w:hAnsi="宋体" w:hint="eastAsia"/>
                <w:color w:val="auto"/>
                <w:sz w:val="21"/>
                <w:szCs w:val="21"/>
              </w:rPr>
              <w:t>万t/a</w:t>
            </w:r>
          </w:p>
        </w:tc>
        <w:tc>
          <w:tcPr>
            <w:tcW w:w="411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《缓释肥料》GB/T 23348-2009</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《控释肥料》HG/T 4215-2011</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《稳定性肥料》GB/T 35113-2017</w:t>
            </w:r>
          </w:p>
        </w:tc>
        <w:tc>
          <w:tcPr>
            <w:tcW w:w="16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含粉剂与颗粒</w:t>
            </w:r>
          </w:p>
        </w:tc>
      </w:tr>
      <w:tr w:rsidR="003F13AB">
        <w:trPr>
          <w:jc w:val="center"/>
        </w:trPr>
        <w:tc>
          <w:tcPr>
            <w:tcW w:w="85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1276"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水溶肥料</w:t>
            </w:r>
          </w:p>
        </w:tc>
        <w:tc>
          <w:tcPr>
            <w:tcW w:w="118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13万t/a</w:t>
            </w:r>
          </w:p>
        </w:tc>
        <w:tc>
          <w:tcPr>
            <w:tcW w:w="411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《大量元素水溶肥料》NY/T 1107-2020</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《中量元素水溶肥料》NY 2266-2012</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《微量元素水溶肥料》</w:t>
            </w:r>
            <w:r>
              <w:rPr>
                <w:rFonts w:ascii="宋体" w:hAnsi="宋体"/>
                <w:color w:val="auto"/>
                <w:sz w:val="21"/>
                <w:szCs w:val="21"/>
              </w:rPr>
              <w:t>NY 1428-2010</w:t>
            </w:r>
          </w:p>
        </w:tc>
        <w:tc>
          <w:tcPr>
            <w:tcW w:w="16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含粉剂、颗粒、液体</w:t>
            </w:r>
          </w:p>
        </w:tc>
      </w:tr>
      <w:tr w:rsidR="003F13AB">
        <w:trPr>
          <w:jc w:val="center"/>
        </w:trPr>
        <w:tc>
          <w:tcPr>
            <w:tcW w:w="85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w:t>
            </w:r>
          </w:p>
        </w:tc>
        <w:tc>
          <w:tcPr>
            <w:tcW w:w="1276"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专用肥料</w:t>
            </w:r>
          </w:p>
        </w:tc>
        <w:tc>
          <w:tcPr>
            <w:tcW w:w="118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r>
              <w:rPr>
                <w:rFonts w:ascii="宋体" w:hAnsi="宋体"/>
                <w:color w:val="auto"/>
                <w:sz w:val="21"/>
                <w:szCs w:val="21"/>
              </w:rPr>
              <w:t>2</w:t>
            </w:r>
            <w:r>
              <w:rPr>
                <w:rFonts w:ascii="宋体" w:hAnsi="宋体" w:hint="eastAsia"/>
                <w:color w:val="auto"/>
                <w:sz w:val="21"/>
                <w:szCs w:val="21"/>
              </w:rPr>
              <w:t>万t/a</w:t>
            </w:r>
          </w:p>
        </w:tc>
        <w:tc>
          <w:tcPr>
            <w:tcW w:w="411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《配方肥料》NY/T 1112-2006</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《复合肥料》GB/T 15063-2020</w:t>
            </w:r>
          </w:p>
          <w:p w:rsidR="003F13AB" w:rsidRDefault="00EC6E7E">
            <w:pPr>
              <w:adjustRightInd/>
              <w:spacing w:line="240" w:lineRule="auto"/>
              <w:ind w:firstLineChars="0"/>
              <w:jc w:val="center"/>
              <w:rPr>
                <w:rFonts w:ascii="宋体" w:hAnsi="宋体"/>
                <w:color w:val="auto"/>
                <w:sz w:val="21"/>
                <w:szCs w:val="21"/>
              </w:rPr>
            </w:pPr>
            <w:r>
              <w:rPr>
                <w:rFonts w:ascii="宋体" w:hAnsi="宋体" w:hint="eastAsia"/>
                <w:color w:val="auto"/>
                <w:sz w:val="21"/>
                <w:szCs w:val="21"/>
              </w:rPr>
              <w:t>《脲胺氮肥》HG/T 4214-2011</w:t>
            </w:r>
          </w:p>
        </w:tc>
        <w:tc>
          <w:tcPr>
            <w:tcW w:w="16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含粉剂与颗粒</w:t>
            </w:r>
          </w:p>
        </w:tc>
      </w:tr>
    </w:tbl>
    <w:p w:rsidR="003F13AB" w:rsidRDefault="003F13AB">
      <w:pPr>
        <w:pStyle w:val="Default1"/>
        <w:rPr>
          <w:rFonts w:hint="default"/>
        </w:rPr>
      </w:pPr>
    </w:p>
    <w:p w:rsidR="003F13AB" w:rsidRDefault="00EC6E7E">
      <w:pPr>
        <w:pStyle w:val="3"/>
      </w:pPr>
      <w:bookmarkStart w:id="62" w:name="_Toc187914380"/>
      <w:r>
        <w:t>2.</w:t>
      </w:r>
      <w:r>
        <w:rPr>
          <w:rFonts w:hint="eastAsia"/>
        </w:rPr>
        <w:t>2</w:t>
      </w:r>
      <w:r>
        <w:t>.</w:t>
      </w:r>
      <w:r>
        <w:rPr>
          <w:rFonts w:hint="eastAsia"/>
        </w:rPr>
        <w:t>4 项目建设涉及单位简介</w:t>
      </w:r>
      <w:bookmarkEnd w:id="62"/>
    </w:p>
    <w:p w:rsidR="003F13AB" w:rsidRDefault="00EC6E7E">
      <w:pPr>
        <w:pStyle w:val="4"/>
        <w:keepNext w:val="0"/>
        <w:ind w:firstLineChars="200" w:firstLine="562"/>
        <w:rPr>
          <w:rFonts w:eastAsia="宋体"/>
          <w:b/>
          <w:szCs w:val="20"/>
        </w:rPr>
      </w:pPr>
      <w:r>
        <w:rPr>
          <w:rFonts w:eastAsia="宋体"/>
          <w:b/>
          <w:szCs w:val="20"/>
        </w:rPr>
        <w:t>2.</w:t>
      </w:r>
      <w:r>
        <w:rPr>
          <w:rFonts w:eastAsia="宋体" w:hint="eastAsia"/>
          <w:b/>
          <w:szCs w:val="20"/>
        </w:rPr>
        <w:t>2</w:t>
      </w:r>
      <w:r>
        <w:rPr>
          <w:rFonts w:eastAsia="宋体"/>
          <w:b/>
          <w:szCs w:val="20"/>
        </w:rPr>
        <w:t>.</w:t>
      </w:r>
      <w:r>
        <w:rPr>
          <w:rFonts w:eastAsia="宋体" w:hint="eastAsia"/>
          <w:b/>
          <w:szCs w:val="20"/>
        </w:rPr>
        <w:t>4.1</w:t>
      </w:r>
      <w:r>
        <w:rPr>
          <w:rFonts w:eastAsia="宋体"/>
          <w:b/>
          <w:szCs w:val="20"/>
        </w:rPr>
        <w:t xml:space="preserve"> 设计单位简介</w:t>
      </w:r>
    </w:p>
    <w:p w:rsidR="003F13AB" w:rsidRPr="00611B5C" w:rsidRDefault="00EC6E7E">
      <w:pPr>
        <w:ind w:firstLine="560"/>
        <w:rPr>
          <w:rFonts w:ascii="宋体" w:hAnsi="宋体"/>
          <w:snapToGrid w:val="0"/>
          <w:color w:val="auto"/>
          <w:szCs w:val="28"/>
        </w:rPr>
      </w:pPr>
      <w:r w:rsidRPr="00611B5C">
        <w:rPr>
          <w:rFonts w:ascii="宋体" w:hAnsi="宋体" w:hint="eastAsia"/>
          <w:color w:val="auto"/>
          <w:szCs w:val="28"/>
        </w:rPr>
        <w:t>项目造粒塔（一期）</w:t>
      </w:r>
      <w:r w:rsidRPr="00611B5C">
        <w:rPr>
          <w:rFonts w:ascii="宋体" w:hAnsi="宋体"/>
          <w:snapToGrid w:val="0"/>
          <w:color w:val="auto"/>
          <w:szCs w:val="28"/>
        </w:rPr>
        <w:t>设计单位为</w:t>
      </w:r>
      <w:r w:rsidRPr="00611B5C">
        <w:rPr>
          <w:rFonts w:ascii="宋体" w:hAnsi="宋体" w:hint="eastAsia"/>
          <w:color w:val="auto"/>
          <w:szCs w:val="28"/>
        </w:rPr>
        <w:t>武汉理工大研究院有限公司</w:t>
      </w:r>
      <w:r w:rsidRPr="00611B5C">
        <w:rPr>
          <w:rFonts w:ascii="宋体" w:hAnsi="宋体"/>
          <w:snapToGrid w:val="0"/>
          <w:color w:val="auto"/>
          <w:szCs w:val="28"/>
        </w:rPr>
        <w:t>，设计图纸时间为</w:t>
      </w:r>
      <w:r w:rsidRPr="00611B5C">
        <w:rPr>
          <w:rFonts w:ascii="宋体" w:hAnsi="宋体" w:hint="eastAsia"/>
          <w:snapToGrid w:val="0"/>
          <w:color w:val="auto"/>
          <w:szCs w:val="28"/>
        </w:rPr>
        <w:t>2022年7月，</w:t>
      </w:r>
      <w:r w:rsidRPr="00611B5C">
        <w:rPr>
          <w:rFonts w:ascii="宋体" w:hAnsi="宋体"/>
          <w:snapToGrid w:val="0"/>
          <w:color w:val="auto"/>
          <w:szCs w:val="28"/>
        </w:rPr>
        <w:t>该公司的基本情况如下表</w:t>
      </w:r>
      <w:r w:rsidRPr="00611B5C">
        <w:rPr>
          <w:rFonts w:ascii="宋体" w:hAnsi="宋体" w:hint="eastAsia"/>
          <w:snapToGrid w:val="0"/>
          <w:color w:val="auto"/>
          <w:szCs w:val="28"/>
        </w:rPr>
        <w:t>2.</w:t>
      </w:r>
      <w:r w:rsidRPr="00611B5C">
        <w:rPr>
          <w:rFonts w:ascii="宋体" w:hAnsi="宋体"/>
          <w:snapToGrid w:val="0"/>
          <w:color w:val="auto"/>
          <w:szCs w:val="28"/>
        </w:rPr>
        <w:t>2-</w:t>
      </w:r>
      <w:r w:rsidRPr="00611B5C">
        <w:rPr>
          <w:rFonts w:ascii="宋体" w:hAnsi="宋体" w:hint="eastAsia"/>
          <w:snapToGrid w:val="0"/>
          <w:color w:val="auto"/>
          <w:szCs w:val="28"/>
        </w:rPr>
        <w:t>2</w:t>
      </w:r>
      <w:r w:rsidRPr="00611B5C">
        <w:rPr>
          <w:rFonts w:ascii="宋体" w:hAnsi="宋体"/>
          <w:snapToGrid w:val="0"/>
          <w:color w:val="auto"/>
          <w:szCs w:val="28"/>
        </w:rPr>
        <w:t>。</w:t>
      </w:r>
    </w:p>
    <w:p w:rsidR="003F13AB" w:rsidRDefault="00EC6E7E">
      <w:pPr>
        <w:topLinePunct/>
        <w:ind w:firstLineChars="0" w:firstLine="0"/>
        <w:jc w:val="center"/>
        <w:rPr>
          <w:rFonts w:ascii="宋体" w:hAnsi="宋体"/>
          <w:color w:val="auto"/>
        </w:rPr>
      </w:pPr>
      <w:r w:rsidRPr="00611B5C">
        <w:rPr>
          <w:rFonts w:ascii="宋体" w:hAnsi="宋体"/>
          <w:color w:val="auto"/>
        </w:rPr>
        <w:t>表2</w:t>
      </w:r>
      <w:r w:rsidRPr="00611B5C">
        <w:rPr>
          <w:rFonts w:ascii="宋体" w:hAnsi="宋体" w:hint="eastAsia"/>
          <w:color w:val="auto"/>
        </w:rPr>
        <w:t>.2</w:t>
      </w:r>
      <w:r w:rsidRPr="00611B5C">
        <w:rPr>
          <w:rFonts w:ascii="宋体" w:hAnsi="宋体"/>
          <w:color w:val="auto"/>
        </w:rPr>
        <w:t>-</w:t>
      </w:r>
      <w:r w:rsidRPr="00611B5C">
        <w:rPr>
          <w:rFonts w:ascii="宋体" w:hAnsi="宋体" w:hint="eastAsia"/>
          <w:color w:val="auto"/>
        </w:rPr>
        <w:t>2</w:t>
      </w:r>
      <w:r w:rsidRPr="00611B5C">
        <w:rPr>
          <w:rFonts w:ascii="宋体" w:hAnsi="宋体"/>
          <w:color w:val="auto"/>
        </w:rPr>
        <w:t xml:space="preserve">  </w:t>
      </w:r>
      <w:r w:rsidRPr="00611B5C">
        <w:rPr>
          <w:rFonts w:ascii="宋体" w:hAnsi="宋体" w:hint="eastAsia"/>
          <w:color w:val="auto"/>
          <w:szCs w:val="28"/>
        </w:rPr>
        <w:t>武汉理工大研</w:t>
      </w:r>
      <w:r>
        <w:rPr>
          <w:rFonts w:ascii="宋体" w:hAnsi="宋体" w:hint="eastAsia"/>
          <w:color w:val="auto"/>
          <w:szCs w:val="28"/>
        </w:rPr>
        <w:t>究院有限公司</w:t>
      </w:r>
      <w:r>
        <w:rPr>
          <w:rFonts w:ascii="宋体" w:hAnsi="宋体" w:hint="eastAsia"/>
          <w:color w:val="auto"/>
        </w:rPr>
        <w:t>基本情况表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4116"/>
        <w:gridCol w:w="1201"/>
        <w:gridCol w:w="2349"/>
      </w:tblGrid>
      <w:tr w:rsidR="003F13AB">
        <w:trPr>
          <w:trHeight w:val="340"/>
          <w:jc w:val="center"/>
        </w:trPr>
        <w:tc>
          <w:tcPr>
            <w:tcW w:w="1406"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7666" w:type="dxa"/>
            <w:gridSpan w:val="3"/>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武汉理工大研究院有限公司</w:t>
            </w:r>
          </w:p>
        </w:tc>
      </w:tr>
      <w:tr w:rsidR="003F13AB">
        <w:trPr>
          <w:trHeight w:val="340"/>
          <w:jc w:val="center"/>
        </w:trPr>
        <w:tc>
          <w:tcPr>
            <w:tcW w:w="1406"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rFonts w:hint="eastAsia"/>
                <w:b/>
                <w:snapToGrid w:val="0"/>
                <w:color w:val="auto"/>
                <w:kern w:val="0"/>
                <w:sz w:val="21"/>
                <w:szCs w:val="21"/>
              </w:rPr>
              <w:t>资质</w:t>
            </w:r>
            <w:r>
              <w:rPr>
                <w:b/>
                <w:snapToGrid w:val="0"/>
                <w:color w:val="auto"/>
                <w:kern w:val="0"/>
                <w:sz w:val="21"/>
                <w:szCs w:val="21"/>
              </w:rPr>
              <w:t>等级</w:t>
            </w:r>
          </w:p>
        </w:tc>
        <w:tc>
          <w:tcPr>
            <w:tcW w:w="4116" w:type="dxa"/>
            <w:vAlign w:val="center"/>
          </w:tcPr>
          <w:p w:rsidR="003F13AB" w:rsidRDefault="00EC6E7E">
            <w:pPr>
              <w:tabs>
                <w:tab w:val="left" w:pos="2520"/>
              </w:tabs>
              <w:adjustRightInd/>
              <w:snapToGrid/>
              <w:spacing w:line="240" w:lineRule="auto"/>
              <w:ind w:firstLineChars="0" w:firstLine="0"/>
              <w:rPr>
                <w:rFonts w:ascii="宋体" w:hAnsi="宋体"/>
                <w:snapToGrid w:val="0"/>
                <w:color w:val="auto"/>
                <w:kern w:val="0"/>
                <w:sz w:val="21"/>
                <w:szCs w:val="21"/>
              </w:rPr>
            </w:pPr>
            <w:r>
              <w:rPr>
                <w:rFonts w:ascii="宋体" w:hAnsi="宋体" w:hint="eastAsia"/>
                <w:snapToGrid w:val="0"/>
                <w:color w:val="auto"/>
                <w:kern w:val="0"/>
                <w:sz w:val="21"/>
                <w:szCs w:val="21"/>
              </w:rPr>
              <w:t>市政行业（环境卫生工程）专业甲级；建筑行业（建筑工程）甲级。</w:t>
            </w:r>
          </w:p>
          <w:p w:rsidR="003F13AB" w:rsidRDefault="00EC6E7E">
            <w:pPr>
              <w:pStyle w:val="Default1"/>
              <w:rPr>
                <w:rFonts w:ascii="宋体" w:hAnsi="宋体" w:hint="default"/>
                <w:sz w:val="21"/>
                <w:szCs w:val="21"/>
              </w:rPr>
            </w:pPr>
            <w:r>
              <w:rPr>
                <w:rFonts w:ascii="宋体" w:hAnsi="宋体"/>
                <w:sz w:val="21"/>
                <w:szCs w:val="21"/>
              </w:rPr>
              <w:t>可承担建筑装饰工程设计、建筑幕墙工程设计、轻型钢结构工程设计、建筑智能化系统设计、照明工程设计和消防设施工程设计相应范围的甲级专项工程设计业务。</w:t>
            </w:r>
          </w:p>
          <w:p w:rsidR="003F13AB" w:rsidRDefault="00EC6E7E">
            <w:pPr>
              <w:pStyle w:val="Default1"/>
              <w:rPr>
                <w:rFonts w:hint="default"/>
              </w:rPr>
            </w:pPr>
            <w:r>
              <w:rPr>
                <w:rFonts w:ascii="宋体" w:hAnsi="宋体"/>
                <w:sz w:val="21"/>
                <w:szCs w:val="21"/>
              </w:rPr>
              <w:t>可从事资质证书许可范围内相应的建设工程总承包业务以及项目管理和相关的技术与管理服务。******</w:t>
            </w:r>
          </w:p>
        </w:tc>
        <w:tc>
          <w:tcPr>
            <w:tcW w:w="1201"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资格编号</w:t>
            </w:r>
          </w:p>
        </w:tc>
        <w:tc>
          <w:tcPr>
            <w:tcW w:w="2349"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A</w:t>
            </w:r>
            <w:r>
              <w:rPr>
                <w:rFonts w:hint="eastAsia"/>
                <w:snapToGrid w:val="0"/>
                <w:color w:val="auto"/>
                <w:kern w:val="0"/>
                <w:sz w:val="21"/>
                <w:szCs w:val="21"/>
              </w:rPr>
              <w:t>142005587</w:t>
            </w:r>
          </w:p>
        </w:tc>
      </w:tr>
      <w:tr w:rsidR="003F13AB">
        <w:trPr>
          <w:trHeight w:val="340"/>
          <w:jc w:val="center"/>
        </w:trPr>
        <w:tc>
          <w:tcPr>
            <w:tcW w:w="1406"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发证机关</w:t>
            </w:r>
          </w:p>
        </w:tc>
        <w:tc>
          <w:tcPr>
            <w:tcW w:w="4116"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中华人民共和国</w:t>
            </w:r>
            <w:r>
              <w:rPr>
                <w:snapToGrid w:val="0"/>
                <w:color w:val="auto"/>
                <w:kern w:val="0"/>
                <w:sz w:val="21"/>
                <w:szCs w:val="21"/>
              </w:rPr>
              <w:t>住房和城乡建设部制</w:t>
            </w:r>
          </w:p>
        </w:tc>
        <w:tc>
          <w:tcPr>
            <w:tcW w:w="1201"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有效期至</w:t>
            </w:r>
          </w:p>
        </w:tc>
        <w:tc>
          <w:tcPr>
            <w:tcW w:w="2349"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202</w:t>
            </w:r>
            <w:r>
              <w:rPr>
                <w:rFonts w:hint="eastAsia"/>
                <w:snapToGrid w:val="0"/>
                <w:color w:val="auto"/>
                <w:kern w:val="0"/>
                <w:sz w:val="21"/>
                <w:szCs w:val="21"/>
              </w:rPr>
              <w:t>9</w:t>
            </w:r>
            <w:r>
              <w:rPr>
                <w:snapToGrid w:val="0"/>
                <w:color w:val="auto"/>
                <w:kern w:val="0"/>
                <w:sz w:val="21"/>
                <w:szCs w:val="21"/>
              </w:rPr>
              <w:t>年</w:t>
            </w:r>
            <w:r>
              <w:rPr>
                <w:rFonts w:hint="eastAsia"/>
                <w:snapToGrid w:val="0"/>
                <w:color w:val="auto"/>
                <w:kern w:val="0"/>
                <w:sz w:val="21"/>
                <w:szCs w:val="21"/>
              </w:rPr>
              <w:t>06</w:t>
            </w:r>
            <w:r>
              <w:rPr>
                <w:snapToGrid w:val="0"/>
                <w:color w:val="auto"/>
                <w:kern w:val="0"/>
                <w:sz w:val="21"/>
                <w:szCs w:val="21"/>
              </w:rPr>
              <w:t>月</w:t>
            </w:r>
            <w:r>
              <w:rPr>
                <w:rFonts w:hint="eastAsia"/>
                <w:snapToGrid w:val="0"/>
                <w:color w:val="auto"/>
                <w:kern w:val="0"/>
                <w:sz w:val="21"/>
                <w:szCs w:val="21"/>
              </w:rPr>
              <w:t>28</w:t>
            </w:r>
            <w:r>
              <w:rPr>
                <w:snapToGrid w:val="0"/>
                <w:color w:val="auto"/>
                <w:kern w:val="0"/>
                <w:sz w:val="21"/>
                <w:szCs w:val="21"/>
              </w:rPr>
              <w:t>日</w:t>
            </w:r>
          </w:p>
        </w:tc>
      </w:tr>
      <w:tr w:rsidR="003F13AB">
        <w:trPr>
          <w:trHeight w:val="557"/>
          <w:jc w:val="center"/>
        </w:trPr>
        <w:tc>
          <w:tcPr>
            <w:tcW w:w="1406"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业务范围</w:t>
            </w:r>
          </w:p>
        </w:tc>
        <w:tc>
          <w:tcPr>
            <w:tcW w:w="7666" w:type="dxa"/>
            <w:gridSpan w:val="3"/>
            <w:vAlign w:val="center"/>
          </w:tcPr>
          <w:p w:rsidR="003F13AB" w:rsidRDefault="00EC6E7E">
            <w:pPr>
              <w:tabs>
                <w:tab w:val="left" w:pos="2520"/>
              </w:tabs>
              <w:adjustRightInd/>
              <w:snapToGrid/>
              <w:spacing w:line="240" w:lineRule="auto"/>
              <w:ind w:firstLineChars="0" w:firstLine="0"/>
              <w:rPr>
                <w:snapToGrid w:val="0"/>
                <w:color w:val="auto"/>
                <w:kern w:val="0"/>
                <w:sz w:val="21"/>
                <w:szCs w:val="21"/>
              </w:rPr>
            </w:pPr>
            <w:r>
              <w:rPr>
                <w:snapToGrid w:val="0"/>
                <w:color w:val="auto"/>
                <w:kern w:val="0"/>
                <w:sz w:val="21"/>
                <w:szCs w:val="21"/>
              </w:rPr>
              <w:t>可从事资质证书许可范围内相应的建设工程总承包业务以及项目管理和相关的技术与管理服务。</w:t>
            </w:r>
          </w:p>
        </w:tc>
      </w:tr>
    </w:tbl>
    <w:p w:rsidR="003F13AB" w:rsidRDefault="00EC6E7E">
      <w:pPr>
        <w:adjustRightInd/>
        <w:snapToGrid/>
        <w:ind w:firstLine="560"/>
        <w:jc w:val="left"/>
        <w:rPr>
          <w:rFonts w:ascii="宋体" w:hAnsi="宋体"/>
          <w:snapToGrid w:val="0"/>
          <w:color w:val="auto"/>
          <w:szCs w:val="28"/>
        </w:rPr>
      </w:pPr>
      <w:r>
        <w:rPr>
          <w:rFonts w:ascii="宋体" w:hAnsi="宋体" w:hint="eastAsia"/>
          <w:color w:val="auto"/>
          <w:szCs w:val="28"/>
        </w:rPr>
        <w:t>项目综合楼、原料仓库、丙类仓库、生产厂房（含锅炉房）、成品仓库以及配套的变配电室、消防泵房、循环冷却水池、事故应急水池等（二期）</w:t>
      </w:r>
      <w:r>
        <w:rPr>
          <w:rFonts w:ascii="宋体" w:hAnsi="宋体"/>
          <w:snapToGrid w:val="0"/>
          <w:color w:val="auto"/>
          <w:szCs w:val="28"/>
        </w:rPr>
        <w:t>设计单位为</w:t>
      </w:r>
      <w:r>
        <w:rPr>
          <w:rFonts w:ascii="宋体" w:hAnsi="宋体" w:hint="eastAsia"/>
          <w:color w:val="auto"/>
          <w:szCs w:val="28"/>
        </w:rPr>
        <w:t>昆明兰德设计有限公司</w:t>
      </w:r>
      <w:r>
        <w:rPr>
          <w:rFonts w:ascii="宋体" w:hAnsi="宋体"/>
          <w:snapToGrid w:val="0"/>
          <w:color w:val="auto"/>
          <w:szCs w:val="28"/>
        </w:rPr>
        <w:t>，该公司的基本情况如下表</w:t>
      </w:r>
      <w:r>
        <w:rPr>
          <w:rFonts w:ascii="宋体" w:hAnsi="宋体" w:hint="eastAsia"/>
          <w:snapToGrid w:val="0"/>
          <w:color w:val="auto"/>
          <w:szCs w:val="28"/>
        </w:rPr>
        <w:t>2.</w:t>
      </w:r>
      <w:r>
        <w:rPr>
          <w:rFonts w:ascii="宋体" w:hAnsi="宋体"/>
          <w:snapToGrid w:val="0"/>
          <w:color w:val="auto"/>
          <w:szCs w:val="28"/>
        </w:rPr>
        <w:t>2-</w:t>
      </w:r>
      <w:r>
        <w:rPr>
          <w:rFonts w:ascii="宋体" w:hAnsi="宋体" w:hint="eastAsia"/>
          <w:snapToGrid w:val="0"/>
          <w:color w:val="auto"/>
          <w:szCs w:val="28"/>
        </w:rPr>
        <w:t>3</w:t>
      </w:r>
      <w:r>
        <w:rPr>
          <w:rFonts w:ascii="宋体" w:hAnsi="宋体"/>
          <w:snapToGrid w:val="0"/>
          <w:color w:val="auto"/>
          <w:szCs w:val="28"/>
        </w:rPr>
        <w:t>。</w:t>
      </w:r>
    </w:p>
    <w:p w:rsidR="003F13AB" w:rsidRDefault="00EC6E7E">
      <w:pPr>
        <w:widowControl/>
        <w:adjustRightInd/>
        <w:snapToGrid/>
        <w:spacing w:line="240" w:lineRule="auto"/>
        <w:ind w:firstLineChars="0" w:firstLine="0"/>
        <w:jc w:val="left"/>
        <w:rPr>
          <w:rFonts w:ascii="宋体" w:hAnsi="宋体"/>
          <w:color w:val="auto"/>
          <w:kern w:val="0"/>
          <w:szCs w:val="28"/>
        </w:rPr>
      </w:pPr>
      <w:r>
        <w:rPr>
          <w:rFonts w:ascii="宋体" w:hAnsi="宋体"/>
          <w:color w:val="auto"/>
          <w:szCs w:val="28"/>
        </w:rPr>
        <w:br w:type="page"/>
      </w:r>
    </w:p>
    <w:p w:rsidR="003F13AB" w:rsidRDefault="00EC6E7E">
      <w:pPr>
        <w:pStyle w:val="Default1"/>
        <w:spacing w:line="360" w:lineRule="auto"/>
        <w:jc w:val="center"/>
        <w:rPr>
          <w:rFonts w:hint="default"/>
          <w:sz w:val="28"/>
          <w:szCs w:val="28"/>
        </w:rPr>
      </w:pPr>
      <w:r>
        <w:rPr>
          <w:rFonts w:ascii="宋体" w:hAnsi="宋体"/>
          <w:color w:val="auto"/>
          <w:sz w:val="28"/>
          <w:szCs w:val="28"/>
        </w:rPr>
        <w:lastRenderedPageBreak/>
        <w:t>表2.2-3  昆明兰德设计有限公司基本情况表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4116"/>
        <w:gridCol w:w="1201"/>
        <w:gridCol w:w="2349"/>
      </w:tblGrid>
      <w:tr w:rsidR="003F13AB">
        <w:trPr>
          <w:trHeight w:val="340"/>
          <w:jc w:val="center"/>
        </w:trPr>
        <w:tc>
          <w:tcPr>
            <w:tcW w:w="1406"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7666" w:type="dxa"/>
            <w:gridSpan w:val="3"/>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昆明兰德设计有限公司</w:t>
            </w:r>
          </w:p>
        </w:tc>
      </w:tr>
      <w:tr w:rsidR="003F13AB">
        <w:trPr>
          <w:trHeight w:val="340"/>
          <w:jc w:val="center"/>
        </w:trPr>
        <w:tc>
          <w:tcPr>
            <w:tcW w:w="1406"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rFonts w:hint="eastAsia"/>
                <w:b/>
                <w:snapToGrid w:val="0"/>
                <w:color w:val="auto"/>
                <w:kern w:val="0"/>
                <w:sz w:val="21"/>
                <w:szCs w:val="21"/>
              </w:rPr>
              <w:t>资质</w:t>
            </w:r>
            <w:r>
              <w:rPr>
                <w:b/>
                <w:snapToGrid w:val="0"/>
                <w:color w:val="auto"/>
                <w:kern w:val="0"/>
                <w:sz w:val="21"/>
                <w:szCs w:val="21"/>
              </w:rPr>
              <w:t>等级</w:t>
            </w:r>
          </w:p>
        </w:tc>
        <w:tc>
          <w:tcPr>
            <w:tcW w:w="4116" w:type="dxa"/>
            <w:vAlign w:val="center"/>
          </w:tcPr>
          <w:p w:rsidR="003F13AB" w:rsidRDefault="00EC6E7E">
            <w:pPr>
              <w:tabs>
                <w:tab w:val="left" w:pos="2520"/>
              </w:tabs>
              <w:adjustRightInd/>
              <w:snapToGrid/>
              <w:spacing w:line="240" w:lineRule="auto"/>
              <w:ind w:firstLineChars="0" w:firstLine="0"/>
              <w:rPr>
                <w:snapToGrid w:val="0"/>
                <w:color w:val="auto"/>
                <w:kern w:val="0"/>
                <w:sz w:val="21"/>
                <w:szCs w:val="21"/>
              </w:rPr>
            </w:pPr>
            <w:r>
              <w:rPr>
                <w:rFonts w:hint="eastAsia"/>
                <w:snapToGrid w:val="0"/>
                <w:color w:val="auto"/>
                <w:kern w:val="0"/>
                <w:sz w:val="21"/>
                <w:szCs w:val="21"/>
              </w:rPr>
              <w:t>化工石化医药行业（化工工程）</w:t>
            </w:r>
            <w:r>
              <w:rPr>
                <w:snapToGrid w:val="0"/>
                <w:color w:val="auto"/>
                <w:kern w:val="0"/>
                <w:sz w:val="21"/>
                <w:szCs w:val="21"/>
              </w:rPr>
              <w:t>乙级；</w:t>
            </w:r>
            <w:r>
              <w:rPr>
                <w:rFonts w:hint="eastAsia"/>
                <w:snapToGrid w:val="0"/>
                <w:color w:val="auto"/>
                <w:kern w:val="0"/>
                <w:sz w:val="21"/>
                <w:szCs w:val="21"/>
              </w:rPr>
              <w:t>建筑行业（建筑工程）</w:t>
            </w:r>
            <w:r>
              <w:rPr>
                <w:snapToGrid w:val="0"/>
                <w:color w:val="auto"/>
                <w:kern w:val="0"/>
                <w:sz w:val="21"/>
                <w:szCs w:val="21"/>
              </w:rPr>
              <w:t>乙级。</w:t>
            </w:r>
          </w:p>
        </w:tc>
        <w:tc>
          <w:tcPr>
            <w:tcW w:w="1201"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资格编号</w:t>
            </w:r>
          </w:p>
        </w:tc>
        <w:tc>
          <w:tcPr>
            <w:tcW w:w="2349"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A253007040</w:t>
            </w:r>
          </w:p>
        </w:tc>
      </w:tr>
      <w:tr w:rsidR="003F13AB">
        <w:trPr>
          <w:trHeight w:val="340"/>
          <w:jc w:val="center"/>
        </w:trPr>
        <w:tc>
          <w:tcPr>
            <w:tcW w:w="1406"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发证机关</w:t>
            </w:r>
          </w:p>
        </w:tc>
        <w:tc>
          <w:tcPr>
            <w:tcW w:w="4116"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昆明市</w:t>
            </w:r>
            <w:r>
              <w:rPr>
                <w:snapToGrid w:val="0"/>
                <w:color w:val="auto"/>
                <w:kern w:val="0"/>
                <w:sz w:val="21"/>
                <w:szCs w:val="21"/>
              </w:rPr>
              <w:t>住房和城乡建设局</w:t>
            </w:r>
          </w:p>
        </w:tc>
        <w:tc>
          <w:tcPr>
            <w:tcW w:w="1201"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有效期至</w:t>
            </w:r>
          </w:p>
        </w:tc>
        <w:tc>
          <w:tcPr>
            <w:tcW w:w="2349"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202</w:t>
            </w:r>
            <w:r>
              <w:rPr>
                <w:rFonts w:hint="eastAsia"/>
                <w:snapToGrid w:val="0"/>
                <w:color w:val="auto"/>
                <w:kern w:val="0"/>
                <w:sz w:val="21"/>
                <w:szCs w:val="21"/>
              </w:rPr>
              <w:t>4</w:t>
            </w:r>
            <w:r>
              <w:rPr>
                <w:snapToGrid w:val="0"/>
                <w:color w:val="auto"/>
                <w:kern w:val="0"/>
                <w:sz w:val="21"/>
                <w:szCs w:val="21"/>
              </w:rPr>
              <w:t>年</w:t>
            </w:r>
            <w:r>
              <w:rPr>
                <w:rFonts w:hint="eastAsia"/>
                <w:snapToGrid w:val="0"/>
                <w:color w:val="auto"/>
                <w:kern w:val="0"/>
                <w:sz w:val="21"/>
                <w:szCs w:val="21"/>
              </w:rPr>
              <w:t>12</w:t>
            </w:r>
            <w:r>
              <w:rPr>
                <w:snapToGrid w:val="0"/>
                <w:color w:val="auto"/>
                <w:kern w:val="0"/>
                <w:sz w:val="21"/>
                <w:szCs w:val="21"/>
              </w:rPr>
              <w:t>月</w:t>
            </w:r>
            <w:r>
              <w:rPr>
                <w:rFonts w:hint="eastAsia"/>
                <w:snapToGrid w:val="0"/>
                <w:color w:val="auto"/>
                <w:kern w:val="0"/>
                <w:sz w:val="21"/>
                <w:szCs w:val="21"/>
              </w:rPr>
              <w:t>31</w:t>
            </w:r>
            <w:r>
              <w:rPr>
                <w:snapToGrid w:val="0"/>
                <w:color w:val="auto"/>
                <w:kern w:val="0"/>
                <w:sz w:val="21"/>
                <w:szCs w:val="21"/>
              </w:rPr>
              <w:t>日</w:t>
            </w:r>
          </w:p>
        </w:tc>
      </w:tr>
      <w:tr w:rsidR="003F13AB">
        <w:trPr>
          <w:trHeight w:val="557"/>
          <w:jc w:val="center"/>
        </w:trPr>
        <w:tc>
          <w:tcPr>
            <w:tcW w:w="1406"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业务范围</w:t>
            </w:r>
          </w:p>
        </w:tc>
        <w:tc>
          <w:tcPr>
            <w:tcW w:w="7666" w:type="dxa"/>
            <w:gridSpan w:val="3"/>
            <w:vAlign w:val="center"/>
          </w:tcPr>
          <w:p w:rsidR="003F13AB" w:rsidRDefault="00EC6E7E">
            <w:pPr>
              <w:tabs>
                <w:tab w:val="left" w:pos="2520"/>
              </w:tabs>
              <w:adjustRightInd/>
              <w:snapToGrid/>
              <w:spacing w:line="240" w:lineRule="auto"/>
              <w:ind w:firstLineChars="0" w:firstLine="0"/>
              <w:rPr>
                <w:snapToGrid w:val="0"/>
                <w:color w:val="auto"/>
                <w:kern w:val="0"/>
                <w:sz w:val="21"/>
                <w:szCs w:val="21"/>
              </w:rPr>
            </w:pPr>
            <w:r>
              <w:rPr>
                <w:snapToGrid w:val="0"/>
                <w:color w:val="auto"/>
                <w:kern w:val="0"/>
                <w:sz w:val="21"/>
                <w:szCs w:val="21"/>
              </w:rPr>
              <w:t>可从事资质证书许可范围内相应的建设工程总承包业务以及项目管理和相关的技术与管理服务。</w:t>
            </w:r>
          </w:p>
        </w:tc>
      </w:tr>
    </w:tbl>
    <w:p w:rsidR="003F13AB" w:rsidRDefault="003F13AB">
      <w:pPr>
        <w:pStyle w:val="Default1"/>
        <w:rPr>
          <w:rFonts w:hint="default"/>
        </w:rPr>
      </w:pPr>
    </w:p>
    <w:p w:rsidR="003F13AB" w:rsidRDefault="00EC6E7E">
      <w:pPr>
        <w:pStyle w:val="4"/>
        <w:keepNext w:val="0"/>
        <w:ind w:firstLineChars="200" w:firstLine="562"/>
        <w:rPr>
          <w:b/>
          <w:szCs w:val="20"/>
        </w:rPr>
      </w:pPr>
      <w:r>
        <w:rPr>
          <w:rFonts w:eastAsia="宋体"/>
          <w:b/>
          <w:szCs w:val="20"/>
        </w:rPr>
        <w:t>2.</w:t>
      </w:r>
      <w:r>
        <w:rPr>
          <w:rFonts w:eastAsia="宋体" w:hint="eastAsia"/>
          <w:b/>
          <w:szCs w:val="20"/>
        </w:rPr>
        <w:t>2</w:t>
      </w:r>
      <w:r>
        <w:rPr>
          <w:rFonts w:eastAsia="宋体"/>
          <w:b/>
          <w:szCs w:val="20"/>
        </w:rPr>
        <w:t>.</w:t>
      </w:r>
      <w:r>
        <w:rPr>
          <w:rFonts w:eastAsia="宋体" w:hint="eastAsia"/>
          <w:b/>
          <w:szCs w:val="20"/>
        </w:rPr>
        <w:t>4.</w:t>
      </w:r>
      <w:r>
        <w:rPr>
          <w:rFonts w:eastAsia="宋体"/>
          <w:b/>
          <w:szCs w:val="20"/>
        </w:rPr>
        <w:t>2 安全设施设计单位简介</w:t>
      </w:r>
    </w:p>
    <w:p w:rsidR="003F13AB" w:rsidRDefault="00EC6E7E">
      <w:pPr>
        <w:ind w:firstLine="560"/>
        <w:rPr>
          <w:color w:val="auto"/>
        </w:rPr>
      </w:pPr>
      <w:r>
        <w:rPr>
          <w:color w:val="auto"/>
        </w:rPr>
        <w:t>项目安全设施设计单位为</w:t>
      </w:r>
      <w:r>
        <w:rPr>
          <w:rFonts w:hint="eastAsia"/>
          <w:color w:val="auto"/>
        </w:rPr>
        <w:t>昆明兰德设计有限公司</w:t>
      </w:r>
      <w:r>
        <w:rPr>
          <w:color w:val="auto"/>
        </w:rPr>
        <w:t>，该公司的基本情况见表</w:t>
      </w:r>
      <w:r>
        <w:rPr>
          <w:rFonts w:ascii="宋体" w:hAnsi="宋体" w:hint="eastAsia"/>
          <w:color w:val="auto"/>
        </w:rPr>
        <w:t>2.2-3</w:t>
      </w:r>
      <w:r>
        <w:rPr>
          <w:rFonts w:ascii="宋体" w:hAnsi="宋体"/>
          <w:color w:val="auto"/>
        </w:rPr>
        <w:t>。</w:t>
      </w:r>
    </w:p>
    <w:p w:rsidR="003F13AB" w:rsidRDefault="00EC6E7E">
      <w:pPr>
        <w:pStyle w:val="4"/>
        <w:keepNext w:val="0"/>
        <w:ind w:firstLineChars="200" w:firstLine="562"/>
        <w:rPr>
          <w:rFonts w:eastAsia="宋体"/>
          <w:b/>
          <w:szCs w:val="20"/>
        </w:rPr>
      </w:pPr>
      <w:r>
        <w:rPr>
          <w:rFonts w:eastAsia="宋体"/>
          <w:b/>
          <w:szCs w:val="20"/>
        </w:rPr>
        <w:t>2.</w:t>
      </w:r>
      <w:r>
        <w:rPr>
          <w:rFonts w:eastAsia="宋体" w:hint="eastAsia"/>
          <w:b/>
          <w:szCs w:val="20"/>
        </w:rPr>
        <w:t>2</w:t>
      </w:r>
      <w:r>
        <w:rPr>
          <w:rFonts w:eastAsia="宋体"/>
          <w:b/>
          <w:szCs w:val="20"/>
        </w:rPr>
        <w:t>.</w:t>
      </w:r>
      <w:r>
        <w:rPr>
          <w:rFonts w:eastAsia="宋体" w:hint="eastAsia"/>
          <w:b/>
          <w:szCs w:val="20"/>
        </w:rPr>
        <w:t>4.3</w:t>
      </w:r>
      <w:r>
        <w:rPr>
          <w:rFonts w:eastAsia="宋体"/>
          <w:b/>
          <w:szCs w:val="20"/>
        </w:rPr>
        <w:t xml:space="preserve"> 施工单位简介</w:t>
      </w:r>
    </w:p>
    <w:p w:rsidR="003F13AB" w:rsidRDefault="00EC6E7E">
      <w:pPr>
        <w:ind w:firstLine="560"/>
        <w:rPr>
          <w:color w:val="auto"/>
        </w:rPr>
      </w:pPr>
      <w:r>
        <w:rPr>
          <w:color w:val="auto"/>
        </w:rPr>
        <w:t>项目造粒塔（一期）由</w:t>
      </w:r>
      <w:r>
        <w:rPr>
          <w:rFonts w:ascii="宋体" w:hAnsi="宋体" w:hint="eastAsia"/>
          <w:color w:val="auto"/>
        </w:rPr>
        <w:t>金大陆建设集团有限公司</w:t>
      </w:r>
      <w:r>
        <w:rPr>
          <w:color w:val="auto"/>
        </w:rPr>
        <w:t>进行施工，二期由</w:t>
      </w:r>
      <w:r>
        <w:rPr>
          <w:rFonts w:ascii="宋体" w:hAnsi="宋体" w:hint="eastAsia"/>
          <w:color w:val="auto"/>
        </w:rPr>
        <w:t>云南君瑞工程管理有限公司</w:t>
      </w:r>
      <w:r>
        <w:rPr>
          <w:color w:val="auto"/>
        </w:rPr>
        <w:t>进行施工；</w:t>
      </w:r>
      <w:r>
        <w:rPr>
          <w:rFonts w:hint="eastAsia"/>
          <w:color w:val="auto"/>
        </w:rPr>
        <w:t>锅炉及压力管道等安装由云南鸿云锅炉有限责任公司负责</w:t>
      </w:r>
      <w:r>
        <w:rPr>
          <w:color w:val="auto"/>
        </w:rPr>
        <w:t>，公司的情况见表</w:t>
      </w:r>
      <w:r>
        <w:rPr>
          <w:rFonts w:ascii="宋体" w:hAnsi="宋体"/>
          <w:color w:val="auto"/>
        </w:rPr>
        <w:t>2</w:t>
      </w:r>
      <w:r>
        <w:rPr>
          <w:rFonts w:ascii="宋体" w:hAnsi="宋体" w:hint="eastAsia"/>
          <w:color w:val="auto"/>
        </w:rPr>
        <w:t>.2-4、2.2-5、2.2-6</w:t>
      </w:r>
      <w:r>
        <w:rPr>
          <w:rFonts w:ascii="宋体" w:hAnsi="宋体"/>
          <w:color w:val="auto"/>
        </w:rPr>
        <w:t>所</w:t>
      </w:r>
      <w:r>
        <w:rPr>
          <w:color w:val="auto"/>
        </w:rPr>
        <w:t>示。</w:t>
      </w:r>
    </w:p>
    <w:p w:rsidR="003F13AB" w:rsidRDefault="00EC6E7E">
      <w:pPr>
        <w:topLinePunct/>
        <w:ind w:firstLineChars="0" w:firstLine="0"/>
        <w:jc w:val="center"/>
        <w:rPr>
          <w:rFonts w:ascii="宋体" w:hAnsi="宋体"/>
          <w:color w:val="auto"/>
        </w:rPr>
      </w:pPr>
      <w:r>
        <w:rPr>
          <w:rFonts w:ascii="宋体" w:hAnsi="宋体"/>
          <w:color w:val="auto"/>
        </w:rPr>
        <w:t>表2</w:t>
      </w:r>
      <w:r>
        <w:rPr>
          <w:rFonts w:ascii="宋体" w:hAnsi="宋体" w:hint="eastAsia"/>
          <w:color w:val="auto"/>
        </w:rPr>
        <w:t>.2-4金大陆建设集团有限公司基本</w:t>
      </w:r>
      <w:r>
        <w:rPr>
          <w:rFonts w:ascii="宋体" w:hAnsi="宋体"/>
          <w:color w:val="auto"/>
        </w:rPr>
        <w:t>情况</w:t>
      </w:r>
      <w:r>
        <w:rPr>
          <w:rFonts w:ascii="宋体" w:hAnsi="宋体" w:hint="eastAsia"/>
          <w:color w:val="auto"/>
        </w:rPr>
        <w:t>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1610"/>
        <w:gridCol w:w="1278"/>
        <w:gridCol w:w="4958"/>
      </w:tblGrid>
      <w:tr w:rsidR="003F13AB">
        <w:trPr>
          <w:trHeight w:val="340"/>
          <w:jc w:val="center"/>
        </w:trPr>
        <w:tc>
          <w:tcPr>
            <w:tcW w:w="2835" w:type="dxa"/>
            <w:gridSpan w:val="2"/>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6237" w:type="dxa"/>
            <w:gridSpan w:val="2"/>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ascii="宋体" w:hAnsi="宋体" w:hint="eastAsia"/>
                <w:color w:val="auto"/>
                <w:sz w:val="21"/>
                <w:szCs w:val="21"/>
              </w:rPr>
              <w:t>金大陆建设集团有限公司</w:t>
            </w:r>
          </w:p>
        </w:tc>
      </w:tr>
      <w:tr w:rsidR="003F13AB">
        <w:trPr>
          <w:trHeight w:val="340"/>
          <w:jc w:val="center"/>
        </w:trPr>
        <w:tc>
          <w:tcPr>
            <w:tcW w:w="2836" w:type="dxa"/>
            <w:gridSpan w:val="2"/>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rFonts w:hint="eastAsia"/>
                <w:b/>
                <w:snapToGrid w:val="0"/>
                <w:color w:val="auto"/>
                <w:kern w:val="0"/>
                <w:sz w:val="21"/>
                <w:szCs w:val="21"/>
              </w:rPr>
              <w:t>有效期至</w:t>
            </w:r>
          </w:p>
        </w:tc>
        <w:tc>
          <w:tcPr>
            <w:tcW w:w="6237" w:type="dxa"/>
            <w:gridSpan w:val="2"/>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snapToGrid w:val="0"/>
                <w:color w:val="auto"/>
                <w:kern w:val="0"/>
                <w:sz w:val="21"/>
                <w:szCs w:val="21"/>
              </w:rPr>
              <w:t>20</w:t>
            </w:r>
            <w:r>
              <w:rPr>
                <w:rFonts w:hint="eastAsia"/>
                <w:snapToGrid w:val="0"/>
                <w:color w:val="auto"/>
                <w:kern w:val="0"/>
                <w:sz w:val="21"/>
                <w:szCs w:val="21"/>
              </w:rPr>
              <w:t>24</w:t>
            </w:r>
            <w:r>
              <w:rPr>
                <w:snapToGrid w:val="0"/>
                <w:color w:val="auto"/>
                <w:kern w:val="0"/>
                <w:sz w:val="21"/>
                <w:szCs w:val="21"/>
              </w:rPr>
              <w:t>年</w:t>
            </w:r>
            <w:r>
              <w:rPr>
                <w:rFonts w:hint="eastAsia"/>
                <w:snapToGrid w:val="0"/>
                <w:color w:val="auto"/>
                <w:kern w:val="0"/>
                <w:sz w:val="21"/>
                <w:szCs w:val="21"/>
              </w:rPr>
              <w:t>12</w:t>
            </w:r>
            <w:r>
              <w:rPr>
                <w:snapToGrid w:val="0"/>
                <w:color w:val="auto"/>
                <w:kern w:val="0"/>
                <w:sz w:val="21"/>
                <w:szCs w:val="21"/>
              </w:rPr>
              <w:t>月</w:t>
            </w:r>
            <w:r>
              <w:rPr>
                <w:rFonts w:hint="eastAsia"/>
                <w:snapToGrid w:val="0"/>
                <w:color w:val="auto"/>
                <w:kern w:val="0"/>
                <w:sz w:val="21"/>
                <w:szCs w:val="21"/>
              </w:rPr>
              <w:t>31</w:t>
            </w:r>
            <w:r>
              <w:rPr>
                <w:snapToGrid w:val="0"/>
                <w:color w:val="auto"/>
                <w:kern w:val="0"/>
                <w:sz w:val="21"/>
                <w:szCs w:val="21"/>
              </w:rPr>
              <w:t>日</w:t>
            </w:r>
          </w:p>
        </w:tc>
      </w:tr>
      <w:tr w:rsidR="003F13AB">
        <w:trPr>
          <w:trHeight w:val="340"/>
          <w:jc w:val="center"/>
        </w:trPr>
        <w:tc>
          <w:tcPr>
            <w:tcW w:w="2835" w:type="dxa"/>
            <w:gridSpan w:val="2"/>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资格等级</w:t>
            </w:r>
          </w:p>
        </w:tc>
        <w:tc>
          <w:tcPr>
            <w:tcW w:w="6237" w:type="dxa"/>
            <w:gridSpan w:val="2"/>
            <w:vAlign w:val="center"/>
          </w:tcPr>
          <w:p w:rsidR="003F13AB" w:rsidRDefault="00EC6E7E">
            <w:pPr>
              <w:pStyle w:val="Default1"/>
              <w:rPr>
                <w:rFonts w:hint="default"/>
                <w:sz w:val="21"/>
                <w:szCs w:val="21"/>
              </w:rPr>
            </w:pPr>
            <w:r>
              <w:rPr>
                <w:sz w:val="21"/>
                <w:szCs w:val="21"/>
              </w:rPr>
              <w:t>建筑工程施工总承包叁级</w:t>
            </w:r>
          </w:p>
          <w:p w:rsidR="003F13AB" w:rsidRDefault="00EC6E7E">
            <w:pPr>
              <w:pStyle w:val="Default1"/>
              <w:rPr>
                <w:rFonts w:hint="default"/>
                <w:sz w:val="21"/>
                <w:szCs w:val="21"/>
              </w:rPr>
            </w:pPr>
            <w:r>
              <w:rPr>
                <w:sz w:val="21"/>
                <w:szCs w:val="21"/>
              </w:rPr>
              <w:t>建筑装修装饰工程专业承包壹级</w:t>
            </w:r>
          </w:p>
          <w:p w:rsidR="003F13AB" w:rsidRDefault="00EC6E7E">
            <w:pPr>
              <w:pStyle w:val="Default1"/>
              <w:rPr>
                <w:rFonts w:hint="default"/>
                <w:sz w:val="21"/>
                <w:szCs w:val="21"/>
              </w:rPr>
            </w:pPr>
            <w:r>
              <w:rPr>
                <w:sz w:val="21"/>
                <w:szCs w:val="21"/>
              </w:rPr>
              <w:t>消防设施工程专业承包贰级</w:t>
            </w:r>
          </w:p>
          <w:p w:rsidR="003F13AB" w:rsidRDefault="00EC6E7E">
            <w:pPr>
              <w:pStyle w:val="Default1"/>
              <w:rPr>
                <w:rFonts w:hint="default"/>
              </w:rPr>
            </w:pPr>
            <w:r>
              <w:rPr>
                <w:sz w:val="21"/>
                <w:szCs w:val="21"/>
              </w:rPr>
              <w:t>防水防腐保温工程专业承包贰级</w:t>
            </w:r>
          </w:p>
        </w:tc>
      </w:tr>
      <w:tr w:rsidR="003F13AB">
        <w:trPr>
          <w:trHeight w:val="340"/>
          <w:jc w:val="center"/>
        </w:trPr>
        <w:tc>
          <w:tcPr>
            <w:tcW w:w="1226"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证书编号</w:t>
            </w:r>
          </w:p>
        </w:tc>
        <w:tc>
          <w:tcPr>
            <w:tcW w:w="1609"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D237089976</w:t>
            </w:r>
          </w:p>
        </w:tc>
        <w:tc>
          <w:tcPr>
            <w:tcW w:w="127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发证单位</w:t>
            </w:r>
          </w:p>
        </w:tc>
        <w:tc>
          <w:tcPr>
            <w:tcW w:w="4959"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山东省住房和城乡建设局</w:t>
            </w:r>
          </w:p>
        </w:tc>
      </w:tr>
    </w:tbl>
    <w:p w:rsidR="003F13AB" w:rsidRDefault="003F13AB">
      <w:pPr>
        <w:ind w:firstLineChars="0" w:firstLine="0"/>
        <w:rPr>
          <w:color w:val="auto"/>
        </w:rPr>
      </w:pPr>
    </w:p>
    <w:p w:rsidR="003F13AB" w:rsidRDefault="00EC6E7E">
      <w:pPr>
        <w:topLinePunct/>
        <w:ind w:firstLineChars="0" w:firstLine="0"/>
        <w:jc w:val="center"/>
        <w:rPr>
          <w:rFonts w:ascii="宋体" w:hAnsi="宋体"/>
          <w:color w:val="auto"/>
        </w:rPr>
      </w:pPr>
      <w:r>
        <w:rPr>
          <w:rFonts w:ascii="宋体" w:hAnsi="宋体"/>
          <w:color w:val="auto"/>
        </w:rPr>
        <w:t>表2</w:t>
      </w:r>
      <w:r>
        <w:rPr>
          <w:rFonts w:ascii="宋体" w:hAnsi="宋体" w:hint="eastAsia"/>
          <w:color w:val="auto"/>
        </w:rPr>
        <w:t>.2-5云南君瑞工程管理有限公司基本</w:t>
      </w:r>
      <w:r>
        <w:rPr>
          <w:rFonts w:ascii="宋体" w:hAnsi="宋体"/>
          <w:color w:val="auto"/>
        </w:rPr>
        <w:t>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2833"/>
        <w:gridCol w:w="1134"/>
        <w:gridCol w:w="3407"/>
      </w:tblGrid>
      <w:tr w:rsidR="003F13AB">
        <w:trPr>
          <w:trHeight w:val="340"/>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7374" w:type="dxa"/>
            <w:gridSpan w:val="3"/>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ascii="宋体" w:hAnsi="宋体" w:hint="eastAsia"/>
                <w:color w:val="auto"/>
                <w:sz w:val="21"/>
                <w:szCs w:val="21"/>
              </w:rPr>
              <w:t>云南君瑞工程管理有限公司</w:t>
            </w:r>
          </w:p>
        </w:tc>
      </w:tr>
      <w:tr w:rsidR="003F13AB">
        <w:trPr>
          <w:trHeight w:val="340"/>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有效期至</w:t>
            </w:r>
          </w:p>
        </w:tc>
        <w:tc>
          <w:tcPr>
            <w:tcW w:w="7374" w:type="dxa"/>
            <w:gridSpan w:val="3"/>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2025</w:t>
            </w:r>
            <w:r>
              <w:rPr>
                <w:rFonts w:hint="eastAsia"/>
                <w:snapToGrid w:val="0"/>
                <w:color w:val="auto"/>
                <w:kern w:val="0"/>
                <w:sz w:val="21"/>
                <w:szCs w:val="21"/>
              </w:rPr>
              <w:t>年</w:t>
            </w:r>
            <w:r>
              <w:rPr>
                <w:rFonts w:hint="eastAsia"/>
                <w:snapToGrid w:val="0"/>
                <w:color w:val="auto"/>
                <w:kern w:val="0"/>
                <w:sz w:val="21"/>
                <w:szCs w:val="21"/>
              </w:rPr>
              <w:t>12</w:t>
            </w:r>
            <w:r>
              <w:rPr>
                <w:rFonts w:hint="eastAsia"/>
                <w:snapToGrid w:val="0"/>
                <w:color w:val="auto"/>
                <w:kern w:val="0"/>
                <w:sz w:val="21"/>
                <w:szCs w:val="21"/>
              </w:rPr>
              <w:t>月</w:t>
            </w:r>
            <w:r>
              <w:rPr>
                <w:rFonts w:hint="eastAsia"/>
                <w:snapToGrid w:val="0"/>
                <w:color w:val="auto"/>
                <w:kern w:val="0"/>
                <w:sz w:val="21"/>
                <w:szCs w:val="21"/>
              </w:rPr>
              <w:t>02</w:t>
            </w:r>
            <w:r>
              <w:rPr>
                <w:rFonts w:hint="eastAsia"/>
                <w:snapToGrid w:val="0"/>
                <w:color w:val="auto"/>
                <w:kern w:val="0"/>
                <w:sz w:val="21"/>
                <w:szCs w:val="21"/>
              </w:rPr>
              <w:t>日</w:t>
            </w:r>
          </w:p>
        </w:tc>
      </w:tr>
      <w:tr w:rsidR="003F13AB">
        <w:trPr>
          <w:trHeight w:val="1012"/>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rFonts w:hint="eastAsia"/>
                <w:b/>
                <w:snapToGrid w:val="0"/>
                <w:color w:val="auto"/>
                <w:kern w:val="0"/>
                <w:sz w:val="21"/>
                <w:szCs w:val="21"/>
              </w:rPr>
              <w:t xml:space="preserve">   </w:t>
            </w:r>
            <w:r>
              <w:rPr>
                <w:b/>
                <w:snapToGrid w:val="0"/>
                <w:color w:val="auto"/>
                <w:kern w:val="0"/>
                <w:sz w:val="21"/>
                <w:szCs w:val="21"/>
              </w:rPr>
              <w:t>资格等级</w:t>
            </w:r>
            <w:r>
              <w:rPr>
                <w:b/>
                <w:snapToGrid w:val="0"/>
                <w:color w:val="auto"/>
                <w:kern w:val="0"/>
                <w:sz w:val="21"/>
                <w:szCs w:val="21"/>
              </w:rPr>
              <w:tab/>
            </w:r>
            <w:r>
              <w:rPr>
                <w:b/>
                <w:snapToGrid w:val="0"/>
                <w:color w:val="auto"/>
                <w:kern w:val="0"/>
                <w:sz w:val="21"/>
                <w:szCs w:val="21"/>
              </w:rPr>
              <w:tab/>
            </w:r>
            <w:r>
              <w:rPr>
                <w:b/>
                <w:snapToGrid w:val="0"/>
                <w:color w:val="auto"/>
                <w:kern w:val="0"/>
                <w:sz w:val="21"/>
                <w:szCs w:val="21"/>
              </w:rPr>
              <w:t>有效期至</w:t>
            </w:r>
            <w:r>
              <w:rPr>
                <w:b/>
                <w:snapToGrid w:val="0"/>
                <w:color w:val="auto"/>
                <w:kern w:val="0"/>
                <w:sz w:val="21"/>
                <w:szCs w:val="21"/>
              </w:rPr>
              <w:tab/>
              <w:t>2019</w:t>
            </w:r>
            <w:r>
              <w:rPr>
                <w:b/>
                <w:snapToGrid w:val="0"/>
                <w:color w:val="auto"/>
                <w:kern w:val="0"/>
                <w:sz w:val="21"/>
                <w:szCs w:val="21"/>
              </w:rPr>
              <w:t>年</w:t>
            </w:r>
            <w:r>
              <w:rPr>
                <w:b/>
                <w:snapToGrid w:val="0"/>
                <w:color w:val="auto"/>
                <w:kern w:val="0"/>
                <w:sz w:val="21"/>
                <w:szCs w:val="21"/>
              </w:rPr>
              <w:t>8</w:t>
            </w:r>
            <w:r>
              <w:rPr>
                <w:b/>
                <w:snapToGrid w:val="0"/>
                <w:color w:val="auto"/>
                <w:kern w:val="0"/>
                <w:sz w:val="21"/>
                <w:szCs w:val="21"/>
              </w:rPr>
              <w:t>月</w:t>
            </w:r>
            <w:r>
              <w:rPr>
                <w:b/>
                <w:snapToGrid w:val="0"/>
                <w:color w:val="auto"/>
                <w:kern w:val="0"/>
                <w:sz w:val="21"/>
                <w:szCs w:val="21"/>
              </w:rPr>
              <w:t>5</w:t>
            </w:r>
            <w:r>
              <w:rPr>
                <w:b/>
                <w:snapToGrid w:val="0"/>
                <w:color w:val="auto"/>
                <w:kern w:val="0"/>
                <w:sz w:val="21"/>
                <w:szCs w:val="21"/>
              </w:rPr>
              <w:t>日</w:t>
            </w:r>
          </w:p>
        </w:tc>
        <w:tc>
          <w:tcPr>
            <w:tcW w:w="7374" w:type="dxa"/>
            <w:gridSpan w:val="3"/>
            <w:vAlign w:val="center"/>
          </w:tcPr>
          <w:p w:rsidR="003F13AB" w:rsidRDefault="00EC6E7E">
            <w:pPr>
              <w:spacing w:line="240" w:lineRule="auto"/>
              <w:ind w:firstLineChars="0" w:firstLine="0"/>
              <w:rPr>
                <w:rFonts w:ascii="宋体" w:hAnsi="宋体"/>
                <w:color w:val="000000" w:themeColor="text1"/>
                <w:sz w:val="21"/>
                <w:szCs w:val="21"/>
              </w:rPr>
            </w:pPr>
            <w:r>
              <w:rPr>
                <w:rFonts w:ascii="宋体" w:hAnsi="宋体" w:hint="eastAsia"/>
                <w:color w:val="000000" w:themeColor="text1"/>
                <w:sz w:val="21"/>
                <w:szCs w:val="21"/>
              </w:rPr>
              <w:t>建筑工程施工总承包贰级（有效期至：2025年12月02日）</w:t>
            </w:r>
          </w:p>
          <w:p w:rsidR="003F13AB" w:rsidRDefault="00EC6E7E">
            <w:pPr>
              <w:spacing w:line="240" w:lineRule="auto"/>
              <w:ind w:firstLineChars="0" w:firstLine="0"/>
              <w:rPr>
                <w:rFonts w:ascii="宋体" w:hAnsi="宋体"/>
                <w:color w:val="000000" w:themeColor="text1"/>
                <w:sz w:val="21"/>
                <w:szCs w:val="21"/>
              </w:rPr>
            </w:pPr>
            <w:r>
              <w:rPr>
                <w:rFonts w:ascii="宋体" w:hAnsi="宋体" w:hint="eastAsia"/>
                <w:color w:val="000000" w:themeColor="text1"/>
                <w:sz w:val="21"/>
                <w:szCs w:val="21"/>
              </w:rPr>
              <w:t>建筑装修装饰工程专业承包壹级（有效期至：2026年02月10日）</w:t>
            </w:r>
          </w:p>
          <w:p w:rsidR="003F13AB" w:rsidRDefault="00EC6E7E">
            <w:pPr>
              <w:pStyle w:val="22"/>
              <w:spacing w:after="0" w:line="240" w:lineRule="auto"/>
              <w:ind w:leftChars="0" w:left="0" w:firstLineChars="0" w:firstLine="0"/>
              <w:rPr>
                <w:rFonts w:ascii="宋体" w:hAnsi="宋体"/>
                <w:color w:val="000000" w:themeColor="text1"/>
                <w:sz w:val="21"/>
                <w:szCs w:val="21"/>
              </w:rPr>
            </w:pPr>
            <w:r>
              <w:rPr>
                <w:rFonts w:ascii="宋体" w:hAnsi="宋体" w:hint="eastAsia"/>
                <w:color w:val="000000" w:themeColor="text1"/>
                <w:sz w:val="21"/>
                <w:szCs w:val="21"/>
              </w:rPr>
              <w:t>消防设施工程专业承包贰级（有效期至：2026年07月26日）</w:t>
            </w:r>
          </w:p>
          <w:p w:rsidR="003F13AB" w:rsidRDefault="00EC6E7E">
            <w:pPr>
              <w:pStyle w:val="22"/>
              <w:spacing w:after="0" w:line="240" w:lineRule="auto"/>
              <w:ind w:leftChars="0" w:left="0" w:firstLineChars="0" w:firstLine="0"/>
              <w:rPr>
                <w:rFonts w:ascii="宋体" w:hAnsi="宋体"/>
                <w:color w:val="000000" w:themeColor="text1"/>
                <w:sz w:val="21"/>
                <w:szCs w:val="21"/>
              </w:rPr>
            </w:pPr>
            <w:r>
              <w:rPr>
                <w:rFonts w:ascii="宋体" w:hAnsi="宋体" w:hint="eastAsia"/>
                <w:color w:val="000000" w:themeColor="text1"/>
                <w:sz w:val="21"/>
                <w:szCs w:val="21"/>
              </w:rPr>
              <w:t>建筑机电安装工程专业承包贰级（有效期至：2026年07月01日）</w:t>
            </w:r>
          </w:p>
          <w:p w:rsidR="003F13AB" w:rsidRDefault="00EC6E7E">
            <w:pPr>
              <w:pStyle w:val="22"/>
              <w:spacing w:after="0" w:line="240" w:lineRule="auto"/>
              <w:ind w:leftChars="0" w:left="0" w:firstLineChars="0" w:firstLine="0"/>
              <w:rPr>
                <w:rFonts w:ascii="宋体" w:hAnsi="宋体"/>
                <w:color w:val="000000" w:themeColor="text1"/>
                <w:sz w:val="21"/>
                <w:szCs w:val="21"/>
              </w:rPr>
            </w:pPr>
            <w:r>
              <w:rPr>
                <w:rFonts w:ascii="宋体" w:hAnsi="宋体" w:hint="eastAsia"/>
                <w:color w:val="000000" w:themeColor="text1"/>
                <w:sz w:val="21"/>
                <w:szCs w:val="21"/>
              </w:rPr>
              <w:t>地基基础工程专业承包贰级（有效期至：2026年07月01日）</w:t>
            </w:r>
          </w:p>
          <w:p w:rsidR="003F13AB" w:rsidRDefault="00EC6E7E">
            <w:pPr>
              <w:pStyle w:val="22"/>
              <w:spacing w:after="0" w:line="240" w:lineRule="auto"/>
              <w:ind w:leftChars="0" w:left="0" w:firstLineChars="0" w:firstLine="0"/>
              <w:rPr>
                <w:rFonts w:ascii="宋体" w:hAnsi="宋体"/>
                <w:color w:val="000000" w:themeColor="text1"/>
                <w:sz w:val="21"/>
                <w:szCs w:val="21"/>
              </w:rPr>
            </w:pPr>
            <w:r>
              <w:rPr>
                <w:rFonts w:ascii="宋体" w:hAnsi="宋体"/>
                <w:color w:val="000000" w:themeColor="text1"/>
                <w:sz w:val="21"/>
                <w:szCs w:val="21"/>
              </w:rPr>
              <w:t>钢结构工程专业承包贰级（有效期至：</w:t>
            </w:r>
            <w:r>
              <w:rPr>
                <w:rFonts w:ascii="宋体" w:hAnsi="宋体" w:hint="eastAsia"/>
                <w:color w:val="000000" w:themeColor="text1"/>
                <w:sz w:val="21"/>
                <w:szCs w:val="21"/>
              </w:rPr>
              <w:t>2025年12月02日）</w:t>
            </w:r>
          </w:p>
          <w:p w:rsidR="003F13AB" w:rsidRDefault="00EC6E7E">
            <w:pPr>
              <w:tabs>
                <w:tab w:val="left" w:pos="2520"/>
              </w:tabs>
              <w:spacing w:line="240" w:lineRule="auto"/>
              <w:ind w:firstLineChars="0" w:firstLine="0"/>
              <w:jc w:val="left"/>
              <w:rPr>
                <w:snapToGrid w:val="0"/>
                <w:color w:val="auto"/>
                <w:kern w:val="0"/>
                <w:sz w:val="21"/>
                <w:szCs w:val="21"/>
              </w:rPr>
            </w:pPr>
            <w:r>
              <w:rPr>
                <w:rFonts w:ascii="宋体" w:hAnsi="宋体" w:hint="eastAsia"/>
                <w:color w:val="000000" w:themeColor="text1"/>
                <w:sz w:val="21"/>
                <w:szCs w:val="21"/>
              </w:rPr>
              <w:t>电子与智能化工程专业承包贰级（有效期至：2028年11月16日）</w:t>
            </w:r>
          </w:p>
        </w:tc>
      </w:tr>
      <w:tr w:rsidR="003F13AB">
        <w:trPr>
          <w:trHeight w:val="340"/>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证书编号</w:t>
            </w:r>
          </w:p>
        </w:tc>
        <w:tc>
          <w:tcPr>
            <w:tcW w:w="2833" w:type="dxa"/>
            <w:vAlign w:val="center"/>
          </w:tcPr>
          <w:p w:rsidR="003F13AB" w:rsidRDefault="00EC6E7E">
            <w:pPr>
              <w:pStyle w:val="Default1"/>
              <w:jc w:val="center"/>
              <w:rPr>
                <w:rFonts w:ascii="宋体" w:hAnsi="宋体" w:hint="default"/>
                <w:snapToGrid w:val="0"/>
                <w:color w:val="auto"/>
                <w:sz w:val="21"/>
                <w:szCs w:val="21"/>
              </w:rPr>
            </w:pPr>
            <w:r>
              <w:rPr>
                <w:rFonts w:ascii="宋体" w:hAnsi="宋体"/>
                <w:color w:val="000000" w:themeColor="text1"/>
                <w:sz w:val="21"/>
                <w:szCs w:val="21"/>
              </w:rPr>
              <w:t>D253517465</w:t>
            </w:r>
          </w:p>
        </w:tc>
        <w:tc>
          <w:tcPr>
            <w:tcW w:w="1134" w:type="dxa"/>
            <w:vAlign w:val="center"/>
          </w:tcPr>
          <w:p w:rsidR="003F13AB" w:rsidRDefault="00EC6E7E">
            <w:pPr>
              <w:tabs>
                <w:tab w:val="left" w:pos="2520"/>
              </w:tabs>
              <w:adjustRightInd/>
              <w:snapToGrid/>
              <w:spacing w:line="240" w:lineRule="auto"/>
              <w:ind w:firstLineChars="0" w:firstLine="0"/>
              <w:jc w:val="left"/>
              <w:rPr>
                <w:b/>
                <w:snapToGrid w:val="0"/>
                <w:color w:val="auto"/>
                <w:kern w:val="0"/>
                <w:sz w:val="21"/>
                <w:szCs w:val="21"/>
              </w:rPr>
            </w:pPr>
            <w:r>
              <w:rPr>
                <w:b/>
                <w:snapToGrid w:val="0"/>
                <w:color w:val="auto"/>
                <w:kern w:val="0"/>
                <w:sz w:val="21"/>
                <w:szCs w:val="21"/>
              </w:rPr>
              <w:t>发证单位</w:t>
            </w:r>
          </w:p>
        </w:tc>
        <w:tc>
          <w:tcPr>
            <w:tcW w:w="3407"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云南省住房和城乡建设厅</w:t>
            </w:r>
          </w:p>
        </w:tc>
      </w:tr>
    </w:tbl>
    <w:p w:rsidR="003F13AB" w:rsidRDefault="003F13AB">
      <w:pPr>
        <w:pStyle w:val="4"/>
        <w:keepNext w:val="0"/>
        <w:ind w:firstLineChars="200" w:firstLine="560"/>
        <w:rPr>
          <w:rFonts w:eastAsia="宋体"/>
          <w:szCs w:val="20"/>
        </w:rPr>
      </w:pPr>
    </w:p>
    <w:p w:rsidR="003F13AB" w:rsidRDefault="00EC6E7E">
      <w:pPr>
        <w:ind w:firstLine="560"/>
        <w:jc w:val="center"/>
        <w:rPr>
          <w:rFonts w:ascii="宋体" w:hAnsi="宋体"/>
          <w:color w:val="auto"/>
        </w:rPr>
      </w:pPr>
      <w:r>
        <w:rPr>
          <w:rFonts w:ascii="宋体" w:hAnsi="宋体" w:hint="eastAsia"/>
        </w:rPr>
        <w:lastRenderedPageBreak/>
        <w:t xml:space="preserve">表2.2-6 </w:t>
      </w:r>
      <w:r>
        <w:rPr>
          <w:rFonts w:ascii="宋体" w:hAnsi="宋体" w:hint="eastAsia"/>
          <w:color w:val="auto"/>
        </w:rPr>
        <w:t>云南鸿云锅炉有限责任公司基本情况表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3689"/>
        <w:gridCol w:w="3686"/>
      </w:tblGrid>
      <w:tr w:rsidR="003F13AB">
        <w:trPr>
          <w:trHeight w:val="340"/>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7374" w:type="dxa"/>
            <w:gridSpan w:val="2"/>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ascii="宋体" w:hAnsi="宋体" w:hint="eastAsia"/>
                <w:color w:val="auto"/>
                <w:sz w:val="21"/>
                <w:szCs w:val="21"/>
              </w:rPr>
              <w:t>云南鸿云锅炉有限责任公司</w:t>
            </w:r>
          </w:p>
        </w:tc>
      </w:tr>
      <w:tr w:rsidR="003F13AB">
        <w:trPr>
          <w:trHeight w:val="1012"/>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rFonts w:hint="eastAsia"/>
                <w:b/>
                <w:snapToGrid w:val="0"/>
                <w:color w:val="auto"/>
                <w:kern w:val="0"/>
                <w:sz w:val="21"/>
                <w:szCs w:val="21"/>
              </w:rPr>
              <w:t xml:space="preserve">   </w:t>
            </w:r>
            <w:r>
              <w:rPr>
                <w:b/>
                <w:snapToGrid w:val="0"/>
                <w:color w:val="auto"/>
                <w:kern w:val="0"/>
                <w:sz w:val="21"/>
                <w:szCs w:val="21"/>
              </w:rPr>
              <w:t>资格等级</w:t>
            </w:r>
            <w:r>
              <w:rPr>
                <w:b/>
                <w:snapToGrid w:val="0"/>
                <w:color w:val="auto"/>
                <w:kern w:val="0"/>
                <w:sz w:val="21"/>
                <w:szCs w:val="21"/>
              </w:rPr>
              <w:tab/>
            </w:r>
            <w:r>
              <w:rPr>
                <w:b/>
                <w:snapToGrid w:val="0"/>
                <w:color w:val="auto"/>
                <w:kern w:val="0"/>
                <w:sz w:val="21"/>
                <w:szCs w:val="21"/>
              </w:rPr>
              <w:tab/>
            </w:r>
            <w:r>
              <w:rPr>
                <w:b/>
                <w:snapToGrid w:val="0"/>
                <w:color w:val="auto"/>
                <w:kern w:val="0"/>
                <w:sz w:val="21"/>
                <w:szCs w:val="21"/>
              </w:rPr>
              <w:t>有效期至</w:t>
            </w:r>
            <w:r>
              <w:rPr>
                <w:b/>
                <w:snapToGrid w:val="0"/>
                <w:color w:val="auto"/>
                <w:kern w:val="0"/>
                <w:sz w:val="21"/>
                <w:szCs w:val="21"/>
              </w:rPr>
              <w:tab/>
              <w:t>2019</w:t>
            </w:r>
            <w:r>
              <w:rPr>
                <w:b/>
                <w:snapToGrid w:val="0"/>
                <w:color w:val="auto"/>
                <w:kern w:val="0"/>
                <w:sz w:val="21"/>
                <w:szCs w:val="21"/>
              </w:rPr>
              <w:t>年</w:t>
            </w:r>
            <w:r>
              <w:rPr>
                <w:b/>
                <w:snapToGrid w:val="0"/>
                <w:color w:val="auto"/>
                <w:kern w:val="0"/>
                <w:sz w:val="21"/>
                <w:szCs w:val="21"/>
              </w:rPr>
              <w:t>8</w:t>
            </w:r>
            <w:r>
              <w:rPr>
                <w:b/>
                <w:snapToGrid w:val="0"/>
                <w:color w:val="auto"/>
                <w:kern w:val="0"/>
                <w:sz w:val="21"/>
                <w:szCs w:val="21"/>
              </w:rPr>
              <w:t>月</w:t>
            </w:r>
            <w:r>
              <w:rPr>
                <w:b/>
                <w:snapToGrid w:val="0"/>
                <w:color w:val="auto"/>
                <w:kern w:val="0"/>
                <w:sz w:val="21"/>
                <w:szCs w:val="21"/>
              </w:rPr>
              <w:t>5</w:t>
            </w:r>
            <w:r>
              <w:rPr>
                <w:b/>
                <w:snapToGrid w:val="0"/>
                <w:color w:val="auto"/>
                <w:kern w:val="0"/>
                <w:sz w:val="21"/>
                <w:szCs w:val="21"/>
              </w:rPr>
              <w:t>日</w:t>
            </w:r>
          </w:p>
        </w:tc>
        <w:tc>
          <w:tcPr>
            <w:tcW w:w="3687" w:type="dxa"/>
            <w:vAlign w:val="center"/>
          </w:tcPr>
          <w:p w:rsidR="003F13AB" w:rsidRDefault="00EC6E7E">
            <w:pPr>
              <w:tabs>
                <w:tab w:val="left" w:pos="2520"/>
              </w:tabs>
              <w:spacing w:line="240" w:lineRule="auto"/>
              <w:ind w:firstLineChars="0" w:firstLine="0"/>
              <w:jc w:val="left"/>
              <w:rPr>
                <w:snapToGrid w:val="0"/>
                <w:color w:val="auto"/>
                <w:kern w:val="0"/>
                <w:sz w:val="21"/>
                <w:szCs w:val="21"/>
              </w:rPr>
            </w:pPr>
            <w:r>
              <w:rPr>
                <w:rFonts w:hint="eastAsia"/>
                <w:snapToGrid w:val="0"/>
                <w:color w:val="auto"/>
                <w:kern w:val="0"/>
                <w:sz w:val="21"/>
                <w:szCs w:val="21"/>
              </w:rPr>
              <w:t>中华人民共和国移动式压力容器</w:t>
            </w:r>
            <w:r>
              <w:rPr>
                <w:rFonts w:hint="eastAsia"/>
                <w:snapToGrid w:val="0"/>
                <w:color w:val="auto"/>
                <w:kern w:val="0"/>
                <w:sz w:val="21"/>
                <w:szCs w:val="21"/>
              </w:rPr>
              <w:t>/</w:t>
            </w:r>
            <w:r>
              <w:rPr>
                <w:rFonts w:hint="eastAsia"/>
                <w:snapToGrid w:val="0"/>
                <w:color w:val="auto"/>
                <w:kern w:val="0"/>
                <w:sz w:val="21"/>
                <w:szCs w:val="21"/>
              </w:rPr>
              <w:t>气瓶充装许可证（有效期至</w:t>
            </w:r>
            <w:r>
              <w:rPr>
                <w:rFonts w:hint="eastAsia"/>
                <w:snapToGrid w:val="0"/>
                <w:color w:val="auto"/>
                <w:kern w:val="0"/>
                <w:sz w:val="21"/>
                <w:szCs w:val="21"/>
              </w:rPr>
              <w:t>2024</w:t>
            </w:r>
            <w:r>
              <w:rPr>
                <w:rFonts w:hint="eastAsia"/>
                <w:snapToGrid w:val="0"/>
                <w:color w:val="auto"/>
                <w:kern w:val="0"/>
                <w:sz w:val="21"/>
                <w:szCs w:val="21"/>
              </w:rPr>
              <w:t>年</w:t>
            </w:r>
            <w:r>
              <w:rPr>
                <w:rFonts w:hint="eastAsia"/>
                <w:snapToGrid w:val="0"/>
                <w:color w:val="auto"/>
                <w:kern w:val="0"/>
                <w:sz w:val="21"/>
                <w:szCs w:val="21"/>
              </w:rPr>
              <w:t>12</w:t>
            </w:r>
            <w:r>
              <w:rPr>
                <w:rFonts w:hint="eastAsia"/>
                <w:snapToGrid w:val="0"/>
                <w:color w:val="auto"/>
                <w:kern w:val="0"/>
                <w:sz w:val="21"/>
                <w:szCs w:val="21"/>
              </w:rPr>
              <w:t>月</w:t>
            </w:r>
            <w:r>
              <w:rPr>
                <w:rFonts w:hint="eastAsia"/>
                <w:snapToGrid w:val="0"/>
                <w:color w:val="auto"/>
                <w:kern w:val="0"/>
                <w:sz w:val="21"/>
                <w:szCs w:val="21"/>
              </w:rPr>
              <w:t>10</w:t>
            </w:r>
            <w:r>
              <w:rPr>
                <w:rFonts w:hint="eastAsia"/>
                <w:snapToGrid w:val="0"/>
                <w:color w:val="auto"/>
                <w:kern w:val="0"/>
                <w:sz w:val="21"/>
                <w:szCs w:val="21"/>
              </w:rPr>
              <w:t>日）</w:t>
            </w:r>
          </w:p>
          <w:p w:rsidR="003F13AB" w:rsidRDefault="00EC6E7E">
            <w:pPr>
              <w:tabs>
                <w:tab w:val="left" w:pos="2520"/>
              </w:tabs>
              <w:spacing w:line="240" w:lineRule="auto"/>
              <w:ind w:firstLineChars="0" w:firstLine="0"/>
              <w:jc w:val="left"/>
              <w:rPr>
                <w:snapToGrid w:val="0"/>
                <w:color w:val="auto"/>
                <w:kern w:val="0"/>
                <w:sz w:val="21"/>
                <w:szCs w:val="21"/>
              </w:rPr>
            </w:pPr>
            <w:r>
              <w:rPr>
                <w:rFonts w:hint="eastAsia"/>
                <w:snapToGrid w:val="0"/>
                <w:color w:val="auto"/>
                <w:kern w:val="0"/>
                <w:sz w:val="21"/>
                <w:szCs w:val="21"/>
              </w:rPr>
              <w:t>许可项目：承压类特种设备安装、修理、改造（许可子项目：锅炉安装（含修理、改造）</w:t>
            </w:r>
            <w:r>
              <w:rPr>
                <w:rFonts w:hint="eastAsia"/>
                <w:snapToGrid w:val="0"/>
                <w:color w:val="auto"/>
                <w:kern w:val="0"/>
                <w:sz w:val="21"/>
                <w:szCs w:val="21"/>
              </w:rPr>
              <w:t>B</w:t>
            </w:r>
            <w:r>
              <w:rPr>
                <w:rFonts w:hint="eastAsia"/>
                <w:snapToGrid w:val="0"/>
                <w:color w:val="auto"/>
                <w:kern w:val="0"/>
                <w:sz w:val="21"/>
                <w:szCs w:val="21"/>
              </w:rPr>
              <w:t>级）</w:t>
            </w:r>
          </w:p>
        </w:tc>
        <w:tc>
          <w:tcPr>
            <w:tcW w:w="3687" w:type="dxa"/>
            <w:vAlign w:val="center"/>
          </w:tcPr>
          <w:p w:rsidR="003F13AB" w:rsidRDefault="00EC6E7E">
            <w:pPr>
              <w:tabs>
                <w:tab w:val="left" w:pos="2520"/>
              </w:tabs>
              <w:spacing w:line="240" w:lineRule="auto"/>
              <w:ind w:firstLineChars="0" w:firstLine="0"/>
              <w:jc w:val="left"/>
              <w:rPr>
                <w:snapToGrid w:val="0"/>
                <w:color w:val="auto"/>
                <w:kern w:val="0"/>
                <w:sz w:val="21"/>
                <w:szCs w:val="21"/>
              </w:rPr>
            </w:pPr>
            <w:r>
              <w:rPr>
                <w:snapToGrid w:val="0"/>
                <w:color w:val="auto"/>
                <w:kern w:val="0"/>
                <w:sz w:val="21"/>
                <w:szCs w:val="21"/>
              </w:rPr>
              <w:t>中华人民共和国特种设备生产许可证（有效期至</w:t>
            </w:r>
            <w:r>
              <w:rPr>
                <w:rFonts w:hint="eastAsia"/>
                <w:snapToGrid w:val="0"/>
                <w:color w:val="auto"/>
                <w:kern w:val="0"/>
                <w:sz w:val="21"/>
                <w:szCs w:val="21"/>
              </w:rPr>
              <w:t>2025</w:t>
            </w:r>
            <w:r>
              <w:rPr>
                <w:rFonts w:hint="eastAsia"/>
                <w:snapToGrid w:val="0"/>
                <w:color w:val="auto"/>
                <w:kern w:val="0"/>
                <w:sz w:val="21"/>
                <w:szCs w:val="21"/>
              </w:rPr>
              <w:t>年</w:t>
            </w:r>
            <w:r>
              <w:rPr>
                <w:rFonts w:hint="eastAsia"/>
                <w:snapToGrid w:val="0"/>
                <w:color w:val="auto"/>
                <w:kern w:val="0"/>
                <w:sz w:val="21"/>
                <w:szCs w:val="21"/>
              </w:rPr>
              <w:t>03</w:t>
            </w:r>
            <w:r>
              <w:rPr>
                <w:rFonts w:hint="eastAsia"/>
                <w:snapToGrid w:val="0"/>
                <w:color w:val="auto"/>
                <w:kern w:val="0"/>
                <w:sz w:val="21"/>
                <w:szCs w:val="21"/>
              </w:rPr>
              <w:t>月</w:t>
            </w:r>
            <w:r>
              <w:rPr>
                <w:rFonts w:hint="eastAsia"/>
                <w:snapToGrid w:val="0"/>
                <w:color w:val="auto"/>
                <w:kern w:val="0"/>
                <w:sz w:val="21"/>
                <w:szCs w:val="21"/>
              </w:rPr>
              <w:t>10</w:t>
            </w:r>
            <w:r>
              <w:rPr>
                <w:rFonts w:hint="eastAsia"/>
                <w:snapToGrid w:val="0"/>
                <w:color w:val="auto"/>
                <w:kern w:val="0"/>
                <w:sz w:val="21"/>
                <w:szCs w:val="21"/>
              </w:rPr>
              <w:t>日）</w:t>
            </w:r>
          </w:p>
          <w:p w:rsidR="003F13AB" w:rsidRDefault="00EC6E7E">
            <w:pPr>
              <w:pStyle w:val="Default1"/>
              <w:rPr>
                <w:rFonts w:hint="default"/>
              </w:rPr>
            </w:pPr>
            <w:r>
              <w:t>许可项目：压力管道设计（许可子项目：工业管道（</w:t>
            </w:r>
            <w:r>
              <w:t>GC2</w:t>
            </w:r>
            <w:r>
              <w:t>））</w:t>
            </w:r>
          </w:p>
        </w:tc>
      </w:tr>
      <w:tr w:rsidR="003F13AB">
        <w:trPr>
          <w:trHeight w:val="340"/>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证书编号</w:t>
            </w:r>
          </w:p>
        </w:tc>
        <w:tc>
          <w:tcPr>
            <w:tcW w:w="3690" w:type="dxa"/>
            <w:vAlign w:val="center"/>
          </w:tcPr>
          <w:p w:rsidR="003F13AB" w:rsidRDefault="00EC6E7E">
            <w:pPr>
              <w:tabs>
                <w:tab w:val="left" w:pos="2520"/>
              </w:tabs>
              <w:adjustRightInd/>
              <w:snapToGrid/>
              <w:spacing w:line="240" w:lineRule="auto"/>
              <w:ind w:firstLineChars="0" w:firstLine="0"/>
              <w:jc w:val="left"/>
              <w:rPr>
                <w:rFonts w:ascii="宋体" w:hAnsi="宋体"/>
                <w:b/>
                <w:snapToGrid w:val="0"/>
                <w:color w:val="auto"/>
                <w:kern w:val="0"/>
                <w:sz w:val="21"/>
                <w:szCs w:val="21"/>
              </w:rPr>
            </w:pPr>
            <w:r>
              <w:rPr>
                <w:rFonts w:ascii="宋体" w:hAnsi="宋体" w:hint="eastAsia"/>
                <w:color w:val="000000" w:themeColor="text1"/>
                <w:sz w:val="21"/>
                <w:szCs w:val="21"/>
              </w:rPr>
              <w:t>TS3153015-2024</w:t>
            </w:r>
          </w:p>
        </w:tc>
        <w:tc>
          <w:tcPr>
            <w:tcW w:w="3684" w:type="dxa"/>
            <w:vAlign w:val="center"/>
          </w:tcPr>
          <w:p w:rsidR="003F13AB" w:rsidRDefault="00EC6E7E">
            <w:pPr>
              <w:tabs>
                <w:tab w:val="left" w:pos="2520"/>
              </w:tabs>
              <w:adjustRightInd/>
              <w:snapToGrid/>
              <w:spacing w:line="240" w:lineRule="auto"/>
              <w:ind w:firstLineChars="0" w:firstLine="0"/>
              <w:jc w:val="left"/>
              <w:rPr>
                <w:rFonts w:ascii="宋体" w:hAnsi="宋体"/>
                <w:snapToGrid w:val="0"/>
                <w:color w:val="auto"/>
                <w:kern w:val="0"/>
                <w:sz w:val="21"/>
                <w:szCs w:val="21"/>
              </w:rPr>
            </w:pPr>
            <w:r>
              <w:rPr>
                <w:rFonts w:ascii="宋体" w:hAnsi="宋体" w:hint="eastAsia"/>
                <w:snapToGrid w:val="0"/>
                <w:color w:val="auto"/>
                <w:kern w:val="0"/>
                <w:sz w:val="21"/>
                <w:szCs w:val="21"/>
              </w:rPr>
              <w:t>TS1853030-2025</w:t>
            </w:r>
          </w:p>
        </w:tc>
      </w:tr>
      <w:tr w:rsidR="003F13AB">
        <w:trPr>
          <w:trHeight w:val="340"/>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发证单位</w:t>
            </w:r>
          </w:p>
        </w:tc>
        <w:tc>
          <w:tcPr>
            <w:tcW w:w="3690" w:type="dxa"/>
            <w:vAlign w:val="center"/>
          </w:tcPr>
          <w:p w:rsidR="003F13AB" w:rsidRDefault="00EC6E7E">
            <w:pPr>
              <w:tabs>
                <w:tab w:val="left" w:pos="2520"/>
              </w:tabs>
              <w:adjustRightInd/>
              <w:snapToGrid/>
              <w:spacing w:line="240" w:lineRule="auto"/>
              <w:ind w:firstLineChars="0" w:firstLine="0"/>
              <w:jc w:val="left"/>
              <w:rPr>
                <w:snapToGrid w:val="0"/>
                <w:color w:val="auto"/>
                <w:kern w:val="0"/>
                <w:sz w:val="21"/>
                <w:szCs w:val="21"/>
              </w:rPr>
            </w:pPr>
            <w:r>
              <w:rPr>
                <w:snapToGrid w:val="0"/>
                <w:color w:val="auto"/>
                <w:kern w:val="0"/>
                <w:sz w:val="21"/>
                <w:szCs w:val="21"/>
              </w:rPr>
              <w:t>云南省市场监督管理局</w:t>
            </w:r>
          </w:p>
        </w:tc>
        <w:tc>
          <w:tcPr>
            <w:tcW w:w="3684" w:type="dxa"/>
            <w:vAlign w:val="center"/>
          </w:tcPr>
          <w:p w:rsidR="003F13AB" w:rsidRDefault="00EC6E7E">
            <w:pPr>
              <w:tabs>
                <w:tab w:val="left" w:pos="2520"/>
              </w:tabs>
              <w:adjustRightInd/>
              <w:snapToGrid/>
              <w:spacing w:line="240" w:lineRule="auto"/>
              <w:ind w:firstLineChars="0" w:firstLine="0"/>
              <w:jc w:val="left"/>
              <w:rPr>
                <w:snapToGrid w:val="0"/>
                <w:color w:val="auto"/>
                <w:kern w:val="0"/>
                <w:sz w:val="21"/>
                <w:szCs w:val="21"/>
              </w:rPr>
            </w:pPr>
            <w:r>
              <w:rPr>
                <w:snapToGrid w:val="0"/>
                <w:color w:val="auto"/>
                <w:kern w:val="0"/>
                <w:sz w:val="21"/>
                <w:szCs w:val="21"/>
              </w:rPr>
              <w:t>云南省市场监督管理局</w:t>
            </w:r>
          </w:p>
        </w:tc>
      </w:tr>
    </w:tbl>
    <w:p w:rsidR="003F13AB" w:rsidRDefault="003F13AB">
      <w:pPr>
        <w:pStyle w:val="Default1"/>
        <w:jc w:val="center"/>
        <w:rPr>
          <w:rFonts w:hint="default"/>
        </w:rPr>
      </w:pPr>
    </w:p>
    <w:p w:rsidR="003F13AB" w:rsidRDefault="00EC6E7E">
      <w:pPr>
        <w:pStyle w:val="4"/>
        <w:keepNext w:val="0"/>
        <w:ind w:firstLineChars="200" w:firstLine="562"/>
        <w:rPr>
          <w:szCs w:val="28"/>
        </w:rPr>
      </w:pPr>
      <w:r>
        <w:rPr>
          <w:rFonts w:eastAsia="宋体" w:hint="eastAsia"/>
          <w:b/>
          <w:szCs w:val="20"/>
        </w:rPr>
        <w:t>2.2.4.4 监理单位简介</w:t>
      </w:r>
    </w:p>
    <w:p w:rsidR="003F13AB" w:rsidRDefault="00EC6E7E">
      <w:pPr>
        <w:pStyle w:val="Default1"/>
        <w:spacing w:line="360" w:lineRule="auto"/>
        <w:ind w:firstLineChars="200" w:firstLine="560"/>
        <w:jc w:val="both"/>
        <w:rPr>
          <w:rFonts w:ascii="宋体" w:hAnsi="宋体" w:hint="default"/>
          <w:color w:val="auto"/>
          <w:sz w:val="28"/>
          <w:szCs w:val="28"/>
        </w:rPr>
      </w:pPr>
      <w:r>
        <w:rPr>
          <w:color w:val="auto"/>
          <w:sz w:val="28"/>
          <w:szCs w:val="28"/>
        </w:rPr>
        <w:t>项目由云南工程勘察设计院集团有限公司进行监理，该公司的基本情况见表</w:t>
      </w:r>
      <w:r>
        <w:rPr>
          <w:rFonts w:ascii="宋体" w:hAnsi="宋体"/>
          <w:color w:val="auto"/>
          <w:sz w:val="28"/>
          <w:szCs w:val="28"/>
        </w:rPr>
        <w:t>2.2-7。</w:t>
      </w:r>
    </w:p>
    <w:p w:rsidR="003F13AB" w:rsidRDefault="00EC6E7E">
      <w:pPr>
        <w:pStyle w:val="Default1"/>
        <w:spacing w:line="360" w:lineRule="auto"/>
        <w:ind w:firstLineChars="200" w:firstLine="560"/>
        <w:jc w:val="center"/>
        <w:rPr>
          <w:rFonts w:hint="default"/>
          <w:color w:val="auto"/>
          <w:sz w:val="28"/>
          <w:szCs w:val="28"/>
        </w:rPr>
      </w:pPr>
      <w:r>
        <w:rPr>
          <w:rFonts w:ascii="宋体" w:hAnsi="宋体"/>
          <w:color w:val="auto"/>
          <w:sz w:val="28"/>
          <w:szCs w:val="28"/>
        </w:rPr>
        <w:t xml:space="preserve">表2.2-7 </w:t>
      </w:r>
      <w:r>
        <w:rPr>
          <w:color w:val="auto"/>
          <w:sz w:val="28"/>
          <w:szCs w:val="28"/>
        </w:rPr>
        <w:t>云南工程勘察设计院集团有限公司基本情况表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2556"/>
        <w:gridCol w:w="1134"/>
        <w:gridCol w:w="3684"/>
      </w:tblGrid>
      <w:tr w:rsidR="003F13AB">
        <w:trPr>
          <w:trHeight w:val="340"/>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单位名称</w:t>
            </w:r>
          </w:p>
        </w:tc>
        <w:tc>
          <w:tcPr>
            <w:tcW w:w="7374" w:type="dxa"/>
            <w:gridSpan w:val="3"/>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color w:val="auto"/>
                <w:sz w:val="21"/>
                <w:szCs w:val="21"/>
              </w:rPr>
              <w:t>云南工程勘察设计院集团有限公司</w:t>
            </w:r>
          </w:p>
        </w:tc>
      </w:tr>
      <w:tr w:rsidR="003F13AB">
        <w:trPr>
          <w:trHeight w:val="340"/>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有效期至</w:t>
            </w:r>
          </w:p>
        </w:tc>
        <w:tc>
          <w:tcPr>
            <w:tcW w:w="7374" w:type="dxa"/>
            <w:gridSpan w:val="3"/>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2028</w:t>
            </w:r>
            <w:r>
              <w:rPr>
                <w:rFonts w:hint="eastAsia"/>
                <w:snapToGrid w:val="0"/>
                <w:color w:val="auto"/>
                <w:kern w:val="0"/>
                <w:sz w:val="21"/>
                <w:szCs w:val="21"/>
              </w:rPr>
              <w:t>年</w:t>
            </w:r>
            <w:r>
              <w:rPr>
                <w:rFonts w:hint="eastAsia"/>
                <w:snapToGrid w:val="0"/>
                <w:color w:val="auto"/>
                <w:kern w:val="0"/>
                <w:sz w:val="21"/>
                <w:szCs w:val="21"/>
              </w:rPr>
              <w:t>02</w:t>
            </w:r>
            <w:r>
              <w:rPr>
                <w:rFonts w:hint="eastAsia"/>
                <w:snapToGrid w:val="0"/>
                <w:color w:val="auto"/>
                <w:kern w:val="0"/>
                <w:sz w:val="21"/>
                <w:szCs w:val="21"/>
              </w:rPr>
              <w:t>月</w:t>
            </w:r>
            <w:r>
              <w:rPr>
                <w:rFonts w:hint="eastAsia"/>
                <w:snapToGrid w:val="0"/>
                <w:color w:val="auto"/>
                <w:kern w:val="0"/>
                <w:sz w:val="21"/>
                <w:szCs w:val="21"/>
              </w:rPr>
              <w:t>27</w:t>
            </w:r>
            <w:r>
              <w:rPr>
                <w:rFonts w:hint="eastAsia"/>
                <w:snapToGrid w:val="0"/>
                <w:color w:val="auto"/>
                <w:kern w:val="0"/>
                <w:sz w:val="21"/>
                <w:szCs w:val="21"/>
              </w:rPr>
              <w:t>日</w:t>
            </w:r>
          </w:p>
        </w:tc>
      </w:tr>
      <w:tr w:rsidR="003F13AB">
        <w:trPr>
          <w:trHeight w:val="1012"/>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rFonts w:hint="eastAsia"/>
                <w:b/>
                <w:snapToGrid w:val="0"/>
                <w:color w:val="auto"/>
                <w:kern w:val="0"/>
                <w:sz w:val="21"/>
                <w:szCs w:val="21"/>
              </w:rPr>
              <w:t xml:space="preserve">   </w:t>
            </w:r>
            <w:r>
              <w:rPr>
                <w:b/>
                <w:snapToGrid w:val="0"/>
                <w:color w:val="auto"/>
                <w:kern w:val="0"/>
                <w:sz w:val="21"/>
                <w:szCs w:val="21"/>
              </w:rPr>
              <w:t>资格等级</w:t>
            </w:r>
            <w:r>
              <w:rPr>
                <w:b/>
                <w:snapToGrid w:val="0"/>
                <w:color w:val="auto"/>
                <w:kern w:val="0"/>
                <w:sz w:val="21"/>
                <w:szCs w:val="21"/>
              </w:rPr>
              <w:tab/>
            </w:r>
            <w:r>
              <w:rPr>
                <w:b/>
                <w:snapToGrid w:val="0"/>
                <w:color w:val="auto"/>
                <w:kern w:val="0"/>
                <w:sz w:val="21"/>
                <w:szCs w:val="21"/>
              </w:rPr>
              <w:tab/>
            </w:r>
            <w:r>
              <w:rPr>
                <w:b/>
                <w:snapToGrid w:val="0"/>
                <w:color w:val="auto"/>
                <w:kern w:val="0"/>
                <w:sz w:val="21"/>
                <w:szCs w:val="21"/>
              </w:rPr>
              <w:t>有效期至</w:t>
            </w:r>
            <w:r>
              <w:rPr>
                <w:b/>
                <w:snapToGrid w:val="0"/>
                <w:color w:val="auto"/>
                <w:kern w:val="0"/>
                <w:sz w:val="21"/>
                <w:szCs w:val="21"/>
              </w:rPr>
              <w:tab/>
              <w:t>2019</w:t>
            </w:r>
            <w:r>
              <w:rPr>
                <w:b/>
                <w:snapToGrid w:val="0"/>
                <w:color w:val="auto"/>
                <w:kern w:val="0"/>
                <w:sz w:val="21"/>
                <w:szCs w:val="21"/>
              </w:rPr>
              <w:t>年</w:t>
            </w:r>
            <w:r>
              <w:rPr>
                <w:b/>
                <w:snapToGrid w:val="0"/>
                <w:color w:val="auto"/>
                <w:kern w:val="0"/>
                <w:sz w:val="21"/>
                <w:szCs w:val="21"/>
              </w:rPr>
              <w:t>8</w:t>
            </w:r>
            <w:r>
              <w:rPr>
                <w:b/>
                <w:snapToGrid w:val="0"/>
                <w:color w:val="auto"/>
                <w:kern w:val="0"/>
                <w:sz w:val="21"/>
                <w:szCs w:val="21"/>
              </w:rPr>
              <w:t>月</w:t>
            </w:r>
            <w:r>
              <w:rPr>
                <w:b/>
                <w:snapToGrid w:val="0"/>
                <w:color w:val="auto"/>
                <w:kern w:val="0"/>
                <w:sz w:val="21"/>
                <w:szCs w:val="21"/>
              </w:rPr>
              <w:t>5</w:t>
            </w:r>
            <w:r>
              <w:rPr>
                <w:b/>
                <w:snapToGrid w:val="0"/>
                <w:color w:val="auto"/>
                <w:kern w:val="0"/>
                <w:sz w:val="21"/>
                <w:szCs w:val="21"/>
              </w:rPr>
              <w:t>日</w:t>
            </w:r>
          </w:p>
        </w:tc>
        <w:tc>
          <w:tcPr>
            <w:tcW w:w="7374" w:type="dxa"/>
            <w:gridSpan w:val="3"/>
            <w:vAlign w:val="center"/>
          </w:tcPr>
          <w:p w:rsidR="003F13AB" w:rsidRDefault="00EC6E7E">
            <w:pPr>
              <w:tabs>
                <w:tab w:val="left" w:pos="2520"/>
              </w:tabs>
              <w:spacing w:line="240" w:lineRule="auto"/>
              <w:ind w:firstLineChars="0" w:firstLine="0"/>
              <w:jc w:val="left"/>
              <w:rPr>
                <w:snapToGrid w:val="0"/>
                <w:color w:val="auto"/>
                <w:kern w:val="0"/>
                <w:sz w:val="21"/>
                <w:szCs w:val="21"/>
              </w:rPr>
            </w:pPr>
            <w:r>
              <w:rPr>
                <w:rFonts w:ascii="宋体" w:hAnsi="宋体" w:hint="eastAsia"/>
                <w:color w:val="000000" w:themeColor="text1"/>
                <w:sz w:val="21"/>
                <w:szCs w:val="21"/>
              </w:rPr>
              <w:t>房屋建筑工程监理甲级。可以开展相应类别建设工程的项目管理、技术咨询等业务。******</w:t>
            </w:r>
          </w:p>
        </w:tc>
      </w:tr>
      <w:tr w:rsidR="003F13AB">
        <w:trPr>
          <w:trHeight w:val="340"/>
          <w:jc w:val="center"/>
        </w:trPr>
        <w:tc>
          <w:tcPr>
            <w:tcW w:w="1698" w:type="dxa"/>
            <w:vAlign w:val="center"/>
          </w:tcPr>
          <w:p w:rsidR="003F13AB" w:rsidRDefault="00EC6E7E">
            <w:pPr>
              <w:tabs>
                <w:tab w:val="left" w:pos="2520"/>
              </w:tabs>
              <w:adjustRightInd/>
              <w:snapToGrid/>
              <w:spacing w:line="240" w:lineRule="auto"/>
              <w:ind w:firstLineChars="0" w:firstLine="0"/>
              <w:jc w:val="center"/>
              <w:rPr>
                <w:b/>
                <w:snapToGrid w:val="0"/>
                <w:color w:val="auto"/>
                <w:kern w:val="0"/>
                <w:sz w:val="21"/>
                <w:szCs w:val="21"/>
              </w:rPr>
            </w:pPr>
            <w:r>
              <w:rPr>
                <w:b/>
                <w:snapToGrid w:val="0"/>
                <w:color w:val="auto"/>
                <w:kern w:val="0"/>
                <w:sz w:val="21"/>
                <w:szCs w:val="21"/>
              </w:rPr>
              <w:t>证书编号</w:t>
            </w:r>
          </w:p>
        </w:tc>
        <w:tc>
          <w:tcPr>
            <w:tcW w:w="2556" w:type="dxa"/>
            <w:vAlign w:val="center"/>
          </w:tcPr>
          <w:p w:rsidR="003F13AB" w:rsidRDefault="00EC6E7E">
            <w:pPr>
              <w:pStyle w:val="Default1"/>
              <w:jc w:val="center"/>
              <w:rPr>
                <w:rFonts w:ascii="宋体" w:hAnsi="宋体" w:hint="default"/>
                <w:snapToGrid w:val="0"/>
                <w:color w:val="auto"/>
                <w:sz w:val="21"/>
                <w:szCs w:val="21"/>
              </w:rPr>
            </w:pPr>
            <w:r>
              <w:rPr>
                <w:rFonts w:ascii="宋体" w:hAnsi="宋体"/>
                <w:color w:val="000000" w:themeColor="text1"/>
                <w:sz w:val="21"/>
                <w:szCs w:val="21"/>
              </w:rPr>
              <w:t>E153002359</w:t>
            </w:r>
          </w:p>
        </w:tc>
        <w:tc>
          <w:tcPr>
            <w:tcW w:w="1134" w:type="dxa"/>
            <w:vAlign w:val="center"/>
          </w:tcPr>
          <w:p w:rsidR="003F13AB" w:rsidRDefault="00EC6E7E">
            <w:pPr>
              <w:tabs>
                <w:tab w:val="left" w:pos="2520"/>
              </w:tabs>
              <w:adjustRightInd/>
              <w:snapToGrid/>
              <w:spacing w:line="240" w:lineRule="auto"/>
              <w:ind w:firstLineChars="0" w:firstLine="0"/>
              <w:jc w:val="left"/>
              <w:rPr>
                <w:b/>
                <w:snapToGrid w:val="0"/>
                <w:color w:val="auto"/>
                <w:kern w:val="0"/>
                <w:sz w:val="21"/>
                <w:szCs w:val="21"/>
              </w:rPr>
            </w:pPr>
            <w:r>
              <w:rPr>
                <w:b/>
                <w:snapToGrid w:val="0"/>
                <w:color w:val="auto"/>
                <w:kern w:val="0"/>
                <w:sz w:val="21"/>
                <w:szCs w:val="21"/>
              </w:rPr>
              <w:t>发证单位</w:t>
            </w:r>
          </w:p>
        </w:tc>
        <w:tc>
          <w:tcPr>
            <w:tcW w:w="3684" w:type="dxa"/>
            <w:vAlign w:val="center"/>
          </w:tcPr>
          <w:p w:rsidR="003F13AB" w:rsidRDefault="00EC6E7E">
            <w:pPr>
              <w:tabs>
                <w:tab w:val="left" w:pos="2520"/>
              </w:tabs>
              <w:adjustRightInd/>
              <w:snapToGrid/>
              <w:spacing w:line="240" w:lineRule="auto"/>
              <w:ind w:firstLineChars="0" w:firstLine="0"/>
              <w:jc w:val="center"/>
              <w:rPr>
                <w:snapToGrid w:val="0"/>
                <w:color w:val="auto"/>
                <w:kern w:val="0"/>
                <w:sz w:val="21"/>
                <w:szCs w:val="21"/>
              </w:rPr>
            </w:pPr>
            <w:r>
              <w:rPr>
                <w:rFonts w:hint="eastAsia"/>
                <w:snapToGrid w:val="0"/>
                <w:color w:val="auto"/>
                <w:kern w:val="0"/>
                <w:sz w:val="21"/>
                <w:szCs w:val="21"/>
              </w:rPr>
              <w:t>中华人民共和国住房和城乡建设部制</w:t>
            </w:r>
          </w:p>
        </w:tc>
      </w:tr>
    </w:tbl>
    <w:p w:rsidR="003F13AB" w:rsidRDefault="003F13AB">
      <w:pPr>
        <w:pStyle w:val="Default1"/>
        <w:spacing w:line="360" w:lineRule="auto"/>
        <w:ind w:firstLineChars="200" w:firstLine="560"/>
        <w:jc w:val="center"/>
        <w:rPr>
          <w:rFonts w:hint="default"/>
          <w:sz w:val="28"/>
          <w:szCs w:val="28"/>
        </w:rPr>
      </w:pPr>
    </w:p>
    <w:p w:rsidR="003F13AB" w:rsidRDefault="00EC6E7E">
      <w:pPr>
        <w:pStyle w:val="3"/>
        <w:keepNext w:val="0"/>
        <w:keepLines w:val="0"/>
      </w:pPr>
      <w:bookmarkStart w:id="63" w:name="_Toc187914381"/>
      <w:r>
        <w:t>2.</w:t>
      </w:r>
      <w:r>
        <w:rPr>
          <w:rFonts w:hint="eastAsia"/>
        </w:rPr>
        <w:t>2</w:t>
      </w:r>
      <w:r>
        <w:t>.</w:t>
      </w:r>
      <w:r>
        <w:rPr>
          <w:rFonts w:hint="eastAsia"/>
        </w:rPr>
        <w:t>5 建设项目周边环境情况</w:t>
      </w:r>
      <w:bookmarkEnd w:id="63"/>
    </w:p>
    <w:p w:rsidR="003F13AB" w:rsidRDefault="00EC6E7E">
      <w:pPr>
        <w:ind w:firstLine="560"/>
        <w:rPr>
          <w:color w:val="auto"/>
          <w:szCs w:val="28"/>
        </w:rPr>
      </w:pPr>
      <w:r>
        <w:rPr>
          <w:rFonts w:hint="eastAsia"/>
          <w:color w:val="auto"/>
        </w:rPr>
        <w:t>公司厂址北侧</w:t>
      </w:r>
      <w:proofErr w:type="gramStart"/>
      <w:r>
        <w:rPr>
          <w:rFonts w:hint="eastAsia"/>
          <w:color w:val="auto"/>
        </w:rPr>
        <w:t>为倚阳</w:t>
      </w:r>
      <w:proofErr w:type="gramEnd"/>
      <w:r>
        <w:rPr>
          <w:rFonts w:hint="eastAsia"/>
          <w:color w:val="auto"/>
        </w:rPr>
        <w:t>路，</w:t>
      </w:r>
      <w:proofErr w:type="gramStart"/>
      <w:r>
        <w:rPr>
          <w:rFonts w:hint="eastAsia"/>
          <w:color w:val="auto"/>
        </w:rPr>
        <w:t>倚阳路</w:t>
      </w:r>
      <w:proofErr w:type="gramEnd"/>
      <w:r>
        <w:rPr>
          <w:rFonts w:hint="eastAsia"/>
          <w:color w:val="auto"/>
        </w:rPr>
        <w:t>对面为云南福贵磷化工有限公司、金梯氟塑料防腐设备科技有限公司；南侧为晋宁兴达工贸有限公司厂房；西侧为兴化路，兴化路对面为云南劲欧化工有限公司厂房；东侧为昆明信德华钢结构工程有限公司厂房。</w:t>
      </w:r>
    </w:p>
    <w:p w:rsidR="003F13AB" w:rsidRDefault="00EC6E7E">
      <w:pPr>
        <w:ind w:firstLine="560"/>
        <w:rPr>
          <w:rFonts w:ascii="宋体" w:hAnsi="宋体"/>
          <w:color w:val="auto"/>
        </w:rPr>
      </w:pPr>
      <w:r>
        <w:rPr>
          <w:rFonts w:hint="eastAsia"/>
          <w:color w:val="auto"/>
        </w:rPr>
        <w:t>项目所在地卫星地图和区域交通位置图详见图</w:t>
      </w:r>
      <w:r>
        <w:rPr>
          <w:rFonts w:ascii="宋体" w:hAnsi="宋体" w:hint="eastAsia"/>
          <w:color w:val="auto"/>
        </w:rPr>
        <w:t>2.2-1和图2.2-2。项目内建构筑物与周边企业、建构筑物安全距离根据《建筑设计防火规范（2018年版）》（GB50016-2014）表3.4.1确定，见表2.2-8。</w:t>
      </w:r>
    </w:p>
    <w:p w:rsidR="003F13AB" w:rsidRDefault="00EC6E7E">
      <w:pPr>
        <w:ind w:firstLineChars="0" w:firstLine="0"/>
        <w:jc w:val="center"/>
        <w:rPr>
          <w:color w:val="auto"/>
        </w:rPr>
      </w:pPr>
      <w:r>
        <w:rPr>
          <w:noProof/>
          <w:color w:val="auto"/>
        </w:rPr>
        <w:lastRenderedPageBreak/>
        <w:drawing>
          <wp:inline distT="0" distB="0" distL="0" distR="0">
            <wp:extent cx="5399405" cy="37795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pic:spPr>
                </pic:pic>
              </a:graphicData>
            </a:graphic>
          </wp:inline>
        </w:drawing>
      </w:r>
    </w:p>
    <w:p w:rsidR="003F13AB" w:rsidRDefault="00EC6E7E">
      <w:pPr>
        <w:topLinePunct/>
        <w:ind w:firstLineChars="0" w:firstLine="0"/>
        <w:jc w:val="center"/>
        <w:rPr>
          <w:rFonts w:ascii="宋体" w:hAnsi="宋体"/>
          <w:color w:val="auto"/>
        </w:rPr>
      </w:pPr>
      <w:r>
        <w:rPr>
          <w:rFonts w:ascii="宋体" w:hAnsi="宋体" w:hint="eastAsia"/>
          <w:color w:val="auto"/>
        </w:rPr>
        <w:t>图2.2-1  项目所在地卫星地图</w:t>
      </w:r>
    </w:p>
    <w:p w:rsidR="003F13AB" w:rsidRDefault="00EC6E7E">
      <w:pPr>
        <w:ind w:firstLineChars="0" w:firstLine="0"/>
        <w:jc w:val="center"/>
        <w:rPr>
          <w:color w:val="auto"/>
        </w:rPr>
      </w:pPr>
      <w:r>
        <w:rPr>
          <w:noProof/>
          <w:color w:val="auto"/>
        </w:rPr>
        <w:drawing>
          <wp:inline distT="0" distB="0" distL="0" distR="0">
            <wp:extent cx="5399405" cy="37795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pic:spPr>
                </pic:pic>
              </a:graphicData>
            </a:graphic>
          </wp:inline>
        </w:drawing>
      </w:r>
    </w:p>
    <w:p w:rsidR="003F13AB" w:rsidRDefault="00EC6E7E">
      <w:pPr>
        <w:topLinePunct/>
        <w:ind w:firstLineChars="0" w:firstLine="0"/>
        <w:jc w:val="center"/>
        <w:rPr>
          <w:rFonts w:ascii="宋体" w:hAnsi="宋体"/>
          <w:color w:val="auto"/>
        </w:rPr>
      </w:pPr>
      <w:r>
        <w:rPr>
          <w:rFonts w:ascii="宋体" w:hAnsi="宋体" w:hint="eastAsia"/>
          <w:color w:val="auto"/>
        </w:rPr>
        <w:t>图</w:t>
      </w:r>
      <w:r>
        <w:rPr>
          <w:rFonts w:ascii="宋体" w:hAnsi="宋体"/>
          <w:color w:val="auto"/>
        </w:rPr>
        <w:t>2.2</w:t>
      </w:r>
      <w:r>
        <w:rPr>
          <w:rFonts w:ascii="宋体" w:hAnsi="宋体" w:hint="eastAsia"/>
          <w:color w:val="auto"/>
        </w:rPr>
        <w:t>-2项目交通位置示意图</w:t>
      </w:r>
    </w:p>
    <w:p w:rsidR="003F13AB" w:rsidRDefault="003F13AB">
      <w:pPr>
        <w:topLinePunct/>
        <w:ind w:firstLineChars="0" w:firstLine="0"/>
        <w:jc w:val="center"/>
        <w:rPr>
          <w:rFonts w:ascii="宋体" w:hAnsi="宋体"/>
          <w:color w:val="auto"/>
        </w:rPr>
      </w:pPr>
    </w:p>
    <w:p w:rsidR="003F13AB" w:rsidRDefault="00EC6E7E">
      <w:pPr>
        <w:topLinePunct/>
        <w:ind w:firstLineChars="0" w:firstLine="0"/>
        <w:jc w:val="center"/>
        <w:rPr>
          <w:rFonts w:ascii="宋体" w:hAnsi="宋体"/>
          <w:color w:val="auto"/>
        </w:rPr>
      </w:pPr>
      <w:r>
        <w:rPr>
          <w:rFonts w:ascii="宋体" w:hAnsi="宋体"/>
          <w:color w:val="auto"/>
        </w:rPr>
        <w:lastRenderedPageBreak/>
        <w:t>2.2-</w:t>
      </w:r>
      <w:r>
        <w:rPr>
          <w:rFonts w:ascii="宋体" w:hAnsi="宋体" w:hint="eastAsia"/>
          <w:color w:val="auto"/>
        </w:rPr>
        <w:t>8项目设施与</w:t>
      </w:r>
      <w:proofErr w:type="gramStart"/>
      <w:r>
        <w:rPr>
          <w:rFonts w:ascii="宋体" w:hAnsi="宋体" w:hint="eastAsia"/>
          <w:color w:val="auto"/>
        </w:rPr>
        <w:t>周边建</w:t>
      </w:r>
      <w:proofErr w:type="gramEnd"/>
      <w:r>
        <w:rPr>
          <w:rFonts w:ascii="宋体" w:hAnsi="宋体" w:hint="eastAsia"/>
          <w:color w:val="auto"/>
        </w:rPr>
        <w:t>构筑物距离表（单位：m）</w:t>
      </w:r>
    </w:p>
    <w:tbl>
      <w:tblPr>
        <w:tblStyle w:val="23"/>
        <w:tblW w:w="9072" w:type="dxa"/>
        <w:tblLook w:val="04A0" w:firstRow="1" w:lastRow="0" w:firstColumn="1" w:lastColumn="0" w:noHBand="0" w:noVBand="1"/>
      </w:tblPr>
      <w:tblGrid>
        <w:gridCol w:w="1833"/>
        <w:gridCol w:w="3932"/>
        <w:gridCol w:w="1493"/>
        <w:gridCol w:w="1814"/>
      </w:tblGrid>
      <w:tr w:rsidR="003F13AB">
        <w:tc>
          <w:tcPr>
            <w:tcW w:w="1830" w:type="dxa"/>
            <w:vAlign w:val="center"/>
          </w:tcPr>
          <w:p w:rsidR="003F13AB" w:rsidRDefault="00EC6E7E">
            <w:pPr>
              <w:adjustRightInd/>
              <w:snapToGrid/>
              <w:spacing w:line="500" w:lineRule="exact"/>
              <w:ind w:firstLineChars="0" w:firstLine="0"/>
              <w:jc w:val="center"/>
              <w:rPr>
                <w:rFonts w:ascii="宋体" w:hAnsi="宋体"/>
                <w:b/>
                <w:bCs/>
                <w:color w:val="auto"/>
                <w:sz w:val="21"/>
                <w:szCs w:val="21"/>
              </w:rPr>
            </w:pPr>
            <w:r>
              <w:rPr>
                <w:rFonts w:ascii="宋体" w:hAnsi="宋体" w:hint="eastAsia"/>
                <w:b/>
                <w:bCs/>
                <w:color w:val="auto"/>
                <w:sz w:val="21"/>
                <w:szCs w:val="21"/>
              </w:rPr>
              <w:t>厂内建筑构筑物</w:t>
            </w:r>
          </w:p>
        </w:tc>
        <w:tc>
          <w:tcPr>
            <w:tcW w:w="3925" w:type="dxa"/>
            <w:vAlign w:val="center"/>
          </w:tcPr>
          <w:p w:rsidR="003F13AB" w:rsidRDefault="00EC6E7E">
            <w:pPr>
              <w:adjustRightInd/>
              <w:snapToGrid/>
              <w:spacing w:line="500" w:lineRule="exact"/>
              <w:ind w:firstLineChars="0" w:firstLine="0"/>
              <w:jc w:val="center"/>
              <w:rPr>
                <w:rFonts w:ascii="宋体" w:hAnsi="宋体"/>
                <w:b/>
                <w:bCs/>
                <w:color w:val="auto"/>
                <w:sz w:val="21"/>
                <w:szCs w:val="21"/>
              </w:rPr>
            </w:pPr>
            <w:r>
              <w:rPr>
                <w:rFonts w:ascii="宋体" w:hAnsi="宋体" w:hint="eastAsia"/>
                <w:b/>
                <w:bCs/>
                <w:color w:val="auto"/>
                <w:sz w:val="21"/>
                <w:szCs w:val="21"/>
              </w:rPr>
              <w:t>周边厂外建构筑物</w:t>
            </w:r>
          </w:p>
        </w:tc>
        <w:tc>
          <w:tcPr>
            <w:tcW w:w="1491" w:type="dxa"/>
            <w:vAlign w:val="center"/>
          </w:tcPr>
          <w:p w:rsidR="003F13AB" w:rsidRDefault="00EC6E7E">
            <w:pPr>
              <w:adjustRightInd/>
              <w:snapToGrid/>
              <w:spacing w:line="500" w:lineRule="exact"/>
              <w:ind w:firstLineChars="0" w:firstLine="0"/>
              <w:jc w:val="center"/>
              <w:rPr>
                <w:rFonts w:ascii="宋体" w:hAnsi="宋体"/>
                <w:b/>
                <w:bCs/>
                <w:color w:val="auto"/>
                <w:sz w:val="21"/>
                <w:szCs w:val="21"/>
              </w:rPr>
            </w:pPr>
            <w:r>
              <w:rPr>
                <w:rFonts w:ascii="宋体" w:hAnsi="宋体" w:hint="eastAsia"/>
                <w:b/>
                <w:bCs/>
                <w:color w:val="auto"/>
                <w:sz w:val="21"/>
                <w:szCs w:val="21"/>
              </w:rPr>
              <w:t>实测距离</w:t>
            </w:r>
          </w:p>
        </w:tc>
        <w:tc>
          <w:tcPr>
            <w:tcW w:w="1826" w:type="dxa"/>
            <w:vAlign w:val="center"/>
          </w:tcPr>
          <w:p w:rsidR="003F13AB" w:rsidRDefault="00EC6E7E">
            <w:pPr>
              <w:adjustRightInd/>
              <w:snapToGrid/>
              <w:spacing w:line="500" w:lineRule="exact"/>
              <w:ind w:firstLineChars="0" w:firstLine="0"/>
              <w:jc w:val="center"/>
              <w:rPr>
                <w:rFonts w:ascii="宋体" w:hAnsi="宋体"/>
                <w:b/>
                <w:bCs/>
                <w:color w:val="auto"/>
                <w:sz w:val="21"/>
                <w:szCs w:val="21"/>
              </w:rPr>
            </w:pPr>
            <w:r>
              <w:rPr>
                <w:rFonts w:ascii="宋体" w:hAnsi="宋体" w:hint="eastAsia"/>
                <w:b/>
                <w:bCs/>
                <w:color w:val="auto"/>
                <w:sz w:val="21"/>
                <w:szCs w:val="21"/>
              </w:rPr>
              <w:t>规范距离</w:t>
            </w:r>
          </w:p>
        </w:tc>
      </w:tr>
      <w:tr w:rsidR="003F13AB">
        <w:tc>
          <w:tcPr>
            <w:tcW w:w="1892" w:type="dxa"/>
            <w:vMerge w:val="restart"/>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成品仓库（戊类，耐火等级为二级）</w:t>
            </w: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proofErr w:type="gramStart"/>
            <w:r>
              <w:rPr>
                <w:rFonts w:ascii="宋体" w:hAnsi="宋体" w:hint="eastAsia"/>
                <w:color w:val="auto"/>
                <w:sz w:val="21"/>
                <w:szCs w:val="21"/>
              </w:rPr>
              <w:t>倚阳路</w:t>
            </w:r>
            <w:proofErr w:type="gramEnd"/>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82.90</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Merge/>
            <w:vAlign w:val="center"/>
          </w:tcPr>
          <w:p w:rsidR="003F13AB" w:rsidRDefault="003F13AB">
            <w:pPr>
              <w:adjustRightInd/>
              <w:snapToGrid/>
              <w:spacing w:line="500" w:lineRule="exact"/>
              <w:ind w:firstLineChars="0" w:firstLine="0"/>
              <w:rPr>
                <w:rFonts w:ascii="宋体" w:hAnsi="宋体"/>
                <w:color w:val="auto"/>
                <w:sz w:val="21"/>
                <w:szCs w:val="21"/>
              </w:rPr>
            </w:pP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兴化路</w:t>
            </w:r>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23.60</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Merge/>
            <w:vAlign w:val="center"/>
          </w:tcPr>
          <w:p w:rsidR="003F13AB" w:rsidRDefault="003F13AB">
            <w:pPr>
              <w:adjustRightInd/>
              <w:snapToGrid/>
              <w:spacing w:line="500" w:lineRule="exact"/>
              <w:ind w:firstLineChars="0" w:firstLine="0"/>
              <w:rPr>
                <w:rFonts w:ascii="宋体" w:hAnsi="宋体"/>
                <w:color w:val="auto"/>
                <w:sz w:val="21"/>
                <w:szCs w:val="21"/>
              </w:rPr>
            </w:pP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云南劲欧化工有限公司厂房</w:t>
            </w:r>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54.87</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12</w:t>
            </w:r>
          </w:p>
        </w:tc>
      </w:tr>
      <w:tr w:rsidR="003F13AB">
        <w:tc>
          <w:tcPr>
            <w:tcW w:w="1892" w:type="dxa"/>
            <w:vMerge/>
            <w:vAlign w:val="center"/>
          </w:tcPr>
          <w:p w:rsidR="003F13AB" w:rsidRDefault="003F13AB">
            <w:pPr>
              <w:adjustRightInd/>
              <w:snapToGrid/>
              <w:spacing w:line="500" w:lineRule="exact"/>
              <w:ind w:firstLineChars="0" w:firstLine="0"/>
              <w:rPr>
                <w:rFonts w:ascii="宋体" w:hAnsi="宋体"/>
                <w:color w:val="auto"/>
                <w:sz w:val="21"/>
                <w:szCs w:val="21"/>
              </w:rPr>
            </w:pP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昆明信德华钢结构工程有限公司厂房</w:t>
            </w:r>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13.37</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生产厂房（丁类，耐火等级为二级）</w:t>
            </w: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昆明信德华钢结构工程有限公司厂房</w:t>
            </w:r>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51.23</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Merge w:val="restart"/>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原料仓库（戊类，耐火等级为二级）</w:t>
            </w: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晋宁兴达工贸有限公司厂房</w:t>
            </w:r>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18.13</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Merge/>
            <w:vAlign w:val="center"/>
          </w:tcPr>
          <w:p w:rsidR="003F13AB" w:rsidRDefault="003F13AB">
            <w:pPr>
              <w:adjustRightInd/>
              <w:snapToGrid/>
              <w:spacing w:line="500" w:lineRule="exact"/>
              <w:ind w:firstLineChars="0" w:firstLine="0"/>
              <w:rPr>
                <w:rFonts w:ascii="宋体" w:hAnsi="宋体"/>
                <w:color w:val="auto"/>
                <w:sz w:val="21"/>
                <w:szCs w:val="21"/>
              </w:rPr>
            </w:pP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晋宁兴化精细磷化</w:t>
            </w:r>
            <w:proofErr w:type="gramStart"/>
            <w:r>
              <w:rPr>
                <w:rFonts w:ascii="宋体" w:hAnsi="宋体" w:hint="eastAsia"/>
                <w:color w:val="auto"/>
                <w:sz w:val="21"/>
                <w:szCs w:val="21"/>
              </w:rPr>
              <w:t>工科技</w:t>
            </w:r>
            <w:proofErr w:type="gramEnd"/>
            <w:r>
              <w:rPr>
                <w:rFonts w:ascii="宋体" w:hAnsi="宋体" w:hint="eastAsia"/>
                <w:color w:val="auto"/>
                <w:sz w:val="21"/>
                <w:szCs w:val="21"/>
              </w:rPr>
              <w:t>发展有限责任公司门卫室（耐火等级为二级）</w:t>
            </w:r>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43.83</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丙类仓库（耐火等级为二级）</w:t>
            </w: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昆明信德华钢结构工程有限公司厂房</w:t>
            </w:r>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13.37</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办公楼</w:t>
            </w: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proofErr w:type="gramStart"/>
            <w:r>
              <w:rPr>
                <w:rFonts w:ascii="宋体" w:hAnsi="宋体" w:hint="eastAsia"/>
                <w:color w:val="auto"/>
                <w:sz w:val="21"/>
                <w:szCs w:val="21"/>
              </w:rPr>
              <w:t>倚阳路</w:t>
            </w:r>
            <w:proofErr w:type="gramEnd"/>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46.78</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Merge w:val="restart"/>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综合楼</w:t>
            </w: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proofErr w:type="gramStart"/>
            <w:r>
              <w:rPr>
                <w:rFonts w:ascii="宋体" w:hAnsi="宋体" w:hint="eastAsia"/>
                <w:color w:val="auto"/>
                <w:sz w:val="21"/>
                <w:szCs w:val="21"/>
              </w:rPr>
              <w:t>倚阳路</w:t>
            </w:r>
            <w:proofErr w:type="gramEnd"/>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23.22</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Merge/>
            <w:vAlign w:val="center"/>
          </w:tcPr>
          <w:p w:rsidR="003F13AB" w:rsidRDefault="003F13AB">
            <w:pPr>
              <w:adjustRightInd/>
              <w:snapToGrid/>
              <w:spacing w:line="500" w:lineRule="exact"/>
              <w:ind w:firstLineChars="0" w:firstLine="0"/>
              <w:rPr>
                <w:rFonts w:ascii="宋体" w:hAnsi="宋体"/>
                <w:color w:val="auto"/>
                <w:sz w:val="21"/>
                <w:szCs w:val="21"/>
              </w:rPr>
            </w:pP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云南劲欧化工有限公司厂房</w:t>
            </w:r>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47.35</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25</w:t>
            </w:r>
          </w:p>
        </w:tc>
      </w:tr>
      <w:tr w:rsidR="003F13AB">
        <w:tc>
          <w:tcPr>
            <w:tcW w:w="1892" w:type="dxa"/>
            <w:vMerge/>
            <w:vAlign w:val="center"/>
          </w:tcPr>
          <w:p w:rsidR="003F13AB" w:rsidRDefault="003F13AB">
            <w:pPr>
              <w:adjustRightInd/>
              <w:snapToGrid/>
              <w:spacing w:line="500" w:lineRule="exact"/>
              <w:ind w:firstLineChars="0" w:firstLine="0"/>
              <w:rPr>
                <w:rFonts w:ascii="宋体" w:hAnsi="宋体"/>
                <w:color w:val="auto"/>
                <w:sz w:val="21"/>
                <w:szCs w:val="21"/>
              </w:rPr>
            </w:pP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兴化路</w:t>
            </w:r>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16.96</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消防泵房（戊类）</w:t>
            </w: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昆明信德华钢结构工程有限公司厂房</w:t>
            </w:r>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12.55</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c>
          <w:tcPr>
            <w:tcW w:w="1892" w:type="dxa"/>
            <w:vAlign w:val="center"/>
          </w:tcPr>
          <w:p w:rsidR="003F13AB" w:rsidRDefault="00EC6E7E">
            <w:pPr>
              <w:adjustRightInd/>
              <w:snapToGrid/>
              <w:spacing w:line="500" w:lineRule="exact"/>
              <w:ind w:firstLineChars="0" w:firstLine="0"/>
              <w:rPr>
                <w:rFonts w:ascii="宋体" w:hAnsi="宋体"/>
                <w:color w:val="auto"/>
                <w:sz w:val="21"/>
                <w:szCs w:val="21"/>
              </w:rPr>
            </w:pPr>
            <w:r>
              <w:rPr>
                <w:rFonts w:ascii="宋体" w:hAnsi="宋体" w:hint="eastAsia"/>
                <w:color w:val="auto"/>
                <w:sz w:val="21"/>
                <w:szCs w:val="21"/>
              </w:rPr>
              <w:t>门卫室</w:t>
            </w:r>
          </w:p>
        </w:tc>
        <w:tc>
          <w:tcPr>
            <w:tcW w:w="4095" w:type="dxa"/>
            <w:vAlign w:val="center"/>
          </w:tcPr>
          <w:p w:rsidR="003F13AB" w:rsidRDefault="00EC6E7E">
            <w:pPr>
              <w:adjustRightInd/>
              <w:snapToGrid/>
              <w:spacing w:line="500" w:lineRule="exact"/>
              <w:ind w:firstLineChars="0" w:firstLine="0"/>
              <w:rPr>
                <w:rFonts w:ascii="宋体" w:hAnsi="宋体"/>
                <w:color w:val="auto"/>
                <w:sz w:val="21"/>
                <w:szCs w:val="21"/>
              </w:rPr>
            </w:pPr>
            <w:proofErr w:type="gramStart"/>
            <w:r>
              <w:rPr>
                <w:rFonts w:ascii="宋体" w:hAnsi="宋体" w:hint="eastAsia"/>
                <w:color w:val="auto"/>
                <w:sz w:val="21"/>
                <w:szCs w:val="21"/>
              </w:rPr>
              <w:t>倚阳路</w:t>
            </w:r>
            <w:proofErr w:type="gramEnd"/>
          </w:p>
        </w:tc>
        <w:tc>
          <w:tcPr>
            <w:tcW w:w="1530" w:type="dxa"/>
            <w:vAlign w:val="center"/>
          </w:tcPr>
          <w:p w:rsidR="003F13AB" w:rsidRDefault="00EC6E7E">
            <w:pPr>
              <w:adjustRightInd/>
              <w:snapToGrid/>
              <w:spacing w:line="500" w:lineRule="exact"/>
              <w:ind w:firstLineChars="0" w:firstLine="0"/>
              <w:jc w:val="center"/>
              <w:rPr>
                <w:rFonts w:ascii="宋体" w:hAnsi="宋体"/>
                <w:color w:val="auto"/>
                <w:sz w:val="21"/>
                <w:szCs w:val="21"/>
              </w:rPr>
            </w:pPr>
            <w:r>
              <w:rPr>
                <w:rFonts w:ascii="宋体" w:hAnsi="宋体" w:hint="eastAsia"/>
                <w:color w:val="auto"/>
                <w:sz w:val="21"/>
                <w:szCs w:val="21"/>
              </w:rPr>
              <w:t>14.03</w:t>
            </w:r>
          </w:p>
        </w:tc>
        <w:tc>
          <w:tcPr>
            <w:tcW w:w="1882" w:type="dxa"/>
            <w:vAlign w:val="center"/>
          </w:tcPr>
          <w:p w:rsidR="003F13AB" w:rsidRDefault="00EC6E7E">
            <w:pPr>
              <w:adjustRightInd/>
              <w:snapToGrid/>
              <w:spacing w:line="500" w:lineRule="exact"/>
              <w:ind w:firstLineChars="0" w:firstLine="0"/>
              <w:jc w:val="center"/>
              <w:rPr>
                <w:rFonts w:ascii="宋体" w:hAnsi="宋体"/>
                <w:b/>
                <w:color w:val="auto"/>
                <w:sz w:val="21"/>
                <w:szCs w:val="21"/>
              </w:rPr>
            </w:pPr>
            <w:r>
              <w:rPr>
                <w:rFonts w:ascii="宋体" w:hAnsi="宋体" w:hint="eastAsia"/>
                <w:b/>
                <w:color w:val="auto"/>
                <w:sz w:val="21"/>
                <w:szCs w:val="21"/>
              </w:rPr>
              <w:t>10</w:t>
            </w:r>
          </w:p>
        </w:tc>
      </w:tr>
      <w:tr w:rsidR="003F13AB">
        <w:trPr>
          <w:trHeight w:val="1497"/>
        </w:trPr>
        <w:tc>
          <w:tcPr>
            <w:tcW w:w="9072" w:type="dxa"/>
            <w:gridSpan w:val="4"/>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注：</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云南劲欧化工有限公司厂房使用硝酸钾，火灾危险性为甲类，耐火等级为二级；昆明信德华钢结构工程有限公司厂房火灾危险性为丁类，耐火等级为二级；晋宁兴达工贸有限公司厂房火灾危险性为丁类，耐火等级为二级。</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2.</w:t>
            </w:r>
            <w:proofErr w:type="gramStart"/>
            <w:r>
              <w:rPr>
                <w:rFonts w:ascii="宋体" w:hAnsi="宋体" w:hint="eastAsia"/>
                <w:color w:val="auto"/>
                <w:sz w:val="21"/>
                <w:szCs w:val="21"/>
              </w:rPr>
              <w:t>倚阳路</w:t>
            </w:r>
            <w:proofErr w:type="gramEnd"/>
            <w:r>
              <w:rPr>
                <w:rFonts w:ascii="宋体" w:hAnsi="宋体" w:hint="eastAsia"/>
                <w:color w:val="auto"/>
                <w:sz w:val="21"/>
                <w:szCs w:val="21"/>
              </w:rPr>
              <w:t>和兴化路为县道。</w:t>
            </w:r>
          </w:p>
        </w:tc>
      </w:tr>
    </w:tbl>
    <w:p w:rsidR="003F13AB" w:rsidRDefault="003F13AB">
      <w:pPr>
        <w:pStyle w:val="Default1"/>
        <w:jc w:val="center"/>
        <w:rPr>
          <w:rFonts w:hint="default"/>
        </w:rPr>
      </w:pPr>
    </w:p>
    <w:p w:rsidR="003F13AB" w:rsidRDefault="00EC6E7E">
      <w:pPr>
        <w:pStyle w:val="3"/>
      </w:pPr>
      <w:bookmarkStart w:id="64" w:name="_Toc187914382"/>
      <w:r>
        <w:t>2.</w:t>
      </w:r>
      <w:r>
        <w:rPr>
          <w:rFonts w:hint="eastAsia"/>
        </w:rPr>
        <w:t>2</w:t>
      </w:r>
      <w:r>
        <w:t>.</w:t>
      </w:r>
      <w:r>
        <w:rPr>
          <w:rFonts w:hint="eastAsia"/>
        </w:rPr>
        <w:t>6 自然条件</w:t>
      </w:r>
      <w:bookmarkEnd w:id="64"/>
    </w:p>
    <w:p w:rsidR="003F13AB" w:rsidRDefault="00EC6E7E">
      <w:pPr>
        <w:ind w:firstLine="560"/>
        <w:rPr>
          <w:color w:val="auto"/>
        </w:rPr>
      </w:pPr>
      <w:r>
        <w:rPr>
          <w:rFonts w:hint="eastAsia"/>
          <w:color w:val="auto"/>
        </w:rPr>
        <w:t>（</w:t>
      </w:r>
      <w:r>
        <w:rPr>
          <w:rFonts w:hint="eastAsia"/>
          <w:color w:val="auto"/>
        </w:rPr>
        <w:t>1</w:t>
      </w:r>
      <w:r>
        <w:rPr>
          <w:rFonts w:hint="eastAsia"/>
          <w:color w:val="auto"/>
        </w:rPr>
        <w:t>）气象条件</w:t>
      </w:r>
    </w:p>
    <w:p w:rsidR="003F13AB" w:rsidRDefault="00EC6E7E">
      <w:pPr>
        <w:ind w:firstLine="560"/>
        <w:rPr>
          <w:rFonts w:ascii="宋体" w:hAnsi="宋体"/>
          <w:color w:val="auto"/>
          <w:kern w:val="0"/>
          <w:szCs w:val="28"/>
          <w:u w:color="000000"/>
        </w:rPr>
      </w:pPr>
      <w:r>
        <w:rPr>
          <w:rFonts w:ascii="宋体" w:hAnsi="宋体" w:hint="eastAsia"/>
          <w:color w:val="auto"/>
          <w:kern w:val="0"/>
          <w:szCs w:val="28"/>
          <w:u w:color="000000"/>
        </w:rPr>
        <w:t>晋宁区属低纬度</w:t>
      </w:r>
      <w:proofErr w:type="gramStart"/>
      <w:r>
        <w:rPr>
          <w:rFonts w:ascii="宋体" w:hAnsi="宋体" w:hint="eastAsia"/>
          <w:color w:val="auto"/>
          <w:kern w:val="0"/>
          <w:szCs w:val="28"/>
          <w:u w:color="000000"/>
        </w:rPr>
        <w:t>高原北</w:t>
      </w:r>
      <w:proofErr w:type="gramEnd"/>
      <w:r>
        <w:rPr>
          <w:rFonts w:ascii="宋体" w:hAnsi="宋体" w:hint="eastAsia"/>
          <w:color w:val="auto"/>
          <w:kern w:val="0"/>
          <w:szCs w:val="28"/>
          <w:u w:color="000000"/>
        </w:rPr>
        <w:t>亚热带季风气候区，冬无严寒，夏无酷暑，四季如春，干湿季分明。春冬有时干旱，稍有低温；夏秋潮湿，无高温酷热</w:t>
      </w:r>
      <w:r>
        <w:rPr>
          <w:rFonts w:ascii="宋体" w:hAnsi="宋体" w:hint="eastAsia"/>
          <w:color w:val="auto"/>
          <w:kern w:val="0"/>
          <w:szCs w:val="28"/>
          <w:u w:color="000000"/>
        </w:rPr>
        <w:lastRenderedPageBreak/>
        <w:t>现象。</w:t>
      </w:r>
    </w:p>
    <w:p w:rsidR="003F13AB" w:rsidRDefault="00EC6E7E">
      <w:pPr>
        <w:ind w:firstLine="560"/>
        <w:rPr>
          <w:rFonts w:ascii="宋体" w:hAnsi="宋体"/>
          <w:color w:val="auto"/>
          <w:kern w:val="0"/>
          <w:szCs w:val="28"/>
          <w:u w:color="000000"/>
        </w:rPr>
      </w:pPr>
      <w:r>
        <w:rPr>
          <w:rFonts w:ascii="宋体" w:hAnsi="宋体" w:hint="eastAsia"/>
          <w:color w:val="auto"/>
          <w:kern w:val="0"/>
          <w:szCs w:val="28"/>
          <w:u w:color="000000"/>
        </w:rPr>
        <w:t>据晋宁区气象站多年实测资料统计：年平均气温14.8℃，最冷月（1月）的平均气温7.9℃，最热月（7月）的平均气温为19.6℃，年较差11.9℃。极端最高气温31.4℃（分别出现于1958的6月1日和1963年5月31日），极端最低气温-6.2℃。气温年际变化小，最暖年为15.4℃（出现于1987年和1988年）最冷年为14℃（1977年）年变化幅为1.4℃。</w:t>
      </w:r>
    </w:p>
    <w:p w:rsidR="003F13AB" w:rsidRDefault="00EC6E7E">
      <w:pPr>
        <w:ind w:firstLine="560"/>
        <w:rPr>
          <w:color w:val="auto"/>
        </w:rPr>
      </w:pPr>
      <w:r>
        <w:rPr>
          <w:rFonts w:ascii="宋体" w:hAnsi="宋体" w:hint="eastAsia"/>
          <w:color w:val="auto"/>
          <w:kern w:val="0"/>
          <w:szCs w:val="28"/>
          <w:u w:color="000000"/>
        </w:rPr>
        <w:t>根据1971-2009年的数据，晋宁区年平均雷暴日天数为52d。</w:t>
      </w:r>
    </w:p>
    <w:p w:rsidR="003F13AB" w:rsidRDefault="00EC6E7E">
      <w:pPr>
        <w:ind w:firstLine="560"/>
        <w:rPr>
          <w:color w:val="auto"/>
        </w:rPr>
      </w:pPr>
      <w:r>
        <w:rPr>
          <w:rFonts w:hint="eastAsia"/>
          <w:color w:val="auto"/>
        </w:rPr>
        <w:t>（</w:t>
      </w:r>
      <w:r>
        <w:rPr>
          <w:rFonts w:hint="eastAsia"/>
          <w:color w:val="auto"/>
        </w:rPr>
        <w:t>2</w:t>
      </w:r>
      <w:r>
        <w:rPr>
          <w:rFonts w:hint="eastAsia"/>
          <w:color w:val="auto"/>
        </w:rPr>
        <w:t>）工程地质</w:t>
      </w:r>
    </w:p>
    <w:p w:rsidR="003F13AB" w:rsidRDefault="00EC6E7E">
      <w:pPr>
        <w:ind w:firstLine="560"/>
        <w:rPr>
          <w:rFonts w:ascii="宋体" w:hAnsi="宋体"/>
          <w:color w:val="auto"/>
        </w:rPr>
      </w:pPr>
      <w:r>
        <w:rPr>
          <w:rFonts w:ascii="宋体" w:hAnsi="宋体" w:hint="eastAsia"/>
          <w:color w:val="auto"/>
        </w:rPr>
        <w:t>根据项目《岩土工程勘察报告》，项目场地地质、水文、地震等自然条件如下：</w:t>
      </w:r>
    </w:p>
    <w:p w:rsidR="003F13AB" w:rsidRDefault="00EC6E7E">
      <w:pPr>
        <w:ind w:firstLine="560"/>
        <w:rPr>
          <w:rFonts w:ascii="宋体" w:hAnsi="宋体"/>
          <w:color w:val="auto"/>
        </w:rPr>
      </w:pPr>
      <w:r>
        <w:rPr>
          <w:rFonts w:ascii="宋体" w:hAnsi="宋体" w:hint="eastAsia"/>
          <w:color w:val="auto"/>
        </w:rPr>
        <w:t>1）场地属稳定场地，不均匀地基，为可进行建设的一般场地，适宜建筑。</w:t>
      </w:r>
    </w:p>
    <w:p w:rsidR="003F13AB" w:rsidRDefault="00EC6E7E">
      <w:pPr>
        <w:ind w:firstLine="560"/>
        <w:rPr>
          <w:rFonts w:ascii="宋体" w:hAnsi="宋体"/>
          <w:color w:val="auto"/>
        </w:rPr>
      </w:pPr>
      <w:r>
        <w:rPr>
          <w:rFonts w:ascii="宋体" w:hAnsi="宋体" w:hint="eastAsia"/>
          <w:color w:val="auto"/>
        </w:rPr>
        <w:t>2）建筑抗震的地段类别划分为一般地段。</w:t>
      </w:r>
    </w:p>
    <w:p w:rsidR="003F13AB" w:rsidRDefault="00EC6E7E">
      <w:pPr>
        <w:ind w:firstLine="560"/>
        <w:rPr>
          <w:rFonts w:ascii="宋体" w:hAnsi="宋体"/>
          <w:color w:val="auto"/>
        </w:rPr>
      </w:pPr>
      <w:r>
        <w:rPr>
          <w:rFonts w:ascii="宋体" w:hAnsi="宋体" w:hint="eastAsia"/>
          <w:color w:val="auto"/>
        </w:rPr>
        <w:t>3）场地所处位置抗震设防烈度为8度，Ⅱ类场地设计基本地震动峰值加速度值为0.20g，设计地震分组为第三组0.45s。场地类别为Ⅱ类，加速度不调整。</w:t>
      </w:r>
    </w:p>
    <w:p w:rsidR="003F13AB" w:rsidRDefault="00EC6E7E">
      <w:pPr>
        <w:ind w:firstLine="560"/>
        <w:rPr>
          <w:rFonts w:ascii="宋体" w:hAnsi="宋体"/>
          <w:color w:val="auto"/>
        </w:rPr>
      </w:pPr>
      <w:r>
        <w:rPr>
          <w:rFonts w:ascii="宋体" w:hAnsi="宋体" w:hint="eastAsia"/>
          <w:color w:val="auto"/>
        </w:rPr>
        <w:t>4）地表5m深度内土层自由膨胀率9～20%，不考虑膨胀性。</w:t>
      </w:r>
    </w:p>
    <w:p w:rsidR="003F13AB" w:rsidRDefault="00EC6E7E">
      <w:pPr>
        <w:ind w:firstLine="560"/>
        <w:rPr>
          <w:rFonts w:ascii="宋体" w:hAnsi="宋体"/>
          <w:color w:val="auto"/>
        </w:rPr>
      </w:pPr>
      <w:r>
        <w:rPr>
          <w:rFonts w:ascii="宋体" w:hAnsi="宋体" w:hint="eastAsia"/>
          <w:color w:val="auto"/>
        </w:rPr>
        <w:t>5）主要岩土体为弱透水，水文地质条件中等。</w:t>
      </w:r>
    </w:p>
    <w:p w:rsidR="003F13AB" w:rsidRDefault="00EC6E7E">
      <w:pPr>
        <w:ind w:firstLine="560"/>
        <w:rPr>
          <w:rFonts w:ascii="宋体" w:hAnsi="宋体"/>
          <w:color w:val="auto"/>
        </w:rPr>
      </w:pPr>
      <w:r>
        <w:rPr>
          <w:rFonts w:ascii="宋体" w:hAnsi="宋体" w:hint="eastAsia"/>
          <w:color w:val="auto"/>
        </w:rPr>
        <w:t>6）基坑安全等级划分为三级，可放坡开挖。</w:t>
      </w:r>
    </w:p>
    <w:p w:rsidR="003F13AB" w:rsidRDefault="00EC6E7E">
      <w:pPr>
        <w:ind w:firstLine="560"/>
        <w:rPr>
          <w:rFonts w:ascii="宋体" w:hAnsi="宋体"/>
          <w:color w:val="auto"/>
        </w:rPr>
      </w:pPr>
      <w:r>
        <w:rPr>
          <w:rFonts w:ascii="宋体" w:hAnsi="宋体" w:hint="eastAsia"/>
          <w:color w:val="auto"/>
        </w:rPr>
        <w:t>7）场地在20m的勘察深度范围内揭露到饱和粉土，判为</w:t>
      </w:r>
      <w:proofErr w:type="gramStart"/>
      <w:r>
        <w:rPr>
          <w:rFonts w:ascii="宋体" w:hAnsi="宋体" w:hint="eastAsia"/>
          <w:color w:val="auto"/>
        </w:rPr>
        <w:t>不</w:t>
      </w:r>
      <w:proofErr w:type="gramEnd"/>
      <w:r>
        <w:rPr>
          <w:rFonts w:ascii="宋体" w:hAnsi="宋体" w:hint="eastAsia"/>
          <w:color w:val="auto"/>
        </w:rPr>
        <w:t>液化。不考虑软土震陷的影响。</w:t>
      </w:r>
    </w:p>
    <w:p w:rsidR="003F13AB" w:rsidRDefault="00EC6E7E">
      <w:pPr>
        <w:ind w:firstLine="560"/>
        <w:rPr>
          <w:rFonts w:ascii="宋体" w:hAnsi="宋体"/>
          <w:color w:val="auto"/>
        </w:rPr>
      </w:pPr>
      <w:r>
        <w:rPr>
          <w:rFonts w:ascii="宋体" w:hAnsi="宋体" w:hint="eastAsia"/>
          <w:color w:val="auto"/>
        </w:rPr>
        <w:t>8）场地环境类别为Ⅱ类，场区地下水对混凝土结构和混凝土结构中钢筋均具微腐蚀性。场地土对混凝土结构及钢筋混凝土结构中的钢筋具微腐蚀性，对裸露钢结构具微腐蚀性。</w:t>
      </w:r>
    </w:p>
    <w:p w:rsidR="003F13AB" w:rsidRDefault="00EC6E7E">
      <w:pPr>
        <w:ind w:firstLine="560"/>
        <w:rPr>
          <w:color w:val="auto"/>
        </w:rPr>
      </w:pPr>
      <w:r>
        <w:rPr>
          <w:rFonts w:ascii="宋体" w:hAnsi="宋体" w:hint="eastAsia"/>
          <w:color w:val="auto"/>
        </w:rPr>
        <w:t>9）场地地下水类型主要为孔隙型潜水，稳定水位埋深1.7～2.31m之</w:t>
      </w:r>
      <w:r>
        <w:rPr>
          <w:rFonts w:ascii="宋体" w:hAnsi="宋体" w:hint="eastAsia"/>
          <w:color w:val="auto"/>
        </w:rPr>
        <w:lastRenderedPageBreak/>
        <w:t>间，建议地下室抗浮设防水位标高为1972.82m。</w:t>
      </w:r>
    </w:p>
    <w:p w:rsidR="003F13AB" w:rsidRDefault="00EC6E7E">
      <w:pPr>
        <w:pStyle w:val="3"/>
      </w:pPr>
      <w:bookmarkStart w:id="65" w:name="_Toc187914383"/>
      <w:r>
        <w:t>2.</w:t>
      </w:r>
      <w:r>
        <w:rPr>
          <w:rFonts w:hint="eastAsia"/>
        </w:rPr>
        <w:t>2</w:t>
      </w:r>
      <w:r>
        <w:t>.</w:t>
      </w:r>
      <w:r>
        <w:rPr>
          <w:rFonts w:hint="eastAsia"/>
        </w:rPr>
        <w:t>7</w:t>
      </w:r>
      <w:r>
        <w:t xml:space="preserve"> 总</w:t>
      </w:r>
      <w:r>
        <w:rPr>
          <w:rFonts w:hint="eastAsia"/>
        </w:rPr>
        <w:t>平面布置</w:t>
      </w:r>
      <w:bookmarkEnd w:id="65"/>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云南农家乐农业集团有限公司位于昆明市晋宁区工业园区二街基地（现在已批为“云南晋宁产业园区二街化工园区”）。整个厂区大致可分为生产储存区和办公生活区。办公生活区和生产储存区分开布置，车间控制室设置在生产厂房中北部；集中控制室位于办公楼1楼；锅炉房布置在生产厂房北部西侧，靠近天然气引入点；配电室布置在厂区南侧，靠近电源引入点。</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（1）办公生活区</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办公生活区是对内管理，对外联系，人员集中的区域，要求所处环境较好，将其布置厂区西北部，靠近工业园区</w:t>
      </w:r>
      <w:proofErr w:type="gramStart"/>
      <w:r>
        <w:rPr>
          <w:rFonts w:ascii="宋体" w:hAnsi="宋体" w:cs="仿宋" w:hint="eastAsia"/>
          <w:color w:val="auto"/>
          <w:szCs w:val="28"/>
        </w:rPr>
        <w:t>主干道倚阳路</w:t>
      </w:r>
      <w:proofErr w:type="gramEnd"/>
      <w:r>
        <w:rPr>
          <w:rFonts w:ascii="宋体" w:hAnsi="宋体" w:cs="仿宋" w:hint="eastAsia"/>
          <w:color w:val="auto"/>
          <w:szCs w:val="28"/>
        </w:rPr>
        <w:t>。办公生活区与辅助设施区及生产储存区设置通透式围墙、绿化带及道路相隔，形成独立的活动区域。办公生活区设置1栋3层的办公楼。</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办公楼为收购项目场地时保留的建筑物，总占地面积1110.52m</w:t>
      </w:r>
      <w:r>
        <w:rPr>
          <w:rFonts w:ascii="宋体" w:hAnsi="宋体" w:cs="仿宋" w:hint="eastAsia"/>
          <w:color w:val="auto"/>
          <w:szCs w:val="28"/>
          <w:vertAlign w:val="superscript"/>
        </w:rPr>
        <w:t>2</w:t>
      </w:r>
      <w:r>
        <w:rPr>
          <w:rFonts w:ascii="宋体" w:hAnsi="宋体" w:cs="仿宋" w:hint="eastAsia"/>
          <w:color w:val="auto"/>
          <w:szCs w:val="28"/>
        </w:rPr>
        <w:t>，总建筑面积为3677.17m</w:t>
      </w:r>
      <w:r>
        <w:rPr>
          <w:rFonts w:ascii="宋体" w:hAnsi="宋体" w:cs="仿宋" w:hint="eastAsia"/>
          <w:color w:val="auto"/>
          <w:szCs w:val="28"/>
          <w:vertAlign w:val="superscript"/>
        </w:rPr>
        <w:t>2</w:t>
      </w:r>
      <w:r>
        <w:rPr>
          <w:rFonts w:ascii="宋体" w:hAnsi="宋体" w:cs="仿宋" w:hint="eastAsia"/>
          <w:color w:val="auto"/>
          <w:szCs w:val="28"/>
        </w:rPr>
        <w:t>，建筑高度15.30m，为框架结构。办公楼一层设置主控制室、接待室、化验室、餐厅；二层、三层为办公室。办公楼承担办公、生产主控、化验、质检及产品展厅等工作。</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（2）辅助生产区</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辅助生产区布置在厂区东北部和西侧，东北部设置消防水池和消防水泵房，西侧设置雨水调蓄池、事故水池和初期雨水收集池，水池均设置在地下。</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（3）生产储存区</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生产储存区布置在厂区中部和南部，中部布置1栋成品仓库，南部布置1栋原料仓库，成品仓库与原料仓库之间由西南向东北分别布置装卸车场、生产厂房和丙类仓库，原料仓库东侧设置一间发配电间。</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lastRenderedPageBreak/>
        <w:t>成品仓库为1层建筑物，总占地面积为18031.75m</w:t>
      </w:r>
      <w:r>
        <w:rPr>
          <w:rFonts w:ascii="宋体" w:hAnsi="宋体" w:cs="仿宋" w:hint="eastAsia"/>
          <w:color w:val="auto"/>
          <w:szCs w:val="28"/>
          <w:vertAlign w:val="superscript"/>
        </w:rPr>
        <w:t>2</w:t>
      </w:r>
      <w:r>
        <w:rPr>
          <w:rFonts w:ascii="宋体" w:hAnsi="宋体" w:cs="仿宋" w:hint="eastAsia"/>
          <w:color w:val="auto"/>
          <w:szCs w:val="28"/>
        </w:rPr>
        <w:t>，总建筑面积为18031.75m</w:t>
      </w:r>
      <w:r>
        <w:rPr>
          <w:rFonts w:ascii="宋体" w:hAnsi="宋体" w:cs="仿宋" w:hint="eastAsia"/>
          <w:color w:val="auto"/>
          <w:szCs w:val="28"/>
          <w:vertAlign w:val="superscript"/>
        </w:rPr>
        <w:t>2</w:t>
      </w:r>
      <w:r>
        <w:rPr>
          <w:rFonts w:ascii="宋体" w:hAnsi="宋体" w:cs="仿宋" w:hint="eastAsia"/>
          <w:color w:val="auto"/>
          <w:szCs w:val="28"/>
        </w:rPr>
        <w:t>，建筑高度15.33m，为门式钢架结构。其火灾危险性为戊类，划分为一个防火分区。</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原料仓库为1层建筑物，总占地面积为8811.59m</w:t>
      </w:r>
      <w:r>
        <w:rPr>
          <w:rFonts w:ascii="宋体" w:hAnsi="宋体" w:cs="仿宋" w:hint="eastAsia"/>
          <w:color w:val="auto"/>
          <w:szCs w:val="28"/>
          <w:vertAlign w:val="superscript"/>
        </w:rPr>
        <w:t>2</w:t>
      </w:r>
      <w:r>
        <w:rPr>
          <w:rFonts w:ascii="宋体" w:hAnsi="宋体" w:cs="仿宋" w:hint="eastAsia"/>
          <w:color w:val="auto"/>
          <w:szCs w:val="28"/>
        </w:rPr>
        <w:t>，总建筑面积为8811.59m</w:t>
      </w:r>
      <w:r>
        <w:rPr>
          <w:rFonts w:ascii="宋体" w:hAnsi="宋体" w:cs="仿宋" w:hint="eastAsia"/>
          <w:color w:val="auto"/>
          <w:szCs w:val="28"/>
          <w:vertAlign w:val="superscript"/>
        </w:rPr>
        <w:t>2</w:t>
      </w:r>
      <w:r>
        <w:rPr>
          <w:rFonts w:ascii="宋体" w:hAnsi="宋体" w:cs="仿宋" w:hint="eastAsia"/>
          <w:color w:val="auto"/>
          <w:szCs w:val="28"/>
        </w:rPr>
        <w:t>，建筑高度15.33m，为门式钢架结构。其火灾危险性为戊类，划分为一个防火分区。</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生产厂房总占地面积为3580.79m</w:t>
      </w:r>
      <w:r>
        <w:rPr>
          <w:rFonts w:ascii="宋体" w:hAnsi="宋体" w:cs="仿宋" w:hint="eastAsia"/>
          <w:color w:val="auto"/>
          <w:szCs w:val="28"/>
          <w:vertAlign w:val="superscript"/>
        </w:rPr>
        <w:t>2</w:t>
      </w:r>
      <w:r>
        <w:rPr>
          <w:rFonts w:ascii="宋体" w:hAnsi="宋体" w:cs="仿宋" w:hint="eastAsia"/>
          <w:color w:val="auto"/>
          <w:szCs w:val="28"/>
        </w:rPr>
        <w:t>，总建筑面积为3580.79m</w:t>
      </w:r>
      <w:r>
        <w:rPr>
          <w:rFonts w:ascii="宋体" w:hAnsi="宋体" w:cs="仿宋" w:hint="eastAsia"/>
          <w:color w:val="auto"/>
          <w:szCs w:val="28"/>
          <w:vertAlign w:val="superscript"/>
        </w:rPr>
        <w:t>2</w:t>
      </w:r>
      <w:r>
        <w:rPr>
          <w:rFonts w:ascii="宋体" w:hAnsi="宋体" w:cs="仿宋" w:hint="eastAsia"/>
          <w:color w:val="auto"/>
          <w:szCs w:val="28"/>
        </w:rPr>
        <w:t>，为钢筋混凝土框架结构。根据工艺要求，设置1套高塔造粒生产线、1套转鼓半浆法造粒生产线、1套挤压生产线、3套掺混生产线、1套液体水溶肥生产线。造粒塔直径为20.4m（外径）、高119m。其他生产装置区为1层建筑物，高23.9m，设备分多层布置。生产厂房内配套建设锅炉房、车间配电室。生产厂房火灾危险性为丁类，内部锅炉房划分为1个防火分区，其余区域划分为1个防火分区。</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生产厂房西侧布置高塔造粒生产线，高塔造粒生产线东北侧布置锅炉房，锅炉房燃料为天然气，从云南</w:t>
      </w:r>
      <w:proofErr w:type="gramStart"/>
      <w:r>
        <w:rPr>
          <w:rFonts w:ascii="宋体" w:hAnsi="宋体" w:cs="仿宋" w:hint="eastAsia"/>
          <w:color w:val="auto"/>
          <w:szCs w:val="28"/>
        </w:rPr>
        <w:t>浩</w:t>
      </w:r>
      <w:proofErr w:type="gramEnd"/>
      <w:r>
        <w:rPr>
          <w:rFonts w:ascii="宋体" w:hAnsi="宋体" w:cs="仿宋" w:hint="eastAsia"/>
          <w:color w:val="auto"/>
          <w:szCs w:val="28"/>
        </w:rPr>
        <w:t>坤磷化工有限公司由一根DN200、压力0.9Mpa的管道引入；生产厂房中部布置</w:t>
      </w:r>
      <w:proofErr w:type="gramStart"/>
      <w:r>
        <w:rPr>
          <w:rFonts w:ascii="宋体" w:hAnsi="宋体" w:cs="仿宋" w:hint="eastAsia"/>
          <w:color w:val="auto"/>
          <w:szCs w:val="28"/>
        </w:rPr>
        <w:t>半浆法转鼓</w:t>
      </w:r>
      <w:proofErr w:type="gramEnd"/>
      <w:r>
        <w:rPr>
          <w:rFonts w:ascii="宋体" w:hAnsi="宋体" w:cs="仿宋" w:hint="eastAsia"/>
          <w:color w:val="auto"/>
          <w:szCs w:val="28"/>
        </w:rPr>
        <w:t>复合肥工艺生产线；生产厂房东侧布置液体水溶肥、挤压造粒、掺混生产线。</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丙类仓库为1层建筑物，总占地面积为761.39m</w:t>
      </w:r>
      <w:r>
        <w:rPr>
          <w:rFonts w:ascii="宋体" w:hAnsi="宋体" w:cs="仿宋" w:hint="eastAsia"/>
          <w:color w:val="auto"/>
          <w:szCs w:val="28"/>
          <w:vertAlign w:val="superscript"/>
        </w:rPr>
        <w:t>2</w:t>
      </w:r>
      <w:r>
        <w:rPr>
          <w:rFonts w:ascii="宋体" w:hAnsi="宋体" w:cs="仿宋" w:hint="eastAsia"/>
          <w:color w:val="auto"/>
          <w:szCs w:val="28"/>
        </w:rPr>
        <w:t>，总建筑面积为761.39m</w:t>
      </w:r>
      <w:r>
        <w:rPr>
          <w:rFonts w:ascii="宋体" w:hAnsi="宋体" w:cs="仿宋" w:hint="eastAsia"/>
          <w:color w:val="auto"/>
          <w:szCs w:val="28"/>
          <w:vertAlign w:val="superscript"/>
        </w:rPr>
        <w:t>2</w:t>
      </w:r>
      <w:r>
        <w:rPr>
          <w:rFonts w:ascii="宋体" w:hAnsi="宋体" w:cs="仿宋" w:hint="eastAsia"/>
          <w:color w:val="auto"/>
          <w:szCs w:val="28"/>
        </w:rPr>
        <w:t>，建筑高度12.95m，为门式钢架结构。根据功能需求，分隔为尿素仓库、包材库和废包材库，丙类仓库内部地下设置500m</w:t>
      </w:r>
      <w:r>
        <w:rPr>
          <w:rFonts w:ascii="宋体" w:hAnsi="宋体" w:cs="仿宋" w:hint="eastAsia"/>
          <w:color w:val="auto"/>
          <w:szCs w:val="28"/>
          <w:vertAlign w:val="superscript"/>
        </w:rPr>
        <w:t>3</w:t>
      </w:r>
      <w:r>
        <w:rPr>
          <w:rFonts w:ascii="宋体" w:hAnsi="宋体" w:cs="仿宋" w:hint="eastAsia"/>
          <w:color w:val="auto"/>
          <w:szCs w:val="28"/>
        </w:rPr>
        <w:t>的</w:t>
      </w:r>
      <w:proofErr w:type="gramStart"/>
      <w:r>
        <w:rPr>
          <w:rFonts w:ascii="宋体" w:hAnsi="宋体" w:cs="仿宋" w:hint="eastAsia"/>
          <w:color w:val="auto"/>
          <w:szCs w:val="28"/>
        </w:rPr>
        <w:t>地下式</w:t>
      </w:r>
      <w:proofErr w:type="gramEnd"/>
      <w:r>
        <w:rPr>
          <w:rFonts w:ascii="宋体" w:hAnsi="宋体" w:cs="仿宋" w:hint="eastAsia"/>
          <w:color w:val="auto"/>
          <w:szCs w:val="28"/>
        </w:rPr>
        <w:t>循环冷却水池。</w:t>
      </w:r>
    </w:p>
    <w:p w:rsidR="003F13AB" w:rsidRDefault="00EC6E7E">
      <w:pPr>
        <w:adjustRightInd/>
        <w:snapToGrid/>
        <w:ind w:firstLine="560"/>
        <w:contextualSpacing/>
        <w:rPr>
          <w:rFonts w:ascii="宋体" w:hAnsi="宋体" w:cs="仿宋"/>
          <w:color w:val="auto"/>
          <w:szCs w:val="28"/>
        </w:rPr>
      </w:pPr>
      <w:r>
        <w:rPr>
          <w:rFonts w:ascii="宋体" w:hAnsi="宋体" w:cs="仿宋" w:hint="eastAsia"/>
          <w:color w:val="auto"/>
          <w:szCs w:val="28"/>
        </w:rPr>
        <w:t>公司实行人、货分流制，靠近工业园区</w:t>
      </w:r>
      <w:proofErr w:type="gramStart"/>
      <w:r>
        <w:rPr>
          <w:rFonts w:ascii="宋体" w:hAnsi="宋体" w:cs="仿宋" w:hint="eastAsia"/>
          <w:color w:val="auto"/>
          <w:szCs w:val="28"/>
        </w:rPr>
        <w:t>主干道倚阳路</w:t>
      </w:r>
      <w:proofErr w:type="gramEnd"/>
      <w:r>
        <w:rPr>
          <w:rFonts w:ascii="宋体" w:hAnsi="宋体" w:cs="仿宋" w:hint="eastAsia"/>
          <w:color w:val="auto"/>
          <w:szCs w:val="28"/>
        </w:rPr>
        <w:t>设置1个厂区人员出入口，宽12.6m。在厂区西面设置1个物流通道出入口，物流通道出入口宽18m，主要用于物流出入口，兼做消防应急出入口。厂内主要道路宽12m、6m，构造为水泥混凝土路面，</w:t>
      </w:r>
      <w:proofErr w:type="gramStart"/>
      <w:r>
        <w:rPr>
          <w:rFonts w:ascii="宋体" w:hAnsi="宋体" w:cs="仿宋" w:hint="eastAsia"/>
          <w:color w:val="auto"/>
          <w:szCs w:val="28"/>
        </w:rPr>
        <w:t>內</w:t>
      </w:r>
      <w:proofErr w:type="gramEnd"/>
      <w:r>
        <w:rPr>
          <w:rFonts w:ascii="宋体" w:hAnsi="宋体" w:cs="仿宋" w:hint="eastAsia"/>
          <w:color w:val="auto"/>
          <w:szCs w:val="28"/>
        </w:rPr>
        <w:t>缘转弯半径为9m米，最大纵坡不大</w:t>
      </w:r>
      <w:r>
        <w:rPr>
          <w:rFonts w:ascii="宋体" w:hAnsi="宋体" w:cs="仿宋" w:hint="eastAsia"/>
          <w:color w:val="auto"/>
          <w:szCs w:val="28"/>
        </w:rPr>
        <w:lastRenderedPageBreak/>
        <w:t>于6.00％。厂内道路设计成环形网络格局，生产区每栋建筑物之间形成环状通道，各建筑物四周均有道路通达，可满足生产、办公及应急救援需要。</w:t>
      </w:r>
    </w:p>
    <w:p w:rsidR="003F13AB" w:rsidRDefault="00EC6E7E">
      <w:pPr>
        <w:ind w:firstLine="560"/>
        <w:rPr>
          <w:color w:val="auto"/>
          <w:lang w:val="zh-CN"/>
        </w:rPr>
      </w:pPr>
      <w:r>
        <w:rPr>
          <w:rFonts w:ascii="宋体" w:hAnsi="宋体" w:cs="仿宋" w:hint="eastAsia"/>
          <w:color w:val="auto"/>
          <w:szCs w:val="28"/>
        </w:rPr>
        <w:t>生产储存区和办公生活区之间设置1个人流通道，通道宽度为5m。</w:t>
      </w:r>
    </w:p>
    <w:p w:rsidR="003F13AB" w:rsidRDefault="00EC6E7E">
      <w:pPr>
        <w:ind w:firstLine="560"/>
        <w:rPr>
          <w:rFonts w:cs="宋体"/>
          <w:color w:val="auto"/>
          <w:kern w:val="0"/>
        </w:rPr>
      </w:pPr>
      <w:r>
        <w:rPr>
          <w:rFonts w:hint="eastAsia"/>
          <w:color w:val="auto"/>
          <w:lang w:val="zh-CN"/>
        </w:rPr>
        <w:t>项目平面布置详见附件</w:t>
      </w:r>
      <w:r>
        <w:rPr>
          <w:rFonts w:hint="eastAsia"/>
          <w:color w:val="auto"/>
          <w:lang w:val="zh-CN"/>
        </w:rPr>
        <w:t>8.34</w:t>
      </w:r>
      <w:r>
        <w:rPr>
          <w:rFonts w:hint="eastAsia"/>
          <w:color w:val="auto"/>
          <w:lang w:val="zh-CN"/>
        </w:rPr>
        <w:t>。</w:t>
      </w:r>
    </w:p>
    <w:p w:rsidR="003F13AB" w:rsidRDefault="00EC6E7E">
      <w:pPr>
        <w:pStyle w:val="3"/>
      </w:pPr>
      <w:bookmarkStart w:id="66" w:name="_Toc187914384"/>
      <w:r>
        <w:t>2.</w:t>
      </w:r>
      <w:r>
        <w:rPr>
          <w:rFonts w:hint="eastAsia"/>
        </w:rPr>
        <w:t>2</w:t>
      </w:r>
      <w:r>
        <w:t>.</w:t>
      </w:r>
      <w:r>
        <w:rPr>
          <w:rFonts w:hint="eastAsia"/>
        </w:rPr>
        <w:t>8 工艺</w:t>
      </w:r>
      <w:r>
        <w:t>简介</w:t>
      </w:r>
      <w:bookmarkEnd w:id="66"/>
    </w:p>
    <w:p w:rsidR="003F13AB" w:rsidRDefault="00EC6E7E">
      <w:pPr>
        <w:adjustRightInd/>
        <w:snapToGrid/>
        <w:ind w:firstLine="562"/>
        <w:rPr>
          <w:rFonts w:hAnsi="宋体"/>
          <w:color w:val="auto"/>
          <w:szCs w:val="28"/>
        </w:rPr>
      </w:pPr>
      <w:r>
        <w:rPr>
          <w:b/>
          <w:kern w:val="0"/>
          <w:szCs w:val="22"/>
          <w:lang w:bidi="en-US"/>
        </w:rPr>
        <w:t>（</w:t>
      </w:r>
      <w:r>
        <w:rPr>
          <w:b/>
          <w:kern w:val="0"/>
          <w:szCs w:val="22"/>
          <w:lang w:bidi="en-US"/>
        </w:rPr>
        <w:t>1</w:t>
      </w:r>
      <w:r>
        <w:rPr>
          <w:b/>
          <w:kern w:val="0"/>
          <w:szCs w:val="22"/>
          <w:lang w:bidi="en-US"/>
        </w:rPr>
        <w:t>）</w:t>
      </w:r>
      <w:r>
        <w:rPr>
          <w:rFonts w:hint="eastAsia"/>
          <w:b/>
          <w:kern w:val="0"/>
          <w:szCs w:val="22"/>
          <w:lang w:bidi="en-US"/>
        </w:rPr>
        <w:t>高塔复合肥工艺流程</w:t>
      </w:r>
    </w:p>
    <w:p w:rsidR="003F13AB" w:rsidRDefault="00EC6E7E">
      <w:pPr>
        <w:adjustRightInd/>
        <w:snapToGrid/>
        <w:ind w:firstLine="560"/>
        <w:rPr>
          <w:rFonts w:hAnsi="宋体"/>
          <w:color w:val="auto"/>
          <w:szCs w:val="28"/>
        </w:rPr>
      </w:pPr>
      <w:r>
        <w:rPr>
          <w:rFonts w:hAnsi="宋体" w:hint="eastAsia"/>
          <w:color w:val="auto"/>
          <w:szCs w:val="28"/>
        </w:rPr>
        <w:t>高塔造粒是肥料行业最先进的一种生产工艺。该工艺是以尿素、磷酸</w:t>
      </w:r>
      <w:proofErr w:type="gramStart"/>
      <w:r>
        <w:rPr>
          <w:rFonts w:hAnsi="宋体" w:hint="eastAsia"/>
          <w:color w:val="auto"/>
          <w:szCs w:val="28"/>
        </w:rPr>
        <w:t>一</w:t>
      </w:r>
      <w:proofErr w:type="gramEnd"/>
      <w:r>
        <w:rPr>
          <w:rFonts w:hAnsi="宋体" w:hint="eastAsia"/>
          <w:color w:val="auto"/>
          <w:szCs w:val="28"/>
        </w:rPr>
        <w:t>铵、氯化钾（或硫酸钾）、氯化铵等为原料，通过塔式熔融高空重力坠落造粒的一种生产工艺。</w:t>
      </w:r>
    </w:p>
    <w:p w:rsidR="003F13AB" w:rsidRDefault="00EC6E7E">
      <w:pPr>
        <w:adjustRightInd/>
        <w:snapToGrid/>
        <w:ind w:firstLine="560"/>
        <w:rPr>
          <w:rFonts w:hAnsi="宋体"/>
          <w:color w:val="auto"/>
          <w:szCs w:val="28"/>
        </w:rPr>
      </w:pPr>
      <w:r>
        <w:rPr>
          <w:rFonts w:hAnsi="宋体" w:hint="eastAsia"/>
          <w:color w:val="auto"/>
          <w:szCs w:val="28"/>
        </w:rPr>
        <w:t>具体工艺流程简述如下：</w:t>
      </w:r>
    </w:p>
    <w:p w:rsidR="003F13AB" w:rsidRDefault="00EC6E7E">
      <w:pPr>
        <w:adjustRightInd/>
        <w:snapToGrid/>
        <w:ind w:firstLine="560"/>
        <w:rPr>
          <w:rFonts w:hAnsi="宋体"/>
          <w:color w:val="auto"/>
          <w:szCs w:val="28"/>
        </w:rPr>
      </w:pPr>
      <w:r>
        <w:rPr>
          <w:rFonts w:hAnsi="宋体" w:hint="eastAsia"/>
          <w:color w:val="auto"/>
          <w:szCs w:val="28"/>
        </w:rPr>
        <w:t>1</w:t>
      </w:r>
      <w:r>
        <w:rPr>
          <w:rFonts w:hAnsi="宋体" w:hint="eastAsia"/>
          <w:color w:val="auto"/>
          <w:szCs w:val="28"/>
        </w:rPr>
        <w:t>）尿素或尿素和助熔剂经电子皮带称计量后，经高斗提机提入塔上熔融锅中，边</w:t>
      </w:r>
      <w:proofErr w:type="gramStart"/>
      <w:r>
        <w:rPr>
          <w:rFonts w:hAnsi="宋体" w:hint="eastAsia"/>
          <w:color w:val="auto"/>
          <w:szCs w:val="28"/>
        </w:rPr>
        <w:t>搅拌边通蒸汽</w:t>
      </w:r>
      <w:proofErr w:type="gramEnd"/>
      <w:r>
        <w:rPr>
          <w:rFonts w:hAnsi="宋体" w:hint="eastAsia"/>
          <w:color w:val="auto"/>
          <w:szCs w:val="28"/>
        </w:rPr>
        <w:t>间接加温熔融，控制熔融温度</w:t>
      </w:r>
      <w:r>
        <w:rPr>
          <w:rFonts w:hAnsi="宋体" w:hint="eastAsia"/>
          <w:color w:val="auto"/>
          <w:szCs w:val="28"/>
        </w:rPr>
        <w:t>125</w:t>
      </w:r>
      <w:r>
        <w:rPr>
          <w:rFonts w:hAnsi="宋体" w:hint="eastAsia"/>
          <w:color w:val="auto"/>
          <w:szCs w:val="28"/>
        </w:rPr>
        <w:t>℃～</w:t>
      </w:r>
      <w:r>
        <w:rPr>
          <w:rFonts w:hAnsi="宋体" w:hint="eastAsia"/>
          <w:color w:val="auto"/>
          <w:szCs w:val="28"/>
        </w:rPr>
        <w:t>130</w:t>
      </w:r>
      <w:r>
        <w:rPr>
          <w:rFonts w:hAnsi="宋体" w:hint="eastAsia"/>
          <w:color w:val="auto"/>
          <w:szCs w:val="28"/>
        </w:rPr>
        <w:t>℃，熔融后的原料溢入一级混合槽中。</w:t>
      </w:r>
    </w:p>
    <w:p w:rsidR="003F13AB" w:rsidRDefault="00EC6E7E">
      <w:pPr>
        <w:adjustRightInd/>
        <w:snapToGrid/>
        <w:ind w:firstLine="560"/>
        <w:rPr>
          <w:rFonts w:hAnsi="宋体"/>
          <w:color w:val="auto"/>
          <w:szCs w:val="28"/>
        </w:rPr>
      </w:pPr>
      <w:r>
        <w:rPr>
          <w:rFonts w:hAnsi="宋体" w:hint="eastAsia"/>
          <w:color w:val="auto"/>
          <w:szCs w:val="28"/>
        </w:rPr>
        <w:t>2</w:t>
      </w:r>
      <w:r>
        <w:rPr>
          <w:rFonts w:hAnsi="宋体" w:hint="eastAsia"/>
          <w:color w:val="auto"/>
          <w:szCs w:val="28"/>
        </w:rPr>
        <w:t>）钾肥、填料和返料经电子皮带称计量后，经斗提机提入一级混合槽，</w:t>
      </w:r>
      <w:proofErr w:type="gramStart"/>
      <w:r>
        <w:rPr>
          <w:rFonts w:hAnsi="宋体" w:hint="eastAsia"/>
          <w:color w:val="auto"/>
          <w:szCs w:val="28"/>
        </w:rPr>
        <w:t>边通蒸汽</w:t>
      </w:r>
      <w:proofErr w:type="gramEnd"/>
      <w:r>
        <w:rPr>
          <w:rFonts w:hAnsi="宋体" w:hint="eastAsia"/>
          <w:color w:val="auto"/>
          <w:szCs w:val="28"/>
        </w:rPr>
        <w:t>间接加温边搅拌混合，控制混合温度</w:t>
      </w:r>
      <w:r>
        <w:rPr>
          <w:rFonts w:hAnsi="宋体" w:hint="eastAsia"/>
          <w:color w:val="auto"/>
          <w:szCs w:val="28"/>
        </w:rPr>
        <w:t>110</w:t>
      </w:r>
      <w:r>
        <w:rPr>
          <w:rFonts w:hAnsi="宋体" w:hint="eastAsia"/>
          <w:color w:val="auto"/>
          <w:szCs w:val="28"/>
        </w:rPr>
        <w:t>℃～</w:t>
      </w:r>
      <w:r>
        <w:rPr>
          <w:rFonts w:hAnsi="宋体" w:hint="eastAsia"/>
          <w:color w:val="auto"/>
          <w:szCs w:val="28"/>
        </w:rPr>
        <w:t>115</w:t>
      </w:r>
      <w:r>
        <w:rPr>
          <w:rFonts w:hAnsi="宋体" w:hint="eastAsia"/>
          <w:color w:val="auto"/>
          <w:szCs w:val="28"/>
        </w:rPr>
        <w:t>℃左右，混合后的物料溢入二级混合槽。</w:t>
      </w:r>
    </w:p>
    <w:p w:rsidR="003F13AB" w:rsidRDefault="00EC6E7E">
      <w:pPr>
        <w:adjustRightInd/>
        <w:snapToGrid/>
        <w:ind w:firstLine="560"/>
        <w:rPr>
          <w:rFonts w:hAnsi="宋体"/>
          <w:color w:val="auto"/>
          <w:szCs w:val="28"/>
        </w:rPr>
      </w:pPr>
      <w:r>
        <w:rPr>
          <w:rFonts w:hAnsi="宋体" w:hint="eastAsia"/>
          <w:color w:val="auto"/>
          <w:szCs w:val="28"/>
        </w:rPr>
        <w:t>3</w:t>
      </w:r>
      <w:r>
        <w:rPr>
          <w:rFonts w:hAnsi="宋体" w:hint="eastAsia"/>
          <w:color w:val="auto"/>
          <w:szCs w:val="28"/>
        </w:rPr>
        <w:t>）磷肥、辅料和返料经电子皮带称计量后，经斗提机提入二级混合槽，</w:t>
      </w:r>
      <w:proofErr w:type="gramStart"/>
      <w:r>
        <w:rPr>
          <w:rFonts w:hAnsi="宋体" w:hint="eastAsia"/>
          <w:color w:val="auto"/>
          <w:szCs w:val="28"/>
        </w:rPr>
        <w:t>边通蒸汽</w:t>
      </w:r>
      <w:proofErr w:type="gramEnd"/>
      <w:r>
        <w:rPr>
          <w:rFonts w:hAnsi="宋体" w:hint="eastAsia"/>
          <w:color w:val="auto"/>
          <w:szCs w:val="28"/>
        </w:rPr>
        <w:t>间接加温边搅拌混合，控制混合温度</w:t>
      </w:r>
      <w:r>
        <w:rPr>
          <w:rFonts w:hAnsi="宋体" w:hint="eastAsia"/>
          <w:color w:val="auto"/>
          <w:szCs w:val="28"/>
        </w:rPr>
        <w:t>100</w:t>
      </w:r>
      <w:r>
        <w:rPr>
          <w:rFonts w:hAnsi="宋体" w:hint="eastAsia"/>
          <w:color w:val="auto"/>
          <w:szCs w:val="28"/>
        </w:rPr>
        <w:t>℃～</w:t>
      </w:r>
      <w:r>
        <w:rPr>
          <w:rFonts w:hAnsi="宋体" w:hint="eastAsia"/>
          <w:color w:val="auto"/>
          <w:szCs w:val="28"/>
        </w:rPr>
        <w:t>105</w:t>
      </w:r>
      <w:r>
        <w:rPr>
          <w:rFonts w:hAnsi="宋体" w:hint="eastAsia"/>
          <w:color w:val="auto"/>
          <w:szCs w:val="28"/>
        </w:rPr>
        <w:t>℃，混合后在自动阀门控制下流入乳化机，在乳化机内使物料充分混合均匀，之后流入造粒机中。</w:t>
      </w:r>
    </w:p>
    <w:p w:rsidR="003F13AB" w:rsidRDefault="00EC6E7E">
      <w:pPr>
        <w:adjustRightInd/>
        <w:snapToGrid/>
        <w:ind w:firstLine="560"/>
        <w:rPr>
          <w:rFonts w:hAnsi="宋体"/>
          <w:color w:val="auto"/>
          <w:szCs w:val="28"/>
        </w:rPr>
      </w:pPr>
      <w:r>
        <w:rPr>
          <w:rFonts w:hAnsi="宋体" w:hint="eastAsia"/>
          <w:color w:val="auto"/>
          <w:szCs w:val="28"/>
        </w:rPr>
        <w:t>4</w:t>
      </w:r>
      <w:r>
        <w:rPr>
          <w:rFonts w:hAnsi="宋体" w:hint="eastAsia"/>
          <w:color w:val="auto"/>
          <w:szCs w:val="28"/>
        </w:rPr>
        <w:t>）进入造粒机中的物料在差动旋转下，成为液滴，喷撒入造粒塔内，在自然重力作用下下降成球，同时被上升的空气流冷却结晶成球形颗粒。</w:t>
      </w:r>
    </w:p>
    <w:p w:rsidR="003F13AB" w:rsidRDefault="00EC6E7E">
      <w:pPr>
        <w:adjustRightInd/>
        <w:snapToGrid/>
        <w:ind w:firstLine="560"/>
        <w:rPr>
          <w:rFonts w:hAnsi="宋体"/>
          <w:color w:val="auto"/>
          <w:szCs w:val="28"/>
        </w:rPr>
      </w:pPr>
      <w:r>
        <w:rPr>
          <w:rFonts w:hAnsi="宋体" w:hint="eastAsia"/>
          <w:color w:val="auto"/>
          <w:szCs w:val="28"/>
        </w:rPr>
        <w:t>5</w:t>
      </w:r>
      <w:r>
        <w:rPr>
          <w:rFonts w:hAnsi="宋体" w:hint="eastAsia"/>
          <w:color w:val="auto"/>
          <w:szCs w:val="28"/>
        </w:rPr>
        <w:t>）结晶球化的且初次冷却的颗粒落入造粒塔底部的收料盘，通过皮带输送机和斗提机送入冷却仓中，与逆流的冷空气进行热交换，而冷却至</w:t>
      </w:r>
      <w:r>
        <w:rPr>
          <w:rFonts w:hAnsi="宋体" w:hint="eastAsia"/>
          <w:color w:val="auto"/>
          <w:szCs w:val="28"/>
        </w:rPr>
        <w:t>50</w:t>
      </w:r>
      <w:r>
        <w:rPr>
          <w:rFonts w:hAnsi="宋体" w:hint="eastAsia"/>
          <w:color w:val="auto"/>
          <w:szCs w:val="28"/>
        </w:rPr>
        <w:t>℃～</w:t>
      </w:r>
      <w:r>
        <w:rPr>
          <w:rFonts w:hAnsi="宋体" w:hint="eastAsia"/>
          <w:color w:val="auto"/>
          <w:szCs w:val="28"/>
        </w:rPr>
        <w:t>60</w:t>
      </w:r>
      <w:r>
        <w:rPr>
          <w:rFonts w:hAnsi="宋体" w:hint="eastAsia"/>
          <w:color w:val="auto"/>
          <w:szCs w:val="28"/>
        </w:rPr>
        <w:t>℃。</w:t>
      </w:r>
    </w:p>
    <w:p w:rsidR="003F13AB" w:rsidRDefault="00EC6E7E">
      <w:pPr>
        <w:adjustRightInd/>
        <w:snapToGrid/>
        <w:ind w:firstLine="560"/>
        <w:rPr>
          <w:rFonts w:hAnsi="宋体"/>
          <w:color w:val="auto"/>
          <w:szCs w:val="28"/>
        </w:rPr>
      </w:pPr>
      <w:r>
        <w:rPr>
          <w:rFonts w:hAnsi="宋体" w:hint="eastAsia"/>
          <w:color w:val="auto"/>
          <w:szCs w:val="28"/>
        </w:rPr>
        <w:lastRenderedPageBreak/>
        <w:t>6</w:t>
      </w:r>
      <w:r>
        <w:rPr>
          <w:rFonts w:hAnsi="宋体" w:hint="eastAsia"/>
          <w:color w:val="auto"/>
          <w:szCs w:val="28"/>
        </w:rPr>
        <w:t>）经一级冷却的物料落入双筒圆筛分机中，将不合规格的大小返料筛除，合格的料送入水冷塔冷却，物料温度冷却至低于</w:t>
      </w:r>
      <w:r>
        <w:rPr>
          <w:rFonts w:hAnsi="宋体" w:hint="eastAsia"/>
          <w:color w:val="auto"/>
          <w:szCs w:val="28"/>
        </w:rPr>
        <w:t>45</w:t>
      </w:r>
      <w:r>
        <w:rPr>
          <w:rFonts w:hAnsi="宋体" w:hint="eastAsia"/>
          <w:color w:val="auto"/>
          <w:szCs w:val="28"/>
        </w:rPr>
        <w:t>℃。筛分后不合格的物料经过溜槽返回投料坑中。</w:t>
      </w:r>
    </w:p>
    <w:p w:rsidR="003F13AB" w:rsidRDefault="00EC6E7E">
      <w:pPr>
        <w:adjustRightInd/>
        <w:snapToGrid/>
        <w:ind w:firstLine="560"/>
        <w:rPr>
          <w:rFonts w:hAnsi="宋体"/>
          <w:color w:val="auto"/>
          <w:szCs w:val="28"/>
        </w:rPr>
      </w:pPr>
      <w:r>
        <w:rPr>
          <w:rFonts w:hAnsi="宋体" w:hint="eastAsia"/>
          <w:color w:val="auto"/>
          <w:szCs w:val="28"/>
        </w:rPr>
        <w:t>7</w:t>
      </w:r>
      <w:r>
        <w:rPr>
          <w:rFonts w:hAnsi="宋体" w:hint="eastAsia"/>
          <w:color w:val="auto"/>
          <w:szCs w:val="28"/>
        </w:rPr>
        <w:t>）经过冷却的物料送入包膜筒中，加入长效因子和防板结剂后送入成品料</w:t>
      </w:r>
      <w:proofErr w:type="gramStart"/>
      <w:r>
        <w:rPr>
          <w:rFonts w:hAnsi="宋体" w:hint="eastAsia"/>
          <w:color w:val="auto"/>
          <w:szCs w:val="28"/>
        </w:rPr>
        <w:t>仓中均化养分</w:t>
      </w:r>
      <w:proofErr w:type="gramEnd"/>
      <w:r>
        <w:rPr>
          <w:rFonts w:hAnsi="宋体" w:hint="eastAsia"/>
          <w:color w:val="auto"/>
          <w:szCs w:val="28"/>
        </w:rPr>
        <w:t>。</w:t>
      </w:r>
    </w:p>
    <w:p w:rsidR="003F13AB" w:rsidRDefault="00EC6E7E">
      <w:pPr>
        <w:adjustRightInd/>
        <w:snapToGrid/>
        <w:ind w:firstLine="560"/>
        <w:rPr>
          <w:rFonts w:hAnsi="宋体"/>
          <w:color w:val="auto"/>
          <w:szCs w:val="28"/>
        </w:rPr>
      </w:pPr>
      <w:r>
        <w:rPr>
          <w:rFonts w:hAnsi="宋体" w:hint="eastAsia"/>
          <w:color w:val="auto"/>
          <w:szCs w:val="28"/>
        </w:rPr>
        <w:t>8</w:t>
      </w:r>
      <w:r>
        <w:rPr>
          <w:rFonts w:hAnsi="宋体" w:hint="eastAsia"/>
          <w:color w:val="auto"/>
          <w:szCs w:val="28"/>
        </w:rPr>
        <w:t>）</w:t>
      </w:r>
      <w:proofErr w:type="gramStart"/>
      <w:r>
        <w:rPr>
          <w:rFonts w:hAnsi="宋体" w:hint="eastAsia"/>
          <w:color w:val="auto"/>
          <w:szCs w:val="28"/>
        </w:rPr>
        <w:t>均化后</w:t>
      </w:r>
      <w:proofErr w:type="gramEnd"/>
      <w:r>
        <w:rPr>
          <w:rFonts w:hAnsi="宋体" w:hint="eastAsia"/>
          <w:color w:val="auto"/>
          <w:szCs w:val="28"/>
        </w:rPr>
        <w:t>的物料经过全自动计量包装和码垛后，用叉车送入成品库中。</w:t>
      </w:r>
    </w:p>
    <w:p w:rsidR="003F13AB" w:rsidRDefault="00EC6E7E">
      <w:pPr>
        <w:adjustRightInd/>
        <w:snapToGrid/>
        <w:ind w:firstLine="560"/>
        <w:rPr>
          <w:rFonts w:hAnsi="宋体"/>
          <w:color w:val="auto"/>
          <w:szCs w:val="28"/>
        </w:rPr>
      </w:pPr>
      <w:r>
        <w:rPr>
          <w:rFonts w:hAnsi="宋体" w:hint="eastAsia"/>
          <w:color w:val="auto"/>
          <w:szCs w:val="28"/>
        </w:rPr>
        <w:t>高塔造粒生产工艺见下图：</w:t>
      </w:r>
    </w:p>
    <w:p w:rsidR="003F13AB" w:rsidRDefault="00EC6E7E">
      <w:pPr>
        <w:pStyle w:val="Default1"/>
        <w:jc w:val="center"/>
        <w:rPr>
          <w:rFonts w:hint="default"/>
        </w:rPr>
      </w:pPr>
      <w:r>
        <w:rPr>
          <w:rFonts w:hint="default"/>
          <w:noProof/>
        </w:rPr>
        <w:drawing>
          <wp:inline distT="0" distB="0" distL="0" distR="0">
            <wp:extent cx="5399405" cy="37795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400000" cy="3780000"/>
                    </a:xfrm>
                    <a:prstGeom prst="rect">
                      <a:avLst/>
                    </a:prstGeom>
                    <a:noFill/>
                  </pic:spPr>
                </pic:pic>
              </a:graphicData>
            </a:graphic>
          </wp:inline>
        </w:drawing>
      </w:r>
    </w:p>
    <w:p w:rsidR="003F13AB" w:rsidRDefault="00EC6E7E">
      <w:pPr>
        <w:pStyle w:val="Default1"/>
        <w:jc w:val="center"/>
        <w:rPr>
          <w:rFonts w:ascii="宋体" w:hAnsi="宋体" w:hint="default"/>
          <w:sz w:val="28"/>
          <w:szCs w:val="28"/>
        </w:rPr>
      </w:pPr>
      <w:r>
        <w:rPr>
          <w:rFonts w:ascii="宋体" w:hAnsi="宋体"/>
          <w:sz w:val="28"/>
          <w:szCs w:val="28"/>
        </w:rPr>
        <w:t xml:space="preserve">图2.2-3  </w:t>
      </w:r>
      <w:r>
        <w:rPr>
          <w:rFonts w:ascii="宋体" w:hAnsi="宋体"/>
          <w:bCs/>
          <w:snapToGrid w:val="0"/>
          <w:sz w:val="28"/>
          <w:szCs w:val="28"/>
          <w:lang w:bidi="en-US"/>
        </w:rPr>
        <w:t>高塔造粒工艺流程图</w:t>
      </w:r>
    </w:p>
    <w:p w:rsidR="003F13AB" w:rsidRDefault="00EC6E7E">
      <w:pPr>
        <w:adjustRightInd/>
        <w:snapToGrid/>
        <w:ind w:firstLine="560"/>
        <w:rPr>
          <w:rFonts w:ascii="宋体" w:hAnsi="宋体"/>
          <w:b/>
          <w:kern w:val="0"/>
          <w:szCs w:val="28"/>
          <w:lang w:bidi="en-US"/>
        </w:rPr>
      </w:pPr>
      <w:r>
        <w:rPr>
          <w:rFonts w:hAnsi="宋体" w:hint="eastAsia"/>
          <w:color w:val="auto"/>
          <w:szCs w:val="28"/>
        </w:rPr>
        <w:t>（</w:t>
      </w:r>
      <w:r>
        <w:rPr>
          <w:rFonts w:hAnsi="宋体" w:hint="eastAsia"/>
          <w:color w:val="auto"/>
          <w:szCs w:val="28"/>
        </w:rPr>
        <w:t>2</w:t>
      </w:r>
      <w:r>
        <w:rPr>
          <w:rFonts w:hAnsi="宋体" w:hint="eastAsia"/>
          <w:color w:val="auto"/>
          <w:szCs w:val="28"/>
        </w:rPr>
        <w:t>）</w:t>
      </w:r>
      <w:proofErr w:type="gramStart"/>
      <w:r>
        <w:rPr>
          <w:rFonts w:ascii="宋体" w:hAnsi="宋体"/>
          <w:b/>
          <w:kern w:val="0"/>
          <w:szCs w:val="28"/>
          <w:lang w:bidi="en-US"/>
        </w:rPr>
        <w:t>半浆法</w:t>
      </w:r>
      <w:r>
        <w:rPr>
          <w:rFonts w:ascii="宋体" w:hAnsi="宋体" w:hint="eastAsia"/>
          <w:b/>
          <w:kern w:val="0"/>
          <w:szCs w:val="28"/>
          <w:lang w:bidi="en-US"/>
        </w:rPr>
        <w:t>转鼓</w:t>
      </w:r>
      <w:proofErr w:type="gramEnd"/>
      <w:r>
        <w:rPr>
          <w:rFonts w:ascii="宋体" w:hAnsi="宋体"/>
          <w:b/>
          <w:kern w:val="0"/>
          <w:szCs w:val="28"/>
          <w:lang w:bidi="en-US"/>
        </w:rPr>
        <w:t>复合肥工艺流程</w:t>
      </w:r>
    </w:p>
    <w:p w:rsidR="003F13AB" w:rsidRDefault="00EC6E7E">
      <w:pPr>
        <w:ind w:firstLine="560"/>
        <w:rPr>
          <w:rFonts w:ascii="宋体" w:hAnsi="宋体"/>
          <w:szCs w:val="28"/>
        </w:rPr>
      </w:pPr>
      <w:proofErr w:type="gramStart"/>
      <w:r>
        <w:rPr>
          <w:rFonts w:ascii="宋体" w:hAnsi="宋体" w:hint="eastAsia"/>
          <w:szCs w:val="28"/>
        </w:rPr>
        <w:t>半浆法转鼓</w:t>
      </w:r>
      <w:proofErr w:type="gramEnd"/>
      <w:r>
        <w:rPr>
          <w:rFonts w:ascii="宋体" w:hAnsi="宋体" w:hint="eastAsia"/>
          <w:szCs w:val="28"/>
        </w:rPr>
        <w:t>造粒工艺，将洗涤水和磷酸</w:t>
      </w:r>
      <w:proofErr w:type="gramStart"/>
      <w:r>
        <w:rPr>
          <w:rFonts w:ascii="宋体" w:hAnsi="宋体" w:hint="eastAsia"/>
          <w:szCs w:val="28"/>
        </w:rPr>
        <w:t>一</w:t>
      </w:r>
      <w:proofErr w:type="gramEnd"/>
      <w:r>
        <w:rPr>
          <w:rFonts w:ascii="宋体" w:hAnsi="宋体" w:hint="eastAsia"/>
          <w:szCs w:val="28"/>
        </w:rPr>
        <w:t>铵、碳铵通过一定比例，制成料浆，喷入造粒筒，通过液滴与其它固态粉状原料在造粒筒内的翻滚、涂布、反应热等作用，形成一定粒径的肥料颗粒。</w:t>
      </w:r>
    </w:p>
    <w:p w:rsidR="003F13AB" w:rsidRDefault="00EC6E7E">
      <w:pPr>
        <w:ind w:firstLine="560"/>
        <w:rPr>
          <w:rFonts w:ascii="宋体" w:hAnsi="宋体"/>
          <w:szCs w:val="28"/>
        </w:rPr>
      </w:pPr>
      <w:r>
        <w:rPr>
          <w:rFonts w:ascii="宋体" w:hAnsi="宋体" w:hint="eastAsia"/>
          <w:szCs w:val="28"/>
        </w:rPr>
        <w:t>具体工艺流程简述如下：</w:t>
      </w:r>
    </w:p>
    <w:p w:rsidR="003F13AB" w:rsidRDefault="00EC6E7E">
      <w:pPr>
        <w:ind w:firstLine="560"/>
        <w:rPr>
          <w:rFonts w:ascii="宋体" w:hAnsi="宋体"/>
          <w:szCs w:val="28"/>
        </w:rPr>
      </w:pPr>
      <w:r>
        <w:rPr>
          <w:rFonts w:ascii="宋体" w:hAnsi="宋体"/>
          <w:szCs w:val="28"/>
        </w:rPr>
        <w:t>1）</w:t>
      </w:r>
      <w:r>
        <w:rPr>
          <w:rFonts w:ascii="宋体" w:hAnsi="宋体" w:hint="eastAsia"/>
          <w:szCs w:val="28"/>
        </w:rPr>
        <w:t>氮肥、钾肥、微量元素、增效剂、返料等通过自动投料、自动计量后，在螺杆输送机内预先混合，通过斗提机送入造粒机内。</w:t>
      </w:r>
    </w:p>
    <w:p w:rsidR="003F13AB" w:rsidRDefault="00EC6E7E">
      <w:pPr>
        <w:ind w:firstLine="560"/>
        <w:rPr>
          <w:rFonts w:ascii="宋体" w:hAnsi="宋体"/>
          <w:szCs w:val="28"/>
        </w:rPr>
      </w:pPr>
      <w:r>
        <w:rPr>
          <w:rFonts w:ascii="宋体" w:hAnsi="宋体" w:hint="eastAsia"/>
          <w:szCs w:val="28"/>
        </w:rPr>
        <w:lastRenderedPageBreak/>
        <w:t>2）</w:t>
      </w:r>
      <w:r>
        <w:rPr>
          <w:rFonts w:ascii="宋体" w:hAnsi="宋体"/>
          <w:szCs w:val="28"/>
        </w:rPr>
        <w:t>尿素和喷淋循环水通过自动计量后</w:t>
      </w:r>
      <w:r>
        <w:rPr>
          <w:rFonts w:ascii="宋体" w:hAnsi="宋体" w:hint="eastAsia"/>
          <w:szCs w:val="28"/>
        </w:rPr>
        <w:t>，</w:t>
      </w:r>
      <w:r>
        <w:rPr>
          <w:rFonts w:ascii="宋体" w:hAnsi="宋体"/>
          <w:szCs w:val="28"/>
        </w:rPr>
        <w:t>搅拌溶成液态料浆</w:t>
      </w:r>
      <w:r>
        <w:rPr>
          <w:rFonts w:ascii="宋体" w:hAnsi="宋体" w:hint="eastAsia"/>
          <w:szCs w:val="28"/>
        </w:rPr>
        <w:t>，</w:t>
      </w:r>
      <w:r>
        <w:rPr>
          <w:rFonts w:ascii="宋体" w:hAnsi="宋体"/>
          <w:szCs w:val="28"/>
        </w:rPr>
        <w:t>通过料浆计量</w:t>
      </w:r>
      <w:r>
        <w:rPr>
          <w:rFonts w:ascii="宋体" w:hAnsi="宋体" w:hint="eastAsia"/>
          <w:szCs w:val="28"/>
        </w:rPr>
        <w:t>输送</w:t>
      </w:r>
      <w:r>
        <w:rPr>
          <w:rFonts w:ascii="宋体" w:hAnsi="宋体"/>
          <w:szCs w:val="28"/>
        </w:rPr>
        <w:t>管道喷洒至造粒</w:t>
      </w:r>
      <w:r>
        <w:rPr>
          <w:rFonts w:ascii="宋体" w:hAnsi="宋体" w:hint="eastAsia"/>
          <w:szCs w:val="28"/>
        </w:rPr>
        <w:t>机，</w:t>
      </w:r>
      <w:r>
        <w:rPr>
          <w:rFonts w:ascii="宋体" w:hAnsi="宋体"/>
          <w:szCs w:val="28"/>
        </w:rPr>
        <w:t>使物料达到合适的液固比</w:t>
      </w:r>
      <w:r>
        <w:rPr>
          <w:rFonts w:ascii="宋体" w:hAnsi="宋体" w:hint="eastAsia"/>
          <w:szCs w:val="28"/>
        </w:rPr>
        <w:t>。</w:t>
      </w:r>
    </w:p>
    <w:p w:rsidR="003F13AB" w:rsidRDefault="00EC6E7E">
      <w:pPr>
        <w:ind w:firstLine="560"/>
        <w:rPr>
          <w:rFonts w:ascii="宋体" w:hAnsi="宋体"/>
          <w:szCs w:val="28"/>
        </w:rPr>
      </w:pPr>
      <w:r>
        <w:rPr>
          <w:rFonts w:ascii="宋体" w:hAnsi="宋体"/>
          <w:szCs w:val="28"/>
        </w:rPr>
        <w:t>2）</w:t>
      </w:r>
      <w:r>
        <w:rPr>
          <w:rFonts w:ascii="宋体" w:hAnsi="宋体" w:hint="eastAsia"/>
          <w:szCs w:val="28"/>
        </w:rPr>
        <w:t>造粒机内</w:t>
      </w:r>
      <w:r>
        <w:rPr>
          <w:rFonts w:ascii="宋体" w:hAnsi="宋体"/>
          <w:szCs w:val="28"/>
        </w:rPr>
        <w:t>喷入蒸汽使物料温度到45～55℃，在造粒机的转动下团聚成粒，然后由皮带送至</w:t>
      </w:r>
      <w:r>
        <w:rPr>
          <w:rFonts w:ascii="宋体" w:hAnsi="宋体" w:hint="eastAsia"/>
          <w:szCs w:val="28"/>
        </w:rPr>
        <w:t>一级</w:t>
      </w:r>
      <w:r>
        <w:rPr>
          <w:rFonts w:ascii="宋体" w:hAnsi="宋体"/>
          <w:szCs w:val="28"/>
        </w:rPr>
        <w:t>烘干筒内。</w:t>
      </w:r>
    </w:p>
    <w:p w:rsidR="003F13AB" w:rsidRDefault="00EC6E7E">
      <w:pPr>
        <w:ind w:firstLine="560"/>
        <w:rPr>
          <w:rFonts w:ascii="宋体" w:hAnsi="宋体"/>
          <w:szCs w:val="28"/>
        </w:rPr>
      </w:pPr>
      <w:r>
        <w:rPr>
          <w:rFonts w:ascii="宋体" w:hAnsi="宋体"/>
          <w:szCs w:val="28"/>
        </w:rPr>
        <w:t>3）自造粒机出来的粒化物料送入</w:t>
      </w:r>
      <w:r>
        <w:rPr>
          <w:rFonts w:ascii="宋体" w:hAnsi="宋体" w:hint="eastAsia"/>
          <w:szCs w:val="28"/>
        </w:rPr>
        <w:t>一级</w:t>
      </w:r>
      <w:r>
        <w:rPr>
          <w:rFonts w:ascii="宋体" w:hAnsi="宋体"/>
          <w:szCs w:val="28"/>
        </w:rPr>
        <w:t>烘干</w:t>
      </w:r>
      <w:r>
        <w:rPr>
          <w:rFonts w:ascii="宋体" w:hAnsi="宋体" w:hint="eastAsia"/>
          <w:szCs w:val="28"/>
        </w:rPr>
        <w:t>筒</w:t>
      </w:r>
      <w:r>
        <w:rPr>
          <w:rFonts w:ascii="宋体" w:hAnsi="宋体"/>
          <w:szCs w:val="28"/>
        </w:rPr>
        <w:t>内干燥，</w:t>
      </w:r>
      <w:r>
        <w:rPr>
          <w:rFonts w:ascii="宋体" w:hAnsi="宋体" w:hint="eastAsia"/>
          <w:szCs w:val="28"/>
        </w:rPr>
        <w:t>一级</w:t>
      </w:r>
      <w:r>
        <w:rPr>
          <w:rFonts w:ascii="宋体" w:hAnsi="宋体"/>
          <w:szCs w:val="28"/>
        </w:rPr>
        <w:t>烘干筒进气温度为120～135℃，出气温度</w:t>
      </w:r>
      <w:r>
        <w:rPr>
          <w:rFonts w:ascii="宋体" w:hAnsi="宋体" w:hint="eastAsia"/>
          <w:szCs w:val="28"/>
        </w:rPr>
        <w:t>＜</w:t>
      </w:r>
      <w:r>
        <w:rPr>
          <w:rFonts w:ascii="宋体" w:hAnsi="宋体"/>
          <w:szCs w:val="28"/>
        </w:rPr>
        <w:t>70℃，</w:t>
      </w:r>
      <w:r>
        <w:rPr>
          <w:rFonts w:ascii="宋体" w:hAnsi="宋体" w:hint="eastAsia"/>
          <w:szCs w:val="28"/>
        </w:rPr>
        <w:t>物料温度约60</w:t>
      </w:r>
      <w:r>
        <w:rPr>
          <w:rFonts w:ascii="宋体" w:hAnsi="宋体"/>
          <w:szCs w:val="28"/>
        </w:rPr>
        <w:t>℃</w:t>
      </w:r>
      <w:r>
        <w:rPr>
          <w:rFonts w:ascii="宋体" w:hAnsi="宋体" w:hint="eastAsia"/>
          <w:szCs w:val="28"/>
        </w:rPr>
        <w:t>，</w:t>
      </w:r>
      <w:r>
        <w:rPr>
          <w:rFonts w:ascii="宋体" w:hAnsi="宋体"/>
          <w:szCs w:val="28"/>
        </w:rPr>
        <w:t>物料停留时间为19min，出口物料水分</w:t>
      </w:r>
      <w:r>
        <w:rPr>
          <w:rFonts w:ascii="宋体" w:hAnsi="宋体" w:hint="eastAsia"/>
          <w:szCs w:val="28"/>
        </w:rPr>
        <w:t>＜1.5</w:t>
      </w:r>
      <w:r>
        <w:rPr>
          <w:rFonts w:ascii="宋体" w:hAnsi="宋体"/>
          <w:szCs w:val="28"/>
        </w:rPr>
        <w:t>%。从</w:t>
      </w:r>
      <w:r>
        <w:rPr>
          <w:rFonts w:ascii="宋体" w:hAnsi="宋体" w:hint="eastAsia"/>
          <w:szCs w:val="28"/>
        </w:rPr>
        <w:t>一级</w:t>
      </w:r>
      <w:r>
        <w:rPr>
          <w:rFonts w:ascii="宋体" w:hAnsi="宋体"/>
          <w:szCs w:val="28"/>
        </w:rPr>
        <w:t>烘干</w:t>
      </w:r>
      <w:proofErr w:type="gramStart"/>
      <w:r>
        <w:rPr>
          <w:rFonts w:ascii="宋体" w:hAnsi="宋体" w:hint="eastAsia"/>
          <w:szCs w:val="28"/>
        </w:rPr>
        <w:t>筒</w:t>
      </w:r>
      <w:r>
        <w:rPr>
          <w:rFonts w:ascii="宋体" w:hAnsi="宋体"/>
          <w:szCs w:val="28"/>
        </w:rPr>
        <w:t>出来</w:t>
      </w:r>
      <w:proofErr w:type="gramEnd"/>
      <w:r>
        <w:rPr>
          <w:rFonts w:ascii="宋体" w:hAnsi="宋体"/>
          <w:szCs w:val="28"/>
        </w:rPr>
        <w:t>的物料在重力作用下落入一级冷却筒内</w:t>
      </w:r>
      <w:r>
        <w:rPr>
          <w:rFonts w:ascii="宋体" w:hAnsi="宋体" w:hint="eastAsia"/>
          <w:szCs w:val="28"/>
        </w:rPr>
        <w:t>，</w:t>
      </w:r>
      <w:r>
        <w:rPr>
          <w:rFonts w:ascii="宋体" w:hAnsi="宋体"/>
          <w:szCs w:val="28"/>
        </w:rPr>
        <w:t>一级冷却筒在旋转过程中</w:t>
      </w:r>
      <w:r>
        <w:rPr>
          <w:rFonts w:ascii="宋体" w:hAnsi="宋体" w:hint="eastAsia"/>
          <w:szCs w:val="28"/>
        </w:rPr>
        <w:t>，</w:t>
      </w:r>
      <w:r>
        <w:rPr>
          <w:rFonts w:ascii="宋体" w:hAnsi="宋体"/>
          <w:szCs w:val="28"/>
        </w:rPr>
        <w:t>鼓入冷空气对物料进行冷却</w:t>
      </w:r>
      <w:r>
        <w:rPr>
          <w:rFonts w:ascii="宋体" w:hAnsi="宋体" w:hint="eastAsia"/>
          <w:szCs w:val="28"/>
        </w:rPr>
        <w:t>，</w:t>
      </w:r>
      <w:r>
        <w:rPr>
          <w:rFonts w:ascii="宋体" w:hAnsi="宋体"/>
          <w:szCs w:val="28"/>
        </w:rPr>
        <w:t>冷却后的物料通过斗提机</w:t>
      </w:r>
      <w:proofErr w:type="gramStart"/>
      <w:r>
        <w:rPr>
          <w:rFonts w:ascii="宋体" w:hAnsi="宋体"/>
          <w:szCs w:val="28"/>
        </w:rPr>
        <w:t>送入全</w:t>
      </w:r>
      <w:proofErr w:type="gramEnd"/>
      <w:r>
        <w:rPr>
          <w:rFonts w:ascii="宋体" w:hAnsi="宋体"/>
          <w:szCs w:val="28"/>
        </w:rPr>
        <w:t>密闭筛分机内</w:t>
      </w:r>
      <w:r>
        <w:rPr>
          <w:rFonts w:ascii="宋体" w:hAnsi="宋体" w:hint="eastAsia"/>
          <w:szCs w:val="28"/>
        </w:rPr>
        <w:t>。</w:t>
      </w:r>
    </w:p>
    <w:p w:rsidR="003F13AB" w:rsidRDefault="00EC6E7E">
      <w:pPr>
        <w:ind w:firstLine="560"/>
        <w:rPr>
          <w:rFonts w:ascii="宋体" w:hAnsi="宋体"/>
          <w:szCs w:val="28"/>
        </w:rPr>
      </w:pPr>
      <w:r>
        <w:rPr>
          <w:rFonts w:ascii="宋体" w:hAnsi="宋体" w:hint="eastAsia"/>
          <w:szCs w:val="28"/>
        </w:rPr>
        <w:t>4）根据产品不同，如果经过一级烘干、一级冷却达不到产品质量要求的物料，则由一级冷却筒内出来的物料通过斗提机送入二级</w:t>
      </w:r>
      <w:r>
        <w:rPr>
          <w:rFonts w:ascii="宋体" w:hAnsi="宋体"/>
          <w:szCs w:val="28"/>
        </w:rPr>
        <w:t>烘干</w:t>
      </w:r>
      <w:r>
        <w:rPr>
          <w:rFonts w:ascii="宋体" w:hAnsi="宋体" w:hint="eastAsia"/>
          <w:szCs w:val="28"/>
        </w:rPr>
        <w:t>筒，烘干筒内鼓入热风，烘干后出物料水分＜</w:t>
      </w:r>
      <w:r>
        <w:rPr>
          <w:rFonts w:ascii="宋体" w:hAnsi="宋体"/>
          <w:szCs w:val="28"/>
        </w:rPr>
        <w:t>1.5%</w:t>
      </w:r>
      <w:r>
        <w:rPr>
          <w:rFonts w:ascii="宋体" w:hAnsi="宋体" w:hint="eastAsia"/>
          <w:szCs w:val="28"/>
        </w:rPr>
        <w:t>，</w:t>
      </w:r>
      <w:r>
        <w:rPr>
          <w:rFonts w:ascii="宋体" w:hAnsi="宋体"/>
          <w:szCs w:val="28"/>
        </w:rPr>
        <w:t>从</w:t>
      </w:r>
      <w:r>
        <w:rPr>
          <w:rFonts w:ascii="宋体" w:hAnsi="宋体" w:hint="eastAsia"/>
          <w:szCs w:val="28"/>
        </w:rPr>
        <w:t>二级</w:t>
      </w:r>
      <w:r>
        <w:rPr>
          <w:rFonts w:ascii="宋体" w:hAnsi="宋体"/>
          <w:szCs w:val="28"/>
        </w:rPr>
        <w:t>烘干</w:t>
      </w:r>
      <w:proofErr w:type="gramStart"/>
      <w:r>
        <w:rPr>
          <w:rFonts w:ascii="宋体" w:hAnsi="宋体" w:hint="eastAsia"/>
          <w:szCs w:val="28"/>
        </w:rPr>
        <w:t>筒</w:t>
      </w:r>
      <w:r>
        <w:rPr>
          <w:rFonts w:ascii="宋体" w:hAnsi="宋体"/>
          <w:szCs w:val="28"/>
        </w:rPr>
        <w:t>出来</w:t>
      </w:r>
      <w:proofErr w:type="gramEnd"/>
      <w:r>
        <w:rPr>
          <w:rFonts w:ascii="宋体" w:hAnsi="宋体"/>
          <w:szCs w:val="28"/>
        </w:rPr>
        <w:t>的物料在重力作用下落入</w:t>
      </w:r>
      <w:r>
        <w:rPr>
          <w:rFonts w:ascii="宋体" w:hAnsi="宋体" w:hint="eastAsia"/>
          <w:szCs w:val="28"/>
        </w:rPr>
        <w:t>二</w:t>
      </w:r>
      <w:r>
        <w:rPr>
          <w:rFonts w:ascii="宋体" w:hAnsi="宋体"/>
          <w:szCs w:val="28"/>
        </w:rPr>
        <w:t>级冷却筒内</w:t>
      </w:r>
      <w:r>
        <w:rPr>
          <w:rFonts w:ascii="宋体" w:hAnsi="宋体" w:hint="eastAsia"/>
          <w:szCs w:val="28"/>
        </w:rPr>
        <w:t>，二</w:t>
      </w:r>
      <w:r>
        <w:rPr>
          <w:rFonts w:ascii="宋体" w:hAnsi="宋体"/>
          <w:szCs w:val="28"/>
        </w:rPr>
        <w:t>级</w:t>
      </w:r>
      <w:proofErr w:type="gramStart"/>
      <w:r>
        <w:rPr>
          <w:rFonts w:ascii="宋体" w:hAnsi="宋体"/>
          <w:szCs w:val="28"/>
        </w:rPr>
        <w:t>冷却筒鼓入</w:t>
      </w:r>
      <w:proofErr w:type="gramEnd"/>
      <w:r>
        <w:rPr>
          <w:rFonts w:ascii="宋体" w:hAnsi="宋体"/>
          <w:szCs w:val="28"/>
        </w:rPr>
        <w:t>冷空气对物料进行冷却</w:t>
      </w:r>
      <w:r>
        <w:rPr>
          <w:rFonts w:ascii="宋体" w:hAnsi="宋体" w:hint="eastAsia"/>
          <w:szCs w:val="28"/>
        </w:rPr>
        <w:t>，</w:t>
      </w:r>
      <w:r>
        <w:rPr>
          <w:rFonts w:ascii="宋体" w:hAnsi="宋体"/>
          <w:szCs w:val="28"/>
        </w:rPr>
        <w:t>冷却后的物料通过斗提机</w:t>
      </w:r>
      <w:proofErr w:type="gramStart"/>
      <w:r>
        <w:rPr>
          <w:rFonts w:ascii="宋体" w:hAnsi="宋体"/>
          <w:szCs w:val="28"/>
        </w:rPr>
        <w:t>送入全</w:t>
      </w:r>
      <w:proofErr w:type="gramEnd"/>
      <w:r>
        <w:rPr>
          <w:rFonts w:ascii="宋体" w:hAnsi="宋体"/>
          <w:szCs w:val="28"/>
        </w:rPr>
        <w:t>密闭筛分机内</w:t>
      </w:r>
      <w:r>
        <w:rPr>
          <w:rFonts w:ascii="宋体" w:hAnsi="宋体" w:hint="eastAsia"/>
          <w:szCs w:val="28"/>
        </w:rPr>
        <w:t>。烘干筒的热风由热风炉提供热源。</w:t>
      </w:r>
    </w:p>
    <w:p w:rsidR="003F13AB" w:rsidRDefault="00EC6E7E">
      <w:pPr>
        <w:pStyle w:val="Default1"/>
        <w:spacing w:line="360" w:lineRule="auto"/>
        <w:ind w:firstLineChars="200" w:firstLine="560"/>
        <w:jc w:val="both"/>
        <w:rPr>
          <w:rFonts w:ascii="宋体" w:hAnsi="宋体" w:hint="default"/>
          <w:sz w:val="28"/>
          <w:szCs w:val="28"/>
        </w:rPr>
      </w:pPr>
      <w:r>
        <w:rPr>
          <w:rFonts w:ascii="宋体" w:hAnsi="宋体"/>
          <w:sz w:val="28"/>
          <w:szCs w:val="28"/>
        </w:rPr>
        <w:t>5）冷却后物料在全密闭筛分机内进行筛分，筛分不合格物料返回投料；筛分合格产品经过自动计量秤计量后，进入包膜筒内进行包膜，控制包膜剂熔化温度80℃±5℃。包膜后的成品送入成品料仓内，经过自动包装、自动堆码机码垛，送入成品库内储存。</w:t>
      </w:r>
    </w:p>
    <w:p w:rsidR="003F13AB" w:rsidRDefault="00EC6E7E">
      <w:pPr>
        <w:pStyle w:val="Default1"/>
        <w:spacing w:line="360" w:lineRule="auto"/>
        <w:jc w:val="center"/>
        <w:rPr>
          <w:rFonts w:hint="default"/>
          <w:sz w:val="28"/>
          <w:szCs w:val="28"/>
          <w:lang w:bidi="en-US"/>
        </w:rPr>
      </w:pPr>
      <w:r>
        <w:rPr>
          <w:noProof/>
          <w:sz w:val="28"/>
          <w:szCs w:val="28"/>
        </w:rPr>
        <w:lastRenderedPageBreak/>
        <w:drawing>
          <wp:inline distT="0" distB="0" distL="0" distR="0">
            <wp:extent cx="5399405" cy="3491865"/>
            <wp:effectExtent l="0" t="0" r="0" b="0"/>
            <wp:docPr id="11" name="图片 11" descr="E:\下载\WeChat Files\wxid_6ow1b1a1k1yn22\FileStorage\Temp\47fa91181b099bb1ec23d423c24f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下载\WeChat Files\wxid_6ow1b1a1k1yn22\FileStorage\Temp\47fa91181b099bb1ec23d423c24f8e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00000" cy="3492000"/>
                    </a:xfrm>
                    <a:prstGeom prst="rect">
                      <a:avLst/>
                    </a:prstGeom>
                    <a:noFill/>
                    <a:ln>
                      <a:noFill/>
                    </a:ln>
                  </pic:spPr>
                </pic:pic>
              </a:graphicData>
            </a:graphic>
          </wp:inline>
        </w:drawing>
      </w:r>
    </w:p>
    <w:p w:rsidR="003F13AB" w:rsidRDefault="00EC6E7E">
      <w:pPr>
        <w:pStyle w:val="Default1"/>
        <w:spacing w:line="360" w:lineRule="auto"/>
        <w:jc w:val="center"/>
        <w:rPr>
          <w:rFonts w:ascii="宋体" w:hAnsi="宋体" w:hint="default"/>
          <w:bCs/>
          <w:snapToGrid w:val="0"/>
          <w:sz w:val="28"/>
          <w:szCs w:val="28"/>
          <w:lang w:bidi="en-US"/>
        </w:rPr>
      </w:pPr>
      <w:r>
        <w:rPr>
          <w:rFonts w:ascii="宋体" w:hAnsi="宋体"/>
          <w:bCs/>
          <w:snapToGrid w:val="0"/>
          <w:sz w:val="28"/>
          <w:szCs w:val="28"/>
          <w:lang w:bidi="en-US"/>
        </w:rPr>
        <w:t>图2.2-4 转鼓工艺流程图</w:t>
      </w:r>
    </w:p>
    <w:p w:rsidR="003F13AB" w:rsidRDefault="00EC6E7E">
      <w:pPr>
        <w:widowControl/>
        <w:ind w:firstLine="562"/>
        <w:jc w:val="left"/>
        <w:rPr>
          <w:rFonts w:ascii="宋体" w:hAnsi="宋体"/>
          <w:b/>
          <w:kern w:val="0"/>
          <w:szCs w:val="28"/>
          <w:lang w:bidi="en-US"/>
        </w:rPr>
      </w:pPr>
      <w:r>
        <w:rPr>
          <w:rFonts w:ascii="仿宋" w:eastAsia="仿宋" w:hAnsi="仿宋" w:hint="eastAsia"/>
          <w:b/>
          <w:kern w:val="0"/>
          <w:lang w:bidi="en-US"/>
        </w:rPr>
        <w:t>（3）</w:t>
      </w:r>
      <w:r>
        <w:rPr>
          <w:rFonts w:ascii="宋体" w:hAnsi="宋体" w:hint="eastAsia"/>
          <w:b/>
          <w:kern w:val="0"/>
          <w:szCs w:val="28"/>
          <w:lang w:bidi="en-US"/>
        </w:rPr>
        <w:t>掺混</w:t>
      </w:r>
      <w:r>
        <w:rPr>
          <w:rFonts w:ascii="宋体" w:hAnsi="宋体"/>
          <w:b/>
          <w:kern w:val="0"/>
          <w:szCs w:val="28"/>
          <w:lang w:bidi="en-US"/>
        </w:rPr>
        <w:t>工艺流程</w:t>
      </w:r>
    </w:p>
    <w:p w:rsidR="003F13AB" w:rsidRDefault="00EC6E7E">
      <w:pPr>
        <w:ind w:firstLine="560"/>
      </w:pPr>
      <w:r>
        <w:t>掺混</w:t>
      </w:r>
      <w:r>
        <w:rPr>
          <w:rFonts w:hint="eastAsia"/>
        </w:rPr>
        <w:t>工艺生产线共三条，一条生产粉剂水溶肥、一条生产常规粉末肥、一条生产颗粒掺混</w:t>
      </w:r>
      <w:r>
        <w:rPr>
          <w:rFonts w:hint="eastAsia"/>
        </w:rPr>
        <w:t>B</w:t>
      </w:r>
      <w:r>
        <w:t>B</w:t>
      </w:r>
      <w:r>
        <w:rPr>
          <w:rFonts w:hint="eastAsia"/>
        </w:rPr>
        <w:t>肥</w:t>
      </w:r>
      <w:r>
        <w:t>，根据不同土壤不同作物设计不同配方，由几种颗粒原料，经过筛分（必要时）、计量、搅拌混合而成</w:t>
      </w:r>
      <w:r>
        <w:rPr>
          <w:rFonts w:hint="eastAsia"/>
        </w:rPr>
        <w:t>。</w:t>
      </w:r>
    </w:p>
    <w:p w:rsidR="003F13AB" w:rsidRDefault="00EC6E7E">
      <w:pPr>
        <w:adjustRightInd/>
        <w:snapToGrid/>
        <w:ind w:firstLine="560"/>
        <w:rPr>
          <w:rFonts w:hAnsi="宋体"/>
          <w:color w:val="auto"/>
          <w:szCs w:val="28"/>
        </w:rPr>
      </w:pPr>
      <w:r>
        <w:rPr>
          <w:rFonts w:hint="eastAsia"/>
        </w:rPr>
        <w:t>掺混工艺，是按不同作物对营养成分的需求，灵活设计配方，将不同原料、不同养分的颗粒经破碎、计量、搅拌</w:t>
      </w:r>
      <w:r>
        <w:t>混合</w:t>
      </w:r>
      <w:r>
        <w:rPr>
          <w:rFonts w:hint="eastAsia"/>
        </w:rPr>
        <w:t>后包装的工艺。掺混工艺具有配方灵活、能耗低等优点。掺混工艺，均采用立体垂直布局，全密封，</w:t>
      </w:r>
      <w:proofErr w:type="gramStart"/>
      <w:r>
        <w:rPr>
          <w:rFonts w:hint="eastAsia"/>
        </w:rPr>
        <w:t>投料口</w:t>
      </w:r>
      <w:proofErr w:type="gramEnd"/>
      <w:r>
        <w:rPr>
          <w:rFonts w:hint="eastAsia"/>
        </w:rPr>
        <w:t>设置脉冲布袋除尘器。此工艺安装</w:t>
      </w:r>
      <w:r>
        <w:t>3</w:t>
      </w:r>
      <w:r>
        <w:rPr>
          <w:rFonts w:hint="eastAsia"/>
        </w:rPr>
        <w:t>条生产线：一条生产粉剂水溶肥、一条生产常规粉末肥、一条生产颗粒掺混</w:t>
      </w:r>
      <w:r>
        <w:rPr>
          <w:rFonts w:hint="eastAsia"/>
        </w:rPr>
        <w:t>B</w:t>
      </w:r>
      <w:r>
        <w:t>B</w:t>
      </w:r>
      <w:r>
        <w:rPr>
          <w:rFonts w:hint="eastAsia"/>
        </w:rPr>
        <w:t>肥。</w:t>
      </w:r>
    </w:p>
    <w:p w:rsidR="003F13AB" w:rsidRDefault="00EC6E7E">
      <w:pPr>
        <w:pStyle w:val="Default1"/>
        <w:jc w:val="center"/>
        <w:rPr>
          <w:rFonts w:hint="default"/>
        </w:rPr>
      </w:pPr>
      <w:r>
        <w:rPr>
          <w:rFonts w:hint="default"/>
          <w:noProof/>
        </w:rPr>
        <w:drawing>
          <wp:inline distT="0" distB="0" distL="0" distR="0">
            <wp:extent cx="5399405" cy="12598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400000" cy="1260000"/>
                    </a:xfrm>
                    <a:prstGeom prst="rect">
                      <a:avLst/>
                    </a:prstGeom>
                    <a:noFill/>
                  </pic:spPr>
                </pic:pic>
              </a:graphicData>
            </a:graphic>
          </wp:inline>
        </w:drawing>
      </w:r>
    </w:p>
    <w:p w:rsidR="003F13AB" w:rsidRDefault="00EC6E7E">
      <w:pPr>
        <w:pStyle w:val="Default1"/>
        <w:jc w:val="center"/>
        <w:rPr>
          <w:rFonts w:ascii="宋体" w:hAnsi="宋体" w:hint="default"/>
          <w:bCs/>
          <w:snapToGrid w:val="0"/>
          <w:sz w:val="28"/>
          <w:szCs w:val="28"/>
          <w:lang w:bidi="en-US"/>
        </w:rPr>
      </w:pPr>
      <w:r>
        <w:rPr>
          <w:rFonts w:ascii="宋体" w:hAnsi="宋体"/>
          <w:sz w:val="28"/>
          <w:szCs w:val="28"/>
        </w:rPr>
        <w:t xml:space="preserve">图2.2-5  </w:t>
      </w:r>
      <w:r>
        <w:rPr>
          <w:rFonts w:ascii="宋体" w:hAnsi="宋体"/>
          <w:bCs/>
          <w:snapToGrid w:val="0"/>
          <w:sz w:val="28"/>
          <w:szCs w:val="28"/>
          <w:lang w:bidi="en-US"/>
        </w:rPr>
        <w:t>掺混工艺流程图</w:t>
      </w:r>
    </w:p>
    <w:p w:rsidR="003F13AB" w:rsidRDefault="00EC6E7E">
      <w:pPr>
        <w:widowControl/>
        <w:ind w:firstLine="562"/>
        <w:jc w:val="left"/>
        <w:rPr>
          <w:rFonts w:ascii="宋体" w:hAnsi="宋体"/>
          <w:b/>
          <w:kern w:val="0"/>
          <w:szCs w:val="28"/>
          <w:lang w:bidi="en-US"/>
        </w:rPr>
      </w:pPr>
      <w:r>
        <w:rPr>
          <w:rFonts w:ascii="宋体" w:hAnsi="宋体" w:hint="eastAsia"/>
          <w:b/>
          <w:kern w:val="0"/>
          <w:szCs w:val="28"/>
          <w:lang w:bidi="en-US"/>
        </w:rPr>
        <w:lastRenderedPageBreak/>
        <w:t>（4）液体水溶肥工艺流程</w:t>
      </w:r>
    </w:p>
    <w:p w:rsidR="003F13AB" w:rsidRDefault="00EC6E7E">
      <w:pPr>
        <w:pStyle w:val="Default1"/>
        <w:spacing w:line="360" w:lineRule="auto"/>
        <w:ind w:firstLineChars="200" w:firstLine="560"/>
        <w:jc w:val="both"/>
        <w:rPr>
          <w:rFonts w:ascii="宋体" w:hAnsi="宋体" w:hint="default"/>
          <w:sz w:val="28"/>
          <w:szCs w:val="28"/>
        </w:rPr>
      </w:pPr>
      <w:r>
        <w:rPr>
          <w:rFonts w:ascii="宋体" w:hAnsi="宋体"/>
          <w:sz w:val="28"/>
          <w:szCs w:val="28"/>
        </w:rPr>
        <w:t>将储槽中的尿素、氯化钾、聚磷酸铵等按比例计量打入搅拌机中，再按比例加入钾肥并视情况，用蒸汽间接加温到50℃，搅拌溶解后经过滤打入成品储槽中包装。</w:t>
      </w:r>
    </w:p>
    <w:p w:rsidR="003F13AB" w:rsidRDefault="00EC6E7E">
      <w:pPr>
        <w:pStyle w:val="Default1"/>
        <w:spacing w:line="360" w:lineRule="auto"/>
        <w:ind w:firstLineChars="200" w:firstLine="560"/>
        <w:jc w:val="both"/>
        <w:rPr>
          <w:rFonts w:ascii="宋体" w:hAnsi="宋体" w:hint="default"/>
          <w:sz w:val="28"/>
          <w:szCs w:val="28"/>
        </w:rPr>
      </w:pPr>
      <w:r>
        <w:rPr>
          <w:rFonts w:ascii="宋体" w:hAnsi="宋体" w:hint="default"/>
          <w:noProof/>
          <w:sz w:val="28"/>
          <w:szCs w:val="28"/>
        </w:rPr>
        <w:drawing>
          <wp:inline distT="0" distB="0" distL="0" distR="0">
            <wp:extent cx="5399405" cy="16198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400000" cy="1620000"/>
                    </a:xfrm>
                    <a:prstGeom prst="rect">
                      <a:avLst/>
                    </a:prstGeom>
                    <a:noFill/>
                  </pic:spPr>
                </pic:pic>
              </a:graphicData>
            </a:graphic>
          </wp:inline>
        </w:drawing>
      </w:r>
    </w:p>
    <w:p w:rsidR="003F13AB" w:rsidRDefault="00EC6E7E">
      <w:pPr>
        <w:pStyle w:val="Default1"/>
        <w:spacing w:line="360" w:lineRule="auto"/>
        <w:ind w:firstLineChars="200" w:firstLine="560"/>
        <w:jc w:val="center"/>
        <w:rPr>
          <w:rFonts w:ascii="宋体" w:hAnsi="宋体" w:hint="default"/>
          <w:sz w:val="28"/>
          <w:szCs w:val="28"/>
        </w:rPr>
      </w:pPr>
      <w:r>
        <w:rPr>
          <w:rFonts w:ascii="宋体" w:hAnsi="宋体"/>
          <w:bCs/>
          <w:snapToGrid w:val="0"/>
          <w:sz w:val="28"/>
          <w:szCs w:val="28"/>
          <w:lang w:bidi="en-US"/>
        </w:rPr>
        <w:t>图2.2-6  液体水溶肥工艺流程图</w:t>
      </w:r>
    </w:p>
    <w:p w:rsidR="003F13AB" w:rsidRDefault="00EC6E7E">
      <w:pPr>
        <w:pStyle w:val="3"/>
      </w:pPr>
      <w:bookmarkStart w:id="67" w:name="_Toc187914385"/>
      <w:r>
        <w:t>2.</w:t>
      </w:r>
      <w:r>
        <w:rPr>
          <w:rFonts w:hint="eastAsia"/>
        </w:rPr>
        <w:t>2</w:t>
      </w:r>
      <w:r>
        <w:t>.</w:t>
      </w:r>
      <w:r>
        <w:rPr>
          <w:rFonts w:hint="eastAsia"/>
        </w:rPr>
        <w:t>9 主要设备、设施</w:t>
      </w:r>
      <w:bookmarkEnd w:id="67"/>
    </w:p>
    <w:p w:rsidR="003F13AB" w:rsidRDefault="00EC6E7E">
      <w:pPr>
        <w:pStyle w:val="4"/>
        <w:keepNext w:val="0"/>
        <w:ind w:firstLineChars="200" w:firstLine="562"/>
        <w:rPr>
          <w:rFonts w:eastAsia="宋体"/>
          <w:b/>
          <w:szCs w:val="20"/>
        </w:rPr>
      </w:pPr>
      <w:r>
        <w:rPr>
          <w:rFonts w:eastAsia="宋体"/>
          <w:b/>
          <w:szCs w:val="20"/>
        </w:rPr>
        <w:t>2.</w:t>
      </w:r>
      <w:r>
        <w:rPr>
          <w:rFonts w:eastAsia="宋体" w:hint="eastAsia"/>
          <w:b/>
          <w:szCs w:val="20"/>
        </w:rPr>
        <w:t>2</w:t>
      </w:r>
      <w:r>
        <w:rPr>
          <w:rFonts w:eastAsia="宋体"/>
          <w:b/>
          <w:szCs w:val="20"/>
        </w:rPr>
        <w:t>.</w:t>
      </w:r>
      <w:r>
        <w:rPr>
          <w:rFonts w:eastAsia="宋体" w:hint="eastAsia"/>
          <w:b/>
          <w:szCs w:val="20"/>
        </w:rPr>
        <w:t>9.1 主要设备</w:t>
      </w:r>
    </w:p>
    <w:p w:rsidR="003F13AB" w:rsidRDefault="00EC6E7E">
      <w:pPr>
        <w:widowControl/>
        <w:topLinePunct/>
        <w:spacing w:beforeLines="50" w:before="120"/>
        <w:ind w:firstLine="560"/>
        <w:textAlignment w:val="baseline"/>
        <w:rPr>
          <w:rFonts w:ascii="宋体" w:hAnsi="宋体"/>
        </w:rPr>
      </w:pPr>
      <w:r>
        <w:rPr>
          <w:rFonts w:ascii="宋体" w:hAnsi="宋体" w:hint="eastAsia"/>
          <w:kern w:val="0"/>
          <w:szCs w:val="28"/>
          <w:lang w:bidi="en-US"/>
        </w:rPr>
        <w:t>（1）高塔复合肥生产线生产设备</w:t>
      </w:r>
    </w:p>
    <w:p w:rsidR="003F13AB" w:rsidRDefault="00EC6E7E">
      <w:pPr>
        <w:widowControl/>
        <w:topLinePunct/>
        <w:spacing w:beforeLines="50" w:before="120"/>
        <w:ind w:firstLine="560"/>
        <w:jc w:val="center"/>
        <w:textAlignment w:val="baseline"/>
        <w:rPr>
          <w:rFonts w:ascii="宋体" w:hAnsi="宋体"/>
          <w:color w:val="auto"/>
          <w:szCs w:val="28"/>
        </w:rPr>
      </w:pPr>
      <w:r>
        <w:rPr>
          <w:rFonts w:ascii="宋体" w:hAnsi="宋体"/>
        </w:rPr>
        <w:t>表</w:t>
      </w:r>
      <w:r>
        <w:rPr>
          <w:rFonts w:ascii="宋体" w:hAnsi="宋体" w:hint="eastAsia"/>
        </w:rPr>
        <w:t>2.2-8  主要设备一览表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2239"/>
        <w:gridCol w:w="2116"/>
        <w:gridCol w:w="917"/>
        <w:gridCol w:w="1126"/>
        <w:gridCol w:w="1058"/>
      </w:tblGrid>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b/>
                <w:bCs/>
                <w:color w:val="auto"/>
                <w:kern w:val="0"/>
                <w:sz w:val="21"/>
                <w:szCs w:val="21"/>
              </w:rPr>
              <w:t>序号</w:t>
            </w:r>
          </w:p>
        </w:tc>
        <w:tc>
          <w:tcPr>
            <w:tcW w:w="2239"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b/>
                <w:bCs/>
                <w:color w:val="auto"/>
                <w:kern w:val="0"/>
                <w:sz w:val="21"/>
                <w:szCs w:val="21"/>
              </w:rPr>
              <w:t>设备名称</w:t>
            </w:r>
          </w:p>
        </w:tc>
        <w:tc>
          <w:tcPr>
            <w:tcW w:w="2116"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hint="eastAsia"/>
                <w:b/>
                <w:bCs/>
                <w:color w:val="auto"/>
                <w:kern w:val="0"/>
                <w:sz w:val="21"/>
                <w:szCs w:val="21"/>
              </w:rPr>
              <w:t>规格型号</w:t>
            </w:r>
          </w:p>
        </w:tc>
        <w:tc>
          <w:tcPr>
            <w:tcW w:w="917"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hint="eastAsia"/>
                <w:b/>
                <w:bCs/>
                <w:color w:val="auto"/>
                <w:kern w:val="0"/>
                <w:sz w:val="21"/>
                <w:szCs w:val="21"/>
              </w:rPr>
              <w:t>单位</w:t>
            </w:r>
          </w:p>
        </w:tc>
        <w:tc>
          <w:tcPr>
            <w:tcW w:w="1126"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hint="eastAsia"/>
                <w:b/>
                <w:bCs/>
                <w:color w:val="auto"/>
                <w:kern w:val="0"/>
                <w:sz w:val="21"/>
                <w:szCs w:val="21"/>
              </w:rPr>
              <w:t>数量</w:t>
            </w:r>
          </w:p>
        </w:tc>
        <w:tc>
          <w:tcPr>
            <w:tcW w:w="1058"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b/>
                <w:bCs/>
                <w:color w:val="auto"/>
                <w:kern w:val="0"/>
                <w:sz w:val="21"/>
                <w:szCs w:val="21"/>
              </w:rPr>
              <w:t>备注</w:t>
            </w: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1</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大块破碎机</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P=7.5kW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3</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2</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失重秤</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P=3kW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eastAsia="en-US" w:bidi="en-US"/>
              </w:rPr>
            </w:pPr>
            <w:r>
              <w:rPr>
                <w:rFonts w:ascii="宋体" w:hAnsi="宋体" w:hint="eastAsia"/>
                <w:color w:val="auto"/>
                <w:kern w:val="0"/>
                <w:sz w:val="21"/>
                <w:szCs w:val="21"/>
                <w:lang w:bidi="en-US"/>
              </w:rPr>
              <w:t>1</w:t>
            </w:r>
            <w:r>
              <w:rPr>
                <w:rFonts w:ascii="宋体" w:hAnsi="宋体" w:hint="eastAsia"/>
                <w:color w:val="auto"/>
                <w:kern w:val="0"/>
                <w:sz w:val="21"/>
                <w:szCs w:val="21"/>
                <w:lang w:eastAsia="en-US"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3</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小料失重秤</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P=1.1kW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4</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4</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proofErr w:type="gramStart"/>
            <w:r>
              <w:rPr>
                <w:rFonts w:ascii="宋体" w:hAnsi="宋体" w:cs="宋体" w:hint="eastAsia"/>
                <w:kern w:val="0"/>
                <w:sz w:val="21"/>
                <w:szCs w:val="21"/>
                <w:lang w:bidi="ar"/>
              </w:rPr>
              <w:t>细返失重</w:t>
            </w:r>
            <w:proofErr w:type="gramEnd"/>
            <w:r>
              <w:rPr>
                <w:rFonts w:ascii="宋体" w:hAnsi="宋体" w:cs="宋体" w:hint="eastAsia"/>
                <w:kern w:val="0"/>
                <w:sz w:val="21"/>
                <w:szCs w:val="21"/>
                <w:lang w:bidi="ar"/>
              </w:rPr>
              <w:t>秤</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P=3kW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5</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bidi="en-US"/>
              </w:rPr>
            </w:pPr>
            <w:proofErr w:type="gramStart"/>
            <w:r>
              <w:rPr>
                <w:rFonts w:ascii="宋体" w:hAnsi="宋体" w:cs="宋体" w:hint="eastAsia"/>
                <w:kern w:val="0"/>
                <w:sz w:val="21"/>
                <w:szCs w:val="21"/>
                <w:lang w:bidi="ar"/>
              </w:rPr>
              <w:t>粗返失重</w:t>
            </w:r>
            <w:proofErr w:type="gramEnd"/>
            <w:r>
              <w:rPr>
                <w:rFonts w:ascii="宋体" w:hAnsi="宋体" w:cs="宋体" w:hint="eastAsia"/>
                <w:kern w:val="0"/>
                <w:sz w:val="21"/>
                <w:szCs w:val="21"/>
                <w:lang w:bidi="ar"/>
              </w:rPr>
              <w:t>秤</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P=3kW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6</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proofErr w:type="gramStart"/>
            <w:r>
              <w:rPr>
                <w:rFonts w:ascii="宋体" w:hAnsi="宋体" w:cs="宋体" w:hint="eastAsia"/>
                <w:kern w:val="0"/>
                <w:sz w:val="21"/>
                <w:szCs w:val="21"/>
                <w:lang w:bidi="ar"/>
              </w:rPr>
              <w:t>无轴螺旋输送机</w:t>
            </w:r>
            <w:proofErr w:type="gramEnd"/>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P=7.5kW，20米长</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3</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7</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原料提升机</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cs="宋体" w:hint="eastAsia"/>
                <w:color w:val="auto"/>
                <w:kern w:val="0"/>
                <w:sz w:val="21"/>
                <w:szCs w:val="21"/>
                <w:lang w:bidi="en-US"/>
              </w:rPr>
              <w:t>P=30kW，H=120m</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3</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8</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proofErr w:type="gramStart"/>
            <w:r>
              <w:rPr>
                <w:rFonts w:ascii="宋体" w:hAnsi="宋体" w:cs="宋体" w:hint="eastAsia"/>
                <w:kern w:val="0"/>
                <w:sz w:val="21"/>
                <w:szCs w:val="21"/>
                <w:lang w:bidi="ar"/>
              </w:rPr>
              <w:t>无轴螺旋输送机</w:t>
            </w:r>
            <w:proofErr w:type="gramEnd"/>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bidi="en-US"/>
              </w:rPr>
            </w:pPr>
            <w:r>
              <w:rPr>
                <w:rFonts w:ascii="宋体" w:hAnsi="宋体" w:cs="宋体" w:hint="eastAsia"/>
                <w:color w:val="auto"/>
                <w:kern w:val="0"/>
                <w:sz w:val="21"/>
                <w:szCs w:val="21"/>
                <w:lang w:bidi="en-US"/>
              </w:rPr>
              <w:t>P=7.5kW，8米长</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cs="宋体" w:hint="eastAsia"/>
                <w:color w:val="auto"/>
                <w:kern w:val="0"/>
                <w:sz w:val="21"/>
                <w:szCs w:val="21"/>
                <w:lang w:bidi="en-US"/>
              </w:rPr>
              <w:t>2</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9</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尿熔槽</w:t>
            </w:r>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bidi="en-US"/>
              </w:rPr>
            </w:pPr>
            <w:r>
              <w:rPr>
                <w:rFonts w:ascii="宋体" w:hAnsi="宋体" w:cs="宋体" w:hint="eastAsia"/>
                <w:color w:val="auto"/>
                <w:kern w:val="0"/>
                <w:sz w:val="21"/>
                <w:szCs w:val="21"/>
                <w:lang w:bidi="en-US"/>
              </w:rPr>
              <w:t>P=37kW，Φ=2.4mm</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10</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一级槽</w:t>
            </w:r>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bidi="en-US"/>
              </w:rPr>
            </w:pPr>
            <w:r>
              <w:rPr>
                <w:rFonts w:ascii="宋体" w:hAnsi="宋体" w:cs="宋体" w:hint="eastAsia"/>
                <w:color w:val="auto"/>
                <w:kern w:val="0"/>
                <w:sz w:val="21"/>
                <w:szCs w:val="21"/>
                <w:lang w:bidi="en-US"/>
              </w:rPr>
              <w:t>P=37kW，Φ=2.4mm</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11</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二级槽</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cs="宋体" w:hint="eastAsia"/>
                <w:color w:val="auto"/>
                <w:kern w:val="0"/>
                <w:sz w:val="21"/>
                <w:szCs w:val="21"/>
                <w:lang w:bidi="en-US"/>
              </w:rPr>
              <w:t>P=37kW，Φ=2.4mm</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12</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乳化机</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P=37kW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bCs/>
                <w:color w:val="auto"/>
                <w:kern w:val="0"/>
                <w:sz w:val="21"/>
                <w:szCs w:val="21"/>
                <w:lang w:eastAsia="en-US" w:bidi="en-US"/>
              </w:rPr>
            </w:pPr>
            <w:r>
              <w:rPr>
                <w:rFonts w:ascii="宋体" w:hAnsi="宋体"/>
                <w:bCs/>
                <w:color w:val="auto"/>
                <w:kern w:val="0"/>
                <w:sz w:val="21"/>
                <w:szCs w:val="21"/>
                <w:lang w:eastAsia="en-US" w:bidi="en-US"/>
              </w:rPr>
              <w:t>3</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tcBorders>
              <w:bottom w:val="single" w:sz="4" w:space="0" w:color="auto"/>
            </w:tcBorders>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13</w:t>
            </w:r>
          </w:p>
        </w:tc>
        <w:tc>
          <w:tcPr>
            <w:tcW w:w="2239" w:type="dxa"/>
            <w:tcBorders>
              <w:bottom w:val="single" w:sz="4" w:space="0" w:color="auto"/>
            </w:tcBorders>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造粒机</w:t>
            </w:r>
          </w:p>
        </w:tc>
        <w:tc>
          <w:tcPr>
            <w:tcW w:w="2116" w:type="dxa"/>
            <w:tcBorders>
              <w:bottom w:val="single" w:sz="4" w:space="0" w:color="auto"/>
            </w:tcBorders>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P=37kW</w:t>
            </w:r>
          </w:p>
        </w:tc>
        <w:tc>
          <w:tcPr>
            <w:tcW w:w="917" w:type="dxa"/>
            <w:tcBorders>
              <w:bottom w:val="single" w:sz="4" w:space="0" w:color="auto"/>
            </w:tcBorders>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台</w:t>
            </w:r>
          </w:p>
        </w:tc>
        <w:tc>
          <w:tcPr>
            <w:tcW w:w="1126" w:type="dxa"/>
            <w:tcBorders>
              <w:bottom w:val="single" w:sz="4" w:space="0" w:color="auto"/>
            </w:tcBorders>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1</w:t>
            </w:r>
          </w:p>
        </w:tc>
        <w:tc>
          <w:tcPr>
            <w:tcW w:w="1058" w:type="dxa"/>
            <w:tcBorders>
              <w:bottom w:val="single" w:sz="4" w:space="0" w:color="auto"/>
            </w:tcBorders>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lastRenderedPageBreak/>
              <w:t>15</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塔顶收尘风机</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cs="宋体" w:hint="eastAsia"/>
                <w:color w:val="auto"/>
                <w:kern w:val="0"/>
                <w:sz w:val="21"/>
                <w:szCs w:val="21"/>
                <w:lang w:bidi="en-US"/>
              </w:rPr>
              <w:t>P=37kW，Q=40000m</w:t>
            </w:r>
            <w:r>
              <w:rPr>
                <w:rFonts w:ascii="宋体" w:hAnsi="宋体" w:cs="宋体" w:hint="eastAsia"/>
                <w:color w:val="auto"/>
                <w:kern w:val="0"/>
                <w:sz w:val="21"/>
                <w:szCs w:val="21"/>
                <w:vertAlign w:val="superscript"/>
                <w:lang w:bidi="en-US"/>
              </w:rPr>
              <w:t>3</w:t>
            </w:r>
            <w:r>
              <w:rPr>
                <w:rFonts w:ascii="宋体" w:hAnsi="宋体" w:cs="宋体" w:hint="eastAsia"/>
                <w:color w:val="auto"/>
                <w:kern w:val="0"/>
                <w:sz w:val="21"/>
                <w:szCs w:val="21"/>
                <w:lang w:bidi="en-US"/>
              </w:rPr>
              <w:t>/h</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16</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塔底收料盘</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P=37kW，直径15m</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套</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17</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塔底输送皮带</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cs="宋体" w:hint="eastAsia"/>
                <w:color w:val="auto"/>
                <w:kern w:val="0"/>
                <w:sz w:val="21"/>
                <w:szCs w:val="21"/>
                <w:lang w:bidi="en-US"/>
              </w:rPr>
              <w:t>P=7.5kW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套</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18</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细筛提升机</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cs="宋体" w:hint="eastAsia"/>
                <w:color w:val="auto"/>
                <w:kern w:val="0"/>
                <w:sz w:val="21"/>
                <w:szCs w:val="21"/>
                <w:lang w:bidi="en-US"/>
              </w:rPr>
              <w:t>P=18.5kW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bCs/>
                <w:color w:val="auto"/>
                <w:kern w:val="0"/>
                <w:sz w:val="21"/>
                <w:szCs w:val="21"/>
                <w:lang w:bidi="en-US"/>
              </w:rPr>
            </w:pPr>
            <w:r>
              <w:rPr>
                <w:rFonts w:ascii="宋体" w:hAnsi="宋体" w:hint="eastAsia"/>
                <w:bCs/>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19</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细筛</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cs="宋体" w:hint="eastAsia"/>
                <w:color w:val="auto"/>
                <w:kern w:val="0"/>
                <w:sz w:val="21"/>
                <w:szCs w:val="21"/>
                <w:lang w:bidi="en-US"/>
              </w:rPr>
              <w:t>P=22kW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套</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2</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20</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粗筛</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P=22kW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套</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cs="宋体" w:hint="eastAsia"/>
                <w:color w:val="auto"/>
                <w:kern w:val="0"/>
                <w:sz w:val="21"/>
                <w:szCs w:val="21"/>
                <w:lang w:bidi="en-US"/>
              </w:rPr>
              <w:t>2</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21</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proofErr w:type="gramStart"/>
            <w:r>
              <w:rPr>
                <w:rFonts w:ascii="宋体" w:hAnsi="宋体" w:cs="宋体" w:hint="eastAsia"/>
                <w:kern w:val="0"/>
                <w:sz w:val="21"/>
                <w:szCs w:val="21"/>
                <w:lang w:bidi="ar"/>
              </w:rPr>
              <w:t>细返无轴</w:t>
            </w:r>
            <w:proofErr w:type="gramEnd"/>
            <w:r>
              <w:rPr>
                <w:rFonts w:ascii="宋体" w:hAnsi="宋体" w:cs="宋体" w:hint="eastAsia"/>
                <w:kern w:val="0"/>
                <w:sz w:val="21"/>
                <w:szCs w:val="21"/>
                <w:lang w:bidi="ar"/>
              </w:rPr>
              <w:t>螺旋</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P=5.5kW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套</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22</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粗筛收料输送皮带</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P=5.5kW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套</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23</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水冷却提升机</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P=18.5kW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24</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水冷塔及配套设备</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cs="宋体" w:hint="eastAsia"/>
                <w:color w:val="auto"/>
                <w:kern w:val="0"/>
                <w:sz w:val="21"/>
                <w:szCs w:val="21"/>
                <w:lang w:bidi="en-US"/>
              </w:rPr>
              <w:t>P=56kW，H=12.3m</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套</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25</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水冷收料皮带</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P=7.5kW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eastAsia="en-US" w:bidi="en-US"/>
              </w:rPr>
              <w:t>套</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bCs/>
                <w:color w:val="auto"/>
                <w:kern w:val="0"/>
                <w:sz w:val="21"/>
                <w:szCs w:val="21"/>
                <w:lang w:bidi="en-US"/>
              </w:rPr>
            </w:pPr>
            <w:r>
              <w:rPr>
                <w:rFonts w:ascii="宋体" w:hAnsi="宋体" w:hint="eastAsia"/>
                <w:bCs/>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26</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扑粉</w:t>
            </w:r>
            <w:proofErr w:type="gramStart"/>
            <w:r>
              <w:rPr>
                <w:rFonts w:ascii="宋体" w:hAnsi="宋体" w:cs="宋体" w:hint="eastAsia"/>
                <w:kern w:val="0"/>
                <w:sz w:val="21"/>
                <w:szCs w:val="21"/>
                <w:lang w:bidi="ar"/>
              </w:rPr>
              <w:t>喂料机</w:t>
            </w:r>
            <w:proofErr w:type="gramEnd"/>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cs="宋体" w:hint="eastAsia"/>
                <w:color w:val="auto"/>
                <w:kern w:val="0"/>
                <w:sz w:val="21"/>
                <w:szCs w:val="21"/>
                <w:lang w:bidi="en-US"/>
              </w:rPr>
              <w:t>P=1.5kW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bCs/>
                <w:color w:val="auto"/>
                <w:kern w:val="0"/>
                <w:sz w:val="21"/>
                <w:szCs w:val="21"/>
              </w:rPr>
              <w:t>27</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包膜熔解槽</w:t>
            </w:r>
          </w:p>
        </w:tc>
        <w:tc>
          <w:tcPr>
            <w:tcW w:w="2116"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bidi="en-US"/>
              </w:rPr>
            </w:pPr>
            <w:r>
              <w:rPr>
                <w:rFonts w:ascii="宋体" w:hAnsi="宋体" w:cs="宋体" w:hint="eastAsia"/>
                <w:color w:val="auto"/>
                <w:kern w:val="0"/>
                <w:sz w:val="21"/>
                <w:szCs w:val="21"/>
                <w:lang w:bidi="en-US"/>
              </w:rPr>
              <w:t>P=1.5kW</w:t>
            </w:r>
          </w:p>
        </w:tc>
        <w:tc>
          <w:tcPr>
            <w:tcW w:w="917" w:type="dxa"/>
            <w:vAlign w:val="center"/>
          </w:tcPr>
          <w:p w:rsidR="003F13AB" w:rsidRDefault="00EC6E7E">
            <w:pPr>
              <w:widowControl/>
              <w:adjustRightInd/>
              <w:snapToGrid/>
              <w:spacing w:line="240" w:lineRule="auto"/>
              <w:ind w:firstLineChars="0" w:firstLine="0"/>
              <w:jc w:val="left"/>
              <w:rPr>
                <w:rFonts w:ascii="宋体" w:hAnsi="宋体" w:cs="宋体"/>
                <w:color w:val="auto"/>
                <w:kern w:val="0"/>
                <w:sz w:val="21"/>
                <w:szCs w:val="21"/>
                <w:lang w:eastAsia="en-US"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s="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hint="eastAsia"/>
                <w:bCs/>
                <w:color w:val="auto"/>
                <w:kern w:val="0"/>
                <w:sz w:val="21"/>
                <w:szCs w:val="21"/>
              </w:rPr>
              <w:t>28</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喷油计量泵</w:t>
            </w:r>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cs="宋体" w:hint="eastAsia"/>
                <w:color w:val="auto"/>
                <w:kern w:val="0"/>
                <w:sz w:val="21"/>
                <w:szCs w:val="21"/>
                <w:lang w:bidi="en-US"/>
              </w:rPr>
              <w:t>P=1.1kW</w:t>
            </w:r>
          </w:p>
        </w:tc>
        <w:tc>
          <w:tcPr>
            <w:tcW w:w="917"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olor w:val="auto"/>
                <w:kern w:val="0"/>
                <w:sz w:val="21"/>
                <w:szCs w:val="21"/>
                <w:lang w:bidi="en-US"/>
              </w:rPr>
            </w:pPr>
            <w:r>
              <w:rPr>
                <w:rFonts w:ascii="宋体" w:hAnsi="宋体" w:hint="eastAsia"/>
                <w:color w:val="auto"/>
                <w:kern w:val="0"/>
                <w:sz w:val="21"/>
                <w:szCs w:val="21"/>
                <w:lang w:bidi="en-US"/>
              </w:rPr>
              <w:t>2</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hint="eastAsia"/>
                <w:bCs/>
                <w:color w:val="auto"/>
                <w:kern w:val="0"/>
                <w:sz w:val="21"/>
                <w:szCs w:val="21"/>
              </w:rPr>
              <w:t>29</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包膜机</w:t>
            </w:r>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cs="宋体" w:hint="eastAsia"/>
                <w:color w:val="auto"/>
                <w:kern w:val="0"/>
                <w:sz w:val="21"/>
                <w:szCs w:val="21"/>
                <w:lang w:bidi="en-US"/>
              </w:rPr>
              <w:t>P=30kW</w:t>
            </w:r>
          </w:p>
        </w:tc>
        <w:tc>
          <w:tcPr>
            <w:tcW w:w="917"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hint="eastAsia"/>
                <w:bCs/>
                <w:color w:val="auto"/>
                <w:kern w:val="0"/>
                <w:sz w:val="21"/>
                <w:szCs w:val="21"/>
              </w:rPr>
              <w:t>30</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成品提升机</w:t>
            </w:r>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cs="宋体" w:hint="eastAsia"/>
                <w:color w:val="auto"/>
                <w:kern w:val="0"/>
                <w:sz w:val="21"/>
                <w:szCs w:val="21"/>
                <w:lang w:bidi="en-US"/>
              </w:rPr>
              <w:t>P=18.5kW，H=20m</w:t>
            </w:r>
          </w:p>
        </w:tc>
        <w:tc>
          <w:tcPr>
            <w:tcW w:w="917"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hint="eastAsia"/>
                <w:bCs/>
                <w:color w:val="auto"/>
                <w:kern w:val="0"/>
                <w:sz w:val="21"/>
                <w:szCs w:val="21"/>
              </w:rPr>
              <w:t>31</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成品输送带</w:t>
            </w:r>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cs="宋体" w:hint="eastAsia"/>
                <w:color w:val="auto"/>
                <w:kern w:val="0"/>
                <w:sz w:val="21"/>
                <w:szCs w:val="21"/>
                <w:lang w:bidi="en-US"/>
              </w:rPr>
              <w:t>P=7.5kW</w:t>
            </w:r>
          </w:p>
        </w:tc>
        <w:tc>
          <w:tcPr>
            <w:tcW w:w="917"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hint="eastAsia"/>
                <w:color w:val="auto"/>
                <w:kern w:val="0"/>
                <w:sz w:val="21"/>
                <w:szCs w:val="21"/>
                <w:lang w:eastAsia="en-US" w:bidi="en-US"/>
              </w:rPr>
              <w:t>套</w:t>
            </w:r>
          </w:p>
        </w:tc>
        <w:tc>
          <w:tcPr>
            <w:tcW w:w="1126" w:type="dxa"/>
            <w:vAlign w:val="center"/>
          </w:tcPr>
          <w:p w:rsidR="003F13AB" w:rsidRDefault="00EC6E7E">
            <w:pPr>
              <w:widowControl/>
              <w:adjustRightInd/>
              <w:snapToGrid/>
              <w:spacing w:line="240" w:lineRule="auto"/>
              <w:ind w:firstLineChars="0" w:firstLine="0"/>
              <w:jc w:val="center"/>
              <w:rPr>
                <w:rFonts w:ascii="宋体" w:hAnsi="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hint="eastAsia"/>
                <w:bCs/>
                <w:color w:val="auto"/>
                <w:kern w:val="0"/>
                <w:sz w:val="21"/>
                <w:szCs w:val="21"/>
              </w:rPr>
              <w:t>32</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自动包装秤</w:t>
            </w:r>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cs="宋体" w:hint="eastAsia"/>
                <w:color w:val="auto"/>
                <w:kern w:val="0"/>
                <w:sz w:val="21"/>
                <w:szCs w:val="21"/>
                <w:lang w:bidi="en-US"/>
              </w:rPr>
              <w:t>P=3kW</w:t>
            </w:r>
          </w:p>
        </w:tc>
        <w:tc>
          <w:tcPr>
            <w:tcW w:w="917"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hint="eastAsia"/>
                <w:bCs/>
                <w:color w:val="auto"/>
                <w:kern w:val="0"/>
                <w:sz w:val="21"/>
                <w:szCs w:val="21"/>
              </w:rPr>
              <w:t>33</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proofErr w:type="gramStart"/>
            <w:r>
              <w:rPr>
                <w:rFonts w:ascii="宋体" w:hAnsi="宋体" w:cs="宋体" w:hint="eastAsia"/>
                <w:kern w:val="0"/>
                <w:sz w:val="21"/>
                <w:szCs w:val="21"/>
                <w:lang w:bidi="ar"/>
              </w:rPr>
              <w:t>码垛机</w:t>
            </w:r>
            <w:proofErr w:type="gramEnd"/>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cs="宋体" w:hint="eastAsia"/>
                <w:color w:val="auto"/>
                <w:kern w:val="0"/>
                <w:sz w:val="21"/>
                <w:szCs w:val="21"/>
                <w:lang w:bidi="en-US"/>
              </w:rPr>
              <w:t>P=15kW</w:t>
            </w:r>
          </w:p>
        </w:tc>
        <w:tc>
          <w:tcPr>
            <w:tcW w:w="917"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hint="eastAsia"/>
                <w:bCs/>
                <w:color w:val="auto"/>
                <w:kern w:val="0"/>
                <w:sz w:val="21"/>
                <w:szCs w:val="21"/>
              </w:rPr>
              <w:t>34</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系统除尘风机</w:t>
            </w:r>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cs="宋体" w:hint="eastAsia"/>
                <w:color w:val="auto"/>
                <w:kern w:val="0"/>
                <w:sz w:val="21"/>
                <w:szCs w:val="21"/>
                <w:lang w:bidi="en-US"/>
              </w:rPr>
              <w:t>P=90kW</w:t>
            </w:r>
          </w:p>
        </w:tc>
        <w:tc>
          <w:tcPr>
            <w:tcW w:w="917"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hint="eastAsia"/>
                <w:bCs/>
                <w:color w:val="auto"/>
                <w:kern w:val="0"/>
                <w:sz w:val="21"/>
                <w:szCs w:val="21"/>
              </w:rPr>
              <w:t>35</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地坑换气风机</w:t>
            </w:r>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cs="宋体" w:hint="eastAsia"/>
                <w:color w:val="auto"/>
                <w:kern w:val="0"/>
                <w:sz w:val="21"/>
                <w:szCs w:val="21"/>
                <w:lang w:bidi="en-US"/>
              </w:rPr>
              <w:t>P=7.5kW</w:t>
            </w:r>
          </w:p>
        </w:tc>
        <w:tc>
          <w:tcPr>
            <w:tcW w:w="917"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hint="eastAsia"/>
                <w:color w:val="auto"/>
                <w:kern w:val="0"/>
                <w:sz w:val="21"/>
                <w:szCs w:val="21"/>
                <w:lang w:bidi="en-US"/>
              </w:rPr>
              <w:t>台</w:t>
            </w:r>
          </w:p>
        </w:tc>
        <w:tc>
          <w:tcPr>
            <w:tcW w:w="1126" w:type="dxa"/>
            <w:vAlign w:val="center"/>
          </w:tcPr>
          <w:p w:rsidR="003F13AB" w:rsidRDefault="00EC6E7E">
            <w:pPr>
              <w:widowControl/>
              <w:adjustRightInd/>
              <w:snapToGrid/>
              <w:spacing w:line="240" w:lineRule="auto"/>
              <w:ind w:firstLineChars="0" w:firstLine="0"/>
              <w:jc w:val="center"/>
              <w:rPr>
                <w:rFonts w:ascii="宋体" w:hAnsi="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r w:rsidR="003F13AB">
        <w:trPr>
          <w:trHeight w:val="397"/>
          <w:tblHeader/>
          <w:jc w:val="center"/>
        </w:trPr>
        <w:tc>
          <w:tcPr>
            <w:tcW w:w="1616" w:type="dxa"/>
            <w:vAlign w:val="center"/>
          </w:tcPr>
          <w:p w:rsidR="003F13AB" w:rsidRDefault="00EC6E7E">
            <w:pPr>
              <w:adjustRightInd/>
              <w:snapToGrid/>
              <w:spacing w:line="240" w:lineRule="auto"/>
              <w:ind w:firstLineChars="0" w:firstLine="0"/>
              <w:jc w:val="center"/>
              <w:rPr>
                <w:rFonts w:ascii="宋体" w:hAnsi="宋体"/>
                <w:bCs/>
                <w:color w:val="auto"/>
                <w:kern w:val="0"/>
                <w:sz w:val="21"/>
                <w:szCs w:val="21"/>
              </w:rPr>
            </w:pPr>
            <w:r>
              <w:rPr>
                <w:rFonts w:ascii="宋体" w:hAnsi="宋体" w:hint="eastAsia"/>
                <w:bCs/>
                <w:color w:val="auto"/>
                <w:kern w:val="0"/>
                <w:sz w:val="21"/>
                <w:szCs w:val="21"/>
              </w:rPr>
              <w:t>36</w:t>
            </w:r>
          </w:p>
        </w:tc>
        <w:tc>
          <w:tcPr>
            <w:tcW w:w="2239" w:type="dxa"/>
            <w:vAlign w:val="center"/>
          </w:tcPr>
          <w:p w:rsidR="003F13AB" w:rsidRDefault="00EC6E7E">
            <w:pPr>
              <w:widowControl/>
              <w:adjustRightInd/>
              <w:snapToGrid/>
              <w:spacing w:line="240" w:lineRule="auto"/>
              <w:ind w:firstLineChars="0" w:firstLine="0"/>
              <w:jc w:val="left"/>
              <w:textAlignment w:val="center"/>
              <w:rPr>
                <w:rFonts w:ascii="宋体" w:hAnsi="宋体"/>
                <w:color w:val="auto"/>
                <w:kern w:val="0"/>
                <w:sz w:val="21"/>
                <w:szCs w:val="21"/>
                <w:lang w:eastAsia="en-US" w:bidi="en-US"/>
              </w:rPr>
            </w:pPr>
            <w:r>
              <w:rPr>
                <w:rFonts w:ascii="宋体" w:hAnsi="宋体" w:cs="宋体" w:hint="eastAsia"/>
                <w:kern w:val="0"/>
                <w:sz w:val="21"/>
                <w:szCs w:val="21"/>
                <w:lang w:bidi="ar"/>
              </w:rPr>
              <w:t>散点布袋</w:t>
            </w:r>
          </w:p>
        </w:tc>
        <w:tc>
          <w:tcPr>
            <w:tcW w:w="2116"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cs="宋体" w:hint="eastAsia"/>
                <w:color w:val="auto"/>
                <w:kern w:val="0"/>
                <w:sz w:val="21"/>
                <w:szCs w:val="21"/>
                <w:lang w:bidi="en-US"/>
              </w:rPr>
              <w:t>P=7.5kW</w:t>
            </w:r>
          </w:p>
        </w:tc>
        <w:tc>
          <w:tcPr>
            <w:tcW w:w="917" w:type="dxa"/>
            <w:vAlign w:val="center"/>
          </w:tcPr>
          <w:p w:rsidR="003F13AB" w:rsidRDefault="00EC6E7E">
            <w:pPr>
              <w:widowControl/>
              <w:adjustRightInd/>
              <w:snapToGrid/>
              <w:spacing w:line="240" w:lineRule="auto"/>
              <w:ind w:firstLineChars="0" w:firstLine="0"/>
              <w:jc w:val="left"/>
              <w:rPr>
                <w:rFonts w:ascii="宋体" w:hAnsi="宋体"/>
                <w:color w:val="auto"/>
                <w:kern w:val="0"/>
                <w:sz w:val="21"/>
                <w:szCs w:val="21"/>
                <w:lang w:eastAsia="en-US" w:bidi="en-US"/>
              </w:rPr>
            </w:pPr>
            <w:r>
              <w:rPr>
                <w:rFonts w:ascii="宋体" w:hAnsi="宋体" w:hint="eastAsia"/>
                <w:color w:val="auto"/>
                <w:kern w:val="0"/>
                <w:sz w:val="21"/>
                <w:szCs w:val="21"/>
                <w:lang w:eastAsia="en-US" w:bidi="en-US"/>
              </w:rPr>
              <w:t>套</w:t>
            </w:r>
          </w:p>
        </w:tc>
        <w:tc>
          <w:tcPr>
            <w:tcW w:w="1126" w:type="dxa"/>
            <w:vAlign w:val="center"/>
          </w:tcPr>
          <w:p w:rsidR="003F13AB" w:rsidRDefault="00EC6E7E">
            <w:pPr>
              <w:widowControl/>
              <w:adjustRightInd/>
              <w:snapToGrid/>
              <w:spacing w:line="240" w:lineRule="auto"/>
              <w:ind w:firstLineChars="0" w:firstLine="0"/>
              <w:jc w:val="center"/>
              <w:rPr>
                <w:rFonts w:ascii="宋体" w:hAnsi="宋体"/>
                <w:color w:val="auto"/>
                <w:kern w:val="0"/>
                <w:sz w:val="21"/>
                <w:szCs w:val="21"/>
                <w:lang w:bidi="en-US"/>
              </w:rPr>
            </w:pPr>
            <w:r>
              <w:rPr>
                <w:rFonts w:ascii="宋体" w:hAnsi="宋体" w:hint="eastAsia"/>
                <w:color w:val="auto"/>
                <w:kern w:val="0"/>
                <w:sz w:val="21"/>
                <w:szCs w:val="21"/>
                <w:lang w:bidi="en-US"/>
              </w:rPr>
              <w:t>1</w:t>
            </w:r>
          </w:p>
        </w:tc>
        <w:tc>
          <w:tcPr>
            <w:tcW w:w="1058" w:type="dxa"/>
            <w:vAlign w:val="center"/>
          </w:tcPr>
          <w:p w:rsidR="003F13AB" w:rsidRDefault="003F13AB">
            <w:pPr>
              <w:widowControl/>
              <w:adjustRightInd/>
              <w:snapToGrid/>
              <w:spacing w:line="240" w:lineRule="auto"/>
              <w:ind w:firstLineChars="0" w:firstLine="0"/>
              <w:rPr>
                <w:rFonts w:ascii="宋体" w:hAnsi="宋体" w:cs="宋体"/>
                <w:color w:val="auto"/>
                <w:kern w:val="0"/>
                <w:sz w:val="21"/>
                <w:szCs w:val="21"/>
                <w:lang w:eastAsia="en-US" w:bidi="en-US"/>
              </w:rPr>
            </w:pPr>
          </w:p>
        </w:tc>
      </w:tr>
    </w:tbl>
    <w:p w:rsidR="003F13AB" w:rsidRDefault="003F13AB">
      <w:pPr>
        <w:widowControl/>
        <w:adjustRightInd/>
        <w:snapToGrid/>
        <w:ind w:firstLine="560"/>
        <w:jc w:val="left"/>
        <w:rPr>
          <w:rFonts w:ascii="宋体" w:hAnsi="宋体"/>
          <w:kern w:val="0"/>
          <w:szCs w:val="28"/>
          <w:lang w:bidi="en-US"/>
        </w:rPr>
      </w:pPr>
    </w:p>
    <w:p w:rsidR="003F13AB" w:rsidRDefault="00EC6E7E">
      <w:pPr>
        <w:widowControl/>
        <w:adjustRightInd/>
        <w:snapToGrid/>
        <w:ind w:firstLine="560"/>
        <w:jc w:val="left"/>
        <w:rPr>
          <w:rFonts w:ascii="宋体" w:hAnsi="宋体"/>
          <w:kern w:val="0"/>
          <w:szCs w:val="28"/>
          <w:lang w:bidi="en-US"/>
        </w:rPr>
      </w:pPr>
      <w:r>
        <w:rPr>
          <w:rFonts w:ascii="宋体" w:hAnsi="宋体" w:hint="eastAsia"/>
          <w:kern w:val="0"/>
          <w:szCs w:val="28"/>
          <w:lang w:bidi="en-US"/>
        </w:rPr>
        <w:t>（2）</w:t>
      </w:r>
      <w:proofErr w:type="gramStart"/>
      <w:r>
        <w:rPr>
          <w:rFonts w:ascii="宋体" w:hAnsi="宋体" w:hint="eastAsia"/>
          <w:kern w:val="0"/>
          <w:szCs w:val="28"/>
          <w:lang w:bidi="en-US"/>
        </w:rPr>
        <w:t>半浆法转鼓</w:t>
      </w:r>
      <w:proofErr w:type="gramEnd"/>
      <w:r>
        <w:rPr>
          <w:rFonts w:ascii="宋体" w:hAnsi="宋体" w:hint="eastAsia"/>
          <w:kern w:val="0"/>
          <w:szCs w:val="28"/>
          <w:lang w:bidi="en-US"/>
        </w:rPr>
        <w:t>造粒生产线生产设备</w:t>
      </w:r>
    </w:p>
    <w:p w:rsidR="003F13AB" w:rsidRDefault="00EC6E7E">
      <w:pPr>
        <w:pStyle w:val="Default1"/>
        <w:jc w:val="center"/>
        <w:rPr>
          <w:rFonts w:ascii="宋体" w:hAnsi="宋体" w:hint="default"/>
          <w:kern w:val="2"/>
          <w:sz w:val="28"/>
          <w:szCs w:val="28"/>
        </w:rPr>
      </w:pPr>
      <w:r>
        <w:rPr>
          <w:rFonts w:ascii="宋体" w:hAnsi="宋体"/>
          <w:kern w:val="2"/>
          <w:sz w:val="28"/>
          <w:szCs w:val="28"/>
        </w:rPr>
        <w:t xml:space="preserve">表2.2-9 </w:t>
      </w:r>
      <w:proofErr w:type="gramStart"/>
      <w:r>
        <w:rPr>
          <w:rFonts w:ascii="宋体" w:hAnsi="宋体"/>
          <w:kern w:val="2"/>
          <w:sz w:val="28"/>
          <w:szCs w:val="28"/>
        </w:rPr>
        <w:t>半浆法转鼓</w:t>
      </w:r>
      <w:proofErr w:type="gramEnd"/>
      <w:r>
        <w:rPr>
          <w:rFonts w:ascii="宋体" w:hAnsi="宋体"/>
          <w:kern w:val="2"/>
          <w:sz w:val="28"/>
          <w:szCs w:val="28"/>
        </w:rPr>
        <w:t>造粒生产线主要设备一览表</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50"/>
        <w:gridCol w:w="3632"/>
        <w:gridCol w:w="645"/>
        <w:gridCol w:w="645"/>
        <w:gridCol w:w="1295"/>
      </w:tblGrid>
      <w:tr w:rsidR="003F13AB">
        <w:trPr>
          <w:trHeight w:val="397"/>
          <w:tblHeader/>
          <w:jc w:val="center"/>
        </w:trPr>
        <w:tc>
          <w:tcPr>
            <w:tcW w:w="851" w:type="dxa"/>
            <w:vAlign w:val="center"/>
          </w:tcPr>
          <w:p w:rsidR="003F13AB" w:rsidRDefault="00EC6E7E">
            <w:pPr>
              <w:adjustRightInd/>
              <w:spacing w:line="240" w:lineRule="auto"/>
              <w:ind w:firstLineChars="0" w:firstLine="0"/>
              <w:rPr>
                <w:rFonts w:ascii="宋体" w:hAnsi="宋体"/>
                <w:b/>
                <w:bCs/>
                <w:color w:val="auto"/>
                <w:sz w:val="21"/>
                <w:szCs w:val="21"/>
              </w:rPr>
            </w:pPr>
            <w:r>
              <w:rPr>
                <w:rFonts w:ascii="宋体" w:hAnsi="宋体"/>
                <w:b/>
                <w:bCs/>
                <w:color w:val="auto"/>
                <w:sz w:val="21"/>
                <w:szCs w:val="21"/>
              </w:rPr>
              <w:t>序号</w:t>
            </w:r>
          </w:p>
        </w:tc>
        <w:tc>
          <w:tcPr>
            <w:tcW w:w="1650"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设备名称</w:t>
            </w:r>
          </w:p>
        </w:tc>
        <w:tc>
          <w:tcPr>
            <w:tcW w:w="3632"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规格型号</w:t>
            </w:r>
          </w:p>
        </w:tc>
        <w:tc>
          <w:tcPr>
            <w:tcW w:w="645"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单位</w:t>
            </w:r>
          </w:p>
        </w:tc>
        <w:tc>
          <w:tcPr>
            <w:tcW w:w="645"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数量</w:t>
            </w:r>
          </w:p>
        </w:tc>
        <w:tc>
          <w:tcPr>
            <w:tcW w:w="1295"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备注</w:t>
            </w: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大块破碎机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Q235A</w:t>
            </w:r>
            <w:r>
              <w:rPr>
                <w:rFonts w:ascii="宋体" w:hAnsi="宋体" w:hint="eastAsia"/>
                <w:color w:val="auto"/>
                <w:sz w:val="21"/>
                <w:szCs w:val="21"/>
              </w:rPr>
              <w:t>，</w:t>
            </w:r>
            <w:r>
              <w:rPr>
                <w:rFonts w:ascii="宋体" w:hAnsi="宋体" w:hint="eastAsia"/>
                <w:color w:val="auto"/>
                <w:sz w:val="21"/>
                <w:szCs w:val="21"/>
                <w:lang w:eastAsia="en-US"/>
              </w:rPr>
              <w:t>8mm</w:t>
            </w:r>
            <w:r>
              <w:rPr>
                <w:rFonts w:ascii="宋体" w:hAnsi="宋体" w:hint="eastAsia"/>
                <w:color w:val="auto"/>
                <w:sz w:val="21"/>
                <w:szCs w:val="21"/>
              </w:rPr>
              <w:t>，</w:t>
            </w:r>
            <w:r>
              <w:rPr>
                <w:rFonts w:ascii="宋体" w:hAnsi="宋体" w:hint="eastAsia"/>
                <w:color w:val="auto"/>
                <w:sz w:val="21"/>
                <w:szCs w:val="21"/>
                <w:lang w:eastAsia="en-US"/>
              </w:rPr>
              <w:t>减速机：JZQ350</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电机：7.5kw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尿素粉碎机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粉碎能力：10-12t/h</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电机：22+15kw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3</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DAP粉碎机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锤式破碎机</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粉碎能力：10-15t/h</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电机：22+15kw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4</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链磨机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W-1000</w:t>
            </w:r>
            <w:r>
              <w:rPr>
                <w:rFonts w:ascii="宋体" w:hAnsi="宋体" w:hint="eastAsia"/>
                <w:color w:val="auto"/>
                <w:sz w:val="21"/>
                <w:szCs w:val="21"/>
              </w:rPr>
              <w:t>，</w:t>
            </w:r>
            <w:r>
              <w:rPr>
                <w:rFonts w:ascii="宋体" w:hAnsi="宋体" w:hint="eastAsia"/>
                <w:color w:val="auto"/>
                <w:sz w:val="21"/>
                <w:szCs w:val="21"/>
                <w:lang w:eastAsia="en-US"/>
              </w:rPr>
              <w:t>N=30KW×2；</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粉碎能力：18-20t/h</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lastRenderedPageBreak/>
              <w:t>5</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转鼓造粒机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φ</w:t>
            </w:r>
            <w:r>
              <w:rPr>
                <w:rFonts w:ascii="宋体" w:hAnsi="宋体" w:hint="eastAsia"/>
                <w:color w:val="auto"/>
                <w:sz w:val="21"/>
                <w:szCs w:val="21"/>
              </w:rPr>
              <w:t>2.6×10m，左传动</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转速：9.8r/min；倾角：2.5°</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减速机：ZL100</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电机：75kw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6</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烘干机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φ</w:t>
            </w:r>
            <w:r>
              <w:rPr>
                <w:rFonts w:ascii="宋体" w:hAnsi="宋体" w:hint="eastAsia"/>
                <w:color w:val="auto"/>
                <w:sz w:val="21"/>
                <w:szCs w:val="21"/>
              </w:rPr>
              <w:t>2.8×32m，左传动</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转速：3.2rpm；倾角：2.5°</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 xml:space="preserve">减速机：ZSY450 </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电机功率：90kw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7</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冷却机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φ</w:t>
            </w:r>
            <w:r>
              <w:rPr>
                <w:rFonts w:ascii="宋体" w:hAnsi="宋体" w:hint="eastAsia"/>
                <w:color w:val="auto"/>
                <w:sz w:val="21"/>
                <w:szCs w:val="21"/>
              </w:rPr>
              <w:t xml:space="preserve">2.6×26m，左传动 </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转速：4.2rpm；倾角2.5°；</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减速机：ZSY400；</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电机：75kw；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8</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粗粒</w:t>
            </w:r>
            <w:r>
              <w:rPr>
                <w:rFonts w:ascii="宋体" w:hAnsi="宋体" w:hint="eastAsia"/>
                <w:color w:val="auto"/>
                <w:sz w:val="21"/>
                <w:szCs w:val="21"/>
              </w:rPr>
              <w:t>圆筒</w:t>
            </w:r>
            <w:r>
              <w:rPr>
                <w:rFonts w:ascii="宋体" w:hAnsi="宋体" w:hint="eastAsia"/>
                <w:color w:val="auto"/>
                <w:sz w:val="21"/>
                <w:szCs w:val="21"/>
                <w:lang w:eastAsia="en-US"/>
              </w:rPr>
              <w:t>筛A/B</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规格型号：10</w:t>
            </w:r>
            <w:r>
              <w:rPr>
                <w:rFonts w:ascii="宋体" w:hAnsi="宋体"/>
                <w:color w:val="auto"/>
                <w:sz w:val="21"/>
                <w:szCs w:val="21"/>
              </w:rPr>
              <w:t>m</w:t>
            </w:r>
            <w:r>
              <w:rPr>
                <w:rFonts w:ascii="宋体" w:hAnsi="宋体"/>
                <w:color w:val="auto"/>
                <w:sz w:val="21"/>
                <w:szCs w:val="21"/>
                <w:vertAlign w:val="superscript"/>
              </w:rPr>
              <w:t>2</w:t>
            </w:r>
            <w:r>
              <w:rPr>
                <w:rFonts w:ascii="宋体" w:hAnsi="宋体" w:hint="eastAsia"/>
                <w:color w:val="auto"/>
                <w:sz w:val="21"/>
                <w:szCs w:val="21"/>
              </w:rPr>
              <w:t>（2×5m）</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筛网：4.5mm孔，N=2.2kw×2</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2</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9</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细粒</w:t>
            </w:r>
            <w:r>
              <w:rPr>
                <w:rFonts w:ascii="宋体" w:hAnsi="宋体" w:hint="eastAsia"/>
                <w:color w:val="auto"/>
                <w:sz w:val="21"/>
                <w:szCs w:val="21"/>
              </w:rPr>
              <w:t>圆筒</w:t>
            </w:r>
            <w:r>
              <w:rPr>
                <w:rFonts w:ascii="宋体" w:hAnsi="宋体" w:hint="eastAsia"/>
                <w:color w:val="auto"/>
                <w:sz w:val="21"/>
                <w:szCs w:val="21"/>
                <w:lang w:eastAsia="en-US"/>
              </w:rPr>
              <w:t>筛A/B</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规格型号：10m</w:t>
            </w:r>
            <w:r>
              <w:rPr>
                <w:rFonts w:ascii="宋体" w:hAnsi="宋体" w:hint="eastAsia"/>
                <w:color w:val="auto"/>
                <w:sz w:val="21"/>
                <w:szCs w:val="21"/>
                <w:vertAlign w:val="superscript"/>
              </w:rPr>
              <w:t>2</w:t>
            </w:r>
            <w:r>
              <w:rPr>
                <w:rFonts w:ascii="宋体" w:hAnsi="宋体" w:hint="eastAsia"/>
                <w:color w:val="auto"/>
                <w:sz w:val="21"/>
                <w:szCs w:val="21"/>
              </w:rPr>
              <w:t>（2×5m）</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筛网：2.5mm孔，N=2.2kw×2</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2</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10</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包膜机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φ</w:t>
            </w:r>
            <w:r>
              <w:rPr>
                <w:rFonts w:ascii="宋体" w:hAnsi="宋体" w:hint="eastAsia"/>
                <w:color w:val="auto"/>
                <w:sz w:val="21"/>
                <w:szCs w:val="21"/>
              </w:rPr>
              <w:t>2.0×8m+1m,左传动</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转速：12rpm；倾角：2.5°</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减速机：ZL75；</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电机功率：22kw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11</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热风炉</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550万kca</w:t>
            </w:r>
            <w:r>
              <w:rPr>
                <w:rFonts w:ascii="宋体" w:hAnsi="宋体" w:hint="eastAsia"/>
                <w:color w:val="auto"/>
                <w:sz w:val="21"/>
                <w:szCs w:val="21"/>
              </w:rPr>
              <w:t>l</w:t>
            </w:r>
            <w:r>
              <w:rPr>
                <w:rFonts w:ascii="宋体" w:hAnsi="宋体" w:hint="eastAsia"/>
                <w:color w:val="auto"/>
                <w:sz w:val="21"/>
                <w:szCs w:val="21"/>
                <w:lang w:eastAsia="en-US"/>
              </w:rPr>
              <w:t>/h</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燃料用</w:t>
            </w:r>
            <w:r>
              <w:rPr>
                <w:rFonts w:ascii="宋体" w:hAnsi="宋体" w:hint="eastAsia"/>
                <w:color w:val="auto"/>
                <w:sz w:val="21"/>
                <w:szCs w:val="21"/>
              </w:rPr>
              <w:t>天然气</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12</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热风机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风量：40129-73339m</w:t>
            </w:r>
            <w:r>
              <w:rPr>
                <w:rFonts w:ascii="宋体" w:hAnsi="宋体" w:hint="eastAsia"/>
                <w:color w:val="auto"/>
                <w:sz w:val="21"/>
                <w:szCs w:val="21"/>
                <w:vertAlign w:val="superscript"/>
              </w:rPr>
              <w:t>3</w:t>
            </w:r>
            <w:r>
              <w:rPr>
                <w:rFonts w:ascii="宋体" w:hAnsi="宋体" w:hint="eastAsia"/>
                <w:color w:val="auto"/>
                <w:sz w:val="21"/>
                <w:szCs w:val="21"/>
              </w:rPr>
              <w:t>/h</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全压：1648-1138pa</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电动机：Y2－250M-637kw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13</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烘干尾气风机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风量：64791-114952m</w:t>
            </w:r>
            <w:r>
              <w:rPr>
                <w:rFonts w:ascii="宋体" w:hAnsi="宋体" w:hint="eastAsia"/>
                <w:color w:val="auto"/>
                <w:sz w:val="21"/>
                <w:szCs w:val="21"/>
                <w:vertAlign w:val="superscript"/>
              </w:rPr>
              <w:t>3</w:t>
            </w:r>
            <w:r>
              <w:rPr>
                <w:rFonts w:ascii="宋体" w:hAnsi="宋体" w:hint="eastAsia"/>
                <w:color w:val="auto"/>
                <w:sz w:val="21"/>
                <w:szCs w:val="21"/>
              </w:rPr>
              <w:t xml:space="preserve">/h </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 xml:space="preserve">全压：5325-3619pa </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电动机:YE3-315M2-4，160kw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14</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冷却尾气风机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风量:46606-82688m</w:t>
            </w:r>
            <w:r>
              <w:rPr>
                <w:rFonts w:ascii="宋体" w:hAnsi="宋体" w:hint="eastAsia"/>
                <w:color w:val="auto"/>
                <w:sz w:val="21"/>
                <w:szCs w:val="21"/>
                <w:vertAlign w:val="superscript"/>
              </w:rPr>
              <w:t>3</w:t>
            </w:r>
            <w:r>
              <w:rPr>
                <w:rFonts w:ascii="宋体" w:hAnsi="宋体" w:hint="eastAsia"/>
                <w:color w:val="auto"/>
                <w:sz w:val="21"/>
                <w:szCs w:val="21"/>
              </w:rPr>
              <w:t>/h</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全压:4076-2903pa</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电动机:YE3-280M-4，90kw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15</w:t>
            </w:r>
          </w:p>
        </w:tc>
        <w:tc>
          <w:tcPr>
            <w:tcW w:w="165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系统尾气风机</w:t>
            </w:r>
          </w:p>
        </w:tc>
        <w:tc>
          <w:tcPr>
            <w:tcW w:w="363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风量:33173-58856m</w:t>
            </w:r>
            <w:r>
              <w:rPr>
                <w:rFonts w:ascii="宋体" w:hAnsi="宋体" w:hint="eastAsia"/>
                <w:color w:val="auto"/>
                <w:sz w:val="21"/>
                <w:szCs w:val="21"/>
                <w:vertAlign w:val="superscript"/>
              </w:rPr>
              <w:t>3</w:t>
            </w:r>
            <w:r>
              <w:rPr>
                <w:rFonts w:ascii="宋体" w:hAnsi="宋体" w:hint="eastAsia"/>
                <w:color w:val="auto"/>
                <w:sz w:val="21"/>
                <w:szCs w:val="21"/>
              </w:rPr>
              <w:t>/h</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全压:3403-2315pa</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电动机:YE3-250M-4，55kw</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16</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proofErr w:type="gramStart"/>
            <w:r>
              <w:rPr>
                <w:rFonts w:ascii="宋体" w:hAnsi="宋体" w:hint="eastAsia"/>
                <w:color w:val="auto"/>
                <w:sz w:val="21"/>
                <w:szCs w:val="21"/>
              </w:rPr>
              <w:t>无轴螺旋输送机</w:t>
            </w:r>
            <w:proofErr w:type="gramEnd"/>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TD75 B1000，L=16500mm</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V=0.3-0.4m/s</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减速机：JZQ400－7.5kw</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槽型双向螺旋橡托辊,传动左装</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17</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proofErr w:type="gramStart"/>
            <w:r>
              <w:rPr>
                <w:rFonts w:ascii="宋体" w:hAnsi="宋体" w:hint="eastAsia"/>
                <w:color w:val="auto"/>
                <w:sz w:val="21"/>
                <w:szCs w:val="21"/>
              </w:rPr>
              <w:t>粗返料</w:t>
            </w:r>
            <w:proofErr w:type="gramEnd"/>
            <w:r>
              <w:rPr>
                <w:rFonts w:ascii="宋体" w:hAnsi="宋体" w:hint="eastAsia"/>
                <w:color w:val="auto"/>
                <w:sz w:val="21"/>
                <w:szCs w:val="21"/>
              </w:rPr>
              <w:t>破碎机</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减速机：JZQ400-110kw</w:t>
            </w:r>
          </w:p>
          <w:p w:rsidR="003F13AB" w:rsidRDefault="00EC6E7E">
            <w:pPr>
              <w:adjustRightInd/>
              <w:spacing w:line="240" w:lineRule="auto"/>
              <w:ind w:firstLineChars="0" w:firstLine="0"/>
              <w:jc w:val="center"/>
              <w:rPr>
                <w:rFonts w:ascii="宋体" w:hAnsi="宋体"/>
                <w:color w:val="auto"/>
                <w:sz w:val="21"/>
                <w:szCs w:val="21"/>
              </w:rPr>
            </w:pPr>
            <w:proofErr w:type="gramStart"/>
            <w:r>
              <w:rPr>
                <w:rFonts w:ascii="宋体" w:hAnsi="宋体" w:hint="eastAsia"/>
                <w:color w:val="auto"/>
                <w:sz w:val="21"/>
                <w:szCs w:val="21"/>
              </w:rPr>
              <w:t>双轴链破电机</w:t>
            </w:r>
            <w:proofErr w:type="gramEnd"/>
            <w:r>
              <w:rPr>
                <w:rFonts w:ascii="宋体" w:hAnsi="宋体" w:hint="eastAsia"/>
                <w:color w:val="auto"/>
                <w:sz w:val="21"/>
                <w:szCs w:val="21"/>
              </w:rPr>
              <w:t>110kw</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18</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造粒进料提升机</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TH630,H=9000mm,传动左装</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电机：18.5KW,</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减速机:ZLY-180</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19</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冷却进料提升机</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TH630,H=8500mm,传动左装</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电机：18.5KW,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减速机:ZLY-180</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20</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筛分提升机</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TH630,H=14000mm,传动左装</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电机：Y132M-4-18.5KW,</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减速机:ZLY-180</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lastRenderedPageBreak/>
              <w:t>21</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成品输送</w:t>
            </w:r>
            <w:r>
              <w:rPr>
                <w:rFonts w:ascii="宋体" w:hAnsi="宋体" w:hint="eastAsia"/>
                <w:color w:val="auto"/>
                <w:sz w:val="21"/>
                <w:szCs w:val="21"/>
              </w:rPr>
              <w:t>皮</w:t>
            </w:r>
            <w:r>
              <w:rPr>
                <w:rFonts w:ascii="宋体" w:hAnsi="宋体" w:hint="eastAsia"/>
                <w:color w:val="auto"/>
                <w:sz w:val="21"/>
                <w:szCs w:val="21"/>
                <w:lang w:eastAsia="en-US"/>
              </w:rPr>
              <w:t>带</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TD75 B800，L=36500mm，</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减速机：JZQ400-11kw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V=0.3-0.4m/s</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槽型双向螺旋橡托辊,传动左装</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22</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成品</w:t>
            </w:r>
            <w:r>
              <w:rPr>
                <w:rFonts w:ascii="宋体" w:hAnsi="宋体" w:hint="eastAsia"/>
                <w:color w:val="auto"/>
                <w:sz w:val="21"/>
                <w:szCs w:val="21"/>
                <w:lang w:eastAsia="en-US"/>
              </w:rPr>
              <w:t>提升机</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TH250,H=7000mm,传动左装</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减速机:JZQ400-5.5kw</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23</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1#重力除尘室</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18m×6m×9m(长×宽×高）</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套</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24</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造粒尾洗塔</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φ1700×5800</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shd w:val="clear" w:color="auto" w:fill="auto"/>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25</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尾气烟筒</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φ</w:t>
            </w:r>
            <w:r>
              <w:rPr>
                <w:rFonts w:ascii="宋体" w:hAnsi="宋体" w:hint="eastAsia"/>
                <w:color w:val="auto"/>
                <w:sz w:val="21"/>
                <w:szCs w:val="21"/>
              </w:rPr>
              <w:t>2.4/</w:t>
            </w:r>
            <w:r>
              <w:rPr>
                <w:rFonts w:ascii="宋体" w:hAnsi="宋体" w:hint="eastAsia"/>
                <w:color w:val="auto"/>
                <w:sz w:val="21"/>
                <w:szCs w:val="21"/>
                <w:lang w:eastAsia="en-US"/>
              </w:rPr>
              <w:t>φ</w:t>
            </w:r>
            <w:r>
              <w:rPr>
                <w:rFonts w:ascii="宋体" w:hAnsi="宋体" w:hint="eastAsia"/>
                <w:color w:val="auto"/>
                <w:sz w:val="21"/>
                <w:szCs w:val="21"/>
              </w:rPr>
              <w:t>3.0,FRP玻璃钢，40m</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带支架</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shd w:val="clear" w:color="auto" w:fill="auto"/>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26</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分汽包</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PN:1.6Mpa</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进口：DN80</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出口：DN65×2+DN50×1+DN25×1+DN15表口+DN32疏水口</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27</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原料仓</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3m</w:t>
            </w:r>
            <w:r>
              <w:rPr>
                <w:rFonts w:ascii="宋体" w:hAnsi="宋体" w:hint="eastAsia"/>
                <w:color w:val="auto"/>
                <w:sz w:val="21"/>
                <w:szCs w:val="21"/>
                <w:vertAlign w:val="superscript"/>
                <w:lang w:eastAsia="en-US"/>
              </w:rPr>
              <w:t>3</w:t>
            </w:r>
            <w:r>
              <w:rPr>
                <w:rFonts w:ascii="宋体" w:hAnsi="宋体" w:hint="eastAsia"/>
                <w:color w:val="auto"/>
                <w:sz w:val="21"/>
                <w:szCs w:val="21"/>
                <w:lang w:eastAsia="en-US"/>
              </w:rPr>
              <w:t>，现场非标件</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10</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28</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成品料仓</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120</w:t>
            </w:r>
            <w:r>
              <w:rPr>
                <w:rFonts w:ascii="宋体" w:hAnsi="宋体" w:hint="eastAsia"/>
                <w:color w:val="auto"/>
                <w:sz w:val="21"/>
                <w:szCs w:val="21"/>
                <w:lang w:eastAsia="en-US"/>
              </w:rPr>
              <w:t>m</w:t>
            </w:r>
            <w:r>
              <w:rPr>
                <w:rFonts w:ascii="宋体" w:hAnsi="宋体" w:hint="eastAsia"/>
                <w:color w:val="auto"/>
                <w:sz w:val="21"/>
                <w:szCs w:val="21"/>
                <w:vertAlign w:val="superscript"/>
                <w:lang w:eastAsia="en-US"/>
              </w:rPr>
              <w:t>3</w:t>
            </w:r>
            <w:r>
              <w:rPr>
                <w:rFonts w:ascii="宋体" w:hAnsi="宋体" w:hint="eastAsia"/>
                <w:color w:val="auto"/>
                <w:sz w:val="21"/>
                <w:szCs w:val="21"/>
                <w:lang w:eastAsia="en-US"/>
              </w:rPr>
              <w:t>，现场非标件</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2</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29</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包膜</w:t>
            </w:r>
            <w:r>
              <w:rPr>
                <w:rFonts w:ascii="宋体" w:hAnsi="宋体" w:hint="eastAsia"/>
                <w:color w:val="auto"/>
                <w:sz w:val="21"/>
                <w:szCs w:val="21"/>
              </w:rPr>
              <w:t>油</w:t>
            </w:r>
            <w:r>
              <w:rPr>
                <w:rFonts w:ascii="宋体" w:hAnsi="宋体" w:hint="eastAsia"/>
                <w:color w:val="auto"/>
                <w:sz w:val="21"/>
                <w:szCs w:val="21"/>
                <w:lang w:eastAsia="en-US"/>
              </w:rPr>
              <w:t>熔</w:t>
            </w:r>
            <w:r>
              <w:rPr>
                <w:rFonts w:ascii="宋体" w:hAnsi="宋体" w:hint="eastAsia"/>
                <w:color w:val="auto"/>
                <w:sz w:val="21"/>
                <w:szCs w:val="21"/>
              </w:rPr>
              <w:t>融</w:t>
            </w:r>
            <w:r>
              <w:rPr>
                <w:rFonts w:ascii="宋体" w:hAnsi="宋体" w:hint="eastAsia"/>
                <w:color w:val="auto"/>
                <w:sz w:val="21"/>
                <w:szCs w:val="21"/>
                <w:lang w:eastAsia="en-US"/>
              </w:rPr>
              <w:t>槽</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φ1200*1200</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BLDY15-35,1.1kw</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30</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尿素熔</w:t>
            </w:r>
            <w:r>
              <w:rPr>
                <w:rFonts w:ascii="宋体" w:hAnsi="宋体" w:hint="eastAsia"/>
                <w:color w:val="auto"/>
                <w:sz w:val="21"/>
                <w:szCs w:val="21"/>
              </w:rPr>
              <w:t>融</w:t>
            </w:r>
            <w:r>
              <w:rPr>
                <w:rFonts w:ascii="宋体" w:hAnsi="宋体" w:hint="eastAsia"/>
                <w:color w:val="auto"/>
                <w:sz w:val="21"/>
                <w:szCs w:val="21"/>
                <w:lang w:eastAsia="en-US"/>
              </w:rPr>
              <w:t>槽</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φ</w:t>
            </w:r>
            <w:r>
              <w:rPr>
                <w:rFonts w:ascii="宋体" w:hAnsi="宋体" w:hint="eastAsia"/>
                <w:color w:val="auto"/>
                <w:sz w:val="21"/>
                <w:szCs w:val="21"/>
              </w:rPr>
              <w:t>2200×2200，</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搅拌电机功率：5.5kw</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31</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综合尾气洗涤泵</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100FY-37 介质：酸性洗涤液</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液下深度1.8m</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Q=100m</w:t>
            </w:r>
            <w:r>
              <w:rPr>
                <w:rFonts w:ascii="宋体" w:hAnsi="宋体" w:hint="eastAsia"/>
                <w:color w:val="auto"/>
                <w:sz w:val="21"/>
                <w:szCs w:val="21"/>
                <w:vertAlign w:val="superscript"/>
                <w:lang w:eastAsia="en-US"/>
              </w:rPr>
              <w:t>3</w:t>
            </w:r>
            <w:r>
              <w:rPr>
                <w:rFonts w:ascii="宋体" w:hAnsi="宋体" w:hint="eastAsia"/>
                <w:color w:val="auto"/>
                <w:sz w:val="21"/>
                <w:szCs w:val="21"/>
                <w:lang w:eastAsia="en-US"/>
              </w:rPr>
              <w:t>/h  H=37m  N=22kw</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2</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32</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尾洗塔循环泵</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65FY-25  介质：酸性洗涤液；</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液下深度1.8m，Q=29m</w:t>
            </w:r>
            <w:r>
              <w:rPr>
                <w:rFonts w:ascii="宋体" w:hAnsi="宋体" w:hint="eastAsia"/>
                <w:color w:val="auto"/>
                <w:sz w:val="21"/>
                <w:szCs w:val="21"/>
                <w:vertAlign w:val="superscript"/>
                <w:lang w:eastAsia="en-US"/>
              </w:rPr>
              <w:t>3</w:t>
            </w:r>
            <w:r>
              <w:rPr>
                <w:rFonts w:ascii="宋体" w:hAnsi="宋体" w:hint="eastAsia"/>
                <w:color w:val="auto"/>
                <w:sz w:val="21"/>
                <w:szCs w:val="21"/>
                <w:lang w:eastAsia="en-US"/>
              </w:rPr>
              <w:t>/h  H=25m</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Y2-132S1-2-5.5kw</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33</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包膜计量泵</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LJXS150/0.5 N＝0.55kw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介质：油脂类液体</w:t>
            </w:r>
          </w:p>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Q=150L/h  H=50m N=0.55kw</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34</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尿熔输送泵</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Q=10m</w:t>
            </w:r>
            <w:r>
              <w:rPr>
                <w:rFonts w:ascii="宋体" w:hAnsi="宋体" w:hint="eastAsia"/>
                <w:color w:val="auto"/>
                <w:sz w:val="21"/>
                <w:szCs w:val="21"/>
                <w:vertAlign w:val="superscript"/>
              </w:rPr>
              <w:t>3</w:t>
            </w:r>
            <w:r>
              <w:rPr>
                <w:rFonts w:ascii="宋体" w:hAnsi="宋体" w:hint="eastAsia"/>
                <w:color w:val="auto"/>
                <w:sz w:val="21"/>
                <w:szCs w:val="21"/>
              </w:rPr>
              <w:t xml:space="preserve">/h H=20m 液下深度1.8m            </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介质：尿素熔液，温度130度</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35</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失重称</w:t>
            </w:r>
            <w:r>
              <w:rPr>
                <w:rFonts w:ascii="宋体" w:hAnsi="宋体" w:hint="eastAsia"/>
                <w:color w:val="auto"/>
                <w:sz w:val="21"/>
                <w:szCs w:val="21"/>
                <w:lang w:eastAsia="en-US"/>
              </w:rPr>
              <w:t>1#</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B800×（1200+2000），N=3kw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流量：1.5-15t/h，</w:t>
            </w:r>
            <w:proofErr w:type="gramStart"/>
            <w:r>
              <w:rPr>
                <w:rFonts w:ascii="宋体" w:hAnsi="宋体" w:hint="eastAsia"/>
                <w:color w:val="auto"/>
                <w:sz w:val="21"/>
                <w:szCs w:val="21"/>
              </w:rPr>
              <w:t>传动右装</w:t>
            </w:r>
            <w:proofErr w:type="gramEnd"/>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36</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失重称</w:t>
            </w:r>
            <w:r>
              <w:rPr>
                <w:rFonts w:ascii="宋体" w:hAnsi="宋体" w:hint="eastAsia"/>
                <w:color w:val="auto"/>
                <w:sz w:val="21"/>
                <w:szCs w:val="21"/>
                <w:lang w:eastAsia="en-US"/>
              </w:rPr>
              <w:t>2#</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B800×（1200+2000），N=3kw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流量：1.5-15t/h，</w:t>
            </w:r>
            <w:proofErr w:type="gramStart"/>
            <w:r>
              <w:rPr>
                <w:rFonts w:ascii="宋体" w:hAnsi="宋体" w:hint="eastAsia"/>
                <w:color w:val="auto"/>
                <w:sz w:val="21"/>
                <w:szCs w:val="21"/>
              </w:rPr>
              <w:t>传动右装</w:t>
            </w:r>
            <w:proofErr w:type="gramEnd"/>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37</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失重称</w:t>
            </w:r>
            <w:r>
              <w:rPr>
                <w:rFonts w:ascii="宋体" w:hAnsi="宋体" w:hint="eastAsia"/>
                <w:color w:val="auto"/>
                <w:sz w:val="21"/>
                <w:szCs w:val="21"/>
                <w:lang w:eastAsia="en-US"/>
              </w:rPr>
              <w:t>3#</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B800×（1200+2000），N=3kw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流量：1.5-15t/h，</w:t>
            </w:r>
            <w:proofErr w:type="gramStart"/>
            <w:r>
              <w:rPr>
                <w:rFonts w:ascii="宋体" w:hAnsi="宋体" w:hint="eastAsia"/>
                <w:color w:val="auto"/>
                <w:sz w:val="21"/>
                <w:szCs w:val="21"/>
              </w:rPr>
              <w:t>传动右装</w:t>
            </w:r>
            <w:proofErr w:type="gramEnd"/>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38</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失重称</w:t>
            </w:r>
            <w:r>
              <w:rPr>
                <w:rFonts w:ascii="宋体" w:hAnsi="宋体" w:hint="eastAsia"/>
                <w:color w:val="auto"/>
                <w:sz w:val="21"/>
                <w:szCs w:val="21"/>
                <w:lang w:eastAsia="en-US"/>
              </w:rPr>
              <w:t>4#</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B800×（1200+2000），N=3kw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流量：1.5-15t/h，</w:t>
            </w:r>
            <w:proofErr w:type="gramStart"/>
            <w:r>
              <w:rPr>
                <w:rFonts w:ascii="宋体" w:hAnsi="宋体" w:hint="eastAsia"/>
                <w:color w:val="auto"/>
                <w:sz w:val="21"/>
                <w:szCs w:val="21"/>
              </w:rPr>
              <w:t>传动右装</w:t>
            </w:r>
            <w:proofErr w:type="gramEnd"/>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39</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失重称</w:t>
            </w:r>
            <w:r>
              <w:rPr>
                <w:rFonts w:ascii="宋体" w:hAnsi="宋体" w:hint="eastAsia"/>
                <w:color w:val="auto"/>
                <w:sz w:val="21"/>
                <w:szCs w:val="21"/>
                <w:lang w:eastAsia="en-US"/>
              </w:rPr>
              <w:t>5#</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B650×（1200+2000），N=2.2kw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流量：1.0-10t/h，</w:t>
            </w:r>
            <w:proofErr w:type="gramStart"/>
            <w:r>
              <w:rPr>
                <w:rFonts w:ascii="宋体" w:hAnsi="宋体" w:hint="eastAsia"/>
                <w:color w:val="auto"/>
                <w:sz w:val="21"/>
                <w:szCs w:val="21"/>
              </w:rPr>
              <w:t>传动右装</w:t>
            </w:r>
            <w:proofErr w:type="gramEnd"/>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40</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失重称</w:t>
            </w:r>
            <w:r>
              <w:rPr>
                <w:rFonts w:ascii="宋体" w:hAnsi="宋体" w:hint="eastAsia"/>
                <w:color w:val="auto"/>
                <w:sz w:val="21"/>
                <w:szCs w:val="21"/>
                <w:lang w:eastAsia="en-US"/>
              </w:rPr>
              <w:t>6#</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B650×（1200+2000），N=2.2kw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流量：1.0-10t/h，</w:t>
            </w:r>
            <w:proofErr w:type="gramStart"/>
            <w:r>
              <w:rPr>
                <w:rFonts w:ascii="宋体" w:hAnsi="宋体" w:hint="eastAsia"/>
                <w:color w:val="auto"/>
                <w:sz w:val="21"/>
                <w:szCs w:val="21"/>
              </w:rPr>
              <w:t>传动右装</w:t>
            </w:r>
            <w:proofErr w:type="gramEnd"/>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41</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失重称</w:t>
            </w:r>
            <w:r>
              <w:rPr>
                <w:rFonts w:ascii="宋体" w:hAnsi="宋体" w:hint="eastAsia"/>
                <w:color w:val="auto"/>
                <w:sz w:val="21"/>
                <w:szCs w:val="21"/>
                <w:lang w:eastAsia="en-US"/>
              </w:rPr>
              <w:t>7#</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B650×（1200+2000），N=2.2kw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流量：1.0-10t/h，</w:t>
            </w:r>
            <w:proofErr w:type="gramStart"/>
            <w:r>
              <w:rPr>
                <w:rFonts w:ascii="宋体" w:hAnsi="宋体" w:hint="eastAsia"/>
                <w:color w:val="auto"/>
                <w:sz w:val="21"/>
                <w:szCs w:val="21"/>
              </w:rPr>
              <w:t>传动右装</w:t>
            </w:r>
            <w:proofErr w:type="gramEnd"/>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42</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失重称</w:t>
            </w:r>
            <w:r>
              <w:rPr>
                <w:rFonts w:ascii="宋体" w:hAnsi="宋体" w:hint="eastAsia"/>
                <w:color w:val="auto"/>
                <w:sz w:val="21"/>
                <w:szCs w:val="21"/>
                <w:lang w:eastAsia="en-US"/>
              </w:rPr>
              <w:t>8#</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B650×2000，N=1.1kw</w:t>
            </w:r>
          </w:p>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流量：0.8-8t/h，</w:t>
            </w:r>
            <w:proofErr w:type="gramStart"/>
            <w:r>
              <w:rPr>
                <w:rFonts w:ascii="宋体" w:hAnsi="宋体" w:hint="eastAsia"/>
                <w:color w:val="auto"/>
                <w:sz w:val="21"/>
                <w:szCs w:val="21"/>
              </w:rPr>
              <w:t>传动右装</w:t>
            </w:r>
            <w:proofErr w:type="gramEnd"/>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lastRenderedPageBreak/>
              <w:t>43</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自动包装秤</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DCS-50,F701仪表，精度±0.01</w:t>
            </w:r>
            <w:r>
              <w:rPr>
                <w:rFonts w:ascii="宋体" w:hAnsi="宋体" w:hint="eastAsia"/>
                <w:color w:val="auto"/>
                <w:sz w:val="21"/>
                <w:szCs w:val="21"/>
              </w:rPr>
              <w:t>，</w:t>
            </w:r>
            <w:r>
              <w:rPr>
                <w:rFonts w:ascii="宋体" w:hAnsi="宋体" w:hint="eastAsia"/>
                <w:color w:val="auto"/>
                <w:sz w:val="21"/>
                <w:szCs w:val="21"/>
                <w:lang w:eastAsia="en-US"/>
              </w:rPr>
              <w:t>称重速度＞800包/h  304</w:t>
            </w:r>
            <w:proofErr w:type="gramStart"/>
            <w:r>
              <w:rPr>
                <w:rFonts w:ascii="宋体" w:hAnsi="宋体" w:hint="eastAsia"/>
                <w:color w:val="auto"/>
                <w:sz w:val="21"/>
                <w:szCs w:val="21"/>
                <w:lang w:eastAsia="en-US"/>
              </w:rPr>
              <w:t>秤体</w:t>
            </w:r>
            <w:proofErr w:type="gramEnd"/>
            <w:r>
              <w:rPr>
                <w:rFonts w:ascii="宋体" w:hAnsi="宋体" w:hint="eastAsia"/>
                <w:color w:val="auto"/>
                <w:sz w:val="21"/>
                <w:szCs w:val="21"/>
                <w:lang w:eastAsia="en-US"/>
              </w:rPr>
              <w:t xml:space="preserve"> 2KW</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2</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44</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投料处收尘器(含风机)</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风机风量Q=30000m</w:t>
            </w:r>
            <w:r>
              <w:rPr>
                <w:rFonts w:ascii="宋体" w:hAnsi="宋体" w:hint="eastAsia"/>
                <w:color w:val="auto"/>
                <w:sz w:val="21"/>
                <w:szCs w:val="21"/>
                <w:vertAlign w:val="superscript"/>
              </w:rPr>
              <w:t>3</w:t>
            </w:r>
            <w:r>
              <w:rPr>
                <w:rFonts w:ascii="宋体" w:hAnsi="宋体" w:hint="eastAsia"/>
                <w:color w:val="auto"/>
                <w:sz w:val="21"/>
                <w:szCs w:val="21"/>
              </w:rPr>
              <w:t>/h(尾气进冷却筒),P=28kW</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套</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45</w:t>
            </w:r>
          </w:p>
        </w:tc>
        <w:tc>
          <w:tcPr>
            <w:tcW w:w="1650"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布袋除尘器(含风机)</w:t>
            </w:r>
          </w:p>
        </w:tc>
        <w:tc>
          <w:tcPr>
            <w:tcW w:w="3632"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风机风量Q=</w:t>
            </w:r>
            <w:r>
              <w:rPr>
                <w:rFonts w:ascii="宋体" w:hAnsi="宋体"/>
                <w:color w:val="auto"/>
                <w:sz w:val="21"/>
                <w:szCs w:val="21"/>
              </w:rPr>
              <w:t>12</w:t>
            </w:r>
            <w:r>
              <w:rPr>
                <w:rFonts w:ascii="宋体" w:hAnsi="宋体" w:hint="eastAsia"/>
                <w:color w:val="auto"/>
                <w:sz w:val="21"/>
                <w:szCs w:val="21"/>
              </w:rPr>
              <w:t>0000m</w:t>
            </w:r>
            <w:r>
              <w:rPr>
                <w:rFonts w:ascii="宋体" w:hAnsi="宋体" w:hint="eastAsia"/>
                <w:color w:val="auto"/>
                <w:sz w:val="21"/>
                <w:szCs w:val="21"/>
                <w:vertAlign w:val="superscript"/>
              </w:rPr>
              <w:t>3</w:t>
            </w:r>
            <w:r>
              <w:rPr>
                <w:rFonts w:ascii="宋体" w:hAnsi="宋体" w:hint="eastAsia"/>
                <w:color w:val="auto"/>
                <w:sz w:val="21"/>
                <w:szCs w:val="21"/>
              </w:rPr>
              <w:t>/h(尾气进烟囱),P=55kW</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套</w:t>
            </w:r>
          </w:p>
        </w:tc>
        <w:tc>
          <w:tcPr>
            <w:tcW w:w="645" w:type="dxa"/>
            <w:shd w:val="clear" w:color="auto" w:fill="auto"/>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color w:val="auto"/>
                <w:sz w:val="21"/>
                <w:szCs w:val="21"/>
                <w:lang w:eastAsia="en-US"/>
              </w:rPr>
              <w:t>2</w:t>
            </w:r>
          </w:p>
        </w:tc>
        <w:tc>
          <w:tcPr>
            <w:tcW w:w="1295" w:type="dxa"/>
            <w:vAlign w:val="center"/>
          </w:tcPr>
          <w:p w:rsidR="003F13AB" w:rsidRDefault="003F13AB">
            <w:pPr>
              <w:adjustRightInd/>
              <w:spacing w:line="240" w:lineRule="auto"/>
              <w:ind w:firstLineChars="0" w:firstLine="0"/>
              <w:jc w:val="center"/>
              <w:rPr>
                <w:rFonts w:ascii="宋体" w:hAnsi="宋体"/>
                <w:color w:val="auto"/>
                <w:sz w:val="21"/>
                <w:szCs w:val="21"/>
              </w:rPr>
            </w:pPr>
          </w:p>
        </w:tc>
      </w:tr>
    </w:tbl>
    <w:p w:rsidR="003F13AB" w:rsidRDefault="003F13AB">
      <w:pPr>
        <w:pStyle w:val="Default1"/>
        <w:spacing w:line="360" w:lineRule="auto"/>
        <w:ind w:firstLineChars="200" w:firstLine="560"/>
        <w:jc w:val="both"/>
        <w:rPr>
          <w:rFonts w:ascii="宋体" w:hAnsi="宋体" w:hint="default"/>
          <w:sz w:val="28"/>
          <w:szCs w:val="28"/>
          <w:lang w:bidi="en-US"/>
        </w:rPr>
      </w:pPr>
    </w:p>
    <w:p w:rsidR="003F13AB" w:rsidRDefault="00EC6E7E">
      <w:pPr>
        <w:pStyle w:val="Default1"/>
        <w:spacing w:line="360" w:lineRule="auto"/>
        <w:ind w:firstLineChars="200" w:firstLine="560"/>
        <w:jc w:val="both"/>
        <w:rPr>
          <w:rFonts w:hint="default"/>
          <w:sz w:val="28"/>
          <w:szCs w:val="28"/>
        </w:rPr>
      </w:pPr>
      <w:r>
        <w:rPr>
          <w:rFonts w:ascii="宋体" w:hAnsi="宋体"/>
          <w:sz w:val="28"/>
          <w:szCs w:val="28"/>
          <w:lang w:bidi="en-US"/>
        </w:rPr>
        <w:t>（3）辅助小型生产线生产设备</w:t>
      </w:r>
    </w:p>
    <w:p w:rsidR="003F13AB" w:rsidRDefault="00EC6E7E">
      <w:pPr>
        <w:pStyle w:val="Default1"/>
        <w:spacing w:line="360" w:lineRule="auto"/>
        <w:ind w:firstLineChars="200" w:firstLine="560"/>
        <w:jc w:val="center"/>
        <w:rPr>
          <w:rFonts w:ascii="宋体" w:hAnsi="宋体" w:hint="default"/>
          <w:sz w:val="28"/>
          <w:szCs w:val="28"/>
        </w:rPr>
      </w:pPr>
      <w:r>
        <w:rPr>
          <w:rFonts w:ascii="宋体" w:hAnsi="宋体"/>
          <w:sz w:val="28"/>
          <w:szCs w:val="28"/>
        </w:rPr>
        <w:t>表2.2-10 辅助小型生产线主要设备一览表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623"/>
        <w:gridCol w:w="2900"/>
        <w:gridCol w:w="927"/>
        <w:gridCol w:w="709"/>
        <w:gridCol w:w="991"/>
      </w:tblGrid>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序号</w:t>
            </w:r>
          </w:p>
        </w:tc>
        <w:tc>
          <w:tcPr>
            <w:tcW w:w="2623"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设备名称</w:t>
            </w:r>
          </w:p>
        </w:tc>
        <w:tc>
          <w:tcPr>
            <w:tcW w:w="2900"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规格型号</w:t>
            </w:r>
          </w:p>
        </w:tc>
        <w:tc>
          <w:tcPr>
            <w:tcW w:w="927"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单位</w:t>
            </w:r>
          </w:p>
        </w:tc>
        <w:tc>
          <w:tcPr>
            <w:tcW w:w="709"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数量</w:t>
            </w:r>
          </w:p>
        </w:tc>
        <w:tc>
          <w:tcPr>
            <w:tcW w:w="991"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备注</w:t>
            </w: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proofErr w:type="gramStart"/>
            <w:r>
              <w:rPr>
                <w:rFonts w:ascii="宋体" w:hAnsi="宋体"/>
                <w:color w:val="auto"/>
                <w:sz w:val="21"/>
                <w:szCs w:val="21"/>
              </w:rPr>
              <w:t>一</w:t>
            </w:r>
            <w:proofErr w:type="gramEnd"/>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rPr>
            </w:pPr>
            <w:proofErr w:type="gramStart"/>
            <w:r>
              <w:rPr>
                <w:rFonts w:ascii="宋体" w:hAnsi="宋体" w:hint="eastAsia"/>
                <w:color w:val="auto"/>
                <w:sz w:val="21"/>
                <w:szCs w:val="21"/>
              </w:rPr>
              <w:t>粉末肥线</w:t>
            </w:r>
            <w:proofErr w:type="gramEnd"/>
            <w:r>
              <w:rPr>
                <w:rFonts w:ascii="宋体" w:hAnsi="宋体" w:hint="eastAsia"/>
                <w:color w:val="auto"/>
                <w:sz w:val="21"/>
                <w:szCs w:val="21"/>
              </w:rPr>
              <w:t>(掺混线2</w:t>
            </w:r>
            <w:r>
              <w:rPr>
                <w:rFonts w:ascii="宋体" w:hAnsi="宋体"/>
                <w:color w:val="auto"/>
                <w:sz w:val="21"/>
                <w:szCs w:val="21"/>
              </w:rPr>
              <w:t>)</w:t>
            </w:r>
          </w:p>
        </w:tc>
        <w:tc>
          <w:tcPr>
            <w:tcW w:w="2900" w:type="dxa"/>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927" w:type="dxa"/>
          </w:tcPr>
          <w:p w:rsidR="003F13AB" w:rsidRDefault="003F13AB">
            <w:pPr>
              <w:adjustRightInd/>
              <w:spacing w:line="240" w:lineRule="auto"/>
              <w:ind w:firstLineChars="0" w:firstLine="0"/>
              <w:jc w:val="center"/>
              <w:rPr>
                <w:rFonts w:ascii="宋体" w:hAnsi="宋体"/>
                <w:color w:val="auto"/>
                <w:sz w:val="21"/>
                <w:szCs w:val="21"/>
              </w:rPr>
            </w:pPr>
          </w:p>
        </w:tc>
        <w:tc>
          <w:tcPr>
            <w:tcW w:w="709" w:type="dxa"/>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尿素破碎机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=9k</w:t>
            </w:r>
            <w:r>
              <w:rPr>
                <w:rFonts w:ascii="宋体" w:hAnsi="宋体" w:hint="eastAsia"/>
                <w:color w:val="auto"/>
                <w:sz w:val="21"/>
                <w:szCs w:val="21"/>
                <w:lang w:eastAsia="en-US"/>
              </w:rPr>
              <w:t>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大块破碎机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P</w:t>
            </w:r>
            <w:r>
              <w:rPr>
                <w:rFonts w:ascii="宋体" w:hAnsi="宋体" w:hint="eastAsia"/>
                <w:color w:val="auto"/>
                <w:sz w:val="21"/>
                <w:szCs w:val="21"/>
              </w:rPr>
              <w:t>=22k</w:t>
            </w:r>
            <w:r>
              <w:rPr>
                <w:rFonts w:ascii="宋体" w:hAnsi="宋体" w:hint="eastAsia"/>
                <w:color w:val="auto"/>
                <w:sz w:val="21"/>
                <w:szCs w:val="21"/>
                <w:lang w:eastAsia="en-US"/>
              </w:rPr>
              <w:t>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3</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投料仓</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rPr>
              <w:t>2m*2m*3.5m</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4</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链式细料破碎机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w:t>
            </w:r>
            <w:r>
              <w:rPr>
                <w:rFonts w:ascii="宋体" w:hAnsi="宋体"/>
                <w:color w:val="auto"/>
                <w:sz w:val="21"/>
                <w:szCs w:val="21"/>
              </w:rPr>
              <w:t>18</w:t>
            </w:r>
            <w:r>
              <w:rPr>
                <w:rFonts w:ascii="宋体" w:hAnsi="宋体" w:hint="eastAsia"/>
                <w:color w:val="auto"/>
                <w:sz w:val="21"/>
                <w:szCs w:val="21"/>
              </w:rPr>
              <w:t>kW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5</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斗式提升机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H=16m，</w:t>
            </w:r>
            <w:r>
              <w:rPr>
                <w:rFonts w:ascii="宋体" w:hAnsi="宋体" w:hint="eastAsia"/>
                <w:color w:val="auto"/>
                <w:sz w:val="21"/>
                <w:szCs w:val="21"/>
                <w:lang w:eastAsia="en-US"/>
              </w:rPr>
              <w:t>P</w:t>
            </w:r>
            <w:r>
              <w:rPr>
                <w:rFonts w:ascii="宋体" w:hAnsi="宋体" w:hint="eastAsia"/>
                <w:color w:val="auto"/>
                <w:sz w:val="21"/>
                <w:szCs w:val="21"/>
              </w:rPr>
              <w:t>=</w:t>
            </w:r>
            <w:r>
              <w:rPr>
                <w:rFonts w:ascii="宋体" w:hAnsi="宋体" w:hint="eastAsia"/>
                <w:color w:val="auto"/>
                <w:sz w:val="21"/>
                <w:szCs w:val="21"/>
                <w:lang w:eastAsia="en-US"/>
              </w:rPr>
              <w:t>1</w:t>
            </w:r>
            <w:r>
              <w:rPr>
                <w:rFonts w:ascii="宋体" w:hAnsi="宋体"/>
                <w:color w:val="auto"/>
                <w:sz w:val="21"/>
                <w:szCs w:val="21"/>
                <w:lang w:eastAsia="en-US"/>
              </w:rPr>
              <w:t>2</w:t>
            </w:r>
            <w:r>
              <w:rPr>
                <w:rFonts w:ascii="宋体" w:hAnsi="宋体" w:hint="eastAsia"/>
                <w:color w:val="auto"/>
                <w:sz w:val="21"/>
                <w:szCs w:val="21"/>
              </w:rPr>
              <w:t>k</w:t>
            </w:r>
            <w:r>
              <w:rPr>
                <w:rFonts w:ascii="宋体" w:hAnsi="宋体" w:hint="eastAsia"/>
                <w:color w:val="auto"/>
                <w:sz w:val="21"/>
                <w:szCs w:val="21"/>
                <w:lang w:eastAsia="en-US"/>
              </w:rPr>
              <w:t>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6</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卧式搅拌机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1.7m</w:t>
            </w:r>
            <w:r>
              <w:rPr>
                <w:rFonts w:ascii="宋体" w:hAnsi="宋体" w:hint="eastAsia"/>
                <w:color w:val="auto"/>
                <w:sz w:val="21"/>
                <w:szCs w:val="21"/>
              </w:rPr>
              <w:t>*</w:t>
            </w:r>
            <w:r>
              <w:rPr>
                <w:rFonts w:ascii="宋体" w:hAnsi="宋体" w:hint="eastAsia"/>
                <w:color w:val="auto"/>
                <w:sz w:val="21"/>
                <w:szCs w:val="21"/>
                <w:lang w:eastAsia="en-US"/>
              </w:rPr>
              <w:t>2.1m</w:t>
            </w:r>
            <w:r>
              <w:rPr>
                <w:rFonts w:ascii="宋体" w:hAnsi="宋体" w:hint="eastAsia"/>
                <w:color w:val="auto"/>
                <w:sz w:val="21"/>
                <w:szCs w:val="21"/>
              </w:rPr>
              <w:t>*</w:t>
            </w:r>
            <w:r>
              <w:rPr>
                <w:rFonts w:ascii="宋体" w:hAnsi="宋体" w:hint="eastAsia"/>
                <w:color w:val="auto"/>
                <w:sz w:val="21"/>
                <w:szCs w:val="21"/>
                <w:lang w:eastAsia="en-US"/>
              </w:rPr>
              <w:t>1.7m</w:t>
            </w:r>
            <w:r>
              <w:rPr>
                <w:rFonts w:ascii="宋体" w:hAnsi="宋体" w:hint="eastAsia"/>
                <w:color w:val="auto"/>
                <w:sz w:val="21"/>
                <w:szCs w:val="21"/>
              </w:rPr>
              <w:t>，</w:t>
            </w:r>
            <w:r>
              <w:rPr>
                <w:rFonts w:ascii="宋体" w:hAnsi="宋体" w:hint="eastAsia"/>
                <w:color w:val="auto"/>
                <w:sz w:val="21"/>
                <w:szCs w:val="21"/>
                <w:lang w:eastAsia="en-US"/>
              </w:rPr>
              <w:t>P</w:t>
            </w:r>
            <w:r>
              <w:rPr>
                <w:rFonts w:ascii="宋体" w:hAnsi="宋体" w:hint="eastAsia"/>
                <w:color w:val="auto"/>
                <w:sz w:val="21"/>
                <w:szCs w:val="21"/>
              </w:rPr>
              <w:t>=</w:t>
            </w:r>
            <w:r>
              <w:rPr>
                <w:rFonts w:ascii="宋体" w:hAnsi="宋体" w:hint="eastAsia"/>
                <w:color w:val="auto"/>
                <w:sz w:val="21"/>
                <w:szCs w:val="21"/>
                <w:lang w:eastAsia="en-US"/>
              </w:rPr>
              <w:t>1</w:t>
            </w:r>
            <w:r>
              <w:rPr>
                <w:rFonts w:ascii="宋体" w:hAnsi="宋体" w:hint="eastAsia"/>
                <w:color w:val="auto"/>
                <w:sz w:val="21"/>
                <w:szCs w:val="21"/>
              </w:rPr>
              <w:t>8.5k</w:t>
            </w:r>
            <w:r>
              <w:rPr>
                <w:rFonts w:ascii="宋体" w:hAnsi="宋体" w:hint="eastAsia"/>
                <w:color w:val="auto"/>
                <w:sz w:val="21"/>
                <w:szCs w:val="21"/>
                <w:lang w:eastAsia="en-US"/>
              </w:rPr>
              <w:t>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7</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振动筛</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w:t>
            </w:r>
            <w:r>
              <w:rPr>
                <w:rFonts w:ascii="宋体" w:hAnsi="宋体"/>
                <w:color w:val="auto"/>
                <w:sz w:val="21"/>
                <w:szCs w:val="21"/>
              </w:rPr>
              <w:t>18</w:t>
            </w:r>
            <w:r>
              <w:rPr>
                <w:rFonts w:ascii="宋体" w:hAnsi="宋体" w:hint="eastAsia"/>
                <w:color w:val="auto"/>
                <w:sz w:val="21"/>
                <w:szCs w:val="21"/>
              </w:rPr>
              <w:t>k</w:t>
            </w:r>
            <w:r>
              <w:rPr>
                <w:rFonts w:ascii="宋体" w:hAnsi="宋体" w:hint="eastAsia"/>
                <w:color w:val="auto"/>
                <w:sz w:val="21"/>
                <w:szCs w:val="21"/>
                <w:lang w:eastAsia="en-US"/>
              </w:rPr>
              <w:t>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8</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搅动下料盘</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w:t>
            </w:r>
            <w:r>
              <w:rPr>
                <w:rFonts w:ascii="宋体" w:hAnsi="宋体"/>
                <w:color w:val="auto"/>
                <w:sz w:val="21"/>
                <w:szCs w:val="21"/>
                <w:lang w:eastAsia="en-US"/>
              </w:rPr>
              <w:t>8</w:t>
            </w:r>
            <w:r>
              <w:rPr>
                <w:rFonts w:ascii="宋体" w:hAnsi="宋体" w:hint="eastAsia"/>
                <w:color w:val="auto"/>
                <w:sz w:val="21"/>
                <w:szCs w:val="21"/>
              </w:rPr>
              <w:t>k</w:t>
            </w:r>
            <w:r>
              <w:rPr>
                <w:rFonts w:ascii="宋体" w:hAnsi="宋体" w:hint="eastAsia"/>
                <w:color w:val="auto"/>
                <w:sz w:val="21"/>
                <w:szCs w:val="21"/>
                <w:lang w:eastAsia="en-US"/>
              </w:rPr>
              <w:t>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9</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包装机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=6k</w:t>
            </w:r>
            <w:r>
              <w:rPr>
                <w:rFonts w:ascii="宋体" w:hAnsi="宋体" w:hint="eastAsia"/>
                <w:color w:val="auto"/>
                <w:sz w:val="21"/>
                <w:szCs w:val="21"/>
                <w:lang w:eastAsia="en-US"/>
              </w:rPr>
              <w:t>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10</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布袋除尘器</w:t>
            </w:r>
          </w:p>
        </w:tc>
        <w:tc>
          <w:tcPr>
            <w:tcW w:w="2900"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套</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二</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粉剂水溶线(掺混线1</w:t>
            </w:r>
            <w:r>
              <w:rPr>
                <w:rFonts w:ascii="宋体" w:hAnsi="宋体"/>
                <w:color w:val="auto"/>
                <w:sz w:val="21"/>
                <w:szCs w:val="21"/>
              </w:rPr>
              <w:t>)</w:t>
            </w:r>
          </w:p>
        </w:tc>
        <w:tc>
          <w:tcPr>
            <w:tcW w:w="2900" w:type="dxa"/>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927" w:type="dxa"/>
          </w:tcPr>
          <w:p w:rsidR="003F13AB" w:rsidRDefault="003F13AB">
            <w:pPr>
              <w:adjustRightInd/>
              <w:spacing w:line="240" w:lineRule="auto"/>
              <w:ind w:firstLineChars="0" w:firstLine="0"/>
              <w:jc w:val="center"/>
              <w:rPr>
                <w:rFonts w:ascii="宋体" w:hAnsi="宋体"/>
                <w:color w:val="auto"/>
                <w:sz w:val="21"/>
                <w:szCs w:val="21"/>
                <w:lang w:eastAsia="en-US"/>
              </w:rPr>
            </w:pPr>
          </w:p>
        </w:tc>
        <w:tc>
          <w:tcPr>
            <w:tcW w:w="709"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尿素破碎机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=9k</w:t>
            </w:r>
            <w:r>
              <w:rPr>
                <w:rFonts w:ascii="宋体" w:hAnsi="宋体" w:hint="eastAsia"/>
                <w:color w:val="auto"/>
                <w:sz w:val="21"/>
                <w:szCs w:val="21"/>
                <w:lang w:eastAsia="en-US"/>
              </w:rPr>
              <w:t>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大块破碎机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P</w:t>
            </w:r>
            <w:r>
              <w:rPr>
                <w:rFonts w:ascii="宋体" w:hAnsi="宋体" w:hint="eastAsia"/>
                <w:color w:val="auto"/>
                <w:sz w:val="21"/>
                <w:szCs w:val="21"/>
              </w:rPr>
              <w:t>=22k</w:t>
            </w:r>
            <w:r>
              <w:rPr>
                <w:rFonts w:ascii="宋体" w:hAnsi="宋体" w:hint="eastAsia"/>
                <w:color w:val="auto"/>
                <w:sz w:val="21"/>
                <w:szCs w:val="21"/>
                <w:lang w:eastAsia="en-US"/>
              </w:rPr>
              <w:t xml:space="preserve">W　</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破碎机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w:t>
            </w:r>
            <w:r>
              <w:rPr>
                <w:rFonts w:ascii="宋体" w:hAnsi="宋体" w:hint="eastAsia"/>
                <w:color w:val="auto"/>
                <w:sz w:val="21"/>
                <w:szCs w:val="21"/>
                <w:lang w:eastAsia="en-US"/>
              </w:rPr>
              <w:t>1</w:t>
            </w:r>
            <w:r>
              <w:rPr>
                <w:rFonts w:ascii="宋体" w:hAnsi="宋体" w:hint="eastAsia"/>
                <w:color w:val="auto"/>
                <w:sz w:val="21"/>
                <w:szCs w:val="21"/>
              </w:rPr>
              <w:t>2k</w:t>
            </w:r>
            <w:r>
              <w:rPr>
                <w:rFonts w:ascii="宋体" w:hAnsi="宋体" w:hint="eastAsia"/>
                <w:color w:val="auto"/>
                <w:sz w:val="21"/>
                <w:szCs w:val="21"/>
                <w:lang w:eastAsia="en-US"/>
              </w:rPr>
              <w:t>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4</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混合机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w:t>
            </w:r>
            <w:r>
              <w:rPr>
                <w:rFonts w:ascii="宋体" w:hAnsi="宋体" w:hint="eastAsia"/>
                <w:color w:val="auto"/>
                <w:sz w:val="21"/>
                <w:szCs w:val="21"/>
                <w:lang w:eastAsia="en-US"/>
              </w:rPr>
              <w:t>1</w:t>
            </w:r>
            <w:r>
              <w:rPr>
                <w:rFonts w:ascii="宋体" w:hAnsi="宋体" w:hint="eastAsia"/>
                <w:color w:val="auto"/>
                <w:sz w:val="21"/>
                <w:szCs w:val="21"/>
              </w:rPr>
              <w:t>2k</w:t>
            </w:r>
            <w:r>
              <w:rPr>
                <w:rFonts w:ascii="宋体" w:hAnsi="宋体" w:hint="eastAsia"/>
                <w:color w:val="auto"/>
                <w:sz w:val="21"/>
                <w:szCs w:val="21"/>
                <w:lang w:eastAsia="en-US"/>
              </w:rPr>
              <w:t>W</w:t>
            </w: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5</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包装机</w:t>
            </w:r>
          </w:p>
        </w:tc>
        <w:tc>
          <w:tcPr>
            <w:tcW w:w="2900" w:type="dxa"/>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927" w:type="dxa"/>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四</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颗粒B</w:t>
            </w:r>
            <w:r>
              <w:rPr>
                <w:rFonts w:ascii="宋体" w:hAnsi="宋体"/>
                <w:color w:val="auto"/>
                <w:sz w:val="21"/>
                <w:szCs w:val="21"/>
              </w:rPr>
              <w:t>B</w:t>
            </w:r>
            <w:r>
              <w:rPr>
                <w:rFonts w:ascii="宋体" w:hAnsi="宋体" w:hint="eastAsia"/>
                <w:color w:val="auto"/>
                <w:sz w:val="21"/>
                <w:szCs w:val="21"/>
              </w:rPr>
              <w:t>肥(掺混线3)</w:t>
            </w:r>
          </w:p>
        </w:tc>
        <w:tc>
          <w:tcPr>
            <w:tcW w:w="2900" w:type="dxa"/>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927" w:type="dxa"/>
          </w:tcPr>
          <w:p w:rsidR="003F13AB" w:rsidRDefault="003F13AB">
            <w:pPr>
              <w:adjustRightInd/>
              <w:spacing w:line="240" w:lineRule="auto"/>
              <w:ind w:firstLineChars="0" w:firstLine="0"/>
              <w:jc w:val="center"/>
              <w:rPr>
                <w:rFonts w:ascii="宋体" w:hAnsi="宋体"/>
                <w:color w:val="auto"/>
                <w:sz w:val="21"/>
                <w:szCs w:val="21"/>
                <w:lang w:eastAsia="en-US"/>
              </w:rPr>
            </w:pPr>
          </w:p>
        </w:tc>
        <w:tc>
          <w:tcPr>
            <w:tcW w:w="709"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投料仓</w:t>
            </w:r>
          </w:p>
        </w:tc>
        <w:tc>
          <w:tcPr>
            <w:tcW w:w="2900"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c>
          <w:tcPr>
            <w:tcW w:w="927"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斗提机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w:t>
            </w:r>
            <w:r>
              <w:rPr>
                <w:rFonts w:ascii="宋体" w:hAnsi="宋体" w:hint="eastAsia"/>
                <w:color w:val="auto"/>
                <w:sz w:val="21"/>
                <w:szCs w:val="21"/>
                <w:lang w:eastAsia="en-US"/>
              </w:rPr>
              <w:t>1</w:t>
            </w:r>
            <w:r>
              <w:rPr>
                <w:rFonts w:ascii="宋体" w:hAnsi="宋体" w:hint="eastAsia"/>
                <w:color w:val="auto"/>
                <w:sz w:val="21"/>
                <w:szCs w:val="21"/>
              </w:rPr>
              <w:t>2k</w:t>
            </w:r>
            <w:r>
              <w:rPr>
                <w:rFonts w:ascii="宋体" w:hAnsi="宋体" w:hint="eastAsia"/>
                <w:color w:val="auto"/>
                <w:sz w:val="21"/>
                <w:szCs w:val="21"/>
                <w:lang w:eastAsia="en-US"/>
              </w:rPr>
              <w:t>W</w:t>
            </w:r>
          </w:p>
        </w:tc>
        <w:tc>
          <w:tcPr>
            <w:tcW w:w="927"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BB肥--密闭混合机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w:t>
            </w:r>
            <w:r>
              <w:rPr>
                <w:rFonts w:ascii="宋体" w:hAnsi="宋体" w:hint="eastAsia"/>
                <w:color w:val="auto"/>
                <w:sz w:val="21"/>
                <w:szCs w:val="21"/>
                <w:lang w:eastAsia="en-US"/>
              </w:rPr>
              <w:t>1</w:t>
            </w:r>
            <w:r>
              <w:rPr>
                <w:rFonts w:ascii="宋体" w:hAnsi="宋体" w:hint="eastAsia"/>
                <w:color w:val="auto"/>
                <w:sz w:val="21"/>
                <w:szCs w:val="21"/>
              </w:rPr>
              <w:t>2k</w:t>
            </w:r>
            <w:r>
              <w:rPr>
                <w:rFonts w:ascii="宋体" w:hAnsi="宋体" w:hint="eastAsia"/>
                <w:color w:val="auto"/>
                <w:sz w:val="21"/>
                <w:szCs w:val="21"/>
                <w:lang w:eastAsia="en-US"/>
              </w:rPr>
              <w:t>W</w:t>
            </w:r>
          </w:p>
        </w:tc>
        <w:tc>
          <w:tcPr>
            <w:tcW w:w="927"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4</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料仓</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1.5m</w:t>
            </w:r>
            <w:r>
              <w:rPr>
                <w:rFonts w:ascii="宋体" w:hAnsi="宋体" w:hint="eastAsia"/>
                <w:color w:val="auto"/>
                <w:sz w:val="21"/>
                <w:szCs w:val="21"/>
              </w:rPr>
              <w:t>*</w:t>
            </w:r>
            <w:r>
              <w:rPr>
                <w:rFonts w:ascii="宋体" w:hAnsi="宋体" w:hint="eastAsia"/>
                <w:color w:val="auto"/>
                <w:sz w:val="21"/>
                <w:szCs w:val="21"/>
                <w:lang w:eastAsia="en-US"/>
              </w:rPr>
              <w:t>1.5m</w:t>
            </w:r>
            <w:r>
              <w:rPr>
                <w:rFonts w:ascii="宋体" w:hAnsi="宋体" w:hint="eastAsia"/>
                <w:color w:val="auto"/>
                <w:sz w:val="21"/>
                <w:szCs w:val="21"/>
              </w:rPr>
              <w:t>*</w:t>
            </w:r>
            <w:r>
              <w:rPr>
                <w:rFonts w:ascii="宋体" w:hAnsi="宋体" w:hint="eastAsia"/>
                <w:color w:val="auto"/>
                <w:sz w:val="21"/>
                <w:szCs w:val="21"/>
                <w:lang w:eastAsia="en-US"/>
              </w:rPr>
              <w:t>1.5m</w:t>
            </w:r>
          </w:p>
        </w:tc>
        <w:tc>
          <w:tcPr>
            <w:tcW w:w="927"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5</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包装机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w:t>
            </w:r>
            <w:r>
              <w:rPr>
                <w:rFonts w:ascii="宋体" w:hAnsi="宋体" w:hint="eastAsia"/>
                <w:color w:val="auto"/>
                <w:sz w:val="21"/>
                <w:szCs w:val="21"/>
                <w:lang w:eastAsia="en-US"/>
              </w:rPr>
              <w:t>1</w:t>
            </w:r>
            <w:r>
              <w:rPr>
                <w:rFonts w:ascii="宋体" w:hAnsi="宋体" w:hint="eastAsia"/>
                <w:color w:val="auto"/>
                <w:sz w:val="21"/>
                <w:szCs w:val="21"/>
              </w:rPr>
              <w:t>2k</w:t>
            </w:r>
            <w:r>
              <w:rPr>
                <w:rFonts w:ascii="宋体" w:hAnsi="宋体" w:hint="eastAsia"/>
                <w:color w:val="auto"/>
                <w:sz w:val="21"/>
                <w:szCs w:val="21"/>
                <w:lang w:eastAsia="en-US"/>
              </w:rPr>
              <w:t>W</w:t>
            </w:r>
          </w:p>
        </w:tc>
        <w:tc>
          <w:tcPr>
            <w:tcW w:w="927"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五</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液体水溶肥生产线</w:t>
            </w:r>
          </w:p>
        </w:tc>
        <w:tc>
          <w:tcPr>
            <w:tcW w:w="2900"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c>
          <w:tcPr>
            <w:tcW w:w="927"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c>
          <w:tcPr>
            <w:tcW w:w="709"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lastRenderedPageBreak/>
              <w:t>1</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原料罐</w:t>
            </w:r>
          </w:p>
        </w:tc>
        <w:tc>
          <w:tcPr>
            <w:tcW w:w="2900" w:type="dxa"/>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927"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成品罐(含泵)</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=2k</w:t>
            </w:r>
            <w:r>
              <w:rPr>
                <w:rFonts w:ascii="宋体" w:hAnsi="宋体" w:hint="eastAsia"/>
                <w:color w:val="auto"/>
                <w:sz w:val="21"/>
                <w:szCs w:val="21"/>
                <w:lang w:eastAsia="en-US"/>
              </w:rPr>
              <w:t>W</w:t>
            </w:r>
          </w:p>
        </w:tc>
        <w:tc>
          <w:tcPr>
            <w:tcW w:w="927"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r w:rsidR="003F13AB">
        <w:trPr>
          <w:trHeight w:val="397"/>
          <w:tblHeader/>
          <w:jc w:val="center"/>
        </w:trPr>
        <w:tc>
          <w:tcPr>
            <w:tcW w:w="922"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w:t>
            </w:r>
          </w:p>
        </w:tc>
        <w:tc>
          <w:tcPr>
            <w:tcW w:w="262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灌装机</w:t>
            </w:r>
          </w:p>
        </w:tc>
        <w:tc>
          <w:tcPr>
            <w:tcW w:w="290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=2k</w:t>
            </w:r>
            <w:r>
              <w:rPr>
                <w:rFonts w:ascii="宋体" w:hAnsi="宋体" w:hint="eastAsia"/>
                <w:color w:val="auto"/>
                <w:sz w:val="21"/>
                <w:szCs w:val="21"/>
                <w:lang w:eastAsia="en-US"/>
              </w:rPr>
              <w:t>W</w:t>
            </w:r>
          </w:p>
        </w:tc>
        <w:tc>
          <w:tcPr>
            <w:tcW w:w="927"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台</w:t>
            </w:r>
          </w:p>
        </w:tc>
        <w:tc>
          <w:tcPr>
            <w:tcW w:w="709"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991" w:type="dxa"/>
            <w:vAlign w:val="center"/>
          </w:tcPr>
          <w:p w:rsidR="003F13AB" w:rsidRDefault="003F13AB">
            <w:pPr>
              <w:adjustRightInd/>
              <w:spacing w:line="240" w:lineRule="auto"/>
              <w:ind w:firstLineChars="0" w:firstLine="0"/>
              <w:jc w:val="center"/>
              <w:rPr>
                <w:rFonts w:ascii="宋体" w:hAnsi="宋体"/>
                <w:color w:val="auto"/>
                <w:sz w:val="21"/>
                <w:szCs w:val="21"/>
                <w:lang w:eastAsia="en-US"/>
              </w:rPr>
            </w:pPr>
          </w:p>
        </w:tc>
      </w:tr>
    </w:tbl>
    <w:p w:rsidR="003F13AB" w:rsidRDefault="003F13AB">
      <w:pPr>
        <w:widowControl/>
        <w:ind w:firstLine="560"/>
        <w:jc w:val="left"/>
        <w:rPr>
          <w:rFonts w:ascii="宋体" w:hAnsi="宋体"/>
          <w:kern w:val="0"/>
          <w:szCs w:val="28"/>
          <w:lang w:bidi="en-US"/>
        </w:rPr>
      </w:pPr>
    </w:p>
    <w:p w:rsidR="003F13AB" w:rsidRDefault="00EC6E7E">
      <w:pPr>
        <w:widowControl/>
        <w:ind w:firstLine="560"/>
        <w:jc w:val="left"/>
        <w:rPr>
          <w:rFonts w:ascii="宋体" w:hAnsi="宋体"/>
          <w:kern w:val="0"/>
          <w:szCs w:val="28"/>
          <w:lang w:bidi="en-US"/>
        </w:rPr>
      </w:pPr>
      <w:r>
        <w:rPr>
          <w:rFonts w:ascii="宋体" w:hAnsi="宋体" w:hint="eastAsia"/>
          <w:kern w:val="0"/>
          <w:szCs w:val="28"/>
          <w:lang w:bidi="en-US"/>
        </w:rPr>
        <w:t>（4）公</w:t>
      </w:r>
      <w:proofErr w:type="gramStart"/>
      <w:r>
        <w:rPr>
          <w:rFonts w:ascii="宋体" w:hAnsi="宋体" w:hint="eastAsia"/>
          <w:kern w:val="0"/>
          <w:szCs w:val="28"/>
          <w:lang w:bidi="en-US"/>
        </w:rPr>
        <w:t>辅设施</w:t>
      </w:r>
      <w:proofErr w:type="gramEnd"/>
      <w:r>
        <w:rPr>
          <w:rFonts w:ascii="宋体" w:hAnsi="宋体" w:hint="eastAsia"/>
          <w:kern w:val="0"/>
          <w:szCs w:val="28"/>
          <w:lang w:bidi="en-US"/>
        </w:rPr>
        <w:t>设备</w:t>
      </w:r>
    </w:p>
    <w:p w:rsidR="003F13AB" w:rsidRDefault="00EC6E7E">
      <w:pPr>
        <w:ind w:firstLineChars="0" w:firstLine="0"/>
        <w:jc w:val="center"/>
        <w:rPr>
          <w:rFonts w:ascii="宋体" w:hAnsi="宋体"/>
          <w:szCs w:val="28"/>
        </w:rPr>
      </w:pPr>
      <w:r>
        <w:rPr>
          <w:rFonts w:ascii="宋体" w:hAnsi="宋体" w:hint="eastAsia"/>
          <w:szCs w:val="28"/>
        </w:rPr>
        <w:t>表2</w:t>
      </w:r>
      <w:r>
        <w:rPr>
          <w:rFonts w:ascii="宋体" w:hAnsi="宋体"/>
          <w:szCs w:val="28"/>
        </w:rPr>
        <w:t>.</w:t>
      </w:r>
      <w:r>
        <w:rPr>
          <w:rFonts w:ascii="宋体" w:hAnsi="宋体" w:hint="eastAsia"/>
          <w:szCs w:val="28"/>
        </w:rPr>
        <w:t>2-11 公</w:t>
      </w:r>
      <w:proofErr w:type="gramStart"/>
      <w:r>
        <w:rPr>
          <w:rFonts w:ascii="宋体" w:hAnsi="宋体" w:hint="eastAsia"/>
          <w:szCs w:val="28"/>
        </w:rPr>
        <w:t>辅设施</w:t>
      </w:r>
      <w:proofErr w:type="gramEnd"/>
      <w:r>
        <w:rPr>
          <w:rFonts w:ascii="宋体" w:hAnsi="宋体" w:hint="eastAsia"/>
          <w:szCs w:val="28"/>
        </w:rPr>
        <w:t>主要设备一览表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693"/>
        <w:gridCol w:w="1985"/>
        <w:gridCol w:w="850"/>
        <w:gridCol w:w="851"/>
        <w:gridCol w:w="1983"/>
      </w:tblGrid>
      <w:tr w:rsidR="003F13AB">
        <w:trPr>
          <w:trHeight w:val="397"/>
          <w:tblHeader/>
          <w:jc w:val="center"/>
        </w:trPr>
        <w:tc>
          <w:tcPr>
            <w:tcW w:w="710"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序号</w:t>
            </w:r>
          </w:p>
        </w:tc>
        <w:tc>
          <w:tcPr>
            <w:tcW w:w="2693"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设备名称</w:t>
            </w:r>
          </w:p>
        </w:tc>
        <w:tc>
          <w:tcPr>
            <w:tcW w:w="1985"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规格型号</w:t>
            </w:r>
          </w:p>
        </w:tc>
        <w:tc>
          <w:tcPr>
            <w:tcW w:w="850"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单位</w:t>
            </w:r>
          </w:p>
        </w:tc>
        <w:tc>
          <w:tcPr>
            <w:tcW w:w="851"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数量</w:t>
            </w:r>
          </w:p>
        </w:tc>
        <w:tc>
          <w:tcPr>
            <w:tcW w:w="1983"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备注</w:t>
            </w: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蒸汽锅炉及其配套设施</w:t>
            </w:r>
          </w:p>
        </w:tc>
        <w:tc>
          <w:tcPr>
            <w:tcW w:w="1985"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WNSL15-1.6-YQ（L）</w:t>
            </w: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套</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198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特种设备</w:t>
            </w: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蒸汽锅炉及其配套设施</w:t>
            </w:r>
          </w:p>
        </w:tc>
        <w:tc>
          <w:tcPr>
            <w:tcW w:w="1985"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WNS6-1.25-Y,Q</w:t>
            </w: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套</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198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特种设备</w:t>
            </w: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hint="eastAsia"/>
                <w:color w:val="auto"/>
                <w:sz w:val="21"/>
                <w:szCs w:val="21"/>
                <w:lang w:eastAsia="en-US"/>
              </w:rPr>
              <w:t>空压机</w:t>
            </w:r>
          </w:p>
        </w:tc>
        <w:tc>
          <w:tcPr>
            <w:tcW w:w="1985"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color w:val="auto"/>
                <w:sz w:val="21"/>
                <w:szCs w:val="21"/>
                <w:lang w:eastAsia="en-US"/>
              </w:rPr>
              <w:t>UT-50</w:t>
            </w:r>
            <w:r>
              <w:rPr>
                <w:rFonts w:ascii="宋体" w:hAnsi="宋体" w:hint="eastAsia"/>
                <w:color w:val="auto"/>
                <w:sz w:val="21"/>
                <w:szCs w:val="21"/>
              </w:rPr>
              <w:t>，</w:t>
            </w:r>
            <w:r>
              <w:rPr>
                <w:rFonts w:ascii="宋体" w:hAnsi="宋体"/>
                <w:color w:val="auto"/>
                <w:sz w:val="21"/>
                <w:szCs w:val="21"/>
                <w:lang w:eastAsia="en-US"/>
              </w:rPr>
              <w:t>成套</w:t>
            </w: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套</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w:t>
            </w:r>
          </w:p>
        </w:tc>
        <w:tc>
          <w:tcPr>
            <w:tcW w:w="198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附带的空气储罐为简单压力容器</w:t>
            </w: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4</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rPr>
            </w:pPr>
            <w:proofErr w:type="gramStart"/>
            <w:r>
              <w:rPr>
                <w:rFonts w:ascii="宋体" w:hAnsi="宋体" w:hint="eastAsia"/>
                <w:color w:val="auto"/>
                <w:sz w:val="21"/>
                <w:szCs w:val="21"/>
              </w:rPr>
              <w:t>全自动拆垛装车</w:t>
            </w:r>
            <w:proofErr w:type="gramEnd"/>
            <w:r>
              <w:rPr>
                <w:rFonts w:ascii="宋体" w:hAnsi="宋体" w:hint="eastAsia"/>
                <w:color w:val="auto"/>
                <w:sz w:val="21"/>
                <w:szCs w:val="21"/>
              </w:rPr>
              <w:t>机器人</w:t>
            </w:r>
          </w:p>
        </w:tc>
        <w:tc>
          <w:tcPr>
            <w:tcW w:w="1985"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=55k</w:t>
            </w:r>
            <w:r>
              <w:rPr>
                <w:rFonts w:ascii="宋体" w:hAnsi="宋体" w:hint="eastAsia"/>
                <w:color w:val="auto"/>
                <w:sz w:val="21"/>
                <w:szCs w:val="21"/>
                <w:lang w:eastAsia="en-US"/>
              </w:rPr>
              <w:t>W</w:t>
            </w: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台</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1983"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5</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叉车</w:t>
            </w:r>
          </w:p>
        </w:tc>
        <w:tc>
          <w:tcPr>
            <w:tcW w:w="1985" w:type="dxa"/>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台</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20</w:t>
            </w:r>
          </w:p>
        </w:tc>
        <w:tc>
          <w:tcPr>
            <w:tcW w:w="198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有3台为特种设备</w:t>
            </w: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6</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成品码垛塑料片</w:t>
            </w:r>
          </w:p>
        </w:tc>
        <w:tc>
          <w:tcPr>
            <w:tcW w:w="1985" w:type="dxa"/>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片</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10000</w:t>
            </w:r>
          </w:p>
        </w:tc>
        <w:tc>
          <w:tcPr>
            <w:tcW w:w="1983"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7</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原料码垛机器人</w:t>
            </w:r>
          </w:p>
        </w:tc>
        <w:tc>
          <w:tcPr>
            <w:tcW w:w="1985"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=26k</w:t>
            </w:r>
            <w:r>
              <w:rPr>
                <w:rFonts w:ascii="宋体" w:hAnsi="宋体" w:hint="eastAsia"/>
                <w:color w:val="auto"/>
                <w:sz w:val="21"/>
                <w:szCs w:val="21"/>
                <w:lang w:eastAsia="en-US"/>
              </w:rPr>
              <w:t>W</w:t>
            </w: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台</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1983"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8</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伸缩皮带输送机(卸袋装料)</w:t>
            </w:r>
          </w:p>
        </w:tc>
        <w:tc>
          <w:tcPr>
            <w:tcW w:w="1985"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lang w:eastAsia="en-US"/>
              </w:rPr>
              <w:t>P</w:t>
            </w:r>
            <w:r>
              <w:rPr>
                <w:rFonts w:ascii="宋体" w:hAnsi="宋体" w:hint="eastAsia"/>
                <w:color w:val="auto"/>
                <w:sz w:val="21"/>
                <w:szCs w:val="21"/>
              </w:rPr>
              <w:t>=10k</w:t>
            </w:r>
            <w:r>
              <w:rPr>
                <w:rFonts w:ascii="宋体" w:hAnsi="宋体" w:hint="eastAsia"/>
                <w:color w:val="auto"/>
                <w:sz w:val="21"/>
                <w:szCs w:val="21"/>
                <w:lang w:eastAsia="en-US"/>
              </w:rPr>
              <w:t>W</w:t>
            </w: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台</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1983"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9</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发电机</w:t>
            </w:r>
          </w:p>
        </w:tc>
        <w:tc>
          <w:tcPr>
            <w:tcW w:w="1985"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P=150kW</w:t>
            </w: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台</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1983"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10</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变压器</w:t>
            </w:r>
          </w:p>
        </w:tc>
        <w:tc>
          <w:tcPr>
            <w:tcW w:w="1985"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1000kVA</w:t>
            </w: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台</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1983"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11</w:t>
            </w:r>
          </w:p>
        </w:tc>
        <w:tc>
          <w:tcPr>
            <w:tcW w:w="2693"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变压器</w:t>
            </w:r>
          </w:p>
        </w:tc>
        <w:tc>
          <w:tcPr>
            <w:tcW w:w="1985"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630kVA</w:t>
            </w:r>
          </w:p>
        </w:tc>
        <w:tc>
          <w:tcPr>
            <w:tcW w:w="85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台</w:t>
            </w:r>
          </w:p>
        </w:tc>
        <w:tc>
          <w:tcPr>
            <w:tcW w:w="8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1983" w:type="dxa"/>
            <w:vAlign w:val="center"/>
          </w:tcPr>
          <w:p w:rsidR="003F13AB" w:rsidRDefault="003F13AB">
            <w:pPr>
              <w:adjustRightInd/>
              <w:spacing w:line="240" w:lineRule="auto"/>
              <w:ind w:firstLineChars="0" w:firstLine="0"/>
              <w:jc w:val="center"/>
              <w:rPr>
                <w:rFonts w:ascii="宋体" w:hAnsi="宋体"/>
                <w:color w:val="auto"/>
                <w:sz w:val="21"/>
                <w:szCs w:val="21"/>
              </w:rPr>
            </w:pPr>
          </w:p>
        </w:tc>
      </w:tr>
      <w:tr w:rsidR="003F13AB">
        <w:trPr>
          <w:trHeight w:val="397"/>
          <w:jc w:val="center"/>
        </w:trPr>
        <w:tc>
          <w:tcPr>
            <w:tcW w:w="9072" w:type="dxa"/>
            <w:gridSpan w:val="6"/>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注：叉车为电动叉车。根据《仓储场所消防安全管理通则》（XF1131-2014）第7.5条“车辆加油或充电应在指定的安全区域进行，该区域应与物品储存区和操作间隔开”，</w:t>
            </w:r>
            <w:proofErr w:type="gramStart"/>
            <w:r>
              <w:rPr>
                <w:rFonts w:ascii="宋体" w:hAnsi="宋体" w:hint="eastAsia"/>
                <w:color w:val="auto"/>
                <w:sz w:val="21"/>
                <w:szCs w:val="21"/>
              </w:rPr>
              <w:t>充电桩在成品</w:t>
            </w:r>
            <w:proofErr w:type="gramEnd"/>
            <w:r>
              <w:rPr>
                <w:rFonts w:ascii="宋体" w:hAnsi="宋体" w:hint="eastAsia"/>
                <w:color w:val="auto"/>
                <w:sz w:val="21"/>
                <w:szCs w:val="21"/>
              </w:rPr>
              <w:t>仓库内划分区域设置。</w:t>
            </w:r>
          </w:p>
        </w:tc>
      </w:tr>
    </w:tbl>
    <w:p w:rsidR="003F13AB" w:rsidRDefault="003F13AB">
      <w:pPr>
        <w:pStyle w:val="Default1"/>
        <w:spacing w:line="360" w:lineRule="auto"/>
        <w:ind w:firstLineChars="200" w:firstLine="560"/>
        <w:jc w:val="both"/>
        <w:rPr>
          <w:rFonts w:hint="default"/>
          <w:sz w:val="28"/>
          <w:szCs w:val="28"/>
        </w:rPr>
      </w:pPr>
    </w:p>
    <w:p w:rsidR="003F13AB" w:rsidRDefault="00EC6E7E">
      <w:pPr>
        <w:pStyle w:val="4"/>
        <w:keepNext w:val="0"/>
        <w:ind w:firstLineChars="200" w:firstLine="562"/>
        <w:rPr>
          <w:rFonts w:eastAsia="宋体"/>
          <w:b/>
          <w:szCs w:val="20"/>
        </w:rPr>
      </w:pPr>
      <w:r>
        <w:rPr>
          <w:rFonts w:eastAsia="宋体" w:hint="eastAsia"/>
          <w:b/>
          <w:szCs w:val="20"/>
        </w:rPr>
        <w:t>2.2.9.2 特种</w:t>
      </w:r>
      <w:r>
        <w:rPr>
          <w:rFonts w:eastAsia="宋体"/>
          <w:b/>
          <w:szCs w:val="20"/>
        </w:rPr>
        <w:t>设备</w:t>
      </w:r>
    </w:p>
    <w:p w:rsidR="003F13AB" w:rsidRDefault="00EC6E7E">
      <w:pPr>
        <w:ind w:firstLine="560"/>
        <w:rPr>
          <w:color w:val="auto"/>
        </w:rPr>
      </w:pPr>
      <w:r>
        <w:rPr>
          <w:rFonts w:hint="eastAsia"/>
          <w:color w:val="auto"/>
        </w:rPr>
        <w:t>本项目涉及特种设备有压力容器</w:t>
      </w:r>
      <w:r>
        <w:rPr>
          <w:rFonts w:hint="eastAsia"/>
          <w:color w:val="auto"/>
        </w:rPr>
        <w:t>1</w:t>
      </w:r>
      <w:r>
        <w:rPr>
          <w:rFonts w:hint="eastAsia"/>
          <w:color w:val="auto"/>
        </w:rPr>
        <w:t>个、蒸汽锅炉</w:t>
      </w:r>
      <w:r>
        <w:rPr>
          <w:rFonts w:hint="eastAsia"/>
          <w:color w:val="auto"/>
        </w:rPr>
        <w:t>2</w:t>
      </w:r>
      <w:r>
        <w:rPr>
          <w:rFonts w:hint="eastAsia"/>
          <w:color w:val="auto"/>
        </w:rPr>
        <w:t>台、叉车</w:t>
      </w:r>
      <w:r>
        <w:rPr>
          <w:rFonts w:hint="eastAsia"/>
          <w:color w:val="auto"/>
        </w:rPr>
        <w:t>3</w:t>
      </w:r>
      <w:r>
        <w:rPr>
          <w:rFonts w:hint="eastAsia"/>
          <w:color w:val="auto"/>
        </w:rPr>
        <w:t>辆、电梯</w:t>
      </w:r>
      <w:r>
        <w:rPr>
          <w:rFonts w:hint="eastAsia"/>
          <w:color w:val="auto"/>
        </w:rPr>
        <w:t>1</w:t>
      </w:r>
      <w:r>
        <w:rPr>
          <w:rFonts w:hint="eastAsia"/>
          <w:color w:val="auto"/>
        </w:rPr>
        <w:t>部，经检验合格后已取得特种设备使用登记证，检验情况及使用登记证书情况详见下表。</w:t>
      </w:r>
    </w:p>
    <w:p w:rsidR="003F13AB" w:rsidRPr="00611B5C" w:rsidRDefault="00EC6E7E">
      <w:pPr>
        <w:pStyle w:val="Default1"/>
        <w:jc w:val="center"/>
        <w:rPr>
          <w:rFonts w:ascii="宋体" w:hAnsi="宋体" w:hint="default"/>
          <w:color w:val="auto"/>
          <w:sz w:val="28"/>
          <w:szCs w:val="28"/>
        </w:rPr>
      </w:pPr>
      <w:r w:rsidRPr="00611B5C">
        <w:rPr>
          <w:rFonts w:ascii="宋体" w:hAnsi="宋体"/>
          <w:color w:val="auto"/>
          <w:sz w:val="28"/>
          <w:szCs w:val="28"/>
        </w:rPr>
        <w:t>表2.2.12 特种设备合格证或检验证书情况表</w:t>
      </w:r>
    </w:p>
    <w:tbl>
      <w:tblPr>
        <w:tblStyle w:val="af1"/>
        <w:tblW w:w="9072" w:type="dxa"/>
        <w:jc w:val="center"/>
        <w:tblLook w:val="04A0" w:firstRow="1" w:lastRow="0" w:firstColumn="1" w:lastColumn="0" w:noHBand="0" w:noVBand="1"/>
      </w:tblPr>
      <w:tblGrid>
        <w:gridCol w:w="710"/>
        <w:gridCol w:w="1701"/>
        <w:gridCol w:w="2126"/>
        <w:gridCol w:w="1311"/>
        <w:gridCol w:w="3224"/>
      </w:tblGrid>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序号</w:t>
            </w:r>
          </w:p>
        </w:tc>
        <w:tc>
          <w:tcPr>
            <w:tcW w:w="1701"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产品名称</w:t>
            </w:r>
          </w:p>
        </w:tc>
        <w:tc>
          <w:tcPr>
            <w:tcW w:w="2126"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产品编号</w:t>
            </w:r>
          </w:p>
        </w:tc>
        <w:tc>
          <w:tcPr>
            <w:tcW w:w="1311"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检验结果</w:t>
            </w:r>
          </w:p>
        </w:tc>
        <w:tc>
          <w:tcPr>
            <w:tcW w:w="3224"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检验单位</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w:t>
            </w:r>
          </w:p>
        </w:tc>
        <w:tc>
          <w:tcPr>
            <w:tcW w:w="170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平衡重式叉车</w:t>
            </w:r>
          </w:p>
        </w:tc>
        <w:tc>
          <w:tcPr>
            <w:tcW w:w="2126"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68BD02787</w:t>
            </w:r>
          </w:p>
        </w:tc>
        <w:tc>
          <w:tcPr>
            <w:tcW w:w="131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符合</w:t>
            </w:r>
          </w:p>
        </w:tc>
        <w:tc>
          <w:tcPr>
            <w:tcW w:w="3224" w:type="dxa"/>
            <w:vAlign w:val="center"/>
          </w:tcPr>
          <w:p w:rsidR="003F13AB" w:rsidRPr="00611B5C" w:rsidRDefault="00EC6E7E">
            <w:pPr>
              <w:pStyle w:val="Default1"/>
              <w:jc w:val="center"/>
              <w:rPr>
                <w:rFonts w:ascii="宋体" w:hAnsi="宋体" w:hint="default"/>
                <w:color w:val="auto"/>
                <w:sz w:val="21"/>
                <w:szCs w:val="21"/>
              </w:rPr>
            </w:pPr>
            <w:proofErr w:type="gramStart"/>
            <w:r w:rsidRPr="00611B5C">
              <w:rPr>
                <w:rFonts w:ascii="宋体" w:hAnsi="宋体"/>
                <w:color w:val="auto"/>
                <w:sz w:val="21"/>
                <w:szCs w:val="21"/>
              </w:rPr>
              <w:t>杭叉集团</w:t>
            </w:r>
            <w:proofErr w:type="gramEnd"/>
            <w:r w:rsidRPr="00611B5C">
              <w:rPr>
                <w:rFonts w:ascii="宋体" w:hAnsi="宋体"/>
                <w:color w:val="auto"/>
                <w:sz w:val="21"/>
                <w:szCs w:val="21"/>
              </w:rPr>
              <w:t>股份有限公司</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w:t>
            </w:r>
          </w:p>
        </w:tc>
        <w:tc>
          <w:tcPr>
            <w:tcW w:w="170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平衡重式叉车</w:t>
            </w:r>
          </w:p>
        </w:tc>
        <w:tc>
          <w:tcPr>
            <w:tcW w:w="2126"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68BD02788</w:t>
            </w:r>
          </w:p>
        </w:tc>
        <w:tc>
          <w:tcPr>
            <w:tcW w:w="131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符合</w:t>
            </w:r>
          </w:p>
        </w:tc>
        <w:tc>
          <w:tcPr>
            <w:tcW w:w="3224" w:type="dxa"/>
            <w:vAlign w:val="center"/>
          </w:tcPr>
          <w:p w:rsidR="003F13AB" w:rsidRPr="00611B5C" w:rsidRDefault="00EC6E7E">
            <w:pPr>
              <w:pStyle w:val="Default1"/>
              <w:jc w:val="center"/>
              <w:rPr>
                <w:rFonts w:ascii="宋体" w:hAnsi="宋体" w:hint="default"/>
                <w:color w:val="auto"/>
                <w:sz w:val="21"/>
                <w:szCs w:val="21"/>
              </w:rPr>
            </w:pPr>
            <w:proofErr w:type="gramStart"/>
            <w:r w:rsidRPr="00611B5C">
              <w:rPr>
                <w:rFonts w:ascii="宋体" w:hAnsi="宋体"/>
                <w:color w:val="auto"/>
                <w:sz w:val="21"/>
                <w:szCs w:val="21"/>
              </w:rPr>
              <w:t>杭叉集团</w:t>
            </w:r>
            <w:proofErr w:type="gramEnd"/>
            <w:r w:rsidRPr="00611B5C">
              <w:rPr>
                <w:rFonts w:ascii="宋体" w:hAnsi="宋体"/>
                <w:color w:val="auto"/>
                <w:sz w:val="21"/>
                <w:szCs w:val="21"/>
              </w:rPr>
              <w:t>股份有限公司</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3</w:t>
            </w:r>
          </w:p>
        </w:tc>
        <w:tc>
          <w:tcPr>
            <w:tcW w:w="170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平衡重式叉车</w:t>
            </w:r>
          </w:p>
        </w:tc>
        <w:tc>
          <w:tcPr>
            <w:tcW w:w="2126"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68BD02789</w:t>
            </w:r>
          </w:p>
        </w:tc>
        <w:tc>
          <w:tcPr>
            <w:tcW w:w="131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符合</w:t>
            </w:r>
          </w:p>
        </w:tc>
        <w:tc>
          <w:tcPr>
            <w:tcW w:w="3224" w:type="dxa"/>
            <w:vAlign w:val="center"/>
          </w:tcPr>
          <w:p w:rsidR="003F13AB" w:rsidRPr="00611B5C" w:rsidRDefault="00EC6E7E">
            <w:pPr>
              <w:pStyle w:val="Default1"/>
              <w:jc w:val="center"/>
              <w:rPr>
                <w:rFonts w:ascii="宋体" w:hAnsi="宋体" w:hint="default"/>
                <w:color w:val="auto"/>
                <w:sz w:val="21"/>
                <w:szCs w:val="21"/>
              </w:rPr>
            </w:pPr>
            <w:proofErr w:type="gramStart"/>
            <w:r w:rsidRPr="00611B5C">
              <w:rPr>
                <w:rFonts w:ascii="宋体" w:hAnsi="宋体"/>
                <w:color w:val="auto"/>
                <w:sz w:val="21"/>
                <w:szCs w:val="21"/>
              </w:rPr>
              <w:t>杭叉集团</w:t>
            </w:r>
            <w:proofErr w:type="gramEnd"/>
            <w:r w:rsidRPr="00611B5C">
              <w:rPr>
                <w:rFonts w:ascii="宋体" w:hAnsi="宋体"/>
                <w:color w:val="auto"/>
                <w:sz w:val="21"/>
                <w:szCs w:val="21"/>
              </w:rPr>
              <w:t>股份有限公司</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lastRenderedPageBreak/>
              <w:t>4</w:t>
            </w:r>
          </w:p>
        </w:tc>
        <w:tc>
          <w:tcPr>
            <w:tcW w:w="170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第一类压力容器</w:t>
            </w:r>
          </w:p>
        </w:tc>
        <w:tc>
          <w:tcPr>
            <w:tcW w:w="2126"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217051207202400005</w:t>
            </w:r>
          </w:p>
        </w:tc>
        <w:tc>
          <w:tcPr>
            <w:tcW w:w="131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合格</w:t>
            </w:r>
          </w:p>
        </w:tc>
        <w:tc>
          <w:tcPr>
            <w:tcW w:w="322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云南省特种设备安全检测研究院</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5</w:t>
            </w:r>
          </w:p>
        </w:tc>
        <w:tc>
          <w:tcPr>
            <w:tcW w:w="170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曳引驱动乘客电梯</w:t>
            </w:r>
          </w:p>
        </w:tc>
        <w:tc>
          <w:tcPr>
            <w:tcW w:w="2126"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TD230915</w:t>
            </w:r>
          </w:p>
        </w:tc>
        <w:tc>
          <w:tcPr>
            <w:tcW w:w="131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合格</w:t>
            </w:r>
          </w:p>
        </w:tc>
        <w:tc>
          <w:tcPr>
            <w:tcW w:w="322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苏州东奥电梯有限公司</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6</w:t>
            </w:r>
          </w:p>
        </w:tc>
        <w:tc>
          <w:tcPr>
            <w:tcW w:w="170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承压蒸汽锅炉</w:t>
            </w:r>
          </w:p>
        </w:tc>
        <w:tc>
          <w:tcPr>
            <w:tcW w:w="2126"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LWM1924</w:t>
            </w:r>
          </w:p>
        </w:tc>
        <w:tc>
          <w:tcPr>
            <w:tcW w:w="131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合格</w:t>
            </w:r>
          </w:p>
        </w:tc>
        <w:tc>
          <w:tcPr>
            <w:tcW w:w="322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云南省特种设备安全检测研究院</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7</w:t>
            </w:r>
          </w:p>
        </w:tc>
        <w:tc>
          <w:tcPr>
            <w:tcW w:w="170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承压蒸汽锅炉</w:t>
            </w:r>
          </w:p>
        </w:tc>
        <w:tc>
          <w:tcPr>
            <w:tcW w:w="2126"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20-135</w:t>
            </w:r>
          </w:p>
        </w:tc>
        <w:tc>
          <w:tcPr>
            <w:tcW w:w="131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合格</w:t>
            </w:r>
          </w:p>
        </w:tc>
        <w:tc>
          <w:tcPr>
            <w:tcW w:w="322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云南省特种设备安全检测研究院</w:t>
            </w:r>
          </w:p>
        </w:tc>
      </w:tr>
    </w:tbl>
    <w:p w:rsidR="003F13AB" w:rsidRPr="00611B5C" w:rsidRDefault="003F13AB">
      <w:pPr>
        <w:pStyle w:val="Default1"/>
        <w:jc w:val="center"/>
        <w:rPr>
          <w:rFonts w:ascii="宋体" w:hAnsi="宋体" w:hint="default"/>
          <w:color w:val="auto"/>
          <w:sz w:val="28"/>
          <w:szCs w:val="28"/>
        </w:rPr>
      </w:pPr>
    </w:p>
    <w:p w:rsidR="003F13AB" w:rsidRPr="00611B5C" w:rsidRDefault="00EC6E7E">
      <w:pPr>
        <w:pStyle w:val="Default1"/>
        <w:jc w:val="center"/>
        <w:rPr>
          <w:rFonts w:ascii="宋体" w:hAnsi="宋体" w:hint="default"/>
          <w:color w:val="auto"/>
          <w:sz w:val="28"/>
          <w:szCs w:val="28"/>
        </w:rPr>
      </w:pPr>
      <w:r w:rsidRPr="00611B5C">
        <w:rPr>
          <w:rFonts w:ascii="宋体" w:hAnsi="宋体"/>
          <w:color w:val="auto"/>
          <w:sz w:val="28"/>
          <w:szCs w:val="28"/>
        </w:rPr>
        <w:t>表2.2-13 特种设备使用登记证信息表</w:t>
      </w:r>
    </w:p>
    <w:tbl>
      <w:tblPr>
        <w:tblStyle w:val="af1"/>
        <w:tblW w:w="9072" w:type="dxa"/>
        <w:jc w:val="center"/>
        <w:tblLook w:val="04A0" w:firstRow="1" w:lastRow="0" w:firstColumn="1" w:lastColumn="0" w:noHBand="0" w:noVBand="1"/>
      </w:tblPr>
      <w:tblGrid>
        <w:gridCol w:w="710"/>
        <w:gridCol w:w="1169"/>
        <w:gridCol w:w="992"/>
        <w:gridCol w:w="2233"/>
        <w:gridCol w:w="2127"/>
        <w:gridCol w:w="1841"/>
      </w:tblGrid>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序号</w:t>
            </w:r>
          </w:p>
        </w:tc>
        <w:tc>
          <w:tcPr>
            <w:tcW w:w="1169"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设备品种</w:t>
            </w:r>
          </w:p>
        </w:tc>
        <w:tc>
          <w:tcPr>
            <w:tcW w:w="992"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单位内编号</w:t>
            </w:r>
          </w:p>
        </w:tc>
        <w:tc>
          <w:tcPr>
            <w:tcW w:w="2233"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设备代码</w:t>
            </w:r>
          </w:p>
        </w:tc>
        <w:tc>
          <w:tcPr>
            <w:tcW w:w="2127"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登记证编号</w:t>
            </w:r>
          </w:p>
        </w:tc>
        <w:tc>
          <w:tcPr>
            <w:tcW w:w="1841"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登记机关</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w:t>
            </w:r>
          </w:p>
        </w:tc>
        <w:tc>
          <w:tcPr>
            <w:tcW w:w="1169"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叉车</w:t>
            </w:r>
          </w:p>
        </w:tc>
        <w:tc>
          <w:tcPr>
            <w:tcW w:w="992"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01</w:t>
            </w:r>
          </w:p>
        </w:tc>
        <w:tc>
          <w:tcPr>
            <w:tcW w:w="2233"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5110330092024B3514</w:t>
            </w:r>
          </w:p>
        </w:tc>
        <w:tc>
          <w:tcPr>
            <w:tcW w:w="2127"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车11滇A01299（24）</w:t>
            </w:r>
          </w:p>
        </w:tc>
        <w:tc>
          <w:tcPr>
            <w:tcW w:w="184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晋宁区市场监督管理局</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w:t>
            </w:r>
          </w:p>
        </w:tc>
        <w:tc>
          <w:tcPr>
            <w:tcW w:w="1169"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叉车</w:t>
            </w:r>
          </w:p>
        </w:tc>
        <w:tc>
          <w:tcPr>
            <w:tcW w:w="992"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02</w:t>
            </w:r>
          </w:p>
        </w:tc>
        <w:tc>
          <w:tcPr>
            <w:tcW w:w="2233"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5110330092024B3515</w:t>
            </w:r>
          </w:p>
        </w:tc>
        <w:tc>
          <w:tcPr>
            <w:tcW w:w="2127"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车11滇A01298（24）</w:t>
            </w:r>
          </w:p>
        </w:tc>
        <w:tc>
          <w:tcPr>
            <w:tcW w:w="184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晋宁区市场监督管理局</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3</w:t>
            </w:r>
          </w:p>
        </w:tc>
        <w:tc>
          <w:tcPr>
            <w:tcW w:w="1169"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叉车</w:t>
            </w:r>
          </w:p>
        </w:tc>
        <w:tc>
          <w:tcPr>
            <w:tcW w:w="992"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03</w:t>
            </w:r>
          </w:p>
        </w:tc>
        <w:tc>
          <w:tcPr>
            <w:tcW w:w="2233"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5110330092024B3516</w:t>
            </w:r>
          </w:p>
        </w:tc>
        <w:tc>
          <w:tcPr>
            <w:tcW w:w="2127"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车11滇A01297（24）</w:t>
            </w:r>
          </w:p>
        </w:tc>
        <w:tc>
          <w:tcPr>
            <w:tcW w:w="184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晋宁区市场监督管理局</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4</w:t>
            </w:r>
          </w:p>
        </w:tc>
        <w:tc>
          <w:tcPr>
            <w:tcW w:w="1169"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第一类压力容器</w:t>
            </w:r>
          </w:p>
        </w:tc>
        <w:tc>
          <w:tcPr>
            <w:tcW w:w="992"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CW-01</w:t>
            </w:r>
          </w:p>
        </w:tc>
        <w:tc>
          <w:tcPr>
            <w:tcW w:w="2233"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217051207202400005</w:t>
            </w:r>
          </w:p>
        </w:tc>
        <w:tc>
          <w:tcPr>
            <w:tcW w:w="2127"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容17滇A02080（24）</w:t>
            </w:r>
          </w:p>
        </w:tc>
        <w:tc>
          <w:tcPr>
            <w:tcW w:w="184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晋宁区市场监督管理局</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5</w:t>
            </w:r>
          </w:p>
        </w:tc>
        <w:tc>
          <w:tcPr>
            <w:tcW w:w="1169"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曳引驱动乘客电梯</w:t>
            </w:r>
          </w:p>
        </w:tc>
        <w:tc>
          <w:tcPr>
            <w:tcW w:w="992"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w:t>
            </w:r>
          </w:p>
        </w:tc>
        <w:tc>
          <w:tcPr>
            <w:tcW w:w="2233"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311010392202380915</w:t>
            </w:r>
          </w:p>
        </w:tc>
        <w:tc>
          <w:tcPr>
            <w:tcW w:w="2127"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梯</w:t>
            </w:r>
            <w:r w:rsidRPr="00611B5C">
              <w:rPr>
                <w:rFonts w:ascii="宋体" w:hAnsi="宋体"/>
                <w:color w:val="auto"/>
                <w:sz w:val="21"/>
                <w:szCs w:val="21"/>
              </w:rPr>
              <w:t>11滇A02924（24）</w:t>
            </w:r>
          </w:p>
        </w:tc>
        <w:tc>
          <w:tcPr>
            <w:tcW w:w="184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晋宁区市场监督管理局</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6</w:t>
            </w:r>
          </w:p>
        </w:tc>
        <w:tc>
          <w:tcPr>
            <w:tcW w:w="1169"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承压蒸汽锅炉</w:t>
            </w:r>
          </w:p>
        </w:tc>
        <w:tc>
          <w:tcPr>
            <w:tcW w:w="992"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1号</w:t>
            </w:r>
          </w:p>
        </w:tc>
        <w:tc>
          <w:tcPr>
            <w:tcW w:w="2233"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110010635202000022</w:t>
            </w:r>
          </w:p>
        </w:tc>
        <w:tc>
          <w:tcPr>
            <w:tcW w:w="2127"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锅</w:t>
            </w:r>
            <w:r w:rsidRPr="00611B5C">
              <w:rPr>
                <w:rFonts w:ascii="宋体" w:hAnsi="宋体"/>
                <w:color w:val="auto"/>
                <w:sz w:val="21"/>
                <w:szCs w:val="21"/>
              </w:rPr>
              <w:t>10滇A00002（25）</w:t>
            </w:r>
          </w:p>
        </w:tc>
        <w:tc>
          <w:tcPr>
            <w:tcW w:w="184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晋宁区市场监督管理局</w:t>
            </w:r>
          </w:p>
        </w:tc>
      </w:tr>
      <w:tr w:rsidR="003F13AB" w:rsidRPr="00611B5C">
        <w:trPr>
          <w:trHeight w:val="397"/>
          <w:jc w:val="center"/>
        </w:trPr>
        <w:tc>
          <w:tcPr>
            <w:tcW w:w="71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7</w:t>
            </w:r>
          </w:p>
        </w:tc>
        <w:tc>
          <w:tcPr>
            <w:tcW w:w="1169"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承压蒸汽锅炉</w:t>
            </w:r>
          </w:p>
        </w:tc>
        <w:tc>
          <w:tcPr>
            <w:tcW w:w="992"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2号</w:t>
            </w:r>
          </w:p>
        </w:tc>
        <w:tc>
          <w:tcPr>
            <w:tcW w:w="2233"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110010635202000021</w:t>
            </w:r>
          </w:p>
        </w:tc>
        <w:tc>
          <w:tcPr>
            <w:tcW w:w="2127"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hint="default"/>
                <w:color w:val="auto"/>
                <w:sz w:val="21"/>
                <w:szCs w:val="21"/>
              </w:rPr>
              <w:t>锅</w:t>
            </w:r>
            <w:r w:rsidRPr="00611B5C">
              <w:rPr>
                <w:rFonts w:ascii="宋体" w:hAnsi="宋体"/>
                <w:color w:val="auto"/>
                <w:sz w:val="21"/>
                <w:szCs w:val="21"/>
              </w:rPr>
              <w:t>10滇A00001（25）</w:t>
            </w:r>
          </w:p>
        </w:tc>
        <w:tc>
          <w:tcPr>
            <w:tcW w:w="1841"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晋宁区市场监督管理局</w:t>
            </w:r>
          </w:p>
        </w:tc>
      </w:tr>
    </w:tbl>
    <w:p w:rsidR="003F13AB" w:rsidRPr="00611B5C" w:rsidRDefault="00EC6E7E">
      <w:pPr>
        <w:pStyle w:val="4"/>
        <w:keepNext w:val="0"/>
        <w:ind w:firstLineChars="200" w:firstLine="562"/>
      </w:pPr>
      <w:bookmarkStart w:id="68" w:name="_Toc187914386"/>
      <w:r w:rsidRPr="00611B5C">
        <w:rPr>
          <w:rFonts w:eastAsia="宋体" w:hint="eastAsia"/>
          <w:b/>
          <w:szCs w:val="20"/>
        </w:rPr>
        <w:t>2.2.9.3强制检验设备设施</w:t>
      </w:r>
    </w:p>
    <w:p w:rsidR="003F13AB" w:rsidRPr="00611B5C" w:rsidRDefault="00EC6E7E">
      <w:pPr>
        <w:ind w:firstLine="560"/>
        <w:rPr>
          <w:color w:val="auto"/>
        </w:rPr>
      </w:pPr>
      <w:r w:rsidRPr="00611B5C">
        <w:rPr>
          <w:rFonts w:hint="eastAsia"/>
          <w:color w:val="auto"/>
        </w:rPr>
        <w:t>本项目涉及的强制检验设备、设施主要有：压力表、安全阀及可燃气体检测报警器等。其检验情况如下表所示：</w:t>
      </w:r>
    </w:p>
    <w:p w:rsidR="003F13AB" w:rsidRPr="00611B5C" w:rsidRDefault="00EC6E7E">
      <w:pPr>
        <w:ind w:firstLine="560"/>
        <w:jc w:val="center"/>
        <w:rPr>
          <w:rFonts w:ascii="宋体" w:hAnsi="宋体"/>
          <w:color w:val="auto"/>
        </w:rPr>
      </w:pPr>
      <w:r w:rsidRPr="00611B5C">
        <w:rPr>
          <w:rFonts w:ascii="宋体" w:hAnsi="宋体" w:hint="eastAsia"/>
          <w:color w:val="auto"/>
        </w:rPr>
        <w:t>表2.2-14 压力表检验情况表</w:t>
      </w:r>
    </w:p>
    <w:tbl>
      <w:tblPr>
        <w:tblStyle w:val="af1"/>
        <w:tblW w:w="9072" w:type="dxa"/>
        <w:jc w:val="center"/>
        <w:tblLook w:val="04A0" w:firstRow="1" w:lastRow="0" w:firstColumn="1" w:lastColumn="0" w:noHBand="0" w:noVBand="1"/>
      </w:tblPr>
      <w:tblGrid>
        <w:gridCol w:w="704"/>
        <w:gridCol w:w="925"/>
        <w:gridCol w:w="1975"/>
        <w:gridCol w:w="2918"/>
        <w:gridCol w:w="1276"/>
        <w:gridCol w:w="1274"/>
      </w:tblGrid>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序号</w:t>
            </w:r>
          </w:p>
        </w:tc>
        <w:tc>
          <w:tcPr>
            <w:tcW w:w="925"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名称</w:t>
            </w:r>
          </w:p>
        </w:tc>
        <w:tc>
          <w:tcPr>
            <w:tcW w:w="1975"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证书编号</w:t>
            </w:r>
          </w:p>
        </w:tc>
        <w:tc>
          <w:tcPr>
            <w:tcW w:w="2918"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发证单位</w:t>
            </w:r>
          </w:p>
        </w:tc>
        <w:tc>
          <w:tcPr>
            <w:tcW w:w="1276"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检测结果</w:t>
            </w:r>
          </w:p>
        </w:tc>
        <w:tc>
          <w:tcPr>
            <w:tcW w:w="1274"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有效期至</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w:t>
            </w:r>
          </w:p>
        </w:tc>
        <w:tc>
          <w:tcPr>
            <w:tcW w:w="925"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压力表</w:t>
            </w:r>
          </w:p>
        </w:tc>
        <w:tc>
          <w:tcPr>
            <w:tcW w:w="1975"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YNZCLX202427093</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YNZCLX20242709</w:t>
            </w:r>
            <w:r w:rsidRPr="00611B5C">
              <w:rPr>
                <w:rFonts w:ascii="宋体" w:hAnsi="宋体" w:hint="eastAsia"/>
                <w:color w:val="auto"/>
                <w:sz w:val="21"/>
                <w:szCs w:val="21"/>
              </w:rPr>
              <w:t>4</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3</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YNZCLX20242709</w:t>
            </w:r>
            <w:r w:rsidRPr="00611B5C">
              <w:rPr>
                <w:rFonts w:ascii="宋体" w:hAnsi="宋体" w:hint="eastAsia"/>
                <w:color w:val="auto"/>
                <w:sz w:val="21"/>
                <w:szCs w:val="21"/>
              </w:rPr>
              <w:t>5</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4</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YNZCLX20242709</w:t>
            </w:r>
            <w:r w:rsidRPr="00611B5C">
              <w:rPr>
                <w:rFonts w:ascii="宋体" w:hAnsi="宋体" w:hint="eastAsia"/>
                <w:color w:val="auto"/>
                <w:sz w:val="21"/>
                <w:szCs w:val="21"/>
              </w:rPr>
              <w:t>6</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5</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YNZCLX20242709</w:t>
            </w:r>
            <w:r w:rsidRPr="00611B5C">
              <w:rPr>
                <w:rFonts w:ascii="宋体" w:hAnsi="宋体" w:hint="eastAsia"/>
                <w:color w:val="auto"/>
                <w:sz w:val="21"/>
                <w:szCs w:val="21"/>
              </w:rPr>
              <w:t>7</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6</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YNZCLX20242709</w:t>
            </w:r>
            <w:r w:rsidRPr="00611B5C">
              <w:rPr>
                <w:rFonts w:ascii="宋体" w:hAnsi="宋体" w:hint="eastAsia"/>
                <w:color w:val="auto"/>
                <w:sz w:val="21"/>
                <w:szCs w:val="21"/>
              </w:rPr>
              <w:t>8</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7</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YNZCLX20242709</w:t>
            </w:r>
            <w:r w:rsidRPr="00611B5C">
              <w:rPr>
                <w:rFonts w:ascii="宋体" w:hAnsi="宋体" w:hint="eastAsia"/>
                <w:color w:val="auto"/>
                <w:sz w:val="21"/>
                <w:szCs w:val="21"/>
              </w:rPr>
              <w:t>9</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8</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100</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9</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101</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10</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102</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lastRenderedPageBreak/>
              <w:t>11</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103</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12</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104</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13</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105</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14</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106</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15</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107</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16</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108</w:t>
            </w:r>
          </w:p>
        </w:tc>
        <w:tc>
          <w:tcPr>
            <w:tcW w:w="2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17</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108</w:t>
            </w:r>
          </w:p>
        </w:tc>
        <w:tc>
          <w:tcPr>
            <w:tcW w:w="2918"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18</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108</w:t>
            </w:r>
          </w:p>
        </w:tc>
        <w:tc>
          <w:tcPr>
            <w:tcW w:w="2918"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19</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108</w:t>
            </w:r>
          </w:p>
        </w:tc>
        <w:tc>
          <w:tcPr>
            <w:tcW w:w="2918"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r w:rsidR="003F13AB" w:rsidRPr="00611B5C">
        <w:trPr>
          <w:trHeight w:val="397"/>
          <w:jc w:val="center"/>
        </w:trPr>
        <w:tc>
          <w:tcPr>
            <w:tcW w:w="70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w:t>
            </w:r>
          </w:p>
        </w:tc>
        <w:tc>
          <w:tcPr>
            <w:tcW w:w="92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压力表</w:t>
            </w:r>
          </w:p>
        </w:tc>
        <w:tc>
          <w:tcPr>
            <w:tcW w:w="1975"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YNZCLX202427</w:t>
            </w:r>
            <w:r w:rsidRPr="00611B5C">
              <w:rPr>
                <w:rFonts w:ascii="宋体" w:hAnsi="宋体" w:hint="eastAsia"/>
                <w:color w:val="auto"/>
                <w:sz w:val="21"/>
                <w:szCs w:val="21"/>
              </w:rPr>
              <w:t>108</w:t>
            </w:r>
          </w:p>
        </w:tc>
        <w:tc>
          <w:tcPr>
            <w:tcW w:w="2918"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云南中测计量股份有限公司</w:t>
            </w:r>
          </w:p>
        </w:tc>
        <w:tc>
          <w:tcPr>
            <w:tcW w:w="127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合格</w:t>
            </w:r>
          </w:p>
        </w:tc>
        <w:tc>
          <w:tcPr>
            <w:tcW w:w="127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2025.03.14</w:t>
            </w:r>
          </w:p>
        </w:tc>
      </w:tr>
    </w:tbl>
    <w:p w:rsidR="003F13AB" w:rsidRPr="00611B5C" w:rsidRDefault="003F13AB">
      <w:pPr>
        <w:ind w:firstLine="560"/>
        <w:jc w:val="center"/>
        <w:rPr>
          <w:rFonts w:ascii="宋体" w:hAnsi="宋体"/>
          <w:color w:val="auto"/>
        </w:rPr>
      </w:pPr>
    </w:p>
    <w:p w:rsidR="003F13AB" w:rsidRPr="00611B5C" w:rsidRDefault="00EC6E7E">
      <w:pPr>
        <w:ind w:firstLine="560"/>
        <w:jc w:val="center"/>
        <w:rPr>
          <w:rFonts w:ascii="宋体" w:hAnsi="宋体"/>
          <w:color w:val="auto"/>
        </w:rPr>
      </w:pPr>
      <w:r w:rsidRPr="00611B5C">
        <w:rPr>
          <w:rFonts w:ascii="宋体" w:hAnsi="宋体" w:hint="eastAsia"/>
          <w:color w:val="auto"/>
        </w:rPr>
        <w:t>表2.2-15 安全阀检验情况表</w:t>
      </w:r>
    </w:p>
    <w:tbl>
      <w:tblPr>
        <w:tblStyle w:val="af1"/>
        <w:tblW w:w="9072" w:type="dxa"/>
        <w:jc w:val="center"/>
        <w:tblLook w:val="04A0" w:firstRow="1" w:lastRow="0" w:firstColumn="1" w:lastColumn="0" w:noHBand="0" w:noVBand="1"/>
      </w:tblPr>
      <w:tblGrid>
        <w:gridCol w:w="633"/>
        <w:gridCol w:w="918"/>
        <w:gridCol w:w="2136"/>
        <w:gridCol w:w="2977"/>
        <w:gridCol w:w="708"/>
        <w:gridCol w:w="1700"/>
      </w:tblGrid>
      <w:tr w:rsidR="003F13AB" w:rsidRPr="00611B5C">
        <w:trPr>
          <w:trHeight w:val="397"/>
          <w:jc w:val="center"/>
        </w:trPr>
        <w:tc>
          <w:tcPr>
            <w:tcW w:w="633"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序号</w:t>
            </w:r>
          </w:p>
        </w:tc>
        <w:tc>
          <w:tcPr>
            <w:tcW w:w="918"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名称</w:t>
            </w:r>
          </w:p>
        </w:tc>
        <w:tc>
          <w:tcPr>
            <w:tcW w:w="2136"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报告编号</w:t>
            </w:r>
          </w:p>
        </w:tc>
        <w:tc>
          <w:tcPr>
            <w:tcW w:w="2977"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校验单位</w:t>
            </w:r>
          </w:p>
        </w:tc>
        <w:tc>
          <w:tcPr>
            <w:tcW w:w="708"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检测结果</w:t>
            </w:r>
          </w:p>
        </w:tc>
        <w:tc>
          <w:tcPr>
            <w:tcW w:w="1700"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下次校验日期</w:t>
            </w:r>
          </w:p>
        </w:tc>
      </w:tr>
      <w:tr w:rsidR="003F13AB" w:rsidRPr="00611B5C">
        <w:trPr>
          <w:trHeight w:val="397"/>
          <w:jc w:val="center"/>
        </w:trPr>
        <w:tc>
          <w:tcPr>
            <w:tcW w:w="633"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w:t>
            </w:r>
          </w:p>
        </w:tc>
        <w:tc>
          <w:tcPr>
            <w:tcW w:w="9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安全阀</w:t>
            </w:r>
          </w:p>
        </w:tc>
        <w:tc>
          <w:tcPr>
            <w:tcW w:w="2136"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ZKH-JY-2024-12-130</w:t>
            </w:r>
          </w:p>
        </w:tc>
        <w:tc>
          <w:tcPr>
            <w:tcW w:w="2977"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w:t>
            </w:r>
            <w:proofErr w:type="gramStart"/>
            <w:r w:rsidRPr="00611B5C">
              <w:rPr>
                <w:rFonts w:ascii="宋体" w:hAnsi="宋体"/>
                <w:color w:val="auto"/>
                <w:sz w:val="21"/>
                <w:szCs w:val="21"/>
              </w:rPr>
              <w:t>仲科函</w:t>
            </w:r>
            <w:proofErr w:type="gramEnd"/>
            <w:r w:rsidRPr="00611B5C">
              <w:rPr>
                <w:rFonts w:ascii="宋体" w:hAnsi="宋体"/>
                <w:color w:val="auto"/>
                <w:sz w:val="21"/>
                <w:szCs w:val="21"/>
              </w:rPr>
              <w:t>技术服务有限公司</w:t>
            </w:r>
          </w:p>
        </w:tc>
        <w:tc>
          <w:tcPr>
            <w:tcW w:w="70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合格</w:t>
            </w:r>
          </w:p>
        </w:tc>
        <w:tc>
          <w:tcPr>
            <w:tcW w:w="170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2025.12.04</w:t>
            </w:r>
          </w:p>
        </w:tc>
      </w:tr>
      <w:tr w:rsidR="003F13AB" w:rsidRPr="00611B5C">
        <w:trPr>
          <w:trHeight w:val="397"/>
          <w:jc w:val="center"/>
        </w:trPr>
        <w:tc>
          <w:tcPr>
            <w:tcW w:w="633"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w:t>
            </w:r>
          </w:p>
        </w:tc>
        <w:tc>
          <w:tcPr>
            <w:tcW w:w="918"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安全阀</w:t>
            </w:r>
          </w:p>
        </w:tc>
        <w:tc>
          <w:tcPr>
            <w:tcW w:w="2136"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ZKH-JY-2024-12-131</w:t>
            </w:r>
          </w:p>
        </w:tc>
        <w:tc>
          <w:tcPr>
            <w:tcW w:w="2977"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云南</w:t>
            </w:r>
            <w:proofErr w:type="gramStart"/>
            <w:r w:rsidRPr="00611B5C">
              <w:rPr>
                <w:rFonts w:ascii="宋体" w:hAnsi="宋体"/>
                <w:color w:val="auto"/>
                <w:sz w:val="21"/>
                <w:szCs w:val="21"/>
              </w:rPr>
              <w:t>仲科函</w:t>
            </w:r>
            <w:proofErr w:type="gramEnd"/>
            <w:r w:rsidRPr="00611B5C">
              <w:rPr>
                <w:rFonts w:ascii="宋体" w:hAnsi="宋体"/>
                <w:color w:val="auto"/>
                <w:sz w:val="21"/>
                <w:szCs w:val="21"/>
              </w:rPr>
              <w:t>技术服务有限公司</w:t>
            </w:r>
          </w:p>
        </w:tc>
        <w:tc>
          <w:tcPr>
            <w:tcW w:w="708" w:type="dxa"/>
            <w:vAlign w:val="center"/>
          </w:tcPr>
          <w:p w:rsidR="003F13AB" w:rsidRPr="00611B5C" w:rsidRDefault="00EC6E7E">
            <w:pPr>
              <w:ind w:firstLineChars="0" w:firstLine="0"/>
              <w:jc w:val="center"/>
              <w:rPr>
                <w:rFonts w:ascii="宋体" w:hAnsi="宋体"/>
                <w:color w:val="auto"/>
                <w:sz w:val="21"/>
                <w:szCs w:val="21"/>
              </w:rPr>
            </w:pPr>
            <w:r w:rsidRPr="00611B5C">
              <w:rPr>
                <w:rFonts w:ascii="宋体" w:hAnsi="宋体"/>
                <w:color w:val="auto"/>
                <w:sz w:val="21"/>
                <w:szCs w:val="21"/>
              </w:rPr>
              <w:t>合格</w:t>
            </w:r>
          </w:p>
        </w:tc>
        <w:tc>
          <w:tcPr>
            <w:tcW w:w="1700" w:type="dxa"/>
            <w:vAlign w:val="center"/>
          </w:tcPr>
          <w:p w:rsidR="003F13AB" w:rsidRPr="00611B5C" w:rsidRDefault="00EC6E7E">
            <w:pPr>
              <w:ind w:firstLineChars="0" w:firstLine="0"/>
              <w:jc w:val="center"/>
              <w:rPr>
                <w:color w:val="auto"/>
              </w:rPr>
            </w:pPr>
            <w:r w:rsidRPr="00611B5C">
              <w:rPr>
                <w:rFonts w:ascii="宋体" w:hAnsi="宋体"/>
                <w:color w:val="auto"/>
                <w:sz w:val="21"/>
                <w:szCs w:val="21"/>
              </w:rPr>
              <w:t>202</w:t>
            </w:r>
            <w:r w:rsidRPr="00611B5C">
              <w:rPr>
                <w:rFonts w:ascii="宋体" w:hAnsi="宋体" w:hint="eastAsia"/>
                <w:color w:val="auto"/>
                <w:sz w:val="21"/>
                <w:szCs w:val="21"/>
              </w:rPr>
              <w:t>5</w:t>
            </w:r>
            <w:r w:rsidRPr="00611B5C">
              <w:rPr>
                <w:rFonts w:ascii="宋体" w:hAnsi="宋体"/>
                <w:color w:val="auto"/>
                <w:sz w:val="21"/>
                <w:szCs w:val="21"/>
              </w:rPr>
              <w:t>.12.</w:t>
            </w:r>
            <w:r w:rsidRPr="00611B5C">
              <w:rPr>
                <w:rFonts w:ascii="宋体" w:hAnsi="宋体" w:hint="eastAsia"/>
                <w:color w:val="auto"/>
                <w:sz w:val="21"/>
                <w:szCs w:val="21"/>
              </w:rPr>
              <w:t>04</w:t>
            </w:r>
          </w:p>
        </w:tc>
      </w:tr>
    </w:tbl>
    <w:p w:rsidR="003F13AB" w:rsidRPr="00611B5C" w:rsidRDefault="003F13AB">
      <w:pPr>
        <w:ind w:firstLine="560"/>
        <w:jc w:val="center"/>
        <w:rPr>
          <w:rFonts w:ascii="宋体" w:hAnsi="宋体"/>
          <w:color w:val="auto"/>
        </w:rPr>
      </w:pPr>
    </w:p>
    <w:p w:rsidR="003F13AB" w:rsidRPr="00611B5C" w:rsidRDefault="00EC6E7E">
      <w:pPr>
        <w:ind w:firstLine="560"/>
        <w:jc w:val="center"/>
        <w:rPr>
          <w:rFonts w:ascii="宋体" w:hAnsi="宋体"/>
          <w:color w:val="auto"/>
        </w:rPr>
      </w:pPr>
      <w:r w:rsidRPr="00611B5C">
        <w:rPr>
          <w:rFonts w:ascii="宋体" w:hAnsi="宋体" w:hint="eastAsia"/>
          <w:color w:val="auto"/>
        </w:rPr>
        <w:t>表2.2-16可燃气体检测报警器检验情况表</w:t>
      </w:r>
    </w:p>
    <w:tbl>
      <w:tblPr>
        <w:tblStyle w:val="af1"/>
        <w:tblW w:w="9072" w:type="dxa"/>
        <w:jc w:val="center"/>
        <w:tblLook w:val="04A0" w:firstRow="1" w:lastRow="0" w:firstColumn="1" w:lastColumn="0" w:noHBand="0" w:noVBand="1"/>
      </w:tblPr>
      <w:tblGrid>
        <w:gridCol w:w="614"/>
        <w:gridCol w:w="1268"/>
        <w:gridCol w:w="1380"/>
        <w:gridCol w:w="3118"/>
        <w:gridCol w:w="1276"/>
        <w:gridCol w:w="1416"/>
      </w:tblGrid>
      <w:tr w:rsidR="003F13AB" w:rsidRPr="00611B5C">
        <w:trPr>
          <w:trHeight w:val="397"/>
          <w:jc w:val="center"/>
        </w:trPr>
        <w:tc>
          <w:tcPr>
            <w:tcW w:w="614"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序号</w:t>
            </w:r>
          </w:p>
        </w:tc>
        <w:tc>
          <w:tcPr>
            <w:tcW w:w="1268"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名称</w:t>
            </w:r>
          </w:p>
        </w:tc>
        <w:tc>
          <w:tcPr>
            <w:tcW w:w="1380"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产品型号</w:t>
            </w:r>
          </w:p>
        </w:tc>
        <w:tc>
          <w:tcPr>
            <w:tcW w:w="3118"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检验单位</w:t>
            </w:r>
          </w:p>
        </w:tc>
        <w:tc>
          <w:tcPr>
            <w:tcW w:w="1276"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检测结果</w:t>
            </w:r>
          </w:p>
        </w:tc>
        <w:tc>
          <w:tcPr>
            <w:tcW w:w="1416" w:type="dxa"/>
            <w:vAlign w:val="center"/>
          </w:tcPr>
          <w:p w:rsidR="003F13AB" w:rsidRPr="00611B5C" w:rsidRDefault="00EC6E7E">
            <w:pPr>
              <w:pStyle w:val="Default1"/>
              <w:jc w:val="center"/>
              <w:rPr>
                <w:rFonts w:ascii="宋体" w:hAnsi="宋体" w:hint="default"/>
                <w:b/>
                <w:color w:val="auto"/>
                <w:sz w:val="21"/>
                <w:szCs w:val="21"/>
              </w:rPr>
            </w:pPr>
            <w:r w:rsidRPr="00611B5C">
              <w:rPr>
                <w:rFonts w:ascii="宋体" w:hAnsi="宋体"/>
                <w:b/>
                <w:color w:val="auto"/>
                <w:sz w:val="21"/>
                <w:szCs w:val="21"/>
              </w:rPr>
              <w:t>日期</w:t>
            </w:r>
          </w:p>
        </w:tc>
      </w:tr>
      <w:tr w:rsidR="003F13AB" w:rsidRPr="00611B5C">
        <w:trPr>
          <w:trHeight w:val="397"/>
          <w:jc w:val="center"/>
        </w:trPr>
        <w:tc>
          <w:tcPr>
            <w:tcW w:w="61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1</w:t>
            </w:r>
          </w:p>
        </w:tc>
        <w:tc>
          <w:tcPr>
            <w:tcW w:w="126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气体报警控制器</w:t>
            </w:r>
          </w:p>
        </w:tc>
        <w:tc>
          <w:tcPr>
            <w:tcW w:w="1380"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KB100-无线</w:t>
            </w:r>
          </w:p>
        </w:tc>
        <w:tc>
          <w:tcPr>
            <w:tcW w:w="31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汉威科技集团股份有限公司</w:t>
            </w:r>
          </w:p>
        </w:tc>
        <w:tc>
          <w:tcPr>
            <w:tcW w:w="1276"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合格</w:t>
            </w:r>
          </w:p>
        </w:tc>
        <w:tc>
          <w:tcPr>
            <w:tcW w:w="1416"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2024.0.25</w:t>
            </w:r>
          </w:p>
        </w:tc>
      </w:tr>
      <w:tr w:rsidR="003F13AB" w:rsidRPr="00611B5C">
        <w:trPr>
          <w:trHeight w:val="397"/>
          <w:jc w:val="center"/>
        </w:trPr>
        <w:tc>
          <w:tcPr>
            <w:tcW w:w="614"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2</w:t>
            </w:r>
          </w:p>
        </w:tc>
        <w:tc>
          <w:tcPr>
            <w:tcW w:w="126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气体报警控制器</w:t>
            </w:r>
          </w:p>
        </w:tc>
        <w:tc>
          <w:tcPr>
            <w:tcW w:w="1380" w:type="dxa"/>
            <w:vAlign w:val="center"/>
          </w:tcPr>
          <w:p w:rsidR="003F13AB" w:rsidRPr="00611B5C" w:rsidRDefault="00EC6E7E">
            <w:pPr>
              <w:ind w:firstLineChars="0" w:firstLine="0"/>
              <w:jc w:val="center"/>
              <w:rPr>
                <w:color w:val="auto"/>
              </w:rPr>
            </w:pPr>
            <w:r w:rsidRPr="00611B5C">
              <w:rPr>
                <w:rFonts w:ascii="宋体" w:hAnsi="宋体" w:hint="eastAsia"/>
                <w:color w:val="auto"/>
                <w:sz w:val="21"/>
                <w:szCs w:val="21"/>
              </w:rPr>
              <w:t>GTY-CXE</w:t>
            </w:r>
          </w:p>
        </w:tc>
        <w:tc>
          <w:tcPr>
            <w:tcW w:w="3118" w:type="dxa"/>
            <w:vAlign w:val="center"/>
          </w:tcPr>
          <w:p w:rsidR="003F13AB" w:rsidRPr="00611B5C" w:rsidRDefault="00EC6E7E">
            <w:pPr>
              <w:pStyle w:val="Default1"/>
              <w:jc w:val="center"/>
              <w:rPr>
                <w:rFonts w:ascii="宋体" w:hAnsi="宋体" w:hint="default"/>
                <w:color w:val="auto"/>
                <w:sz w:val="21"/>
                <w:szCs w:val="21"/>
              </w:rPr>
            </w:pPr>
            <w:r w:rsidRPr="00611B5C">
              <w:rPr>
                <w:rFonts w:ascii="宋体" w:hAnsi="宋体"/>
                <w:color w:val="auto"/>
                <w:sz w:val="21"/>
                <w:szCs w:val="21"/>
              </w:rPr>
              <w:t>汉威科技集团股份有限公司</w:t>
            </w:r>
          </w:p>
        </w:tc>
        <w:tc>
          <w:tcPr>
            <w:tcW w:w="1276" w:type="dxa"/>
            <w:vAlign w:val="center"/>
          </w:tcPr>
          <w:p w:rsidR="003F13AB" w:rsidRPr="00611B5C" w:rsidRDefault="00EC6E7E">
            <w:pPr>
              <w:ind w:firstLineChars="0" w:firstLine="0"/>
              <w:jc w:val="center"/>
              <w:rPr>
                <w:rFonts w:ascii="宋体" w:hAnsi="宋体"/>
                <w:color w:val="auto"/>
                <w:sz w:val="21"/>
                <w:szCs w:val="21"/>
              </w:rPr>
            </w:pPr>
            <w:r w:rsidRPr="00611B5C">
              <w:rPr>
                <w:rFonts w:ascii="宋体" w:hAnsi="宋体"/>
                <w:color w:val="auto"/>
                <w:sz w:val="21"/>
                <w:szCs w:val="21"/>
              </w:rPr>
              <w:t>合格</w:t>
            </w:r>
          </w:p>
        </w:tc>
        <w:tc>
          <w:tcPr>
            <w:tcW w:w="1416" w:type="dxa"/>
            <w:vAlign w:val="center"/>
          </w:tcPr>
          <w:p w:rsidR="003F13AB" w:rsidRPr="00611B5C" w:rsidRDefault="00EC6E7E">
            <w:pPr>
              <w:ind w:firstLineChars="0" w:firstLine="0"/>
              <w:jc w:val="center"/>
              <w:rPr>
                <w:color w:val="auto"/>
              </w:rPr>
            </w:pPr>
            <w:r w:rsidRPr="00611B5C">
              <w:rPr>
                <w:rFonts w:ascii="宋体" w:hAnsi="宋体" w:hint="eastAsia"/>
                <w:color w:val="auto"/>
                <w:sz w:val="21"/>
                <w:szCs w:val="21"/>
              </w:rPr>
              <w:t>2024.08.07</w:t>
            </w:r>
          </w:p>
        </w:tc>
      </w:tr>
    </w:tbl>
    <w:p w:rsidR="003F13AB" w:rsidRPr="00611B5C" w:rsidRDefault="003F13AB">
      <w:pPr>
        <w:pStyle w:val="Default1"/>
        <w:rPr>
          <w:rFonts w:hint="default"/>
          <w:color w:val="auto"/>
        </w:rPr>
      </w:pPr>
    </w:p>
    <w:p w:rsidR="003F13AB" w:rsidRPr="00611B5C" w:rsidRDefault="003F13AB">
      <w:pPr>
        <w:pStyle w:val="Default1"/>
        <w:rPr>
          <w:rFonts w:hint="default"/>
          <w:color w:val="auto"/>
        </w:rPr>
      </w:pPr>
    </w:p>
    <w:p w:rsidR="003F13AB" w:rsidRDefault="00EC6E7E">
      <w:pPr>
        <w:pStyle w:val="3"/>
      </w:pPr>
      <w:r>
        <w:t>2.</w:t>
      </w:r>
      <w:r>
        <w:rPr>
          <w:rFonts w:hint="eastAsia"/>
        </w:rPr>
        <w:t>2</w:t>
      </w:r>
      <w:r>
        <w:t>.</w:t>
      </w:r>
      <w:r>
        <w:rPr>
          <w:rFonts w:hint="eastAsia"/>
        </w:rPr>
        <w:t>10 项目涉及的主要原辅材料</w:t>
      </w:r>
      <w:bookmarkEnd w:id="68"/>
    </w:p>
    <w:p w:rsidR="003F13AB" w:rsidRDefault="00EC6E7E">
      <w:pPr>
        <w:ind w:firstLine="560"/>
        <w:rPr>
          <w:color w:val="auto"/>
        </w:rPr>
      </w:pPr>
      <w:r>
        <w:rPr>
          <w:rFonts w:hint="eastAsia"/>
          <w:color w:val="auto"/>
        </w:rPr>
        <w:t>本项目涉及的主要原辅材料、品种及年量见下表。</w:t>
      </w:r>
    </w:p>
    <w:p w:rsidR="003F13AB" w:rsidRDefault="00EC6E7E">
      <w:pPr>
        <w:ind w:firstLine="560"/>
        <w:jc w:val="center"/>
        <w:rPr>
          <w:color w:val="auto"/>
        </w:rPr>
      </w:pPr>
      <w:r>
        <w:rPr>
          <w:rFonts w:ascii="宋体" w:hAnsi="宋体" w:hint="eastAsia"/>
          <w:color w:val="auto"/>
          <w:kern w:val="0"/>
          <w:szCs w:val="28"/>
        </w:rPr>
        <w:t>表2.2-17  主要原辅料及最大储量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51"/>
        <w:gridCol w:w="1751"/>
        <w:gridCol w:w="1030"/>
        <w:gridCol w:w="3486"/>
        <w:gridCol w:w="1244"/>
      </w:tblGrid>
      <w:tr w:rsidR="003F13AB">
        <w:trPr>
          <w:trHeight w:hRule="exact" w:val="397"/>
          <w:jc w:val="center"/>
        </w:trPr>
        <w:tc>
          <w:tcPr>
            <w:tcW w:w="710"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序号</w:t>
            </w:r>
          </w:p>
        </w:tc>
        <w:tc>
          <w:tcPr>
            <w:tcW w:w="851"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类别</w:t>
            </w:r>
          </w:p>
        </w:tc>
        <w:tc>
          <w:tcPr>
            <w:tcW w:w="1751"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名称</w:t>
            </w:r>
          </w:p>
        </w:tc>
        <w:tc>
          <w:tcPr>
            <w:tcW w:w="1030"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b/>
                <w:bCs/>
                <w:color w:val="auto"/>
                <w:sz w:val="21"/>
                <w:szCs w:val="21"/>
              </w:rPr>
              <w:t>年用量</w:t>
            </w:r>
          </w:p>
        </w:tc>
        <w:tc>
          <w:tcPr>
            <w:tcW w:w="3486"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主要供应商</w:t>
            </w:r>
          </w:p>
        </w:tc>
        <w:tc>
          <w:tcPr>
            <w:tcW w:w="1244" w:type="dxa"/>
            <w:vAlign w:val="center"/>
          </w:tcPr>
          <w:p w:rsidR="003F13AB" w:rsidRDefault="00EC6E7E">
            <w:pPr>
              <w:adjustRightInd/>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运输方式</w:t>
            </w:r>
          </w:p>
        </w:tc>
      </w:tr>
      <w:tr w:rsidR="003F13AB">
        <w:trPr>
          <w:trHeight w:hRule="exac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w:t>
            </w:r>
          </w:p>
        </w:tc>
        <w:tc>
          <w:tcPr>
            <w:tcW w:w="851" w:type="dxa"/>
            <w:vMerge w:val="restart"/>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原料</w:t>
            </w:r>
          </w:p>
        </w:tc>
        <w:tc>
          <w:tcPr>
            <w:tcW w:w="17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尿素</w:t>
            </w:r>
          </w:p>
        </w:tc>
        <w:tc>
          <w:tcPr>
            <w:tcW w:w="103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11万</w:t>
            </w:r>
            <w:r>
              <w:rPr>
                <w:rFonts w:ascii="宋体" w:hAnsi="宋体"/>
                <w:color w:val="auto"/>
                <w:sz w:val="21"/>
                <w:szCs w:val="21"/>
              </w:rPr>
              <w:t>t</w:t>
            </w:r>
          </w:p>
        </w:tc>
        <w:tc>
          <w:tcPr>
            <w:tcW w:w="3486"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云天化集团、</w:t>
            </w:r>
            <w:proofErr w:type="gramStart"/>
            <w:r>
              <w:rPr>
                <w:rFonts w:ascii="宋体" w:hAnsi="宋体" w:hint="eastAsia"/>
                <w:color w:val="auto"/>
                <w:sz w:val="21"/>
                <w:szCs w:val="21"/>
              </w:rPr>
              <w:t>祥</w:t>
            </w:r>
            <w:proofErr w:type="gramEnd"/>
            <w:r>
              <w:rPr>
                <w:rFonts w:ascii="宋体" w:hAnsi="宋体" w:hint="eastAsia"/>
                <w:color w:val="auto"/>
                <w:sz w:val="21"/>
                <w:szCs w:val="21"/>
              </w:rPr>
              <w:t>丰化肥</w:t>
            </w:r>
          </w:p>
        </w:tc>
        <w:tc>
          <w:tcPr>
            <w:tcW w:w="1244"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汽车</w:t>
            </w:r>
          </w:p>
        </w:tc>
      </w:tr>
      <w:tr w:rsidR="003F13AB">
        <w:trPr>
          <w:trHeight w:hRule="exac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851" w:type="dxa"/>
            <w:vMerge/>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17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氯化铵</w:t>
            </w:r>
          </w:p>
        </w:tc>
        <w:tc>
          <w:tcPr>
            <w:tcW w:w="103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6万t</w:t>
            </w:r>
          </w:p>
        </w:tc>
        <w:tc>
          <w:tcPr>
            <w:tcW w:w="3486"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劲欧化工（二街工业园区）</w:t>
            </w:r>
          </w:p>
        </w:tc>
        <w:tc>
          <w:tcPr>
            <w:tcW w:w="1244"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汽车</w:t>
            </w:r>
          </w:p>
        </w:tc>
      </w:tr>
      <w:tr w:rsidR="003F13AB">
        <w:trPr>
          <w:trHeight w:hRule="exac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3</w:t>
            </w:r>
          </w:p>
        </w:tc>
        <w:tc>
          <w:tcPr>
            <w:tcW w:w="851" w:type="dxa"/>
            <w:vMerge/>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17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硫酸铵</w:t>
            </w:r>
          </w:p>
        </w:tc>
        <w:tc>
          <w:tcPr>
            <w:tcW w:w="103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2</w:t>
            </w:r>
            <w:r>
              <w:rPr>
                <w:rFonts w:ascii="宋体" w:hAnsi="宋体" w:hint="eastAsia"/>
                <w:color w:val="auto"/>
                <w:sz w:val="21"/>
                <w:szCs w:val="21"/>
              </w:rPr>
              <w:t>万t</w:t>
            </w:r>
          </w:p>
        </w:tc>
        <w:tc>
          <w:tcPr>
            <w:tcW w:w="3486" w:type="dxa"/>
            <w:vAlign w:val="center"/>
          </w:tcPr>
          <w:p w:rsidR="003F13AB" w:rsidRDefault="00EC6E7E">
            <w:pPr>
              <w:adjustRightInd/>
              <w:spacing w:line="240" w:lineRule="auto"/>
              <w:ind w:firstLineChars="0" w:firstLine="0"/>
              <w:jc w:val="center"/>
              <w:rPr>
                <w:rFonts w:ascii="宋体" w:hAnsi="宋体"/>
                <w:color w:val="auto"/>
                <w:sz w:val="21"/>
                <w:szCs w:val="21"/>
              </w:rPr>
            </w:pPr>
            <w:r w:rsidRPr="00611B5C">
              <w:rPr>
                <w:rFonts w:ascii="宋体" w:hAnsi="宋体" w:hint="eastAsia"/>
                <w:color w:val="auto"/>
                <w:sz w:val="21"/>
                <w:szCs w:val="21"/>
              </w:rPr>
              <w:t>云南大为制焦</w:t>
            </w:r>
          </w:p>
        </w:tc>
        <w:tc>
          <w:tcPr>
            <w:tcW w:w="1244"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汽车</w:t>
            </w:r>
          </w:p>
        </w:tc>
      </w:tr>
      <w:tr w:rsidR="003F13AB">
        <w:trPr>
          <w:trHeight w:hRule="exac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4</w:t>
            </w:r>
          </w:p>
        </w:tc>
        <w:tc>
          <w:tcPr>
            <w:tcW w:w="851" w:type="dxa"/>
            <w:vMerge/>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17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磷酸</w:t>
            </w:r>
            <w:proofErr w:type="gramStart"/>
            <w:r>
              <w:rPr>
                <w:rFonts w:ascii="宋体" w:hAnsi="宋体" w:hint="eastAsia"/>
                <w:color w:val="auto"/>
                <w:sz w:val="21"/>
                <w:szCs w:val="21"/>
              </w:rPr>
              <w:t>一</w:t>
            </w:r>
            <w:proofErr w:type="gramEnd"/>
            <w:r>
              <w:rPr>
                <w:rFonts w:ascii="宋体" w:hAnsi="宋体" w:hint="eastAsia"/>
                <w:color w:val="auto"/>
                <w:sz w:val="21"/>
                <w:szCs w:val="21"/>
              </w:rPr>
              <w:t>铵</w:t>
            </w:r>
          </w:p>
        </w:tc>
        <w:tc>
          <w:tcPr>
            <w:tcW w:w="103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r>
              <w:rPr>
                <w:rFonts w:ascii="宋体" w:hAnsi="宋体"/>
                <w:color w:val="auto"/>
                <w:sz w:val="21"/>
                <w:szCs w:val="21"/>
              </w:rPr>
              <w:t>2</w:t>
            </w:r>
            <w:r>
              <w:rPr>
                <w:rFonts w:ascii="宋体" w:hAnsi="宋体" w:hint="eastAsia"/>
                <w:color w:val="auto"/>
                <w:sz w:val="21"/>
                <w:szCs w:val="21"/>
              </w:rPr>
              <w:t>万</w:t>
            </w:r>
            <w:r>
              <w:rPr>
                <w:rFonts w:ascii="宋体" w:hAnsi="宋体"/>
                <w:color w:val="auto"/>
                <w:sz w:val="21"/>
                <w:szCs w:val="21"/>
              </w:rPr>
              <w:t>t</w:t>
            </w:r>
          </w:p>
        </w:tc>
        <w:tc>
          <w:tcPr>
            <w:tcW w:w="3486"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中正化学（二街工业园区）</w:t>
            </w:r>
          </w:p>
        </w:tc>
        <w:tc>
          <w:tcPr>
            <w:tcW w:w="1244"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汽车</w:t>
            </w:r>
          </w:p>
        </w:tc>
      </w:tr>
      <w:tr w:rsidR="003F13AB">
        <w:trPr>
          <w:trHeight w:hRule="exac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lastRenderedPageBreak/>
              <w:t>5</w:t>
            </w:r>
          </w:p>
        </w:tc>
        <w:tc>
          <w:tcPr>
            <w:tcW w:w="851" w:type="dxa"/>
            <w:vMerge/>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17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钙镁磷肥、普钙</w:t>
            </w:r>
          </w:p>
        </w:tc>
        <w:tc>
          <w:tcPr>
            <w:tcW w:w="103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7万t</w:t>
            </w:r>
          </w:p>
        </w:tc>
        <w:tc>
          <w:tcPr>
            <w:tcW w:w="3486" w:type="dxa"/>
            <w:vAlign w:val="center"/>
          </w:tcPr>
          <w:p w:rsidR="003F13AB" w:rsidRDefault="00EC6E7E">
            <w:pPr>
              <w:adjustRightInd/>
              <w:spacing w:line="240" w:lineRule="auto"/>
              <w:ind w:firstLineChars="0" w:firstLine="0"/>
              <w:jc w:val="center"/>
              <w:rPr>
                <w:rFonts w:ascii="宋体" w:hAnsi="宋体"/>
                <w:color w:val="auto"/>
                <w:sz w:val="21"/>
                <w:szCs w:val="21"/>
              </w:rPr>
            </w:pPr>
            <w:proofErr w:type="gramStart"/>
            <w:r>
              <w:rPr>
                <w:rFonts w:ascii="宋体" w:hAnsi="宋体" w:hint="eastAsia"/>
                <w:color w:val="auto"/>
                <w:sz w:val="21"/>
                <w:szCs w:val="21"/>
              </w:rPr>
              <w:t>锦达钙镁磷肥</w:t>
            </w:r>
            <w:proofErr w:type="gramEnd"/>
            <w:r>
              <w:rPr>
                <w:rFonts w:ascii="宋体" w:hAnsi="宋体" w:hint="eastAsia"/>
                <w:color w:val="auto"/>
                <w:sz w:val="21"/>
                <w:szCs w:val="21"/>
              </w:rPr>
              <w:t>肥厂（二街工业园区）</w:t>
            </w:r>
          </w:p>
        </w:tc>
        <w:tc>
          <w:tcPr>
            <w:tcW w:w="1244"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color w:val="auto"/>
                <w:sz w:val="21"/>
                <w:szCs w:val="21"/>
              </w:rPr>
              <w:t>汽车</w:t>
            </w:r>
          </w:p>
        </w:tc>
      </w:tr>
      <w:tr w:rsidR="003F13AB">
        <w:trPr>
          <w:trHeight w:hRule="exact" w:val="571"/>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6</w:t>
            </w:r>
          </w:p>
        </w:tc>
        <w:tc>
          <w:tcPr>
            <w:tcW w:w="851" w:type="dxa"/>
            <w:vMerge/>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17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钾肥（氯化钾、硫酸钾）</w:t>
            </w:r>
          </w:p>
        </w:tc>
        <w:tc>
          <w:tcPr>
            <w:tcW w:w="103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10</w:t>
            </w:r>
            <w:r>
              <w:rPr>
                <w:rFonts w:ascii="宋体" w:hAnsi="宋体" w:hint="eastAsia"/>
                <w:color w:val="auto"/>
                <w:sz w:val="21"/>
                <w:szCs w:val="21"/>
              </w:rPr>
              <w:t>万t</w:t>
            </w:r>
          </w:p>
        </w:tc>
        <w:tc>
          <w:tcPr>
            <w:tcW w:w="3486"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青海中信国安股份有限公司</w:t>
            </w:r>
          </w:p>
        </w:tc>
        <w:tc>
          <w:tcPr>
            <w:tcW w:w="1244" w:type="dxa"/>
            <w:vAlign w:val="center"/>
          </w:tcPr>
          <w:p w:rsidR="003F13AB" w:rsidRDefault="00EC6E7E">
            <w:pPr>
              <w:adjustRightInd/>
              <w:spacing w:line="240" w:lineRule="auto"/>
              <w:ind w:firstLineChars="0" w:firstLine="0"/>
              <w:jc w:val="center"/>
              <w:rPr>
                <w:rFonts w:ascii="宋体" w:hAnsi="宋体"/>
                <w:color w:val="auto"/>
                <w:sz w:val="21"/>
                <w:szCs w:val="21"/>
                <w:lang w:eastAsia="en-US"/>
              </w:rPr>
            </w:pPr>
            <w:r>
              <w:rPr>
                <w:rFonts w:ascii="宋体" w:hAnsi="宋体"/>
                <w:color w:val="auto"/>
                <w:sz w:val="21"/>
                <w:szCs w:val="21"/>
              </w:rPr>
              <w:t>汽车</w:t>
            </w:r>
          </w:p>
        </w:tc>
      </w:tr>
      <w:tr w:rsidR="003F13AB">
        <w:trPr>
          <w:trHeight w:hRule="exact" w:val="397"/>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7</w:t>
            </w:r>
          </w:p>
        </w:tc>
        <w:tc>
          <w:tcPr>
            <w:tcW w:w="851" w:type="dxa"/>
            <w:vMerge w:val="restart"/>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辅料</w:t>
            </w:r>
          </w:p>
        </w:tc>
        <w:tc>
          <w:tcPr>
            <w:tcW w:w="17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填充料</w:t>
            </w:r>
          </w:p>
        </w:tc>
        <w:tc>
          <w:tcPr>
            <w:tcW w:w="103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r>
              <w:rPr>
                <w:rFonts w:ascii="宋体" w:hAnsi="宋体"/>
                <w:color w:val="auto"/>
                <w:sz w:val="21"/>
                <w:szCs w:val="21"/>
              </w:rPr>
              <w:t>.3</w:t>
            </w:r>
            <w:r>
              <w:rPr>
                <w:rFonts w:ascii="宋体" w:hAnsi="宋体" w:hint="eastAsia"/>
                <w:color w:val="auto"/>
                <w:sz w:val="21"/>
                <w:szCs w:val="21"/>
              </w:rPr>
              <w:t>万t</w:t>
            </w:r>
          </w:p>
        </w:tc>
        <w:tc>
          <w:tcPr>
            <w:tcW w:w="3486"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二街工业园区工厂</w:t>
            </w:r>
          </w:p>
        </w:tc>
        <w:tc>
          <w:tcPr>
            <w:tcW w:w="1244"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汽车</w:t>
            </w:r>
          </w:p>
        </w:tc>
      </w:tr>
      <w:tr w:rsidR="003F13AB">
        <w:trPr>
          <w:trHeight w:val="462"/>
          <w:jc w:val="center"/>
        </w:trPr>
        <w:tc>
          <w:tcPr>
            <w:tcW w:w="71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8</w:t>
            </w:r>
          </w:p>
        </w:tc>
        <w:tc>
          <w:tcPr>
            <w:tcW w:w="851" w:type="dxa"/>
            <w:vMerge/>
            <w:vAlign w:val="center"/>
          </w:tcPr>
          <w:p w:rsidR="003F13AB" w:rsidRDefault="003F13AB">
            <w:pPr>
              <w:adjustRightInd/>
              <w:spacing w:line="240" w:lineRule="auto"/>
              <w:ind w:firstLineChars="0" w:firstLine="0"/>
              <w:jc w:val="center"/>
              <w:rPr>
                <w:rFonts w:ascii="宋体" w:hAnsi="宋体"/>
                <w:color w:val="auto"/>
                <w:sz w:val="21"/>
                <w:szCs w:val="21"/>
              </w:rPr>
            </w:pPr>
          </w:p>
        </w:tc>
        <w:tc>
          <w:tcPr>
            <w:tcW w:w="1751"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缓释控剂</w:t>
            </w:r>
          </w:p>
        </w:tc>
        <w:tc>
          <w:tcPr>
            <w:tcW w:w="1030"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2000t</w:t>
            </w:r>
          </w:p>
        </w:tc>
        <w:tc>
          <w:tcPr>
            <w:tcW w:w="3486"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沈阳中科新型肥料有限公司</w:t>
            </w:r>
          </w:p>
        </w:tc>
        <w:tc>
          <w:tcPr>
            <w:tcW w:w="1244"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color w:val="auto"/>
                <w:sz w:val="21"/>
                <w:szCs w:val="21"/>
              </w:rPr>
              <w:t>汽车</w:t>
            </w:r>
          </w:p>
        </w:tc>
      </w:tr>
    </w:tbl>
    <w:p w:rsidR="003F13AB" w:rsidRDefault="00EC6E7E">
      <w:pPr>
        <w:pStyle w:val="3"/>
      </w:pPr>
      <w:bookmarkStart w:id="69" w:name="_Toc187914387"/>
      <w:r>
        <w:t>2.</w:t>
      </w:r>
      <w:r>
        <w:rPr>
          <w:rFonts w:hint="eastAsia"/>
        </w:rPr>
        <w:t>2.11 公用工程及辅助设施</w:t>
      </w:r>
      <w:bookmarkEnd w:id="69"/>
    </w:p>
    <w:p w:rsidR="003F13AB" w:rsidRDefault="00EC6E7E">
      <w:pPr>
        <w:pStyle w:val="4"/>
        <w:keepNext w:val="0"/>
        <w:ind w:firstLineChars="200" w:firstLine="562"/>
        <w:rPr>
          <w:rFonts w:eastAsia="宋体"/>
          <w:b/>
          <w:szCs w:val="20"/>
        </w:rPr>
      </w:pPr>
      <w:r>
        <w:rPr>
          <w:rFonts w:eastAsia="宋体"/>
          <w:b/>
          <w:szCs w:val="20"/>
        </w:rPr>
        <w:t>2.2.1</w:t>
      </w:r>
      <w:r>
        <w:rPr>
          <w:rFonts w:eastAsia="宋体" w:hint="eastAsia"/>
          <w:b/>
          <w:szCs w:val="20"/>
        </w:rPr>
        <w:t>1</w:t>
      </w:r>
      <w:r>
        <w:rPr>
          <w:rFonts w:eastAsia="宋体"/>
          <w:b/>
          <w:szCs w:val="20"/>
        </w:rPr>
        <w:t>.1</w:t>
      </w:r>
      <w:r>
        <w:rPr>
          <w:rFonts w:eastAsia="宋体" w:hint="eastAsia"/>
          <w:b/>
          <w:szCs w:val="20"/>
        </w:rPr>
        <w:t xml:space="preserve"> 供配电</w:t>
      </w:r>
    </w:p>
    <w:p w:rsidR="003F13AB" w:rsidRDefault="00EC6E7E">
      <w:pPr>
        <w:ind w:firstLine="560"/>
        <w:rPr>
          <w:color w:val="auto"/>
        </w:rPr>
      </w:pPr>
      <w:r>
        <w:rPr>
          <w:rFonts w:hint="eastAsia"/>
          <w:color w:val="auto"/>
        </w:rPr>
        <w:t>项目电源来自昆明晋宁区二街工业园市政电网。园区已经设置</w:t>
      </w:r>
      <w:r>
        <w:rPr>
          <w:rFonts w:hint="eastAsia"/>
          <w:color w:val="auto"/>
        </w:rPr>
        <w:t>10kV</w:t>
      </w:r>
      <w:r>
        <w:rPr>
          <w:rFonts w:hint="eastAsia"/>
          <w:color w:val="auto"/>
        </w:rPr>
        <w:t>线路至园区道路边，</w:t>
      </w:r>
      <w:r>
        <w:rPr>
          <w:rFonts w:hint="eastAsia"/>
          <w:color w:val="auto"/>
        </w:rPr>
        <w:t>10kV</w:t>
      </w:r>
      <w:r>
        <w:rPr>
          <w:rFonts w:hint="eastAsia"/>
          <w:color w:val="auto"/>
        </w:rPr>
        <w:t>电力线路位于厂址北侧，由</w:t>
      </w:r>
      <w:r>
        <w:rPr>
          <w:rFonts w:hint="eastAsia"/>
          <w:color w:val="auto"/>
        </w:rPr>
        <w:t>10kV</w:t>
      </w:r>
      <w:r>
        <w:rPr>
          <w:rFonts w:hint="eastAsia"/>
          <w:color w:val="auto"/>
        </w:rPr>
        <w:t>电线引至本项目自建</w:t>
      </w:r>
      <w:r>
        <w:rPr>
          <w:rFonts w:hint="eastAsia"/>
          <w:color w:val="auto"/>
        </w:rPr>
        <w:t>10kV</w:t>
      </w:r>
      <w:r>
        <w:rPr>
          <w:rFonts w:hint="eastAsia"/>
          <w:color w:val="auto"/>
        </w:rPr>
        <w:t>变配电室，然后再分配到厂内各用电负荷区。供电能满足运营用电要求，电力稳定、充足，供电有保证。</w:t>
      </w:r>
    </w:p>
    <w:p w:rsidR="003F13AB" w:rsidRDefault="00EC6E7E">
      <w:pPr>
        <w:ind w:firstLine="560"/>
        <w:rPr>
          <w:color w:val="auto"/>
        </w:rPr>
      </w:pPr>
      <w:proofErr w:type="gramStart"/>
      <w:r>
        <w:rPr>
          <w:rFonts w:hint="eastAsia"/>
          <w:color w:val="auto"/>
        </w:rPr>
        <w:t>项目消防</w:t>
      </w:r>
      <w:proofErr w:type="gramEnd"/>
      <w:r>
        <w:rPr>
          <w:rFonts w:hint="eastAsia"/>
          <w:color w:val="auto"/>
        </w:rPr>
        <w:t>用电负荷为二级，设置</w:t>
      </w:r>
      <w:r>
        <w:rPr>
          <w:rFonts w:hint="eastAsia"/>
          <w:color w:val="auto"/>
        </w:rPr>
        <w:t>1</w:t>
      </w:r>
      <w:r>
        <w:rPr>
          <w:rFonts w:hint="eastAsia"/>
          <w:color w:val="auto"/>
        </w:rPr>
        <w:t>台</w:t>
      </w:r>
      <w:r>
        <w:rPr>
          <w:rFonts w:hint="eastAsia"/>
          <w:color w:val="auto"/>
        </w:rPr>
        <w:t>150kW</w:t>
      </w:r>
      <w:r>
        <w:rPr>
          <w:rFonts w:hint="eastAsia"/>
          <w:color w:val="auto"/>
        </w:rPr>
        <w:t>柴油发电机作为备用电源，供应</w:t>
      </w:r>
      <w:proofErr w:type="gramStart"/>
      <w:r>
        <w:rPr>
          <w:rFonts w:hint="eastAsia"/>
          <w:color w:val="auto"/>
        </w:rPr>
        <w:t>急状况</w:t>
      </w:r>
      <w:proofErr w:type="gramEnd"/>
      <w:r>
        <w:rPr>
          <w:rFonts w:hint="eastAsia"/>
          <w:color w:val="auto"/>
        </w:rPr>
        <w:t>下消防系统及应急照明系统使用。</w:t>
      </w:r>
    </w:p>
    <w:p w:rsidR="003F13AB" w:rsidRDefault="00EC6E7E">
      <w:pPr>
        <w:ind w:firstLine="560"/>
        <w:rPr>
          <w:color w:val="auto"/>
        </w:rPr>
      </w:pPr>
      <w:r>
        <w:rPr>
          <w:rFonts w:hint="eastAsia"/>
          <w:color w:val="auto"/>
        </w:rPr>
        <w:t>PLC</w:t>
      </w:r>
      <w:r>
        <w:rPr>
          <w:rFonts w:hint="eastAsia"/>
          <w:color w:val="auto"/>
        </w:rPr>
        <w:t>控制系统设置</w:t>
      </w:r>
      <w:r>
        <w:rPr>
          <w:rFonts w:hint="eastAsia"/>
          <w:color w:val="auto"/>
        </w:rPr>
        <w:t>UPS</w:t>
      </w:r>
      <w:r>
        <w:rPr>
          <w:rFonts w:hint="eastAsia"/>
          <w:color w:val="auto"/>
        </w:rPr>
        <w:t>电源作为备用电源，主电源断电后，</w:t>
      </w:r>
      <w:r>
        <w:rPr>
          <w:rFonts w:hint="eastAsia"/>
          <w:color w:val="auto"/>
        </w:rPr>
        <w:t>UPS</w:t>
      </w:r>
      <w:r>
        <w:rPr>
          <w:rFonts w:hint="eastAsia"/>
          <w:color w:val="auto"/>
        </w:rPr>
        <w:t>电源应能供</w:t>
      </w:r>
      <w:r>
        <w:rPr>
          <w:rFonts w:hint="eastAsia"/>
          <w:color w:val="auto"/>
        </w:rPr>
        <w:t>PLC</w:t>
      </w:r>
      <w:r>
        <w:rPr>
          <w:rFonts w:hint="eastAsia"/>
          <w:color w:val="auto"/>
        </w:rPr>
        <w:t>控制系统工作</w:t>
      </w:r>
      <w:r>
        <w:rPr>
          <w:rFonts w:hint="eastAsia"/>
          <w:color w:val="auto"/>
        </w:rPr>
        <w:t>30</w:t>
      </w:r>
      <w:r>
        <w:rPr>
          <w:rFonts w:hint="eastAsia"/>
          <w:color w:val="auto"/>
        </w:rPr>
        <w:t>分钟以上。</w:t>
      </w:r>
    </w:p>
    <w:p w:rsidR="003F13AB" w:rsidRDefault="00EC6E7E">
      <w:pPr>
        <w:pStyle w:val="4"/>
        <w:keepNext w:val="0"/>
        <w:ind w:firstLineChars="200" w:firstLine="562"/>
        <w:rPr>
          <w:rFonts w:eastAsia="宋体"/>
          <w:b/>
          <w:szCs w:val="20"/>
        </w:rPr>
      </w:pPr>
      <w:r>
        <w:rPr>
          <w:rFonts w:eastAsia="宋体"/>
          <w:b/>
          <w:szCs w:val="20"/>
        </w:rPr>
        <w:t>2.</w:t>
      </w:r>
      <w:r>
        <w:rPr>
          <w:rFonts w:eastAsia="宋体" w:hint="eastAsia"/>
          <w:b/>
          <w:szCs w:val="20"/>
        </w:rPr>
        <w:t>2</w:t>
      </w:r>
      <w:r>
        <w:rPr>
          <w:rFonts w:eastAsia="宋体"/>
          <w:b/>
          <w:szCs w:val="20"/>
        </w:rPr>
        <w:t>.1</w:t>
      </w:r>
      <w:r>
        <w:rPr>
          <w:rFonts w:eastAsia="宋体" w:hint="eastAsia"/>
          <w:b/>
          <w:szCs w:val="20"/>
        </w:rPr>
        <w:t>1</w:t>
      </w:r>
      <w:r>
        <w:rPr>
          <w:rFonts w:eastAsia="宋体"/>
          <w:b/>
          <w:szCs w:val="20"/>
        </w:rPr>
        <w:t>.</w:t>
      </w:r>
      <w:r>
        <w:rPr>
          <w:rFonts w:eastAsia="宋体" w:hint="eastAsia"/>
          <w:b/>
          <w:szCs w:val="20"/>
        </w:rPr>
        <w:t xml:space="preserve">2 </w:t>
      </w:r>
      <w:r>
        <w:rPr>
          <w:rFonts w:eastAsia="宋体"/>
          <w:b/>
          <w:szCs w:val="20"/>
        </w:rPr>
        <w:t>给排水</w:t>
      </w:r>
    </w:p>
    <w:p w:rsidR="003F13AB" w:rsidRDefault="00EC6E7E">
      <w:pPr>
        <w:ind w:firstLine="560"/>
        <w:rPr>
          <w:snapToGrid w:val="0"/>
          <w:color w:val="auto"/>
        </w:rPr>
      </w:pPr>
      <w:r>
        <w:rPr>
          <w:rFonts w:hint="eastAsia"/>
          <w:snapToGrid w:val="0"/>
          <w:color w:val="auto"/>
        </w:rPr>
        <w:t>（</w:t>
      </w:r>
      <w:r>
        <w:rPr>
          <w:rFonts w:hint="eastAsia"/>
          <w:snapToGrid w:val="0"/>
          <w:color w:val="auto"/>
        </w:rPr>
        <w:t>1</w:t>
      </w:r>
      <w:r>
        <w:rPr>
          <w:rFonts w:hint="eastAsia"/>
          <w:snapToGrid w:val="0"/>
          <w:color w:val="auto"/>
        </w:rPr>
        <w:t>）给水</w:t>
      </w:r>
    </w:p>
    <w:p w:rsidR="003F13AB" w:rsidRDefault="00EC6E7E">
      <w:pPr>
        <w:adjustRightInd/>
        <w:snapToGrid/>
        <w:ind w:firstLine="560"/>
        <w:rPr>
          <w:rFonts w:ascii="宋体" w:hAnsi="宋体"/>
          <w:color w:val="auto"/>
        </w:rPr>
      </w:pPr>
      <w:r>
        <w:rPr>
          <w:rFonts w:ascii="宋体" w:hAnsi="宋体" w:hint="eastAsia"/>
          <w:color w:val="auto"/>
        </w:rPr>
        <w:t>本项目供水来自昆明晋宁区二街工业园水管网，园区已经有完善的供水设施，供水管道口径为DN100，水压为0.3MPa。本项目用水主要为生产用水、生活用水、绿化用水及消防用水，生产用水主要为烟囱环保除尘循环喷淋补水、循环冷却水补水和锅炉补水。年用水量为69440m</w:t>
      </w:r>
      <w:r>
        <w:rPr>
          <w:rFonts w:ascii="宋体" w:hAnsi="宋体" w:hint="eastAsia"/>
          <w:color w:val="auto"/>
          <w:vertAlign w:val="superscript"/>
        </w:rPr>
        <w:t>3</w:t>
      </w:r>
      <w:r>
        <w:rPr>
          <w:rFonts w:ascii="宋体" w:hAnsi="宋体" w:hint="eastAsia"/>
          <w:color w:val="auto"/>
        </w:rPr>
        <w:t>。</w:t>
      </w:r>
    </w:p>
    <w:p w:rsidR="003F13AB" w:rsidRDefault="00EC6E7E">
      <w:pPr>
        <w:ind w:firstLine="560"/>
        <w:rPr>
          <w:snapToGrid w:val="0"/>
          <w:color w:val="auto"/>
        </w:rPr>
      </w:pPr>
      <w:r>
        <w:rPr>
          <w:rFonts w:ascii="宋体" w:hAnsi="宋体" w:hint="eastAsia"/>
          <w:color w:val="auto"/>
        </w:rPr>
        <w:t>工业园水管网可满足项目建设及正常运行用水需求。</w:t>
      </w:r>
    </w:p>
    <w:p w:rsidR="003F13AB" w:rsidRDefault="00EC6E7E">
      <w:pPr>
        <w:ind w:firstLine="560"/>
        <w:rPr>
          <w:snapToGrid w:val="0"/>
          <w:color w:val="auto"/>
        </w:rPr>
      </w:pPr>
      <w:r>
        <w:rPr>
          <w:rFonts w:hint="eastAsia"/>
          <w:snapToGrid w:val="0"/>
          <w:color w:val="auto"/>
        </w:rPr>
        <w:t>（</w:t>
      </w:r>
      <w:r>
        <w:rPr>
          <w:rFonts w:hint="eastAsia"/>
          <w:snapToGrid w:val="0"/>
          <w:color w:val="auto"/>
        </w:rPr>
        <w:t>2</w:t>
      </w:r>
      <w:r>
        <w:rPr>
          <w:rFonts w:hint="eastAsia"/>
          <w:snapToGrid w:val="0"/>
          <w:color w:val="auto"/>
        </w:rPr>
        <w:t>）排水</w:t>
      </w:r>
    </w:p>
    <w:p w:rsidR="003F13AB" w:rsidRDefault="00EC6E7E">
      <w:pPr>
        <w:ind w:firstLine="560"/>
        <w:rPr>
          <w:snapToGrid w:val="0"/>
          <w:color w:val="auto"/>
        </w:rPr>
      </w:pPr>
      <w:r>
        <w:rPr>
          <w:rFonts w:hint="eastAsia"/>
          <w:snapToGrid w:val="0"/>
          <w:color w:val="auto"/>
        </w:rPr>
        <w:t>本项目生产运营过程中产生的废水主要为锅炉定期排污水和生产喷淋用水。烟囱环保除尘循环喷淋用水循环使用，不外排。锅炉定期排污水排至喷淋用水水池沉淀后，用于喷淋，不外排。</w:t>
      </w:r>
    </w:p>
    <w:p w:rsidR="003F13AB" w:rsidRDefault="00EC6E7E">
      <w:pPr>
        <w:ind w:firstLine="560"/>
        <w:rPr>
          <w:color w:val="auto"/>
        </w:rPr>
      </w:pPr>
      <w:r>
        <w:rPr>
          <w:rFonts w:hint="eastAsia"/>
          <w:snapToGrid w:val="0"/>
          <w:color w:val="auto"/>
        </w:rPr>
        <w:t>本项目的排水主要为雨水排水、生活污水排水。雨水排水采用雨污分</w:t>
      </w:r>
      <w:r>
        <w:rPr>
          <w:rFonts w:hint="eastAsia"/>
          <w:snapToGrid w:val="0"/>
          <w:color w:val="auto"/>
        </w:rPr>
        <w:lastRenderedPageBreak/>
        <w:t>流排水，厂区地坪设置排水坡度，初期雨水沿边沟或地面自然排至初期雨水收集池，初期雨水经过沉淀后，可回用于绿化或者循环喷淋用水，其余雨水排至园区雨水管网。生活污水经一个化粪池处理后进入园区生活污水管网，经管道收集后，送至园区生活污水处理厂统一集中处理。</w:t>
      </w:r>
    </w:p>
    <w:p w:rsidR="003F13AB" w:rsidRDefault="00EC6E7E">
      <w:pPr>
        <w:pStyle w:val="4"/>
        <w:keepNext w:val="0"/>
        <w:ind w:firstLineChars="200" w:firstLine="562"/>
        <w:rPr>
          <w:rFonts w:eastAsia="宋体"/>
          <w:b/>
          <w:szCs w:val="20"/>
        </w:rPr>
      </w:pPr>
      <w:r>
        <w:rPr>
          <w:rFonts w:eastAsia="宋体"/>
          <w:b/>
          <w:szCs w:val="20"/>
        </w:rPr>
        <w:t>2.2.1</w:t>
      </w:r>
      <w:r>
        <w:rPr>
          <w:rFonts w:eastAsia="宋体" w:hint="eastAsia"/>
          <w:b/>
          <w:szCs w:val="20"/>
        </w:rPr>
        <w:t>1</w:t>
      </w:r>
      <w:r>
        <w:rPr>
          <w:rFonts w:eastAsia="宋体"/>
          <w:b/>
          <w:szCs w:val="20"/>
        </w:rPr>
        <w:t>.</w:t>
      </w:r>
      <w:r>
        <w:rPr>
          <w:rFonts w:eastAsia="宋体" w:hint="eastAsia"/>
          <w:b/>
          <w:szCs w:val="20"/>
        </w:rPr>
        <w:t>3 消防设施</w:t>
      </w:r>
    </w:p>
    <w:p w:rsidR="003F13AB" w:rsidRDefault="00EC6E7E">
      <w:pPr>
        <w:ind w:firstLine="560"/>
        <w:rPr>
          <w:rFonts w:ascii="宋体" w:hAnsi="宋体"/>
          <w:color w:val="auto"/>
        </w:rPr>
      </w:pPr>
      <w:r>
        <w:rPr>
          <w:rFonts w:ascii="宋体" w:hAnsi="宋体"/>
          <w:color w:val="auto"/>
        </w:rPr>
        <w:t>项目设置的消防设施见下表2</w:t>
      </w:r>
      <w:r>
        <w:rPr>
          <w:rFonts w:ascii="宋体" w:hAnsi="宋体" w:hint="eastAsia"/>
          <w:color w:val="auto"/>
        </w:rPr>
        <w:t>.2-18</w:t>
      </w:r>
      <w:r>
        <w:rPr>
          <w:rFonts w:ascii="宋体" w:hAnsi="宋体"/>
          <w:color w:val="auto"/>
        </w:rPr>
        <w:t>。</w:t>
      </w:r>
    </w:p>
    <w:p w:rsidR="003F13AB" w:rsidRDefault="00EC6E7E">
      <w:pPr>
        <w:widowControl/>
        <w:topLinePunct/>
        <w:spacing w:beforeLines="50" w:before="120"/>
        <w:ind w:firstLineChars="0" w:firstLine="0"/>
        <w:jc w:val="center"/>
        <w:textAlignment w:val="baseline"/>
        <w:rPr>
          <w:rFonts w:ascii="宋体" w:hAnsi="宋体"/>
          <w:color w:val="auto"/>
          <w:kern w:val="0"/>
          <w:szCs w:val="28"/>
        </w:rPr>
      </w:pPr>
      <w:r>
        <w:rPr>
          <w:rFonts w:ascii="宋体" w:hAnsi="宋体"/>
          <w:color w:val="auto"/>
          <w:kern w:val="0"/>
          <w:szCs w:val="28"/>
        </w:rPr>
        <w:t>表2</w:t>
      </w:r>
      <w:r>
        <w:rPr>
          <w:rFonts w:ascii="宋体" w:hAnsi="宋体" w:hint="eastAsia"/>
          <w:color w:val="auto"/>
          <w:kern w:val="0"/>
          <w:szCs w:val="28"/>
        </w:rPr>
        <w:t>.2-18  主要消防器材、设施配置情况表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73"/>
        <w:gridCol w:w="1276"/>
        <w:gridCol w:w="992"/>
        <w:gridCol w:w="1027"/>
        <w:gridCol w:w="2941"/>
      </w:tblGrid>
      <w:tr w:rsidR="003F13AB">
        <w:trPr>
          <w:trHeight w:val="397"/>
          <w:jc w:val="center"/>
        </w:trPr>
        <w:tc>
          <w:tcPr>
            <w:tcW w:w="310" w:type="pct"/>
            <w:vAlign w:val="center"/>
          </w:tcPr>
          <w:p w:rsidR="003F13AB" w:rsidRDefault="00EC6E7E">
            <w:pPr>
              <w:adjustRightInd/>
              <w:snapToGrid/>
              <w:spacing w:line="240" w:lineRule="auto"/>
              <w:ind w:firstLineChars="0" w:firstLine="0"/>
              <w:jc w:val="center"/>
              <w:textAlignment w:val="baseline"/>
              <w:rPr>
                <w:rFonts w:ascii="宋体" w:hAnsi="宋体"/>
                <w:b/>
                <w:color w:val="auto"/>
                <w:sz w:val="21"/>
                <w:szCs w:val="21"/>
              </w:rPr>
            </w:pPr>
            <w:r>
              <w:rPr>
                <w:rFonts w:ascii="宋体" w:hAnsi="宋体"/>
                <w:b/>
                <w:color w:val="auto"/>
                <w:sz w:val="21"/>
                <w:szCs w:val="21"/>
              </w:rPr>
              <w:t>序 号</w:t>
            </w:r>
          </w:p>
        </w:tc>
        <w:tc>
          <w:tcPr>
            <w:tcW w:w="1253" w:type="pct"/>
            <w:vAlign w:val="center"/>
          </w:tcPr>
          <w:p w:rsidR="003F13AB" w:rsidRDefault="00EC6E7E">
            <w:pPr>
              <w:adjustRightInd/>
              <w:snapToGrid/>
              <w:spacing w:line="240" w:lineRule="auto"/>
              <w:ind w:firstLineChars="0" w:firstLine="0"/>
              <w:jc w:val="center"/>
              <w:textAlignment w:val="baseline"/>
              <w:rPr>
                <w:rFonts w:ascii="宋体" w:hAnsi="宋体"/>
                <w:b/>
                <w:color w:val="auto"/>
                <w:sz w:val="21"/>
                <w:szCs w:val="21"/>
              </w:rPr>
            </w:pPr>
            <w:r>
              <w:rPr>
                <w:rFonts w:ascii="宋体" w:hAnsi="宋体"/>
                <w:b/>
                <w:color w:val="auto"/>
                <w:sz w:val="21"/>
                <w:szCs w:val="21"/>
              </w:rPr>
              <w:t>名 称</w:t>
            </w:r>
          </w:p>
        </w:tc>
        <w:tc>
          <w:tcPr>
            <w:tcW w:w="703" w:type="pct"/>
            <w:vAlign w:val="center"/>
          </w:tcPr>
          <w:p w:rsidR="003F13AB" w:rsidRDefault="00EC6E7E">
            <w:pPr>
              <w:adjustRightInd/>
              <w:snapToGrid/>
              <w:spacing w:line="240" w:lineRule="auto"/>
              <w:ind w:firstLineChars="0" w:firstLine="0"/>
              <w:jc w:val="center"/>
              <w:textAlignment w:val="baseline"/>
              <w:rPr>
                <w:rFonts w:ascii="宋体" w:hAnsi="宋体"/>
                <w:b/>
                <w:color w:val="auto"/>
                <w:sz w:val="21"/>
                <w:szCs w:val="21"/>
              </w:rPr>
            </w:pPr>
            <w:r>
              <w:rPr>
                <w:rFonts w:ascii="宋体" w:hAnsi="宋体"/>
                <w:b/>
                <w:color w:val="auto"/>
                <w:sz w:val="21"/>
                <w:szCs w:val="21"/>
              </w:rPr>
              <w:t>规格</w:t>
            </w:r>
          </w:p>
        </w:tc>
        <w:tc>
          <w:tcPr>
            <w:tcW w:w="547" w:type="pct"/>
            <w:vAlign w:val="center"/>
          </w:tcPr>
          <w:p w:rsidR="003F13AB" w:rsidRDefault="00EC6E7E">
            <w:pPr>
              <w:adjustRightInd/>
              <w:snapToGrid/>
              <w:spacing w:line="240" w:lineRule="auto"/>
              <w:ind w:firstLineChars="0" w:firstLine="0"/>
              <w:jc w:val="center"/>
              <w:textAlignment w:val="baseline"/>
              <w:rPr>
                <w:rFonts w:ascii="宋体" w:hAnsi="宋体"/>
                <w:b/>
                <w:color w:val="auto"/>
                <w:sz w:val="21"/>
                <w:szCs w:val="21"/>
              </w:rPr>
            </w:pPr>
            <w:r>
              <w:rPr>
                <w:rFonts w:ascii="宋体" w:hAnsi="宋体"/>
                <w:b/>
                <w:color w:val="auto"/>
                <w:sz w:val="21"/>
                <w:szCs w:val="21"/>
              </w:rPr>
              <w:t>材质</w:t>
            </w:r>
          </w:p>
        </w:tc>
        <w:tc>
          <w:tcPr>
            <w:tcW w:w="566" w:type="pct"/>
            <w:vAlign w:val="center"/>
          </w:tcPr>
          <w:p w:rsidR="003F13AB" w:rsidRDefault="00EC6E7E">
            <w:pPr>
              <w:adjustRightInd/>
              <w:snapToGrid/>
              <w:spacing w:line="240" w:lineRule="auto"/>
              <w:ind w:firstLineChars="0" w:firstLine="0"/>
              <w:jc w:val="center"/>
              <w:textAlignment w:val="baseline"/>
              <w:rPr>
                <w:rFonts w:ascii="宋体" w:hAnsi="宋体"/>
                <w:b/>
                <w:color w:val="auto"/>
                <w:sz w:val="21"/>
                <w:szCs w:val="21"/>
              </w:rPr>
            </w:pPr>
            <w:r>
              <w:rPr>
                <w:rFonts w:ascii="宋体" w:hAnsi="宋体"/>
                <w:b/>
                <w:color w:val="auto"/>
                <w:sz w:val="21"/>
                <w:szCs w:val="21"/>
              </w:rPr>
              <w:t>数量</w:t>
            </w:r>
          </w:p>
        </w:tc>
        <w:tc>
          <w:tcPr>
            <w:tcW w:w="1621" w:type="pct"/>
            <w:vAlign w:val="center"/>
          </w:tcPr>
          <w:p w:rsidR="003F13AB" w:rsidRDefault="00EC6E7E">
            <w:pPr>
              <w:adjustRightInd/>
              <w:snapToGrid/>
              <w:spacing w:line="240" w:lineRule="auto"/>
              <w:ind w:firstLineChars="0" w:firstLine="0"/>
              <w:jc w:val="center"/>
              <w:textAlignment w:val="baseline"/>
              <w:rPr>
                <w:rFonts w:ascii="宋体" w:hAnsi="宋体"/>
                <w:b/>
                <w:color w:val="auto"/>
                <w:sz w:val="21"/>
                <w:szCs w:val="21"/>
              </w:rPr>
            </w:pPr>
            <w:r>
              <w:rPr>
                <w:rFonts w:ascii="宋体" w:hAnsi="宋体"/>
                <w:b/>
                <w:color w:val="auto"/>
                <w:sz w:val="21"/>
                <w:szCs w:val="21"/>
              </w:rPr>
              <w:t>位置</w:t>
            </w:r>
          </w:p>
        </w:tc>
      </w:tr>
      <w:tr w:rsidR="003F13AB">
        <w:trPr>
          <w:trHeight w:val="397"/>
          <w:jc w:val="center"/>
        </w:trPr>
        <w:tc>
          <w:tcPr>
            <w:tcW w:w="310"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1</w:t>
            </w:r>
          </w:p>
        </w:tc>
        <w:tc>
          <w:tcPr>
            <w:tcW w:w="125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手提式干粉灭火器</w:t>
            </w:r>
          </w:p>
        </w:tc>
        <w:tc>
          <w:tcPr>
            <w:tcW w:w="70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MF/ABC</w:t>
            </w:r>
            <w:r>
              <w:rPr>
                <w:rFonts w:ascii="宋体" w:hAnsi="宋体" w:hint="eastAsia"/>
                <w:color w:val="auto"/>
                <w:sz w:val="21"/>
                <w:szCs w:val="21"/>
              </w:rPr>
              <w:t>6</w:t>
            </w:r>
          </w:p>
        </w:tc>
        <w:tc>
          <w:tcPr>
            <w:tcW w:w="547"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磷酸盐</w:t>
            </w:r>
          </w:p>
        </w:tc>
        <w:tc>
          <w:tcPr>
            <w:tcW w:w="566"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102</w:t>
            </w:r>
            <w:r>
              <w:rPr>
                <w:rFonts w:ascii="宋体" w:hAnsi="宋体"/>
                <w:color w:val="auto"/>
                <w:sz w:val="21"/>
                <w:szCs w:val="21"/>
              </w:rPr>
              <w:t>个</w:t>
            </w:r>
          </w:p>
        </w:tc>
        <w:tc>
          <w:tcPr>
            <w:tcW w:w="1621"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厂区相应位置</w:t>
            </w:r>
          </w:p>
        </w:tc>
      </w:tr>
      <w:tr w:rsidR="003F13AB">
        <w:trPr>
          <w:trHeight w:val="397"/>
          <w:jc w:val="center"/>
        </w:trPr>
        <w:tc>
          <w:tcPr>
            <w:tcW w:w="310"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2</w:t>
            </w:r>
          </w:p>
        </w:tc>
        <w:tc>
          <w:tcPr>
            <w:tcW w:w="125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手提式干粉灭火器</w:t>
            </w:r>
          </w:p>
        </w:tc>
        <w:tc>
          <w:tcPr>
            <w:tcW w:w="70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MF/ABC</w:t>
            </w:r>
            <w:r>
              <w:rPr>
                <w:rFonts w:ascii="宋体" w:hAnsi="宋体" w:hint="eastAsia"/>
                <w:color w:val="auto"/>
                <w:sz w:val="21"/>
                <w:szCs w:val="21"/>
              </w:rPr>
              <w:t>4</w:t>
            </w:r>
          </w:p>
        </w:tc>
        <w:tc>
          <w:tcPr>
            <w:tcW w:w="547"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磷酸盐</w:t>
            </w:r>
          </w:p>
        </w:tc>
        <w:tc>
          <w:tcPr>
            <w:tcW w:w="566"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44个</w:t>
            </w:r>
          </w:p>
        </w:tc>
        <w:tc>
          <w:tcPr>
            <w:tcW w:w="1621"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厂区相应位置</w:t>
            </w:r>
          </w:p>
        </w:tc>
      </w:tr>
      <w:tr w:rsidR="003F13AB">
        <w:trPr>
          <w:trHeight w:val="397"/>
          <w:jc w:val="center"/>
        </w:trPr>
        <w:tc>
          <w:tcPr>
            <w:tcW w:w="310"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3</w:t>
            </w:r>
          </w:p>
        </w:tc>
        <w:tc>
          <w:tcPr>
            <w:tcW w:w="125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手提式干粉灭火器</w:t>
            </w:r>
          </w:p>
        </w:tc>
        <w:tc>
          <w:tcPr>
            <w:tcW w:w="70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MF/ABC</w:t>
            </w:r>
            <w:r>
              <w:rPr>
                <w:rFonts w:ascii="宋体" w:hAnsi="宋体" w:hint="eastAsia"/>
                <w:color w:val="auto"/>
                <w:sz w:val="21"/>
                <w:szCs w:val="21"/>
              </w:rPr>
              <w:t>3</w:t>
            </w:r>
          </w:p>
        </w:tc>
        <w:tc>
          <w:tcPr>
            <w:tcW w:w="547"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磷酸盐</w:t>
            </w:r>
          </w:p>
        </w:tc>
        <w:tc>
          <w:tcPr>
            <w:tcW w:w="566"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135个</w:t>
            </w:r>
          </w:p>
        </w:tc>
        <w:tc>
          <w:tcPr>
            <w:tcW w:w="1621"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办公楼、综合楼</w:t>
            </w:r>
          </w:p>
        </w:tc>
      </w:tr>
      <w:tr w:rsidR="003F13AB">
        <w:trPr>
          <w:trHeight w:val="397"/>
          <w:jc w:val="center"/>
        </w:trPr>
        <w:tc>
          <w:tcPr>
            <w:tcW w:w="310"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4</w:t>
            </w:r>
          </w:p>
        </w:tc>
        <w:tc>
          <w:tcPr>
            <w:tcW w:w="125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手提式干粉灭火器</w:t>
            </w:r>
          </w:p>
        </w:tc>
        <w:tc>
          <w:tcPr>
            <w:tcW w:w="70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MF/ABC</w:t>
            </w:r>
            <w:r>
              <w:rPr>
                <w:rFonts w:ascii="宋体" w:hAnsi="宋体" w:hint="eastAsia"/>
                <w:color w:val="auto"/>
                <w:sz w:val="21"/>
                <w:szCs w:val="21"/>
              </w:rPr>
              <w:t>2</w:t>
            </w:r>
          </w:p>
        </w:tc>
        <w:tc>
          <w:tcPr>
            <w:tcW w:w="547"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磷酸盐</w:t>
            </w:r>
          </w:p>
        </w:tc>
        <w:tc>
          <w:tcPr>
            <w:tcW w:w="566"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24个</w:t>
            </w:r>
          </w:p>
        </w:tc>
        <w:tc>
          <w:tcPr>
            <w:tcW w:w="1621"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办公楼、综合楼</w:t>
            </w:r>
          </w:p>
        </w:tc>
      </w:tr>
      <w:tr w:rsidR="003F13AB">
        <w:trPr>
          <w:trHeight w:val="397"/>
          <w:jc w:val="center"/>
        </w:trPr>
        <w:tc>
          <w:tcPr>
            <w:tcW w:w="310"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5</w:t>
            </w:r>
          </w:p>
        </w:tc>
        <w:tc>
          <w:tcPr>
            <w:tcW w:w="125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推车式干粉灭火器</w:t>
            </w:r>
          </w:p>
        </w:tc>
        <w:tc>
          <w:tcPr>
            <w:tcW w:w="70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MFT/ABC</w:t>
            </w:r>
            <w:r>
              <w:rPr>
                <w:rFonts w:ascii="宋体" w:hAnsi="宋体" w:hint="eastAsia"/>
                <w:color w:val="auto"/>
                <w:sz w:val="21"/>
                <w:szCs w:val="21"/>
              </w:rPr>
              <w:t>20</w:t>
            </w:r>
          </w:p>
        </w:tc>
        <w:tc>
          <w:tcPr>
            <w:tcW w:w="547"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color w:val="auto"/>
                <w:sz w:val="21"/>
                <w:szCs w:val="21"/>
              </w:rPr>
              <w:t>磷酸盐</w:t>
            </w:r>
          </w:p>
        </w:tc>
        <w:tc>
          <w:tcPr>
            <w:tcW w:w="566"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18具</w:t>
            </w:r>
          </w:p>
        </w:tc>
        <w:tc>
          <w:tcPr>
            <w:tcW w:w="1621"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生产区内相应位置</w:t>
            </w:r>
          </w:p>
        </w:tc>
      </w:tr>
      <w:tr w:rsidR="003F13AB">
        <w:trPr>
          <w:trHeight w:val="397"/>
          <w:jc w:val="center"/>
        </w:trPr>
        <w:tc>
          <w:tcPr>
            <w:tcW w:w="310"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6</w:t>
            </w:r>
          </w:p>
        </w:tc>
        <w:tc>
          <w:tcPr>
            <w:tcW w:w="125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室内消火栓</w:t>
            </w:r>
          </w:p>
        </w:tc>
        <w:tc>
          <w:tcPr>
            <w:tcW w:w="70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w:t>
            </w:r>
          </w:p>
        </w:tc>
        <w:tc>
          <w:tcPr>
            <w:tcW w:w="547"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w:t>
            </w:r>
          </w:p>
        </w:tc>
        <w:tc>
          <w:tcPr>
            <w:tcW w:w="566"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110套</w:t>
            </w:r>
          </w:p>
        </w:tc>
        <w:tc>
          <w:tcPr>
            <w:tcW w:w="1621"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造粒塔32套、成品仓库25套、原料仓库6套、丙类仓库3套、办公楼15套、生产车间29套（含</w:t>
            </w:r>
            <w:proofErr w:type="gramStart"/>
            <w:r>
              <w:rPr>
                <w:rFonts w:ascii="宋体" w:hAnsi="宋体" w:hint="eastAsia"/>
                <w:color w:val="auto"/>
                <w:sz w:val="21"/>
                <w:szCs w:val="21"/>
              </w:rPr>
              <w:t>栓</w:t>
            </w:r>
            <w:proofErr w:type="gramEnd"/>
            <w:r>
              <w:rPr>
                <w:rFonts w:ascii="宋体" w:hAnsi="宋体" w:hint="eastAsia"/>
                <w:color w:val="auto"/>
                <w:sz w:val="21"/>
                <w:szCs w:val="21"/>
              </w:rPr>
              <w:t>头、水枪、水带）</w:t>
            </w:r>
          </w:p>
        </w:tc>
      </w:tr>
      <w:tr w:rsidR="003F13AB">
        <w:trPr>
          <w:trHeight w:val="397"/>
          <w:jc w:val="center"/>
        </w:trPr>
        <w:tc>
          <w:tcPr>
            <w:tcW w:w="310"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7</w:t>
            </w:r>
          </w:p>
        </w:tc>
        <w:tc>
          <w:tcPr>
            <w:tcW w:w="125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室外消火栓</w:t>
            </w:r>
          </w:p>
        </w:tc>
        <w:tc>
          <w:tcPr>
            <w:tcW w:w="703" w:type="pct"/>
            <w:vAlign w:val="center"/>
          </w:tcPr>
          <w:p w:rsidR="003F13AB" w:rsidRDefault="00EC6E7E">
            <w:pPr>
              <w:pStyle w:val="Default1"/>
              <w:jc w:val="center"/>
              <w:rPr>
                <w:rFonts w:hint="default"/>
              </w:rPr>
            </w:pPr>
            <w:r>
              <w:t>/</w:t>
            </w:r>
          </w:p>
        </w:tc>
        <w:tc>
          <w:tcPr>
            <w:tcW w:w="547"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w:t>
            </w:r>
          </w:p>
        </w:tc>
        <w:tc>
          <w:tcPr>
            <w:tcW w:w="566"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11个</w:t>
            </w:r>
          </w:p>
        </w:tc>
        <w:tc>
          <w:tcPr>
            <w:tcW w:w="1621"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厂区相应位置</w:t>
            </w:r>
          </w:p>
        </w:tc>
      </w:tr>
      <w:tr w:rsidR="003F13AB">
        <w:trPr>
          <w:trHeight w:val="397"/>
          <w:jc w:val="center"/>
        </w:trPr>
        <w:tc>
          <w:tcPr>
            <w:tcW w:w="310"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8</w:t>
            </w:r>
          </w:p>
        </w:tc>
        <w:tc>
          <w:tcPr>
            <w:tcW w:w="125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火灾自动报警控制器</w:t>
            </w:r>
          </w:p>
        </w:tc>
        <w:tc>
          <w:tcPr>
            <w:tcW w:w="703"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w:t>
            </w:r>
          </w:p>
        </w:tc>
        <w:tc>
          <w:tcPr>
            <w:tcW w:w="547"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w:t>
            </w:r>
          </w:p>
        </w:tc>
        <w:tc>
          <w:tcPr>
            <w:tcW w:w="566"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1套</w:t>
            </w:r>
          </w:p>
        </w:tc>
        <w:tc>
          <w:tcPr>
            <w:tcW w:w="1621" w:type="pct"/>
            <w:vAlign w:val="center"/>
          </w:tcPr>
          <w:p w:rsidR="003F13AB" w:rsidRDefault="00EC6E7E">
            <w:pPr>
              <w:adjustRightInd/>
              <w:snapToGrid/>
              <w:spacing w:line="240" w:lineRule="auto"/>
              <w:ind w:firstLineChars="0" w:firstLine="0"/>
              <w:jc w:val="center"/>
              <w:textAlignment w:val="baseline"/>
              <w:rPr>
                <w:rFonts w:ascii="宋体" w:hAnsi="宋体"/>
                <w:color w:val="auto"/>
                <w:sz w:val="21"/>
                <w:szCs w:val="21"/>
              </w:rPr>
            </w:pPr>
            <w:r>
              <w:rPr>
                <w:rFonts w:ascii="宋体" w:hAnsi="宋体" w:hint="eastAsia"/>
                <w:color w:val="auto"/>
                <w:sz w:val="21"/>
                <w:szCs w:val="21"/>
              </w:rPr>
              <w:t>门卫值班室（含电话主机、多线盘、总线盘、电源盘等成套）</w:t>
            </w:r>
          </w:p>
        </w:tc>
      </w:tr>
    </w:tbl>
    <w:p w:rsidR="003F13AB" w:rsidRDefault="00EC6E7E">
      <w:pPr>
        <w:pStyle w:val="4"/>
        <w:keepNext w:val="0"/>
        <w:ind w:firstLineChars="200" w:firstLine="562"/>
        <w:rPr>
          <w:rFonts w:eastAsia="宋体"/>
          <w:b/>
          <w:szCs w:val="20"/>
        </w:rPr>
      </w:pPr>
      <w:r>
        <w:rPr>
          <w:rFonts w:eastAsia="宋体" w:hint="eastAsia"/>
          <w:b/>
          <w:szCs w:val="20"/>
        </w:rPr>
        <w:t>2.2.12.4 防雷检测</w:t>
      </w:r>
    </w:p>
    <w:p w:rsidR="003F13AB" w:rsidRDefault="00EC6E7E">
      <w:pPr>
        <w:ind w:firstLine="560"/>
        <w:rPr>
          <w:color w:val="auto"/>
        </w:rPr>
      </w:pPr>
      <w:r>
        <w:rPr>
          <w:rFonts w:hint="eastAsia"/>
          <w:color w:val="auto"/>
        </w:rPr>
        <w:t>企业防雷防静电装置于</w:t>
      </w:r>
      <w:r>
        <w:rPr>
          <w:rFonts w:hint="eastAsia"/>
          <w:color w:val="auto"/>
        </w:rPr>
        <w:t>2024</w:t>
      </w:r>
      <w:r>
        <w:rPr>
          <w:rFonts w:hint="eastAsia"/>
          <w:color w:val="auto"/>
        </w:rPr>
        <w:t>年</w:t>
      </w:r>
      <w:r>
        <w:rPr>
          <w:rFonts w:hint="eastAsia"/>
          <w:color w:val="auto"/>
        </w:rPr>
        <w:t>05</w:t>
      </w:r>
      <w:r>
        <w:rPr>
          <w:rFonts w:hint="eastAsia"/>
          <w:color w:val="auto"/>
        </w:rPr>
        <w:t>月</w:t>
      </w:r>
      <w:r>
        <w:rPr>
          <w:rFonts w:hint="eastAsia"/>
          <w:color w:val="auto"/>
        </w:rPr>
        <w:t>09</w:t>
      </w:r>
      <w:r>
        <w:rPr>
          <w:rFonts w:hint="eastAsia"/>
          <w:color w:val="auto"/>
        </w:rPr>
        <w:t>日经云南双翔建设检测技术有限公司检测合格。</w:t>
      </w:r>
    </w:p>
    <w:p w:rsidR="003F13AB" w:rsidRDefault="00EC6E7E">
      <w:pPr>
        <w:pStyle w:val="4"/>
        <w:keepNext w:val="0"/>
        <w:ind w:firstLineChars="200" w:firstLine="562"/>
      </w:pPr>
      <w:r>
        <w:rPr>
          <w:rFonts w:eastAsia="宋体" w:hint="eastAsia"/>
          <w:b/>
          <w:szCs w:val="20"/>
        </w:rPr>
        <w:t>2.2.12.5视频监控</w:t>
      </w:r>
    </w:p>
    <w:p w:rsidR="003F13AB" w:rsidRDefault="00EC6E7E">
      <w:pPr>
        <w:ind w:firstLine="560"/>
        <w:rPr>
          <w:color w:val="auto"/>
        </w:rPr>
      </w:pPr>
      <w:r>
        <w:rPr>
          <w:rFonts w:hint="eastAsia"/>
          <w:color w:val="auto"/>
        </w:rPr>
        <w:t>企业厂区共有</w:t>
      </w:r>
      <w:r>
        <w:rPr>
          <w:rFonts w:hint="eastAsia"/>
          <w:color w:val="auto"/>
        </w:rPr>
        <w:t>132</w:t>
      </w:r>
      <w:r>
        <w:rPr>
          <w:rFonts w:hint="eastAsia"/>
          <w:color w:val="auto"/>
        </w:rPr>
        <w:t>个视频监控摄像头，信号均引至厂区</w:t>
      </w:r>
      <w:r>
        <w:rPr>
          <w:rFonts w:hint="eastAsia"/>
          <w:color w:val="auto"/>
        </w:rPr>
        <w:t>24h</w:t>
      </w:r>
      <w:r>
        <w:rPr>
          <w:rFonts w:hint="eastAsia"/>
          <w:color w:val="auto"/>
        </w:rPr>
        <w:t>值班内，视频储存时间为</w:t>
      </w:r>
      <w:r>
        <w:rPr>
          <w:rFonts w:hint="eastAsia"/>
          <w:color w:val="auto"/>
        </w:rPr>
        <w:t>30</w:t>
      </w:r>
      <w:r>
        <w:rPr>
          <w:rFonts w:hint="eastAsia"/>
          <w:color w:val="auto"/>
        </w:rPr>
        <w:t>天，能够对厂区实现全天候全方位的动态监视。</w:t>
      </w:r>
    </w:p>
    <w:p w:rsidR="003F13AB" w:rsidRDefault="00EC6E7E">
      <w:pPr>
        <w:pStyle w:val="2"/>
      </w:pPr>
      <w:bookmarkStart w:id="70" w:name="_Toc187914388"/>
      <w:bookmarkStart w:id="71" w:name="_Toc166857563"/>
      <w:r>
        <w:rPr>
          <w:rFonts w:hint="eastAsia"/>
        </w:rPr>
        <w:t>2.</w:t>
      </w:r>
      <w:r>
        <w:t>3 项目</w:t>
      </w:r>
      <w:r>
        <w:rPr>
          <w:rFonts w:hint="eastAsia"/>
        </w:rPr>
        <w:t>安全投资</w:t>
      </w:r>
      <w:bookmarkEnd w:id="70"/>
      <w:bookmarkEnd w:id="71"/>
    </w:p>
    <w:p w:rsidR="003F13AB" w:rsidRDefault="00EC6E7E">
      <w:pPr>
        <w:ind w:firstLine="560"/>
        <w:rPr>
          <w:rFonts w:ascii="宋体" w:hAnsi="宋体"/>
          <w:color w:val="auto"/>
        </w:rPr>
      </w:pPr>
      <w:r>
        <w:rPr>
          <w:rFonts w:ascii="宋体" w:hAnsi="宋体" w:hint="eastAsia"/>
          <w:color w:val="auto"/>
        </w:rPr>
        <w:t>本项目为新建项目，安全投入资金费用244.7万元，主要用于项目安全设施和员工安全教育培训等支出，从而提升公司安全生产条件。</w:t>
      </w:r>
    </w:p>
    <w:p w:rsidR="003F13AB" w:rsidRDefault="00EC6E7E">
      <w:pPr>
        <w:adjustRightInd/>
        <w:snapToGrid/>
        <w:ind w:firstLine="560"/>
        <w:jc w:val="center"/>
        <w:rPr>
          <w:rFonts w:ascii="宋体" w:hAnsi="宋体"/>
          <w:color w:val="auto"/>
          <w:kern w:val="0"/>
          <w:szCs w:val="28"/>
        </w:rPr>
      </w:pPr>
      <w:r>
        <w:rPr>
          <w:rFonts w:ascii="宋体" w:hAnsi="宋体"/>
          <w:color w:val="auto"/>
          <w:kern w:val="0"/>
          <w:szCs w:val="28"/>
        </w:rPr>
        <w:lastRenderedPageBreak/>
        <w:t>表2</w:t>
      </w:r>
      <w:r>
        <w:rPr>
          <w:rFonts w:ascii="宋体" w:hAnsi="宋体" w:hint="eastAsia"/>
          <w:color w:val="auto"/>
          <w:kern w:val="0"/>
          <w:szCs w:val="28"/>
        </w:rPr>
        <w:t xml:space="preserve">.3-1 </w:t>
      </w:r>
      <w:r>
        <w:rPr>
          <w:rFonts w:ascii="宋体" w:hAnsi="宋体"/>
          <w:color w:val="auto"/>
          <w:kern w:val="0"/>
          <w:szCs w:val="28"/>
        </w:rPr>
        <w:t xml:space="preserve"> 安全资金投入表</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2210"/>
        <w:gridCol w:w="2051"/>
        <w:gridCol w:w="1551"/>
        <w:gridCol w:w="971"/>
        <w:gridCol w:w="91"/>
        <w:gridCol w:w="1673"/>
      </w:tblGrid>
      <w:tr w:rsidR="003F13AB">
        <w:trPr>
          <w:trHeight w:val="300"/>
          <w:tblHeader/>
        </w:trPr>
        <w:tc>
          <w:tcPr>
            <w:tcW w:w="525"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序号</w:t>
            </w:r>
          </w:p>
        </w:tc>
        <w:tc>
          <w:tcPr>
            <w:tcW w:w="2210"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设施名称</w:t>
            </w:r>
          </w:p>
        </w:tc>
        <w:tc>
          <w:tcPr>
            <w:tcW w:w="2051"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技术规格</w:t>
            </w:r>
          </w:p>
        </w:tc>
        <w:tc>
          <w:tcPr>
            <w:tcW w:w="1551"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数量</w:t>
            </w:r>
          </w:p>
        </w:tc>
        <w:tc>
          <w:tcPr>
            <w:tcW w:w="971"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费用</w:t>
            </w:r>
          </w:p>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（万元）</w:t>
            </w:r>
          </w:p>
        </w:tc>
        <w:tc>
          <w:tcPr>
            <w:tcW w:w="1764" w:type="dxa"/>
            <w:gridSpan w:val="2"/>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备注</w:t>
            </w:r>
          </w:p>
        </w:tc>
      </w:tr>
      <w:tr w:rsidR="003F13AB">
        <w:trPr>
          <w:trHeight w:val="368"/>
          <w:tblHeader/>
        </w:trPr>
        <w:tc>
          <w:tcPr>
            <w:tcW w:w="9072" w:type="dxa"/>
            <w:gridSpan w:val="7"/>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s="宋体" w:hint="eastAsia"/>
                <w:color w:val="auto"/>
                <w:kern w:val="0"/>
                <w:sz w:val="21"/>
                <w:szCs w:val="21"/>
              </w:rPr>
              <w:t>一、</w:t>
            </w:r>
            <w:r>
              <w:rPr>
                <w:rFonts w:ascii="宋体" w:hAnsi="宋体" w:cs="宋体" w:hint="eastAsia"/>
                <w:color w:val="auto"/>
                <w:sz w:val="21"/>
                <w:szCs w:val="21"/>
              </w:rPr>
              <w:t>预防事故措施</w:t>
            </w:r>
          </w:p>
        </w:tc>
      </w:tr>
      <w:tr w:rsidR="003F13AB">
        <w:trPr>
          <w:trHeight w:val="451"/>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1</w:t>
            </w:r>
          </w:p>
        </w:tc>
        <w:tc>
          <w:tcPr>
            <w:tcW w:w="2210" w:type="dxa"/>
          </w:tcPr>
          <w:p w:rsidR="003F13AB" w:rsidRDefault="00EC6E7E">
            <w:pPr>
              <w:ind w:firstLineChars="0" w:firstLine="0"/>
              <w:rPr>
                <w:sz w:val="21"/>
                <w:szCs w:val="21"/>
              </w:rPr>
            </w:pPr>
            <w:r>
              <w:rPr>
                <w:rFonts w:hint="eastAsia"/>
                <w:sz w:val="21"/>
                <w:szCs w:val="21"/>
              </w:rPr>
              <w:t>安全阀及放散管</w:t>
            </w:r>
          </w:p>
        </w:tc>
        <w:tc>
          <w:tcPr>
            <w:tcW w:w="205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w:t>
            </w:r>
          </w:p>
        </w:tc>
        <w:tc>
          <w:tcPr>
            <w:tcW w:w="1551" w:type="dxa"/>
            <w:vAlign w:val="center"/>
          </w:tcPr>
          <w:p w:rsidR="003F13AB" w:rsidRDefault="00EC6E7E">
            <w:pPr>
              <w:adjustRightInd/>
              <w:snapToGrid/>
              <w:spacing w:line="240" w:lineRule="auto"/>
              <w:ind w:right="420" w:firstLineChars="0" w:firstLine="0"/>
              <w:rPr>
                <w:rFonts w:ascii="宋体" w:hAnsi="宋体"/>
                <w:color w:val="auto"/>
                <w:kern w:val="0"/>
                <w:sz w:val="21"/>
                <w:szCs w:val="21"/>
              </w:rPr>
            </w:pPr>
            <w:r>
              <w:rPr>
                <w:rFonts w:ascii="宋体" w:hAnsi="宋体" w:hint="eastAsia"/>
                <w:color w:val="auto"/>
                <w:kern w:val="0"/>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8</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sz w:val="21"/>
                <w:szCs w:val="21"/>
              </w:rPr>
            </w:pPr>
          </w:p>
        </w:tc>
      </w:tr>
      <w:tr w:rsidR="003F13AB">
        <w:trPr>
          <w:trHeight w:val="451"/>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2</w:t>
            </w:r>
          </w:p>
        </w:tc>
        <w:tc>
          <w:tcPr>
            <w:tcW w:w="2210" w:type="dxa"/>
          </w:tcPr>
          <w:p w:rsidR="003F13AB" w:rsidRDefault="00EC6E7E">
            <w:pPr>
              <w:ind w:firstLineChars="0" w:firstLine="0"/>
              <w:rPr>
                <w:sz w:val="21"/>
                <w:szCs w:val="21"/>
              </w:rPr>
            </w:pPr>
            <w:r>
              <w:rPr>
                <w:rFonts w:hint="eastAsia"/>
                <w:sz w:val="21"/>
                <w:szCs w:val="21"/>
              </w:rPr>
              <w:t>压力表、液位计、流量计等仪表</w:t>
            </w:r>
          </w:p>
        </w:tc>
        <w:tc>
          <w:tcPr>
            <w:tcW w:w="2051" w:type="dxa"/>
            <w:vAlign w:val="center"/>
          </w:tcPr>
          <w:p w:rsidR="003F13AB" w:rsidRDefault="00EC6E7E">
            <w:pPr>
              <w:pStyle w:val="Default1"/>
              <w:rPr>
                <w:rFonts w:hint="default"/>
              </w:rPr>
            </w:pPr>
            <w:r>
              <w:rPr>
                <w:rFonts w:ascii="宋体" w:hAnsi="宋体"/>
                <w:color w:val="auto"/>
                <w:sz w:val="21"/>
                <w:szCs w:val="21"/>
              </w:rPr>
              <w:t>/</w:t>
            </w:r>
          </w:p>
        </w:tc>
        <w:tc>
          <w:tcPr>
            <w:tcW w:w="1551" w:type="dxa"/>
            <w:vAlign w:val="center"/>
          </w:tcPr>
          <w:p w:rsidR="003F13AB" w:rsidRDefault="00EC6E7E">
            <w:pPr>
              <w:adjustRightInd/>
              <w:snapToGrid/>
              <w:spacing w:line="240" w:lineRule="auto"/>
              <w:ind w:right="420" w:firstLineChars="0" w:firstLine="0"/>
              <w:rPr>
                <w:rFonts w:ascii="宋体" w:hAnsi="宋体"/>
                <w:color w:val="auto"/>
                <w:kern w:val="0"/>
                <w:sz w:val="21"/>
                <w:szCs w:val="21"/>
              </w:rPr>
            </w:pPr>
            <w:r>
              <w:rPr>
                <w:rFonts w:ascii="宋体" w:hAnsi="宋体" w:hint="eastAsia"/>
                <w:color w:val="auto"/>
                <w:kern w:val="0"/>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12</w:t>
            </w:r>
          </w:p>
        </w:tc>
        <w:tc>
          <w:tcPr>
            <w:tcW w:w="1764" w:type="dxa"/>
            <w:gridSpan w:val="2"/>
            <w:vAlign w:val="center"/>
          </w:tcPr>
          <w:p w:rsidR="003F13AB" w:rsidRDefault="003F13AB">
            <w:pPr>
              <w:adjustRightInd/>
              <w:snapToGrid/>
              <w:spacing w:line="240" w:lineRule="auto"/>
              <w:ind w:firstLineChars="0" w:firstLine="0"/>
              <w:rPr>
                <w:rFonts w:ascii="宋体" w:hAnsi="宋体" w:cs="宋体"/>
                <w:color w:val="auto"/>
                <w:sz w:val="21"/>
                <w:szCs w:val="21"/>
              </w:rPr>
            </w:pPr>
          </w:p>
        </w:tc>
      </w:tr>
      <w:tr w:rsidR="003F13AB">
        <w:trPr>
          <w:trHeight w:val="781"/>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3</w:t>
            </w:r>
          </w:p>
        </w:tc>
        <w:tc>
          <w:tcPr>
            <w:tcW w:w="2210" w:type="dxa"/>
            <w:vAlign w:val="center"/>
          </w:tcPr>
          <w:p w:rsidR="003F13AB" w:rsidRDefault="00EC6E7E">
            <w:pPr>
              <w:adjustRightInd/>
              <w:snapToGrid/>
              <w:spacing w:line="240" w:lineRule="auto"/>
              <w:ind w:firstLineChars="0" w:firstLine="0"/>
              <w:rPr>
                <w:rFonts w:ascii="宋体" w:hAnsi="宋体" w:cs="宋体"/>
                <w:color w:val="auto"/>
                <w:kern w:val="0"/>
                <w:sz w:val="21"/>
                <w:szCs w:val="21"/>
                <w:lang w:bidi="en-US"/>
              </w:rPr>
            </w:pPr>
            <w:r>
              <w:rPr>
                <w:rFonts w:hint="eastAsia"/>
                <w:sz w:val="21"/>
                <w:szCs w:val="21"/>
              </w:rPr>
              <w:t>固定式可燃气体检测报警系统</w:t>
            </w:r>
          </w:p>
        </w:tc>
        <w:tc>
          <w:tcPr>
            <w:tcW w:w="2051" w:type="dxa"/>
            <w:vAlign w:val="center"/>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报警：1.25%（</w:t>
            </w:r>
            <w:r>
              <w:rPr>
                <w:rFonts w:ascii="宋体" w:hAnsi="宋体"/>
                <w:color w:val="auto"/>
                <w:sz w:val="21"/>
                <w:szCs w:val="21"/>
              </w:rPr>
              <w:t>一级报警</w:t>
            </w:r>
            <w:r>
              <w:rPr>
                <w:rFonts w:ascii="宋体" w:hAnsi="宋体" w:hint="eastAsia"/>
                <w:color w:val="auto"/>
                <w:sz w:val="21"/>
                <w:szCs w:val="21"/>
              </w:rPr>
              <w:t>） 2.5%（二级报警）</w:t>
            </w:r>
          </w:p>
        </w:tc>
        <w:tc>
          <w:tcPr>
            <w:tcW w:w="155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1套</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6.4</w:t>
            </w:r>
          </w:p>
        </w:tc>
        <w:tc>
          <w:tcPr>
            <w:tcW w:w="1764" w:type="dxa"/>
            <w:gridSpan w:val="2"/>
            <w:vAlign w:val="center"/>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含管线费用</w:t>
            </w:r>
          </w:p>
        </w:tc>
      </w:tr>
      <w:tr w:rsidR="003F13AB">
        <w:trPr>
          <w:trHeight w:val="540"/>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4</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hint="eastAsia"/>
                <w:sz w:val="21"/>
                <w:szCs w:val="21"/>
              </w:rPr>
              <w:t>便携式可燃气体检测报警仪</w:t>
            </w:r>
          </w:p>
        </w:tc>
        <w:tc>
          <w:tcPr>
            <w:tcW w:w="2051" w:type="dxa"/>
            <w:vAlign w:val="center"/>
          </w:tcPr>
          <w:p w:rsidR="003F13AB" w:rsidRDefault="00EC6E7E">
            <w:pPr>
              <w:adjustRightInd/>
              <w:snapToGrid/>
              <w:spacing w:line="240" w:lineRule="auto"/>
              <w:ind w:firstLineChars="0" w:firstLine="0"/>
              <w:rPr>
                <w:rFonts w:ascii="宋体" w:hAnsi="宋体" w:cs="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2</w:t>
            </w:r>
            <w:r>
              <w:rPr>
                <w:rFonts w:ascii="宋体" w:hAnsi="宋体" w:cs="宋体" w:hint="eastAsia"/>
                <w:color w:val="auto"/>
                <w:sz w:val="21"/>
                <w:szCs w:val="21"/>
              </w:rPr>
              <w:t>台</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0.4</w:t>
            </w:r>
          </w:p>
        </w:tc>
        <w:tc>
          <w:tcPr>
            <w:tcW w:w="1764"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值班室</w:t>
            </w:r>
          </w:p>
        </w:tc>
      </w:tr>
      <w:tr w:rsidR="003F13AB">
        <w:trPr>
          <w:trHeight w:val="271"/>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5</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lang w:bidi="en-US"/>
              </w:rPr>
              <w:t>防爆事故通风机</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color w:val="auto"/>
                <w:sz w:val="21"/>
                <w:szCs w:val="21"/>
              </w:rPr>
              <w:t>1</w:t>
            </w:r>
            <w:r>
              <w:rPr>
                <w:rFonts w:ascii="宋体" w:hAnsi="宋体" w:hint="eastAsia"/>
                <w:color w:val="auto"/>
                <w:sz w:val="21"/>
                <w:szCs w:val="21"/>
              </w:rPr>
              <w:t>0</w:t>
            </w:r>
            <w:r>
              <w:rPr>
                <w:rFonts w:ascii="宋体" w:hAnsi="宋体" w:cs="宋体" w:hint="eastAsia"/>
                <w:color w:val="auto"/>
                <w:sz w:val="21"/>
                <w:szCs w:val="21"/>
              </w:rPr>
              <w:t>台</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7</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25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6</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防雷防静电接地设施</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olor w:val="auto"/>
                <w:kern w:val="0"/>
                <w:sz w:val="21"/>
                <w:szCs w:val="21"/>
              </w:rPr>
              <w:t>1</w:t>
            </w:r>
            <w:r>
              <w:rPr>
                <w:rFonts w:ascii="宋体" w:hAnsi="宋体" w:cs="宋体" w:hint="eastAsia"/>
                <w:color w:val="auto"/>
                <w:kern w:val="0"/>
                <w:sz w:val="21"/>
                <w:szCs w:val="21"/>
              </w:rPr>
              <w:t>套</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30</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25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7</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防护罩、隔离栏</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olor w:val="auto"/>
                <w:kern w:val="0"/>
                <w:sz w:val="21"/>
                <w:szCs w:val="21"/>
              </w:rPr>
              <w:t>若干</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35</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25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8</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工作接地、保护接地</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45</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9"/>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9</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sz w:val="21"/>
                <w:szCs w:val="21"/>
              </w:rPr>
              <w:t>减振基础</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right="420" w:firstLineChars="0" w:firstLine="0"/>
              <w:rPr>
                <w:rFonts w:ascii="宋体" w:hAnsi="宋体" w:cs="宋体"/>
                <w:color w:val="auto"/>
                <w:sz w:val="21"/>
                <w:szCs w:val="21"/>
              </w:rPr>
            </w:pPr>
            <w:r>
              <w:rPr>
                <w:rFonts w:ascii="宋体" w:hAnsi="宋体" w:cs="宋体" w:hint="eastAsia"/>
                <w:color w:val="auto"/>
                <w:sz w:val="21"/>
                <w:szCs w:val="21"/>
              </w:rPr>
              <w:t>/</w:t>
            </w:r>
          </w:p>
        </w:tc>
        <w:tc>
          <w:tcPr>
            <w:tcW w:w="971" w:type="dxa"/>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20</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9"/>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1</w:t>
            </w:r>
            <w:r>
              <w:rPr>
                <w:rFonts w:ascii="宋体" w:hAnsi="宋体" w:hint="eastAsia"/>
                <w:color w:val="auto"/>
                <w:kern w:val="0"/>
                <w:sz w:val="21"/>
                <w:szCs w:val="21"/>
              </w:rPr>
              <w:t>0</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保温隔热层</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10</w:t>
            </w:r>
          </w:p>
        </w:tc>
        <w:tc>
          <w:tcPr>
            <w:tcW w:w="1764"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Theme="minorEastAsia" w:eastAsiaTheme="minorEastAsia" w:hAnsiTheme="minorEastAsia" w:cstheme="minorEastAsia" w:hint="eastAsia"/>
                <w:kern w:val="0"/>
                <w:sz w:val="21"/>
                <w:szCs w:val="21"/>
              </w:rPr>
              <w:t>热风炉、蒸汽管道</w:t>
            </w:r>
          </w:p>
        </w:tc>
      </w:tr>
      <w:tr w:rsidR="003F13AB">
        <w:trPr>
          <w:trHeight w:val="349"/>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1</w:t>
            </w:r>
            <w:r>
              <w:rPr>
                <w:rFonts w:ascii="宋体" w:hAnsi="宋体" w:hint="eastAsia"/>
                <w:color w:val="auto"/>
                <w:kern w:val="0"/>
                <w:sz w:val="21"/>
                <w:szCs w:val="21"/>
              </w:rPr>
              <w:t>1</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其他安全用电设施</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6</w:t>
            </w:r>
          </w:p>
        </w:tc>
        <w:tc>
          <w:tcPr>
            <w:tcW w:w="1764"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浪涌保护器、绝缘垫等</w:t>
            </w:r>
          </w:p>
        </w:tc>
      </w:tr>
      <w:tr w:rsidR="003F13AB">
        <w:trPr>
          <w:trHeight w:val="349"/>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12</w:t>
            </w:r>
          </w:p>
        </w:tc>
        <w:tc>
          <w:tcPr>
            <w:tcW w:w="2210" w:type="dxa"/>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安全警示标志</w:t>
            </w:r>
          </w:p>
        </w:tc>
        <w:tc>
          <w:tcPr>
            <w:tcW w:w="2051" w:type="dxa"/>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w:t>
            </w:r>
          </w:p>
        </w:tc>
        <w:tc>
          <w:tcPr>
            <w:tcW w:w="1551" w:type="dxa"/>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若干</w:t>
            </w:r>
          </w:p>
        </w:tc>
        <w:tc>
          <w:tcPr>
            <w:tcW w:w="971" w:type="dxa"/>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3</w:t>
            </w:r>
          </w:p>
        </w:tc>
        <w:tc>
          <w:tcPr>
            <w:tcW w:w="1764" w:type="dxa"/>
            <w:gridSpan w:val="2"/>
            <w:vAlign w:val="center"/>
          </w:tcPr>
          <w:p w:rsidR="003F13AB" w:rsidRDefault="00EC6E7E">
            <w:pPr>
              <w:adjustRightInd/>
              <w:snapToGrid/>
              <w:spacing w:before="120"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厂区内</w:t>
            </w:r>
          </w:p>
        </w:tc>
      </w:tr>
      <w:tr w:rsidR="003F13AB">
        <w:trPr>
          <w:trHeight w:val="349"/>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tcPr>
          <w:p w:rsidR="003F13AB" w:rsidRDefault="003F13AB">
            <w:pPr>
              <w:adjustRightInd/>
              <w:snapToGrid/>
              <w:spacing w:line="240" w:lineRule="auto"/>
              <w:ind w:firstLineChars="0" w:firstLine="0"/>
              <w:rPr>
                <w:rFonts w:ascii="宋体" w:hAnsi="宋体"/>
                <w:color w:val="auto"/>
                <w:sz w:val="21"/>
                <w:szCs w:val="21"/>
              </w:rPr>
            </w:pPr>
          </w:p>
        </w:tc>
        <w:tc>
          <w:tcPr>
            <w:tcW w:w="2051" w:type="dxa"/>
          </w:tcPr>
          <w:p w:rsidR="003F13AB" w:rsidRDefault="003F13AB">
            <w:pPr>
              <w:adjustRightInd/>
              <w:snapToGrid/>
              <w:spacing w:line="240" w:lineRule="auto"/>
              <w:ind w:firstLineChars="0" w:firstLine="0"/>
              <w:rPr>
                <w:rFonts w:ascii="宋体" w:hAnsi="宋体"/>
                <w:color w:val="auto"/>
                <w:sz w:val="21"/>
                <w:szCs w:val="21"/>
              </w:rPr>
            </w:pPr>
          </w:p>
        </w:tc>
        <w:tc>
          <w:tcPr>
            <w:tcW w:w="1551" w:type="dxa"/>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合计</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182.8</w:t>
            </w:r>
          </w:p>
        </w:tc>
        <w:tc>
          <w:tcPr>
            <w:tcW w:w="1764" w:type="dxa"/>
            <w:gridSpan w:val="2"/>
            <w:vAlign w:val="center"/>
          </w:tcPr>
          <w:p w:rsidR="003F13AB" w:rsidRDefault="003F13AB">
            <w:pPr>
              <w:adjustRightInd/>
              <w:snapToGrid/>
              <w:spacing w:before="120" w:line="240" w:lineRule="auto"/>
              <w:ind w:firstLineChars="0" w:firstLine="0"/>
              <w:rPr>
                <w:rFonts w:ascii="宋体" w:hAnsi="宋体" w:cs="宋体"/>
                <w:color w:val="auto"/>
                <w:kern w:val="0"/>
                <w:sz w:val="21"/>
                <w:szCs w:val="21"/>
              </w:rPr>
            </w:pPr>
          </w:p>
        </w:tc>
      </w:tr>
      <w:tr w:rsidR="003F13AB">
        <w:trPr>
          <w:trHeight w:val="349"/>
          <w:tblHeader/>
        </w:trPr>
        <w:tc>
          <w:tcPr>
            <w:tcW w:w="9072" w:type="dxa"/>
            <w:gridSpan w:val="7"/>
            <w:vAlign w:val="center"/>
          </w:tcPr>
          <w:p w:rsidR="003F13AB" w:rsidRDefault="00EC6E7E">
            <w:pPr>
              <w:adjustRightInd/>
              <w:snapToGrid/>
              <w:spacing w:line="240" w:lineRule="auto"/>
              <w:ind w:firstLineChars="0" w:firstLine="0"/>
              <w:jc w:val="center"/>
              <w:rPr>
                <w:rFonts w:ascii="宋体" w:hAnsi="宋体"/>
                <w:color w:val="auto"/>
                <w:sz w:val="21"/>
                <w:szCs w:val="21"/>
              </w:rPr>
            </w:pPr>
            <w:r>
              <w:rPr>
                <w:rFonts w:ascii="宋体" w:hAnsi="宋体" w:cs="宋体" w:hint="eastAsia"/>
                <w:color w:val="auto"/>
                <w:sz w:val="21"/>
                <w:szCs w:val="21"/>
              </w:rPr>
              <w:t>二、控制事故设施</w:t>
            </w:r>
          </w:p>
        </w:tc>
      </w:tr>
      <w:tr w:rsidR="003F13AB">
        <w:trPr>
          <w:trHeight w:val="540"/>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1</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应急照明及疏散指示</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before="120" w:line="240" w:lineRule="auto"/>
              <w:ind w:right="420" w:firstLineChars="0" w:firstLine="0"/>
              <w:rPr>
                <w:rFonts w:ascii="宋体" w:hAnsi="宋体" w:cs="宋体"/>
                <w:color w:val="auto"/>
                <w:sz w:val="21"/>
                <w:szCs w:val="21"/>
              </w:rPr>
            </w:pPr>
            <w:r>
              <w:rPr>
                <w:rFonts w:ascii="宋体" w:hAnsi="宋体" w:cs="宋体" w:hint="eastAsia"/>
                <w:color w:val="auto"/>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8</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29"/>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3F13AB">
            <w:pPr>
              <w:adjustRightInd/>
              <w:snapToGrid/>
              <w:spacing w:line="240" w:lineRule="auto"/>
              <w:ind w:firstLineChars="0" w:firstLine="0"/>
              <w:rPr>
                <w:rFonts w:ascii="宋体" w:hAnsi="宋体" w:cs="宋体"/>
                <w:color w:val="auto"/>
                <w:sz w:val="21"/>
                <w:szCs w:val="21"/>
              </w:rPr>
            </w:pPr>
          </w:p>
        </w:tc>
        <w:tc>
          <w:tcPr>
            <w:tcW w:w="2051" w:type="dxa"/>
            <w:vAlign w:val="center"/>
          </w:tcPr>
          <w:p w:rsidR="003F13AB" w:rsidRDefault="003F13AB">
            <w:pPr>
              <w:adjustRightInd/>
              <w:snapToGrid/>
              <w:spacing w:line="240" w:lineRule="auto"/>
              <w:ind w:firstLineChars="0" w:firstLine="0"/>
              <w:rPr>
                <w:rFonts w:ascii="宋体" w:hAnsi="宋体" w:cs="宋体"/>
                <w:color w:val="auto"/>
                <w:kern w:val="0"/>
                <w:sz w:val="21"/>
                <w:szCs w:val="21"/>
              </w:rPr>
            </w:pP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合计</w:t>
            </w:r>
          </w:p>
        </w:tc>
        <w:tc>
          <w:tcPr>
            <w:tcW w:w="97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8</w:t>
            </w:r>
          </w:p>
        </w:tc>
        <w:tc>
          <w:tcPr>
            <w:tcW w:w="1764" w:type="dxa"/>
            <w:gridSpan w:val="2"/>
            <w:vAlign w:val="center"/>
          </w:tcPr>
          <w:p w:rsidR="003F13AB" w:rsidRDefault="003F13AB">
            <w:pPr>
              <w:adjustRightInd/>
              <w:snapToGrid/>
              <w:spacing w:line="240" w:lineRule="auto"/>
              <w:ind w:firstLineChars="0" w:firstLine="0"/>
              <w:rPr>
                <w:rFonts w:ascii="宋体" w:hAnsi="宋体" w:cs="宋体"/>
                <w:color w:val="auto"/>
                <w:kern w:val="0"/>
                <w:sz w:val="21"/>
                <w:szCs w:val="21"/>
              </w:rPr>
            </w:pPr>
          </w:p>
        </w:tc>
      </w:tr>
      <w:tr w:rsidR="003F13AB">
        <w:trPr>
          <w:trHeight w:val="345"/>
          <w:tblHeader/>
        </w:trPr>
        <w:tc>
          <w:tcPr>
            <w:tcW w:w="9072" w:type="dxa"/>
            <w:gridSpan w:val="7"/>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s="宋体" w:hint="eastAsia"/>
                <w:color w:val="auto"/>
                <w:kern w:val="0"/>
                <w:sz w:val="21"/>
                <w:szCs w:val="21"/>
              </w:rPr>
              <w:t>三、</w:t>
            </w:r>
            <w:r>
              <w:rPr>
                <w:rFonts w:ascii="宋体" w:hAnsi="宋体" w:cs="宋体" w:hint="eastAsia"/>
                <w:color w:val="auto"/>
                <w:sz w:val="21"/>
                <w:szCs w:val="21"/>
              </w:rPr>
              <w:t>减少与消除事故影响设施</w:t>
            </w: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1</w:t>
            </w:r>
          </w:p>
        </w:tc>
        <w:tc>
          <w:tcPr>
            <w:tcW w:w="2210" w:type="dxa"/>
            <w:vAlign w:val="center"/>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消防设施</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30</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2</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00B050"/>
                <w:kern w:val="0"/>
                <w:sz w:val="21"/>
                <w:szCs w:val="21"/>
              </w:rPr>
              <w:t>正压式空气呼吸器</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olor w:val="auto"/>
                <w:kern w:val="0"/>
                <w:sz w:val="21"/>
                <w:szCs w:val="21"/>
              </w:rPr>
              <w:t>2</w:t>
            </w:r>
            <w:r>
              <w:rPr>
                <w:rFonts w:ascii="宋体" w:hAnsi="宋体" w:hint="eastAsia"/>
                <w:color w:val="auto"/>
                <w:kern w:val="0"/>
                <w:sz w:val="21"/>
                <w:szCs w:val="21"/>
              </w:rPr>
              <w:t>套</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7.2</w:t>
            </w:r>
          </w:p>
        </w:tc>
        <w:tc>
          <w:tcPr>
            <w:tcW w:w="1764"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00B050"/>
                <w:kern w:val="0"/>
                <w:sz w:val="21"/>
                <w:szCs w:val="21"/>
              </w:rPr>
              <w:t>综合楼安全设施储存箱内</w:t>
            </w: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3</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防毒面具</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5</w:t>
            </w:r>
            <w:r>
              <w:rPr>
                <w:rFonts w:ascii="宋体" w:hAnsi="宋体" w:cs="宋体" w:hint="eastAsia"/>
                <w:color w:val="auto"/>
                <w:kern w:val="0"/>
                <w:sz w:val="21"/>
                <w:szCs w:val="21"/>
              </w:rPr>
              <w:t>个</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0.5</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4</w:t>
            </w:r>
          </w:p>
        </w:tc>
        <w:tc>
          <w:tcPr>
            <w:tcW w:w="2210" w:type="dxa"/>
            <w:vAlign w:val="center"/>
          </w:tcPr>
          <w:p w:rsidR="003F13AB" w:rsidRDefault="00EC6E7E">
            <w:pPr>
              <w:adjustRightInd/>
              <w:snapToGri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安全网、安全带</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5套</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0.4</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5</w:t>
            </w:r>
          </w:p>
        </w:tc>
        <w:tc>
          <w:tcPr>
            <w:tcW w:w="2210" w:type="dxa"/>
            <w:vAlign w:val="center"/>
          </w:tcPr>
          <w:p w:rsidR="003F13AB" w:rsidRDefault="00EC6E7E">
            <w:pPr>
              <w:adjustRightInd/>
              <w:snapToGri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急救箱</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2套</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0.8</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2051"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合计</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kern w:val="0"/>
                <w:sz w:val="21"/>
                <w:szCs w:val="21"/>
              </w:rPr>
              <w:t>38.9</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9072" w:type="dxa"/>
            <w:gridSpan w:val="7"/>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s="宋体" w:hint="eastAsia"/>
                <w:color w:val="auto"/>
                <w:kern w:val="0"/>
                <w:sz w:val="21"/>
                <w:szCs w:val="21"/>
              </w:rPr>
              <w:t>四、</w:t>
            </w:r>
            <w:r>
              <w:rPr>
                <w:rFonts w:ascii="宋体" w:hAnsi="宋体" w:cs="宋体" w:hint="eastAsia"/>
                <w:color w:val="auto"/>
                <w:sz w:val="21"/>
                <w:szCs w:val="21"/>
              </w:rPr>
              <w:t>个人防护装备配置</w:t>
            </w: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1</w:t>
            </w:r>
          </w:p>
        </w:tc>
        <w:tc>
          <w:tcPr>
            <w:tcW w:w="2210" w:type="dxa"/>
          </w:tcPr>
          <w:p w:rsidR="003F13AB" w:rsidRDefault="00EC6E7E">
            <w:pPr>
              <w:ind w:firstLineChars="0" w:firstLine="0"/>
              <w:rPr>
                <w:sz w:val="21"/>
                <w:szCs w:val="21"/>
              </w:rPr>
            </w:pPr>
            <w:r>
              <w:rPr>
                <w:rFonts w:hint="eastAsia"/>
                <w:sz w:val="21"/>
                <w:szCs w:val="21"/>
              </w:rPr>
              <w:t>防静电工作服</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2套/人/年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4</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2</w:t>
            </w:r>
          </w:p>
        </w:tc>
        <w:tc>
          <w:tcPr>
            <w:tcW w:w="2210" w:type="dxa"/>
          </w:tcPr>
          <w:p w:rsidR="003F13AB" w:rsidRDefault="00EC6E7E">
            <w:pPr>
              <w:ind w:firstLineChars="0" w:firstLine="0"/>
              <w:rPr>
                <w:sz w:val="21"/>
                <w:szCs w:val="21"/>
              </w:rPr>
            </w:pPr>
            <w:r>
              <w:rPr>
                <w:rFonts w:hint="eastAsia"/>
                <w:sz w:val="21"/>
                <w:szCs w:val="21"/>
              </w:rPr>
              <w:t>安全帽</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符合</w:t>
            </w:r>
            <w:r>
              <w:rPr>
                <w:rFonts w:ascii="宋体" w:hAnsi="宋体"/>
                <w:color w:val="auto"/>
                <w:kern w:val="0"/>
                <w:sz w:val="21"/>
                <w:szCs w:val="21"/>
              </w:rPr>
              <w:t>GB2811</w:t>
            </w:r>
            <w:r>
              <w:rPr>
                <w:rFonts w:ascii="宋体" w:hAnsi="宋体" w:cs="宋体" w:hint="eastAsia"/>
                <w:color w:val="auto"/>
                <w:kern w:val="0"/>
                <w:sz w:val="21"/>
                <w:szCs w:val="21"/>
              </w:rPr>
              <w:t>要求</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1顶/人/年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1.8</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3</w:t>
            </w:r>
          </w:p>
        </w:tc>
        <w:tc>
          <w:tcPr>
            <w:tcW w:w="2210" w:type="dxa"/>
          </w:tcPr>
          <w:p w:rsidR="003F13AB" w:rsidRDefault="00EC6E7E">
            <w:pPr>
              <w:ind w:firstLineChars="0" w:firstLine="0"/>
              <w:rPr>
                <w:sz w:val="21"/>
                <w:szCs w:val="21"/>
              </w:rPr>
            </w:pPr>
            <w:r>
              <w:rPr>
                <w:rFonts w:hint="eastAsia"/>
                <w:sz w:val="21"/>
                <w:szCs w:val="21"/>
              </w:rPr>
              <w:t>隔热手套</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4套/人/年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1.2</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4</w:t>
            </w:r>
          </w:p>
        </w:tc>
        <w:tc>
          <w:tcPr>
            <w:tcW w:w="2210" w:type="dxa"/>
          </w:tcPr>
          <w:p w:rsidR="003F13AB" w:rsidRDefault="00EC6E7E">
            <w:pPr>
              <w:ind w:firstLineChars="0" w:firstLine="0"/>
              <w:rPr>
                <w:sz w:val="21"/>
                <w:szCs w:val="21"/>
              </w:rPr>
            </w:pPr>
            <w:r>
              <w:rPr>
                <w:rFonts w:hint="eastAsia"/>
                <w:sz w:val="21"/>
                <w:szCs w:val="21"/>
              </w:rPr>
              <w:t>工作服</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2套/人/年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3.5</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lastRenderedPageBreak/>
              <w:t>5</w:t>
            </w:r>
          </w:p>
        </w:tc>
        <w:tc>
          <w:tcPr>
            <w:tcW w:w="2210" w:type="dxa"/>
          </w:tcPr>
          <w:p w:rsidR="003F13AB" w:rsidRDefault="00EC6E7E">
            <w:pPr>
              <w:ind w:firstLineChars="0" w:firstLine="0"/>
              <w:rPr>
                <w:sz w:val="21"/>
                <w:szCs w:val="21"/>
              </w:rPr>
            </w:pPr>
            <w:r>
              <w:rPr>
                <w:rFonts w:hint="eastAsia"/>
                <w:sz w:val="21"/>
                <w:szCs w:val="21"/>
              </w:rPr>
              <w:t>绝缘鞋</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1双/人/年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1.5</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6</w:t>
            </w:r>
          </w:p>
        </w:tc>
        <w:tc>
          <w:tcPr>
            <w:tcW w:w="2210" w:type="dxa"/>
          </w:tcPr>
          <w:p w:rsidR="003F13AB" w:rsidRDefault="00EC6E7E">
            <w:pPr>
              <w:ind w:firstLineChars="0" w:firstLine="0"/>
              <w:rPr>
                <w:sz w:val="21"/>
                <w:szCs w:val="21"/>
              </w:rPr>
            </w:pPr>
            <w:r>
              <w:rPr>
                <w:rFonts w:hint="eastAsia"/>
                <w:sz w:val="21"/>
                <w:szCs w:val="21"/>
              </w:rPr>
              <w:t>绝缘手套</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2双/人/年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7</w:t>
            </w:r>
          </w:p>
        </w:tc>
        <w:tc>
          <w:tcPr>
            <w:tcW w:w="2210" w:type="dxa"/>
          </w:tcPr>
          <w:p w:rsidR="003F13AB" w:rsidRDefault="00EC6E7E">
            <w:pPr>
              <w:ind w:firstLineChars="0" w:firstLine="0"/>
              <w:rPr>
                <w:sz w:val="21"/>
                <w:szCs w:val="21"/>
              </w:rPr>
            </w:pPr>
            <w:r>
              <w:rPr>
                <w:rFonts w:hint="eastAsia"/>
                <w:sz w:val="21"/>
                <w:szCs w:val="21"/>
              </w:rPr>
              <w:t>耳塞</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12套/人/年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w:t>
            </w:r>
          </w:p>
        </w:tc>
        <w:tc>
          <w:tcPr>
            <w:tcW w:w="1673" w:type="dxa"/>
            <w:vAlign w:val="center"/>
          </w:tcPr>
          <w:p w:rsidR="003F13AB" w:rsidRDefault="003F13AB">
            <w:pPr>
              <w:adjustRightInd/>
              <w:snapToGrid/>
              <w:spacing w:line="240" w:lineRule="auto"/>
              <w:ind w:firstLineChars="0" w:firstLine="0"/>
              <w:rPr>
                <w:rFonts w:ascii="宋体" w:hAnsi="宋体" w:cs="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8</w:t>
            </w:r>
          </w:p>
        </w:tc>
        <w:tc>
          <w:tcPr>
            <w:tcW w:w="2210" w:type="dxa"/>
          </w:tcPr>
          <w:p w:rsidR="003F13AB" w:rsidRDefault="00EC6E7E">
            <w:pPr>
              <w:ind w:firstLineChars="0" w:firstLine="0"/>
              <w:rPr>
                <w:sz w:val="21"/>
                <w:szCs w:val="21"/>
              </w:rPr>
            </w:pPr>
            <w:r>
              <w:rPr>
                <w:rFonts w:hint="eastAsia"/>
                <w:sz w:val="21"/>
                <w:szCs w:val="21"/>
              </w:rPr>
              <w:t>防尘口罩</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300只/人/年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1.2</w:t>
            </w:r>
          </w:p>
        </w:tc>
        <w:tc>
          <w:tcPr>
            <w:tcW w:w="1673" w:type="dxa"/>
            <w:vAlign w:val="center"/>
          </w:tcPr>
          <w:p w:rsidR="003F13AB" w:rsidRDefault="003F13AB">
            <w:pPr>
              <w:adjustRightInd/>
              <w:snapToGrid/>
              <w:spacing w:line="240" w:lineRule="auto"/>
              <w:ind w:firstLineChars="0" w:firstLine="0"/>
              <w:rPr>
                <w:rFonts w:ascii="宋体" w:hAnsi="宋体" w:cs="宋体"/>
                <w:color w:val="auto"/>
                <w:kern w:val="0"/>
                <w:sz w:val="21"/>
                <w:szCs w:val="21"/>
              </w:rPr>
            </w:pPr>
          </w:p>
        </w:tc>
      </w:tr>
      <w:tr w:rsidR="003F13AB">
        <w:trPr>
          <w:trHeight w:val="45"/>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2051"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合计</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15</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本建设项目总投资</w:t>
            </w:r>
          </w:p>
        </w:tc>
        <w:tc>
          <w:tcPr>
            <w:tcW w:w="2051"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1551"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1062"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highlight w:val="yellow"/>
              </w:rPr>
            </w:pPr>
            <w:r>
              <w:rPr>
                <w:rFonts w:ascii="宋体" w:hAnsi="宋体" w:hint="eastAsia"/>
                <w:color w:val="auto"/>
                <w:kern w:val="0"/>
                <w:sz w:val="21"/>
                <w:szCs w:val="21"/>
              </w:rPr>
              <w:t>21000</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安全设施投资</w:t>
            </w:r>
          </w:p>
        </w:tc>
        <w:tc>
          <w:tcPr>
            <w:tcW w:w="2051"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1551"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1062"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highlight w:val="yellow"/>
              </w:rPr>
            </w:pPr>
            <w:r>
              <w:rPr>
                <w:rFonts w:ascii="宋体" w:hAnsi="宋体" w:hint="eastAsia"/>
                <w:color w:val="auto"/>
                <w:kern w:val="0"/>
                <w:sz w:val="21"/>
                <w:szCs w:val="21"/>
              </w:rPr>
              <w:t>244.7</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占总投资概算</w:t>
            </w:r>
            <w:r>
              <w:rPr>
                <w:rFonts w:ascii="宋体" w:hAnsi="宋体"/>
                <w:color w:val="auto"/>
                <w:kern w:val="0"/>
                <w:sz w:val="21"/>
                <w:szCs w:val="21"/>
              </w:rPr>
              <w:t>%</w:t>
            </w:r>
          </w:p>
        </w:tc>
        <w:tc>
          <w:tcPr>
            <w:tcW w:w="2051"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1551"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1062"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highlight w:val="yellow"/>
              </w:rPr>
            </w:pPr>
            <w:r>
              <w:rPr>
                <w:rFonts w:ascii="宋体" w:hAnsi="宋体" w:hint="eastAsia"/>
                <w:color w:val="auto"/>
                <w:kern w:val="0"/>
                <w:sz w:val="21"/>
                <w:szCs w:val="21"/>
              </w:rPr>
              <w:t>1.165</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bl>
    <w:p w:rsidR="003F13AB" w:rsidRDefault="00EC6E7E">
      <w:pPr>
        <w:pStyle w:val="2"/>
        <w:rPr>
          <w:u w:color="000000"/>
        </w:rPr>
      </w:pPr>
      <w:bookmarkStart w:id="72" w:name="_Toc166857564"/>
      <w:bookmarkStart w:id="73" w:name="_Toc187914389"/>
      <w:r>
        <w:rPr>
          <w:rFonts w:hint="eastAsia"/>
          <w:u w:color="000000"/>
        </w:rPr>
        <w:t>2.4 爆炸区域划分情况及电气设备设置情况</w:t>
      </w:r>
      <w:bookmarkEnd w:id="72"/>
      <w:bookmarkEnd w:id="73"/>
    </w:p>
    <w:p w:rsidR="003F13AB" w:rsidRPr="00611B5C" w:rsidRDefault="00EC6E7E">
      <w:pPr>
        <w:widowControl/>
        <w:topLinePunct/>
        <w:spacing w:beforeLines="50" w:before="120"/>
        <w:ind w:firstLine="560"/>
        <w:textAlignment w:val="baseline"/>
        <w:rPr>
          <w:rFonts w:ascii="宋体" w:hAnsi="宋体"/>
          <w:color w:val="auto"/>
        </w:rPr>
      </w:pPr>
      <w:r w:rsidRPr="00611B5C">
        <w:rPr>
          <w:rFonts w:ascii="宋体" w:hAnsi="宋体" w:hint="eastAsia"/>
          <w:color w:val="auto"/>
        </w:rPr>
        <w:t>项目生产过程中使用的硫酸钾、氯化钾等原料，化学性质稳定，生产产生的粉尘不可燃；钙镁磷肥等原料主要成分为难燃或不燃的矿物质，其产生的粉尘也不可燃。</w:t>
      </w:r>
    </w:p>
    <w:p w:rsidR="003F13AB" w:rsidRPr="00611B5C" w:rsidRDefault="00EC6E7E">
      <w:pPr>
        <w:widowControl/>
        <w:topLinePunct/>
        <w:spacing w:beforeLines="50" w:before="120"/>
        <w:ind w:firstLine="560"/>
        <w:textAlignment w:val="baseline"/>
        <w:rPr>
          <w:rFonts w:ascii="宋体" w:hAnsi="宋体"/>
          <w:color w:val="auto"/>
        </w:rPr>
      </w:pPr>
      <w:r w:rsidRPr="00611B5C">
        <w:rPr>
          <w:rFonts w:ascii="宋体" w:hAnsi="宋体" w:hint="eastAsia"/>
          <w:color w:val="auto"/>
        </w:rPr>
        <w:t>项目生产过程中使用的尿素、硫酸铵等含碳氢元素较多的原料在生产过程中产生的粉尘可能可燃。其有机成分在一定的浓度、温度和氧气等条件下，能与空气发生氧化反应引发燃烧。以尿素为例，其粉尘在相对封闭空间达到一定浓度，遇明火、高温等可能引起燃烧和爆炸。根据项目生产情况爆炸危险区域分析如下：</w:t>
      </w:r>
    </w:p>
    <w:p w:rsidR="003F13AB" w:rsidRDefault="00EC6E7E">
      <w:pPr>
        <w:widowControl/>
        <w:topLinePunct/>
        <w:spacing w:beforeLines="50" w:before="120"/>
        <w:ind w:firstLine="560"/>
        <w:textAlignment w:val="baseline"/>
        <w:rPr>
          <w:rFonts w:ascii="宋体" w:hAnsi="宋体"/>
          <w:color w:val="auto"/>
        </w:rPr>
      </w:pPr>
      <w:r>
        <w:rPr>
          <w:rFonts w:ascii="宋体" w:hAnsi="宋体" w:hint="eastAsia"/>
          <w:color w:val="auto"/>
        </w:rPr>
        <w:t>（1）根据《爆炸危险环境电力装置设计规范》（GB50058-2014）4.2.4条：</w:t>
      </w:r>
    </w:p>
    <w:p w:rsidR="003F13AB" w:rsidRDefault="00EC6E7E">
      <w:pPr>
        <w:widowControl/>
        <w:topLinePunct/>
        <w:spacing w:beforeLines="50" w:before="120"/>
        <w:ind w:firstLine="560"/>
        <w:textAlignment w:val="baseline"/>
        <w:rPr>
          <w:rFonts w:ascii="宋体" w:hAnsi="宋体"/>
          <w:color w:val="auto"/>
        </w:rPr>
      </w:pPr>
      <w:r>
        <w:rPr>
          <w:rFonts w:ascii="宋体" w:hAnsi="宋体" w:hint="eastAsia"/>
          <w:color w:val="auto"/>
        </w:rPr>
        <w:t>符合下列条件之一时，可划为非爆炸危险区域：</w:t>
      </w:r>
    </w:p>
    <w:p w:rsidR="003F13AB" w:rsidRDefault="00EC6E7E">
      <w:pPr>
        <w:widowControl/>
        <w:topLinePunct/>
        <w:spacing w:beforeLines="50" w:before="120"/>
        <w:ind w:firstLine="560"/>
        <w:textAlignment w:val="baseline"/>
        <w:rPr>
          <w:rFonts w:ascii="宋体" w:hAnsi="宋体"/>
          <w:color w:val="auto"/>
        </w:rPr>
      </w:pPr>
      <w:r>
        <w:rPr>
          <w:rFonts w:ascii="宋体" w:hAnsi="宋体" w:hint="eastAsia"/>
          <w:color w:val="auto"/>
        </w:rPr>
        <w:t>1）装有良好除尘效果的除尘装置，当该除尘装置停车时，工艺机组能</w:t>
      </w:r>
      <w:proofErr w:type="gramStart"/>
      <w:r>
        <w:rPr>
          <w:rFonts w:ascii="宋体" w:hAnsi="宋体" w:hint="eastAsia"/>
          <w:color w:val="auto"/>
        </w:rPr>
        <w:t>联锁</w:t>
      </w:r>
      <w:proofErr w:type="gramEnd"/>
      <w:r>
        <w:rPr>
          <w:rFonts w:ascii="宋体" w:hAnsi="宋体" w:hint="eastAsia"/>
          <w:color w:val="auto"/>
        </w:rPr>
        <w:t>停车；</w:t>
      </w:r>
    </w:p>
    <w:p w:rsidR="003F13AB" w:rsidRDefault="00EC6E7E">
      <w:pPr>
        <w:widowControl/>
        <w:topLinePunct/>
        <w:spacing w:beforeLines="50" w:before="120"/>
        <w:ind w:firstLine="560"/>
        <w:textAlignment w:val="baseline"/>
        <w:rPr>
          <w:rFonts w:ascii="宋体" w:hAnsi="宋体"/>
          <w:color w:val="auto"/>
        </w:rPr>
      </w:pPr>
      <w:r>
        <w:rPr>
          <w:rFonts w:ascii="宋体" w:hAnsi="宋体" w:hint="eastAsia"/>
          <w:color w:val="auto"/>
        </w:rPr>
        <w:t>2）设有为爆炸性粉尘环境服务，并用墙隔绝的送风机室，其通向爆炸性粉尘环境的风道设有能防止爆炸性粉尘混合物侵入的安全装置。</w:t>
      </w:r>
    </w:p>
    <w:p w:rsidR="003F13AB" w:rsidRDefault="00EC6E7E">
      <w:pPr>
        <w:widowControl/>
        <w:topLinePunct/>
        <w:spacing w:beforeLines="50" w:before="120"/>
        <w:ind w:firstLine="560"/>
        <w:textAlignment w:val="baseline"/>
        <w:rPr>
          <w:rFonts w:ascii="宋体" w:hAnsi="宋体"/>
          <w:color w:val="auto"/>
        </w:rPr>
      </w:pPr>
      <w:r>
        <w:rPr>
          <w:rFonts w:ascii="宋体" w:hAnsi="宋体" w:hint="eastAsia"/>
          <w:color w:val="auto"/>
        </w:rPr>
        <w:t>3）区域内使用爆炸性粉尘的量不大，且在排风柜内或风罩下进行操作。</w:t>
      </w:r>
    </w:p>
    <w:p w:rsidR="003F13AB" w:rsidRDefault="00EC6E7E">
      <w:pPr>
        <w:widowControl/>
        <w:topLinePunct/>
        <w:spacing w:beforeLines="50" w:before="120"/>
        <w:ind w:firstLine="560"/>
        <w:textAlignment w:val="baseline"/>
        <w:rPr>
          <w:rFonts w:ascii="宋体" w:hAnsi="宋体"/>
          <w:color w:val="auto"/>
        </w:rPr>
      </w:pPr>
      <w:r>
        <w:rPr>
          <w:rFonts w:ascii="宋体" w:hAnsi="宋体" w:hint="eastAsia"/>
          <w:color w:val="auto"/>
        </w:rPr>
        <w:lastRenderedPageBreak/>
        <w:t>本项目生产装置设有除尘效果良好的除尘器，当除尘器停车时，生产装置能停止使用，故生产区域涉及尿素粉尘的区域划分为非爆炸危险区域；丙类仓库内的尿素有严密的包装，并且不在仓库</w:t>
      </w:r>
      <w:proofErr w:type="gramStart"/>
      <w:r>
        <w:rPr>
          <w:rFonts w:ascii="宋体" w:hAnsi="宋体" w:hint="eastAsia"/>
          <w:color w:val="auto"/>
        </w:rPr>
        <w:t>内破袋</w:t>
      </w:r>
      <w:proofErr w:type="gramEnd"/>
      <w:r>
        <w:rPr>
          <w:rFonts w:ascii="宋体" w:hAnsi="宋体" w:hint="eastAsia"/>
          <w:color w:val="auto"/>
        </w:rPr>
        <w:t>，基本不会产生粉尘，故不存在爆炸危险区域。</w:t>
      </w:r>
    </w:p>
    <w:p w:rsidR="003F13AB" w:rsidRDefault="00EC6E7E">
      <w:pPr>
        <w:widowControl/>
        <w:topLinePunct/>
        <w:spacing w:beforeLines="50" w:before="120"/>
        <w:ind w:firstLine="560"/>
        <w:textAlignment w:val="baseline"/>
        <w:rPr>
          <w:color w:val="auto"/>
        </w:rPr>
      </w:pPr>
      <w:r>
        <w:rPr>
          <w:rFonts w:ascii="宋体" w:hAnsi="宋体" w:hint="eastAsia"/>
          <w:color w:val="auto"/>
        </w:rPr>
        <w:t>（2）根据《城镇燃气设计规范》（GB 50028-2006）附录D的规定，“在生产过程中使用明火的设备的附近区域，如燃气锅炉房等”可划分为非爆炸危险区域，锅炉房和热风炉周边划为非爆炸危险区域。</w:t>
      </w:r>
    </w:p>
    <w:p w:rsidR="003F13AB" w:rsidRDefault="00EC6E7E">
      <w:pPr>
        <w:pStyle w:val="2"/>
      </w:pPr>
      <w:bookmarkStart w:id="74" w:name="_Toc166857565"/>
      <w:bookmarkStart w:id="75" w:name="_Toc187914390"/>
      <w:r>
        <w:rPr>
          <w:rFonts w:hint="eastAsia"/>
        </w:rPr>
        <w:t>2.5 安全生产管理情况</w:t>
      </w:r>
      <w:bookmarkEnd w:id="74"/>
      <w:bookmarkEnd w:id="75"/>
    </w:p>
    <w:p w:rsidR="003F13AB" w:rsidRDefault="00EC6E7E">
      <w:pPr>
        <w:pStyle w:val="3"/>
      </w:pPr>
      <w:bookmarkStart w:id="76" w:name="_Toc187914391"/>
      <w:r>
        <w:rPr>
          <w:rFonts w:hint="eastAsia"/>
        </w:rPr>
        <w:t>2.5.1 安全管理机构及职责</w:t>
      </w:r>
      <w:bookmarkEnd w:id="76"/>
    </w:p>
    <w:p w:rsidR="003F13AB" w:rsidRDefault="00EC6E7E">
      <w:pPr>
        <w:ind w:firstLine="560"/>
        <w:rPr>
          <w:color w:val="auto"/>
        </w:rPr>
      </w:pPr>
      <w:r>
        <w:rPr>
          <w:rFonts w:hint="eastAsia"/>
          <w:color w:val="auto"/>
        </w:rPr>
        <w:t>按照《中华人民共和国安全生产法》第二十四条，云南农家乐农业集团有限公司不属于矿山、金属冶炼、建筑施工、运输单位和危险物品的生产、经营、储存、装卸单位，但从业人员超过</w:t>
      </w:r>
      <w:r>
        <w:rPr>
          <w:rFonts w:hint="eastAsia"/>
          <w:color w:val="auto"/>
        </w:rPr>
        <w:t>100</w:t>
      </w:r>
      <w:r>
        <w:rPr>
          <w:rFonts w:hint="eastAsia"/>
          <w:color w:val="auto"/>
        </w:rPr>
        <w:t>人，应当设置安全生产管理机构或者配备专职安全生产管理人员。</w:t>
      </w:r>
    </w:p>
    <w:p w:rsidR="003F13AB" w:rsidRDefault="00EC6E7E">
      <w:pPr>
        <w:ind w:firstLine="560"/>
        <w:rPr>
          <w:color w:val="auto"/>
        </w:rPr>
      </w:pPr>
      <w:r>
        <w:rPr>
          <w:rFonts w:hint="eastAsia"/>
          <w:color w:val="auto"/>
        </w:rPr>
        <w:t>公司设置安环部，部门经理为</w:t>
      </w:r>
      <w:proofErr w:type="gramStart"/>
      <w:r>
        <w:rPr>
          <w:rFonts w:hint="eastAsia"/>
          <w:color w:val="auto"/>
        </w:rPr>
        <w:t>杨陆会</w:t>
      </w:r>
      <w:proofErr w:type="gramEnd"/>
      <w:r>
        <w:rPr>
          <w:rFonts w:hint="eastAsia"/>
          <w:color w:val="auto"/>
        </w:rPr>
        <w:t>，成员为蒋品国、左铭兴、苏洪、郭梅、李华保、王迎春。任命</w:t>
      </w:r>
      <w:proofErr w:type="gramStart"/>
      <w:r>
        <w:rPr>
          <w:rFonts w:hint="eastAsia"/>
          <w:color w:val="auto"/>
        </w:rPr>
        <w:t>杨陆会</w:t>
      </w:r>
      <w:proofErr w:type="gramEnd"/>
      <w:r>
        <w:rPr>
          <w:rFonts w:hint="eastAsia"/>
          <w:color w:val="auto"/>
        </w:rPr>
        <w:t>为公司安全员。安环部为公司安全管理最高组织机构。企业主要负责人为公司的安全生产第一责任人。公司安全组织管理机构图详见附件</w:t>
      </w:r>
      <w:r>
        <w:rPr>
          <w:rFonts w:hint="eastAsia"/>
          <w:color w:val="auto"/>
        </w:rPr>
        <w:t>8.20</w:t>
      </w:r>
      <w:r>
        <w:rPr>
          <w:rFonts w:hint="eastAsia"/>
          <w:color w:val="auto"/>
        </w:rPr>
        <w:t>。</w:t>
      </w:r>
    </w:p>
    <w:p w:rsidR="003F13AB" w:rsidRDefault="00EC6E7E">
      <w:pPr>
        <w:pStyle w:val="3"/>
      </w:pPr>
      <w:bookmarkStart w:id="77" w:name="_Toc187914392"/>
      <w:r>
        <w:rPr>
          <w:rFonts w:hint="eastAsia"/>
        </w:rPr>
        <w:t>2.5.2 安全管理制度及安全岗位责任制</w:t>
      </w:r>
      <w:bookmarkEnd w:id="77"/>
    </w:p>
    <w:p w:rsidR="003F13AB" w:rsidRDefault="00EC6E7E">
      <w:pPr>
        <w:ind w:firstLine="560"/>
        <w:rPr>
          <w:color w:val="auto"/>
          <w:lang w:val="zh-CN"/>
        </w:rPr>
      </w:pPr>
      <w:r>
        <w:rPr>
          <w:color w:val="auto"/>
        </w:rPr>
        <w:t>项目</w:t>
      </w:r>
      <w:r>
        <w:rPr>
          <w:color w:val="auto"/>
          <w:lang w:val="zh-CN"/>
        </w:rPr>
        <w:t>根据国家相关要求并结合</w:t>
      </w:r>
      <w:r>
        <w:rPr>
          <w:rFonts w:hint="eastAsia"/>
          <w:color w:val="auto"/>
          <w:lang w:val="zh-CN"/>
        </w:rPr>
        <w:t>厂内</w:t>
      </w:r>
      <w:r>
        <w:rPr>
          <w:color w:val="auto"/>
          <w:lang w:val="zh-CN"/>
        </w:rPr>
        <w:t>生产实际情况，</w:t>
      </w:r>
      <w:r>
        <w:rPr>
          <w:rFonts w:hint="eastAsia"/>
          <w:color w:val="auto"/>
          <w:lang w:val="zh-CN"/>
        </w:rPr>
        <w:t>农家乐公司在《安全管理制度及安全岗位责任制》中明确了各安全管理制度和</w:t>
      </w:r>
      <w:r>
        <w:rPr>
          <w:color w:val="auto"/>
          <w:lang w:val="zh-CN"/>
        </w:rPr>
        <w:t>各级人员安全责任制，见下表。</w:t>
      </w:r>
    </w:p>
    <w:p w:rsidR="003F13AB" w:rsidRDefault="00EC6E7E">
      <w:pPr>
        <w:widowControl/>
        <w:adjustRightInd/>
        <w:snapToGrid/>
        <w:spacing w:line="240" w:lineRule="auto"/>
        <w:ind w:firstLineChars="0" w:firstLine="0"/>
        <w:jc w:val="center"/>
        <w:rPr>
          <w:color w:val="auto"/>
          <w:lang w:val="zh-CN"/>
        </w:rPr>
      </w:pPr>
      <w:r>
        <w:rPr>
          <w:rFonts w:ascii="宋体" w:hAnsi="宋体" w:hint="eastAsia"/>
          <w:color w:val="auto"/>
        </w:rPr>
        <w:t xml:space="preserve">表2.5-1  </w:t>
      </w:r>
      <w:r>
        <w:rPr>
          <w:rFonts w:hint="eastAsia"/>
          <w:color w:val="auto"/>
          <w:lang w:val="zh-CN"/>
        </w:rPr>
        <w:t>安全管理制度及安全岗位责任制</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4253"/>
        <w:gridCol w:w="2143"/>
        <w:gridCol w:w="1966"/>
      </w:tblGrid>
      <w:tr w:rsidR="003F13AB">
        <w:trPr>
          <w:trHeight w:val="340"/>
          <w:jc w:val="center"/>
        </w:trPr>
        <w:tc>
          <w:tcPr>
            <w:tcW w:w="710" w:type="dxa"/>
            <w:vAlign w:val="center"/>
          </w:tcPr>
          <w:p w:rsidR="003F13AB" w:rsidRDefault="00EC6E7E">
            <w:pPr>
              <w:adjustRightInd/>
              <w:snapToGrid/>
              <w:spacing w:line="240" w:lineRule="auto"/>
              <w:ind w:firstLineChars="0" w:firstLine="0"/>
              <w:jc w:val="center"/>
              <w:rPr>
                <w:rFonts w:ascii="宋体" w:hAnsi="宋体"/>
                <w:b/>
                <w:bCs/>
                <w:color w:val="auto"/>
                <w:sz w:val="21"/>
                <w:szCs w:val="21"/>
                <w:lang w:val="zh-CN"/>
              </w:rPr>
            </w:pPr>
            <w:r>
              <w:rPr>
                <w:rFonts w:ascii="宋体" w:hAnsi="宋体"/>
                <w:b/>
                <w:bCs/>
                <w:color w:val="auto"/>
                <w:sz w:val="21"/>
                <w:szCs w:val="21"/>
                <w:lang w:val="zh-CN"/>
              </w:rPr>
              <w:t>序号</w:t>
            </w:r>
          </w:p>
        </w:tc>
        <w:tc>
          <w:tcPr>
            <w:tcW w:w="4253" w:type="dxa"/>
            <w:vAlign w:val="center"/>
          </w:tcPr>
          <w:p w:rsidR="003F13AB" w:rsidRDefault="00EC6E7E">
            <w:pPr>
              <w:adjustRightInd/>
              <w:snapToGrid/>
              <w:spacing w:line="240" w:lineRule="auto"/>
              <w:ind w:firstLineChars="0" w:firstLine="0"/>
              <w:jc w:val="center"/>
              <w:rPr>
                <w:rFonts w:ascii="宋体" w:hAnsi="宋体"/>
                <w:b/>
                <w:bCs/>
                <w:color w:val="auto"/>
                <w:sz w:val="21"/>
                <w:szCs w:val="21"/>
                <w:lang w:val="zh-CN"/>
              </w:rPr>
            </w:pPr>
            <w:r>
              <w:rPr>
                <w:rFonts w:ascii="宋体" w:hAnsi="宋体"/>
                <w:b/>
                <w:bCs/>
                <w:color w:val="auto"/>
                <w:sz w:val="21"/>
                <w:szCs w:val="21"/>
                <w:lang w:val="zh-CN"/>
              </w:rPr>
              <w:t>安全管理制度</w:t>
            </w:r>
          </w:p>
        </w:tc>
        <w:tc>
          <w:tcPr>
            <w:tcW w:w="2143" w:type="dxa"/>
            <w:vAlign w:val="center"/>
          </w:tcPr>
          <w:p w:rsidR="003F13AB" w:rsidRDefault="00EC6E7E">
            <w:pPr>
              <w:adjustRightInd/>
              <w:snapToGrid/>
              <w:spacing w:line="240" w:lineRule="auto"/>
              <w:ind w:firstLineChars="0" w:firstLine="0"/>
              <w:jc w:val="center"/>
              <w:rPr>
                <w:rFonts w:ascii="宋体" w:hAnsi="宋体"/>
                <w:b/>
                <w:bCs/>
                <w:color w:val="auto"/>
                <w:sz w:val="21"/>
                <w:szCs w:val="21"/>
                <w:lang w:val="zh-CN"/>
              </w:rPr>
            </w:pPr>
            <w:r>
              <w:rPr>
                <w:rFonts w:ascii="宋体" w:hAnsi="宋体"/>
                <w:b/>
                <w:bCs/>
                <w:color w:val="auto"/>
                <w:sz w:val="21"/>
                <w:szCs w:val="21"/>
                <w:lang w:val="zh-CN"/>
              </w:rPr>
              <w:t>监督/检查人</w:t>
            </w:r>
          </w:p>
        </w:tc>
        <w:tc>
          <w:tcPr>
            <w:tcW w:w="1966" w:type="dxa"/>
            <w:vAlign w:val="center"/>
          </w:tcPr>
          <w:p w:rsidR="003F13AB" w:rsidRDefault="00EC6E7E">
            <w:pPr>
              <w:adjustRightInd/>
              <w:snapToGrid/>
              <w:spacing w:line="240" w:lineRule="auto"/>
              <w:ind w:firstLineChars="0" w:firstLine="0"/>
              <w:jc w:val="center"/>
              <w:rPr>
                <w:rFonts w:ascii="宋体" w:hAnsi="宋体"/>
                <w:b/>
                <w:bCs/>
                <w:color w:val="auto"/>
                <w:sz w:val="21"/>
                <w:szCs w:val="21"/>
                <w:lang w:val="zh-CN"/>
              </w:rPr>
            </w:pPr>
            <w:r>
              <w:rPr>
                <w:rFonts w:ascii="宋体" w:hAnsi="宋体"/>
                <w:b/>
                <w:bCs/>
                <w:color w:val="auto"/>
                <w:sz w:val="21"/>
                <w:szCs w:val="21"/>
                <w:lang w:val="zh-CN"/>
              </w:rPr>
              <w:t>执行情况</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sz w:val="21"/>
                <w:szCs w:val="21"/>
              </w:rPr>
              <w:t>安全标准化管制制度</w:t>
            </w:r>
          </w:p>
        </w:tc>
        <w:tc>
          <w:tcPr>
            <w:tcW w:w="2143" w:type="dxa"/>
            <w:vAlign w:val="center"/>
          </w:tcPr>
          <w:p w:rsidR="003F13AB" w:rsidRDefault="00EC6E7E">
            <w:pPr>
              <w:adjustRightInd/>
              <w:snapToGrid/>
              <w:spacing w:line="240" w:lineRule="auto"/>
              <w:ind w:firstLineChars="0" w:firstLine="0"/>
              <w:jc w:val="center"/>
              <w:rPr>
                <w:rFonts w:ascii="宋体" w:hAnsi="宋体"/>
                <w:bCs/>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vAlign w:val="center"/>
          </w:tcPr>
          <w:p w:rsidR="003F13AB" w:rsidRDefault="00EC6E7E">
            <w:pPr>
              <w:adjustRightInd/>
              <w:snapToGrid/>
              <w:spacing w:line="240" w:lineRule="auto"/>
              <w:ind w:firstLineChars="0" w:firstLine="0"/>
              <w:jc w:val="center"/>
              <w:rPr>
                <w:rFonts w:ascii="宋体" w:hAnsi="宋体"/>
                <w:bCs/>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安全生产目标管理制度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sz w:val="21"/>
                <w:szCs w:val="21"/>
              </w:rPr>
              <w:t>安全管理机构设置与人员任命管理制度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sz w:val="21"/>
                <w:szCs w:val="21"/>
              </w:rPr>
              <w:t>安全生产会议管理制度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sz w:val="21"/>
                <w:szCs w:val="21"/>
              </w:rPr>
              <w:t>安全生产责任制管理制度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sz w:val="21"/>
                <w:szCs w:val="21"/>
              </w:rPr>
              <w:t>安全生产责任制考核办法</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班组岗位达标管理办法</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安全生产经费投入使用管理制度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工伤保险保障制度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rPr>
                <w:rFonts w:ascii="宋体" w:hAnsi="宋体"/>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安全生产法律法规及其他要求管理制度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rPr>
                <w:rFonts w:ascii="宋体" w:hAnsi="宋体"/>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消防安全管理制度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文件资料和档案管理制度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危险辨识与风险评价管理制度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安全教育培训管理制度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特种作业人员及特种作业审批管理制度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特种设备安全管理制度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生产设备设施变更管理制度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设备设施安全管理制度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气瓶入库、发放登记及使用管理制度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临时电气线路审批管理制度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rPr>
                <w:rFonts w:ascii="宋体" w:hAnsi="宋体"/>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建设项目安全“三同时”管理制度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rPr>
                <w:rFonts w:ascii="宋体" w:hAnsi="宋体"/>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生产设备设施验收管理制度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生产设备设施报废管理制度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施工和</w:t>
            </w:r>
            <w:proofErr w:type="gramStart"/>
            <w:r>
              <w:rPr>
                <w:rFonts w:hint="eastAsia"/>
                <w:sz w:val="21"/>
                <w:szCs w:val="21"/>
              </w:rPr>
              <w:t>检维修</w:t>
            </w:r>
            <w:proofErr w:type="gramEnd"/>
            <w:r>
              <w:rPr>
                <w:rFonts w:hint="eastAsia"/>
                <w:sz w:val="21"/>
                <w:szCs w:val="21"/>
              </w:rPr>
              <w:t>安全管理制度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“三违”行为管理制度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危险源点管理制度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设备操作牌管理制度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危险物品及危险化学品管理制度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危险作业安全管理制度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动火作业安全管理规定</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进入有限空间作业安全管理规定</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高处作业安全管理规定</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警示标志和安全防护的管理制度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供应商与承包商管理制度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变更管理制度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安全生产预警管理制度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职业卫生（危害）管理、控制、监测制度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劳动防护用品（具）管理制度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安全检查（隐患排查）及隐患治理制度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应急管理制度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事故、事件报告、调查与分析管理制度</w:t>
            </w:r>
          </w:p>
        </w:tc>
        <w:tc>
          <w:tcPr>
            <w:tcW w:w="2143" w:type="dxa"/>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安全绩效评定管理制度</w:t>
            </w:r>
          </w:p>
        </w:tc>
        <w:tc>
          <w:tcPr>
            <w:tcW w:w="2143" w:type="dxa"/>
            <w:vAlign w:val="center"/>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安全标准化自评管理制度</w:t>
            </w:r>
          </w:p>
        </w:tc>
        <w:tc>
          <w:tcPr>
            <w:tcW w:w="2143" w:type="dxa"/>
            <w:vAlign w:val="center"/>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仓库安全管理制度</w:t>
            </w:r>
          </w:p>
        </w:tc>
        <w:tc>
          <w:tcPr>
            <w:tcW w:w="2143" w:type="dxa"/>
            <w:vAlign w:val="center"/>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防火、禁烟管理制度</w:t>
            </w:r>
          </w:p>
        </w:tc>
        <w:tc>
          <w:tcPr>
            <w:tcW w:w="2143" w:type="dxa"/>
            <w:vAlign w:val="center"/>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pPr>
            <w:r>
              <w:rPr>
                <w:rFonts w:ascii="宋体" w:hAnsi="宋体" w:hint="eastAsia"/>
                <w:color w:val="auto"/>
                <w:sz w:val="21"/>
                <w:szCs w:val="21"/>
                <w:lang w:val="zh-CN"/>
              </w:rPr>
              <w:t>按制度</w:t>
            </w:r>
            <w:r>
              <w:rPr>
                <w:rFonts w:ascii="宋体" w:hAnsi="宋体"/>
                <w:color w:val="auto"/>
                <w:sz w:val="21"/>
                <w:szCs w:val="21"/>
                <w:lang w:val="zh-CN"/>
              </w:rPr>
              <w:t>执行</w:t>
            </w:r>
          </w:p>
        </w:tc>
      </w:tr>
      <w:tr w:rsidR="003F13AB">
        <w:trPr>
          <w:trHeight w:val="340"/>
          <w:jc w:val="center"/>
        </w:trPr>
        <w:tc>
          <w:tcPr>
            <w:tcW w:w="710" w:type="dxa"/>
            <w:vAlign w:val="center"/>
          </w:tcPr>
          <w:p w:rsidR="003F13AB" w:rsidRDefault="003F13AB">
            <w:pPr>
              <w:pStyle w:val="afa"/>
              <w:numPr>
                <w:ilvl w:val="0"/>
                <w:numId w:val="2"/>
              </w:numPr>
              <w:adjustRightInd/>
              <w:snapToGrid/>
              <w:spacing w:line="240" w:lineRule="auto"/>
              <w:ind w:left="0" w:firstLineChars="0" w:firstLine="0"/>
              <w:jc w:val="center"/>
              <w:rPr>
                <w:rFonts w:ascii="宋体" w:hAnsi="宋体"/>
                <w:bCs/>
                <w:color w:val="auto"/>
                <w:sz w:val="21"/>
                <w:szCs w:val="21"/>
                <w:lang w:val="zh-CN"/>
              </w:rPr>
            </w:pPr>
          </w:p>
        </w:tc>
        <w:tc>
          <w:tcPr>
            <w:tcW w:w="4253" w:type="dxa"/>
            <w:vAlign w:val="center"/>
          </w:tcPr>
          <w:p w:rsidR="003F13AB" w:rsidRDefault="00EC6E7E">
            <w:pPr>
              <w:ind w:firstLineChars="0" w:firstLine="0"/>
              <w:jc w:val="center"/>
              <w:rPr>
                <w:sz w:val="21"/>
                <w:szCs w:val="21"/>
              </w:rPr>
            </w:pPr>
            <w:r>
              <w:rPr>
                <w:rFonts w:hint="eastAsia"/>
                <w:sz w:val="21"/>
                <w:szCs w:val="21"/>
              </w:rPr>
              <w:t>天然气安全管理者制度</w:t>
            </w:r>
          </w:p>
        </w:tc>
        <w:tc>
          <w:tcPr>
            <w:tcW w:w="2143" w:type="dxa"/>
            <w:vAlign w:val="center"/>
          </w:tcPr>
          <w:p w:rsidR="003F13AB" w:rsidRDefault="00EC6E7E">
            <w:pPr>
              <w:adjustRightInd/>
              <w:snapToGrid/>
              <w:spacing w:line="240" w:lineRule="auto"/>
              <w:ind w:firstLineChars="0" w:firstLine="0"/>
              <w:jc w:val="center"/>
              <w:rPr>
                <w:rFonts w:ascii="宋体" w:hAnsi="宋体"/>
                <w:color w:val="auto"/>
                <w:sz w:val="21"/>
                <w:szCs w:val="21"/>
                <w:lang w:val="zh-CN"/>
              </w:rPr>
            </w:pPr>
            <w:r>
              <w:rPr>
                <w:rFonts w:ascii="宋体" w:hAnsi="宋体" w:hint="eastAsia"/>
                <w:color w:val="auto"/>
                <w:sz w:val="21"/>
                <w:szCs w:val="21"/>
                <w:lang w:val="zh-CN"/>
              </w:rPr>
              <w:t>副总经理</w:t>
            </w:r>
            <w:r>
              <w:rPr>
                <w:rFonts w:ascii="宋体" w:hAnsi="宋体"/>
                <w:color w:val="auto"/>
                <w:sz w:val="21"/>
                <w:szCs w:val="21"/>
                <w:lang w:val="zh-CN"/>
              </w:rPr>
              <w:t>、安全员</w:t>
            </w:r>
          </w:p>
        </w:tc>
        <w:tc>
          <w:tcPr>
            <w:tcW w:w="1966" w:type="dxa"/>
          </w:tcPr>
          <w:p w:rsidR="003F13AB" w:rsidRDefault="00EC6E7E">
            <w:pPr>
              <w:ind w:firstLine="420"/>
              <w:rPr>
                <w:rFonts w:ascii="宋体" w:hAnsi="宋体"/>
                <w:color w:val="auto"/>
                <w:sz w:val="21"/>
                <w:szCs w:val="21"/>
                <w:lang w:val="zh-CN"/>
              </w:rPr>
            </w:pPr>
            <w:r>
              <w:rPr>
                <w:rFonts w:ascii="宋体" w:hAnsi="宋体" w:hint="eastAsia"/>
                <w:color w:val="auto"/>
                <w:sz w:val="21"/>
                <w:szCs w:val="21"/>
                <w:lang w:val="zh-CN"/>
              </w:rPr>
              <w:t>按制度</w:t>
            </w:r>
            <w:r>
              <w:rPr>
                <w:rFonts w:ascii="宋体" w:hAnsi="宋体"/>
                <w:color w:val="auto"/>
                <w:sz w:val="21"/>
                <w:szCs w:val="21"/>
                <w:lang w:val="zh-CN"/>
              </w:rPr>
              <w:t>执行</w:t>
            </w:r>
          </w:p>
        </w:tc>
      </w:tr>
    </w:tbl>
    <w:p w:rsidR="003F13AB" w:rsidRDefault="003F13AB">
      <w:pPr>
        <w:pStyle w:val="Default1"/>
        <w:rPr>
          <w:rFonts w:hint="default"/>
          <w:lang w:val="zh-CN"/>
        </w:rPr>
      </w:pPr>
    </w:p>
    <w:p w:rsidR="003F13AB" w:rsidRDefault="00EC6E7E">
      <w:pPr>
        <w:pStyle w:val="Default1"/>
        <w:jc w:val="center"/>
        <w:rPr>
          <w:rFonts w:ascii="宋体" w:hAnsi="宋体" w:hint="default"/>
          <w:sz w:val="28"/>
          <w:szCs w:val="28"/>
          <w:lang w:val="zh-CN"/>
        </w:rPr>
      </w:pPr>
      <w:r>
        <w:rPr>
          <w:rFonts w:ascii="宋体" w:hAnsi="宋体"/>
          <w:sz w:val="28"/>
          <w:szCs w:val="28"/>
          <w:lang w:val="zh-CN"/>
        </w:rPr>
        <w:t>表2.5-2 岗位安全生产责任制</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827"/>
        <w:gridCol w:w="2410"/>
        <w:gridCol w:w="1276"/>
        <w:gridCol w:w="849"/>
      </w:tblGrid>
      <w:tr w:rsidR="003F13AB">
        <w:trPr>
          <w:trHeight w:val="340"/>
          <w:tblHeader/>
          <w:jc w:val="center"/>
        </w:trPr>
        <w:tc>
          <w:tcPr>
            <w:tcW w:w="710" w:type="dxa"/>
            <w:vAlign w:val="center"/>
          </w:tcPr>
          <w:p w:rsidR="003F13AB" w:rsidRDefault="00EC6E7E">
            <w:pPr>
              <w:adjustRightInd/>
              <w:snapToGrid/>
              <w:spacing w:line="240" w:lineRule="auto"/>
              <w:ind w:firstLineChars="0" w:firstLine="0"/>
              <w:jc w:val="center"/>
              <w:rPr>
                <w:b/>
                <w:bCs/>
                <w:color w:val="auto"/>
                <w:sz w:val="21"/>
                <w:szCs w:val="21"/>
                <w:lang w:val="zh-CN"/>
              </w:rPr>
            </w:pPr>
            <w:r>
              <w:rPr>
                <w:b/>
                <w:bCs/>
                <w:color w:val="auto"/>
                <w:sz w:val="21"/>
                <w:szCs w:val="21"/>
                <w:lang w:val="zh-CN"/>
              </w:rPr>
              <w:t>序号</w:t>
            </w:r>
          </w:p>
        </w:tc>
        <w:tc>
          <w:tcPr>
            <w:tcW w:w="3827" w:type="dxa"/>
            <w:vAlign w:val="center"/>
          </w:tcPr>
          <w:p w:rsidR="003F13AB" w:rsidRDefault="00EC6E7E">
            <w:pPr>
              <w:adjustRightInd/>
              <w:snapToGrid/>
              <w:spacing w:line="240" w:lineRule="auto"/>
              <w:ind w:firstLineChars="0" w:firstLine="0"/>
              <w:jc w:val="center"/>
              <w:rPr>
                <w:b/>
                <w:bCs/>
                <w:color w:val="auto"/>
                <w:sz w:val="21"/>
                <w:szCs w:val="21"/>
                <w:lang w:val="zh-CN"/>
              </w:rPr>
            </w:pPr>
            <w:r>
              <w:rPr>
                <w:b/>
                <w:bCs/>
                <w:color w:val="auto"/>
                <w:sz w:val="21"/>
                <w:szCs w:val="21"/>
                <w:lang w:val="zh-CN"/>
              </w:rPr>
              <w:t>名称</w:t>
            </w:r>
          </w:p>
        </w:tc>
        <w:tc>
          <w:tcPr>
            <w:tcW w:w="2410" w:type="dxa"/>
            <w:vAlign w:val="center"/>
          </w:tcPr>
          <w:p w:rsidR="003F13AB" w:rsidRDefault="00EC6E7E">
            <w:pPr>
              <w:adjustRightInd/>
              <w:snapToGrid/>
              <w:spacing w:line="240" w:lineRule="auto"/>
              <w:ind w:firstLineChars="0" w:firstLine="0"/>
              <w:jc w:val="center"/>
              <w:rPr>
                <w:b/>
                <w:bCs/>
                <w:color w:val="auto"/>
                <w:sz w:val="21"/>
                <w:szCs w:val="21"/>
                <w:lang w:val="zh-CN"/>
              </w:rPr>
            </w:pPr>
            <w:r>
              <w:rPr>
                <w:b/>
                <w:bCs/>
                <w:color w:val="auto"/>
                <w:sz w:val="21"/>
                <w:szCs w:val="21"/>
                <w:lang w:val="zh-CN"/>
              </w:rPr>
              <w:t>责任人</w:t>
            </w:r>
          </w:p>
        </w:tc>
        <w:tc>
          <w:tcPr>
            <w:tcW w:w="1276" w:type="dxa"/>
            <w:vAlign w:val="center"/>
          </w:tcPr>
          <w:p w:rsidR="003F13AB" w:rsidRDefault="00EC6E7E">
            <w:pPr>
              <w:adjustRightInd/>
              <w:snapToGrid/>
              <w:spacing w:line="240" w:lineRule="auto"/>
              <w:ind w:firstLineChars="0" w:firstLine="0"/>
              <w:jc w:val="center"/>
              <w:rPr>
                <w:b/>
                <w:bCs/>
                <w:color w:val="auto"/>
                <w:sz w:val="21"/>
                <w:szCs w:val="21"/>
                <w:lang w:val="zh-CN"/>
              </w:rPr>
            </w:pPr>
            <w:r>
              <w:rPr>
                <w:b/>
                <w:bCs/>
                <w:color w:val="auto"/>
                <w:sz w:val="21"/>
                <w:szCs w:val="21"/>
                <w:lang w:val="zh-CN"/>
              </w:rPr>
              <w:t>落实情况</w:t>
            </w:r>
          </w:p>
        </w:tc>
        <w:tc>
          <w:tcPr>
            <w:tcW w:w="849" w:type="dxa"/>
            <w:vAlign w:val="center"/>
          </w:tcPr>
          <w:p w:rsidR="003F13AB" w:rsidRDefault="00EC6E7E">
            <w:pPr>
              <w:adjustRightInd/>
              <w:snapToGrid/>
              <w:spacing w:line="240" w:lineRule="auto"/>
              <w:ind w:firstLineChars="0" w:firstLine="0"/>
              <w:jc w:val="center"/>
              <w:rPr>
                <w:b/>
                <w:bCs/>
                <w:color w:val="auto"/>
                <w:sz w:val="21"/>
                <w:szCs w:val="21"/>
                <w:lang w:val="zh-CN"/>
              </w:rPr>
            </w:pPr>
            <w:r>
              <w:rPr>
                <w:b/>
                <w:bCs/>
                <w:color w:val="auto"/>
                <w:sz w:val="21"/>
                <w:szCs w:val="21"/>
                <w:lang w:val="zh-CN"/>
              </w:rPr>
              <w:t>备</w:t>
            </w:r>
            <w:r>
              <w:rPr>
                <w:b/>
                <w:bCs/>
                <w:color w:val="auto"/>
                <w:sz w:val="21"/>
                <w:szCs w:val="21"/>
                <w:lang w:val="zh-CN"/>
              </w:rPr>
              <w:t xml:space="preserve"> </w:t>
            </w:r>
            <w:r>
              <w:rPr>
                <w:b/>
                <w:bCs/>
                <w:color w:val="auto"/>
                <w:sz w:val="21"/>
                <w:szCs w:val="21"/>
                <w:lang w:val="zh-CN"/>
              </w:rPr>
              <w:t>注</w:t>
            </w:r>
          </w:p>
        </w:tc>
      </w:tr>
      <w:tr w:rsidR="003F13AB">
        <w:trPr>
          <w:trHeight w:val="340"/>
          <w:tblHeader/>
          <w:jc w:val="center"/>
        </w:trPr>
        <w:tc>
          <w:tcPr>
            <w:tcW w:w="710" w:type="dxa"/>
            <w:vAlign w:val="center"/>
          </w:tcPr>
          <w:p w:rsidR="003F13AB" w:rsidRDefault="003F13AB">
            <w:pPr>
              <w:pStyle w:val="afa"/>
              <w:numPr>
                <w:ilvl w:val="0"/>
                <w:numId w:val="3"/>
              </w:numPr>
              <w:adjustRightInd/>
              <w:snapToGrid/>
              <w:spacing w:line="240" w:lineRule="auto"/>
              <w:ind w:left="0" w:firstLineChars="0" w:firstLine="0"/>
              <w:jc w:val="center"/>
              <w:rPr>
                <w:color w:val="auto"/>
                <w:sz w:val="21"/>
                <w:szCs w:val="21"/>
                <w:lang w:val="zh-CN"/>
              </w:rPr>
            </w:pPr>
          </w:p>
        </w:tc>
        <w:tc>
          <w:tcPr>
            <w:tcW w:w="3827" w:type="dxa"/>
            <w:vAlign w:val="center"/>
          </w:tcPr>
          <w:p w:rsidR="003F13AB" w:rsidRDefault="00EC6E7E">
            <w:pPr>
              <w:adjustRightInd/>
              <w:snapToGrid/>
              <w:spacing w:line="240" w:lineRule="auto"/>
              <w:ind w:firstLineChars="0" w:firstLine="0"/>
              <w:jc w:val="left"/>
              <w:rPr>
                <w:color w:val="auto"/>
                <w:sz w:val="21"/>
                <w:szCs w:val="21"/>
                <w:lang w:val="zh-CN"/>
              </w:rPr>
            </w:pPr>
            <w:r>
              <w:rPr>
                <w:rFonts w:hint="eastAsia"/>
                <w:color w:val="auto"/>
                <w:sz w:val="21"/>
                <w:szCs w:val="21"/>
                <w:lang w:val="zh-CN"/>
              </w:rPr>
              <w:tab/>
            </w:r>
            <w:r>
              <w:rPr>
                <w:rFonts w:hint="eastAsia"/>
                <w:color w:val="auto"/>
                <w:sz w:val="21"/>
                <w:szCs w:val="21"/>
                <w:lang w:val="zh-CN"/>
              </w:rPr>
              <w:t>总经理安全生产责任制</w:t>
            </w:r>
          </w:p>
        </w:tc>
        <w:tc>
          <w:tcPr>
            <w:tcW w:w="2410" w:type="dxa"/>
            <w:vAlign w:val="center"/>
          </w:tcPr>
          <w:p w:rsidR="003F13AB" w:rsidRDefault="00EC6E7E">
            <w:pPr>
              <w:adjustRightInd/>
              <w:snapToGrid/>
              <w:spacing w:line="240" w:lineRule="auto"/>
              <w:ind w:firstLineChars="0" w:firstLine="0"/>
              <w:jc w:val="center"/>
              <w:rPr>
                <w:color w:val="auto"/>
                <w:sz w:val="21"/>
                <w:szCs w:val="21"/>
                <w:lang w:val="zh-CN"/>
              </w:rPr>
            </w:pPr>
            <w:r>
              <w:rPr>
                <w:rFonts w:hint="eastAsia"/>
                <w:color w:val="auto"/>
                <w:sz w:val="21"/>
                <w:szCs w:val="21"/>
                <w:lang w:val="zh-CN"/>
              </w:rPr>
              <w:t>总经理</w:t>
            </w:r>
          </w:p>
        </w:tc>
        <w:tc>
          <w:tcPr>
            <w:tcW w:w="1276" w:type="dxa"/>
            <w:vAlign w:val="center"/>
          </w:tcPr>
          <w:p w:rsidR="003F13AB" w:rsidRDefault="00EC6E7E">
            <w:pPr>
              <w:adjustRightInd/>
              <w:snapToGrid/>
              <w:spacing w:line="240" w:lineRule="auto"/>
              <w:ind w:firstLineChars="0" w:firstLine="0"/>
              <w:jc w:val="center"/>
              <w:rPr>
                <w:color w:val="auto"/>
                <w:sz w:val="21"/>
                <w:szCs w:val="21"/>
                <w:lang w:val="zh-CN"/>
              </w:rPr>
            </w:pPr>
            <w:r>
              <w:rPr>
                <w:color w:val="auto"/>
                <w:sz w:val="21"/>
                <w:szCs w:val="21"/>
                <w:lang w:val="zh-CN"/>
              </w:rPr>
              <w:t>已得到落实</w:t>
            </w:r>
          </w:p>
        </w:tc>
        <w:tc>
          <w:tcPr>
            <w:tcW w:w="849" w:type="dxa"/>
            <w:vAlign w:val="center"/>
          </w:tcPr>
          <w:p w:rsidR="003F13AB" w:rsidRDefault="003F13AB">
            <w:pPr>
              <w:adjustRightInd/>
              <w:snapToGrid/>
              <w:spacing w:line="240" w:lineRule="auto"/>
              <w:ind w:firstLineChars="0" w:firstLine="0"/>
              <w:jc w:val="center"/>
              <w:rPr>
                <w:color w:val="auto"/>
                <w:sz w:val="21"/>
                <w:szCs w:val="21"/>
                <w:lang w:val="zh-CN"/>
              </w:rPr>
            </w:pPr>
          </w:p>
        </w:tc>
      </w:tr>
      <w:tr w:rsidR="003F13AB">
        <w:trPr>
          <w:trHeight w:val="340"/>
          <w:tblHeader/>
          <w:jc w:val="center"/>
        </w:trPr>
        <w:tc>
          <w:tcPr>
            <w:tcW w:w="710" w:type="dxa"/>
            <w:vAlign w:val="center"/>
          </w:tcPr>
          <w:p w:rsidR="003F13AB" w:rsidRDefault="003F13AB">
            <w:pPr>
              <w:pStyle w:val="afa"/>
              <w:numPr>
                <w:ilvl w:val="0"/>
                <w:numId w:val="3"/>
              </w:numPr>
              <w:adjustRightInd/>
              <w:snapToGrid/>
              <w:spacing w:line="240" w:lineRule="auto"/>
              <w:ind w:left="0" w:firstLineChars="0" w:firstLine="0"/>
              <w:jc w:val="center"/>
              <w:rPr>
                <w:color w:val="auto"/>
                <w:sz w:val="21"/>
                <w:szCs w:val="21"/>
                <w:lang w:val="zh-CN"/>
              </w:rPr>
            </w:pPr>
          </w:p>
        </w:tc>
        <w:tc>
          <w:tcPr>
            <w:tcW w:w="3827" w:type="dxa"/>
            <w:vAlign w:val="center"/>
          </w:tcPr>
          <w:p w:rsidR="003F13AB" w:rsidRDefault="00EC6E7E">
            <w:pPr>
              <w:adjustRightInd/>
              <w:snapToGrid/>
              <w:spacing w:line="240" w:lineRule="auto"/>
              <w:ind w:firstLineChars="0" w:firstLine="0"/>
              <w:jc w:val="left"/>
              <w:rPr>
                <w:color w:val="auto"/>
                <w:sz w:val="21"/>
                <w:szCs w:val="21"/>
                <w:lang w:val="zh-CN"/>
              </w:rPr>
            </w:pPr>
            <w:r>
              <w:rPr>
                <w:rFonts w:hint="eastAsia"/>
                <w:color w:val="auto"/>
                <w:sz w:val="21"/>
                <w:szCs w:val="21"/>
                <w:lang w:val="zh-CN"/>
              </w:rPr>
              <w:t>安全部主管安全生产责任制</w:t>
            </w:r>
          </w:p>
        </w:tc>
        <w:tc>
          <w:tcPr>
            <w:tcW w:w="2410" w:type="dxa"/>
            <w:vAlign w:val="center"/>
          </w:tcPr>
          <w:p w:rsidR="003F13AB" w:rsidRDefault="00EC6E7E">
            <w:pPr>
              <w:adjustRightInd/>
              <w:snapToGrid/>
              <w:spacing w:line="240" w:lineRule="auto"/>
              <w:ind w:firstLineChars="0" w:firstLine="0"/>
              <w:jc w:val="center"/>
              <w:rPr>
                <w:color w:val="auto"/>
                <w:sz w:val="21"/>
                <w:szCs w:val="21"/>
                <w:lang w:val="zh-CN"/>
              </w:rPr>
            </w:pPr>
            <w:r>
              <w:rPr>
                <w:rFonts w:hint="eastAsia"/>
                <w:color w:val="auto"/>
                <w:sz w:val="21"/>
                <w:szCs w:val="21"/>
                <w:lang w:val="zh-CN"/>
              </w:rPr>
              <w:t>安全部主管</w:t>
            </w:r>
          </w:p>
        </w:tc>
        <w:tc>
          <w:tcPr>
            <w:tcW w:w="1276" w:type="dxa"/>
            <w:vAlign w:val="center"/>
          </w:tcPr>
          <w:p w:rsidR="003F13AB" w:rsidRDefault="00EC6E7E">
            <w:pPr>
              <w:adjustRightInd/>
              <w:snapToGrid/>
              <w:spacing w:line="240" w:lineRule="auto"/>
              <w:ind w:firstLineChars="0" w:firstLine="0"/>
              <w:jc w:val="center"/>
              <w:rPr>
                <w:color w:val="auto"/>
                <w:sz w:val="21"/>
                <w:szCs w:val="21"/>
                <w:lang w:val="zh-CN"/>
              </w:rPr>
            </w:pPr>
            <w:r>
              <w:rPr>
                <w:color w:val="auto"/>
                <w:sz w:val="21"/>
                <w:szCs w:val="21"/>
                <w:lang w:val="zh-CN"/>
              </w:rPr>
              <w:t>已得到落实</w:t>
            </w:r>
          </w:p>
        </w:tc>
        <w:tc>
          <w:tcPr>
            <w:tcW w:w="849" w:type="dxa"/>
            <w:vAlign w:val="center"/>
          </w:tcPr>
          <w:p w:rsidR="003F13AB" w:rsidRDefault="003F13AB">
            <w:pPr>
              <w:adjustRightInd/>
              <w:snapToGrid/>
              <w:spacing w:line="240" w:lineRule="auto"/>
              <w:ind w:firstLineChars="0" w:firstLine="0"/>
              <w:jc w:val="center"/>
              <w:rPr>
                <w:color w:val="auto"/>
                <w:sz w:val="21"/>
                <w:szCs w:val="21"/>
                <w:lang w:val="zh-CN"/>
              </w:rPr>
            </w:pPr>
          </w:p>
        </w:tc>
      </w:tr>
      <w:tr w:rsidR="003F13AB">
        <w:trPr>
          <w:trHeight w:val="340"/>
          <w:tblHeader/>
          <w:jc w:val="center"/>
        </w:trPr>
        <w:tc>
          <w:tcPr>
            <w:tcW w:w="710" w:type="dxa"/>
            <w:vAlign w:val="center"/>
          </w:tcPr>
          <w:p w:rsidR="003F13AB" w:rsidRDefault="003F13AB">
            <w:pPr>
              <w:pStyle w:val="afa"/>
              <w:numPr>
                <w:ilvl w:val="0"/>
                <w:numId w:val="3"/>
              </w:numPr>
              <w:adjustRightInd/>
              <w:snapToGrid/>
              <w:spacing w:line="240" w:lineRule="auto"/>
              <w:ind w:left="0" w:firstLineChars="0" w:firstLine="0"/>
              <w:jc w:val="center"/>
              <w:rPr>
                <w:color w:val="auto"/>
                <w:sz w:val="21"/>
                <w:szCs w:val="21"/>
                <w:lang w:val="zh-CN"/>
              </w:rPr>
            </w:pPr>
          </w:p>
        </w:tc>
        <w:tc>
          <w:tcPr>
            <w:tcW w:w="3827" w:type="dxa"/>
            <w:vAlign w:val="center"/>
          </w:tcPr>
          <w:p w:rsidR="003F13AB" w:rsidRDefault="00EC6E7E">
            <w:pPr>
              <w:adjustRightInd/>
              <w:snapToGrid/>
              <w:spacing w:line="240" w:lineRule="auto"/>
              <w:ind w:firstLineChars="0" w:firstLine="0"/>
              <w:jc w:val="left"/>
              <w:rPr>
                <w:color w:val="auto"/>
                <w:sz w:val="21"/>
                <w:szCs w:val="21"/>
                <w:lang w:val="zh-CN"/>
              </w:rPr>
            </w:pPr>
            <w:r>
              <w:rPr>
                <w:rFonts w:hint="eastAsia"/>
                <w:color w:val="auto"/>
                <w:sz w:val="21"/>
                <w:szCs w:val="21"/>
                <w:lang w:val="zh-CN"/>
              </w:rPr>
              <w:t>厂长安全生产责任制</w:t>
            </w:r>
          </w:p>
        </w:tc>
        <w:tc>
          <w:tcPr>
            <w:tcW w:w="2410" w:type="dxa"/>
            <w:vAlign w:val="center"/>
          </w:tcPr>
          <w:p w:rsidR="003F13AB" w:rsidRDefault="00EC6E7E">
            <w:pPr>
              <w:adjustRightInd/>
              <w:snapToGrid/>
              <w:spacing w:line="240" w:lineRule="auto"/>
              <w:ind w:firstLineChars="0" w:firstLine="0"/>
              <w:jc w:val="center"/>
              <w:rPr>
                <w:color w:val="auto"/>
                <w:sz w:val="21"/>
                <w:szCs w:val="21"/>
                <w:lang w:val="zh-CN"/>
              </w:rPr>
            </w:pPr>
            <w:r>
              <w:rPr>
                <w:rFonts w:hint="eastAsia"/>
                <w:color w:val="auto"/>
                <w:sz w:val="21"/>
                <w:szCs w:val="21"/>
                <w:lang w:val="zh-CN"/>
              </w:rPr>
              <w:t>厂长</w:t>
            </w:r>
          </w:p>
        </w:tc>
        <w:tc>
          <w:tcPr>
            <w:tcW w:w="1276" w:type="dxa"/>
            <w:vAlign w:val="center"/>
          </w:tcPr>
          <w:p w:rsidR="003F13AB" w:rsidRDefault="00EC6E7E">
            <w:pPr>
              <w:adjustRightInd/>
              <w:snapToGrid/>
              <w:spacing w:line="240" w:lineRule="auto"/>
              <w:ind w:firstLineChars="0" w:firstLine="0"/>
              <w:jc w:val="center"/>
              <w:rPr>
                <w:color w:val="auto"/>
                <w:sz w:val="21"/>
                <w:szCs w:val="21"/>
                <w:lang w:val="zh-CN"/>
              </w:rPr>
            </w:pPr>
            <w:r>
              <w:rPr>
                <w:color w:val="auto"/>
                <w:sz w:val="21"/>
                <w:szCs w:val="21"/>
                <w:lang w:val="zh-CN"/>
              </w:rPr>
              <w:t>已得到落实</w:t>
            </w:r>
          </w:p>
        </w:tc>
        <w:tc>
          <w:tcPr>
            <w:tcW w:w="849" w:type="dxa"/>
            <w:vAlign w:val="center"/>
          </w:tcPr>
          <w:p w:rsidR="003F13AB" w:rsidRDefault="003F13AB">
            <w:pPr>
              <w:adjustRightInd/>
              <w:snapToGrid/>
              <w:spacing w:line="240" w:lineRule="auto"/>
              <w:ind w:firstLineChars="0" w:firstLine="0"/>
              <w:jc w:val="center"/>
              <w:rPr>
                <w:color w:val="auto"/>
                <w:sz w:val="21"/>
                <w:szCs w:val="21"/>
                <w:lang w:val="zh-CN"/>
              </w:rPr>
            </w:pPr>
          </w:p>
        </w:tc>
      </w:tr>
      <w:tr w:rsidR="003F13AB">
        <w:trPr>
          <w:trHeight w:val="340"/>
          <w:tblHeader/>
          <w:jc w:val="center"/>
        </w:trPr>
        <w:tc>
          <w:tcPr>
            <w:tcW w:w="710" w:type="dxa"/>
            <w:vAlign w:val="center"/>
          </w:tcPr>
          <w:p w:rsidR="003F13AB" w:rsidRDefault="003F13AB">
            <w:pPr>
              <w:pStyle w:val="afa"/>
              <w:numPr>
                <w:ilvl w:val="0"/>
                <w:numId w:val="3"/>
              </w:numPr>
              <w:adjustRightInd/>
              <w:snapToGrid/>
              <w:spacing w:line="240" w:lineRule="auto"/>
              <w:ind w:left="0" w:firstLineChars="0" w:firstLine="0"/>
              <w:jc w:val="center"/>
              <w:rPr>
                <w:color w:val="auto"/>
                <w:sz w:val="21"/>
                <w:szCs w:val="21"/>
                <w:lang w:val="zh-CN"/>
              </w:rPr>
            </w:pPr>
          </w:p>
        </w:tc>
        <w:tc>
          <w:tcPr>
            <w:tcW w:w="3827" w:type="dxa"/>
            <w:vAlign w:val="center"/>
          </w:tcPr>
          <w:p w:rsidR="003F13AB" w:rsidRDefault="00EC6E7E">
            <w:pPr>
              <w:adjustRightInd/>
              <w:snapToGrid/>
              <w:spacing w:line="240" w:lineRule="auto"/>
              <w:ind w:firstLineChars="0" w:firstLine="0"/>
              <w:jc w:val="left"/>
              <w:rPr>
                <w:color w:val="auto"/>
                <w:sz w:val="21"/>
                <w:szCs w:val="21"/>
                <w:lang w:val="zh-CN"/>
              </w:rPr>
            </w:pPr>
            <w:r>
              <w:rPr>
                <w:rFonts w:hint="eastAsia"/>
                <w:color w:val="auto"/>
                <w:sz w:val="21"/>
                <w:szCs w:val="21"/>
                <w:lang w:val="zh-CN"/>
              </w:rPr>
              <w:t>行政部主任安全生产责任制</w:t>
            </w:r>
            <w:r>
              <w:rPr>
                <w:rFonts w:hint="eastAsia"/>
                <w:color w:val="auto"/>
                <w:sz w:val="21"/>
                <w:szCs w:val="21"/>
                <w:lang w:val="zh-CN"/>
              </w:rPr>
              <w:tab/>
            </w:r>
          </w:p>
        </w:tc>
        <w:tc>
          <w:tcPr>
            <w:tcW w:w="2410" w:type="dxa"/>
            <w:vAlign w:val="center"/>
          </w:tcPr>
          <w:p w:rsidR="003F13AB" w:rsidRDefault="00EC6E7E">
            <w:pPr>
              <w:adjustRightInd/>
              <w:snapToGrid/>
              <w:spacing w:line="240" w:lineRule="auto"/>
              <w:ind w:firstLineChars="0" w:firstLine="0"/>
              <w:jc w:val="center"/>
              <w:rPr>
                <w:color w:val="auto"/>
                <w:sz w:val="21"/>
                <w:szCs w:val="21"/>
                <w:lang w:val="zh-CN"/>
              </w:rPr>
            </w:pPr>
            <w:r>
              <w:rPr>
                <w:rFonts w:hint="eastAsia"/>
                <w:color w:val="auto"/>
                <w:sz w:val="21"/>
                <w:szCs w:val="21"/>
                <w:lang w:val="zh-CN"/>
              </w:rPr>
              <w:t>行政部主任</w:t>
            </w:r>
          </w:p>
        </w:tc>
        <w:tc>
          <w:tcPr>
            <w:tcW w:w="1276" w:type="dxa"/>
            <w:vAlign w:val="center"/>
          </w:tcPr>
          <w:p w:rsidR="003F13AB" w:rsidRDefault="00EC6E7E">
            <w:pPr>
              <w:adjustRightInd/>
              <w:snapToGrid/>
              <w:spacing w:line="240" w:lineRule="auto"/>
              <w:ind w:firstLineChars="0" w:firstLine="0"/>
              <w:jc w:val="center"/>
              <w:rPr>
                <w:color w:val="auto"/>
                <w:sz w:val="21"/>
                <w:szCs w:val="21"/>
                <w:lang w:val="zh-CN"/>
              </w:rPr>
            </w:pPr>
            <w:r>
              <w:rPr>
                <w:color w:val="auto"/>
                <w:sz w:val="21"/>
                <w:szCs w:val="21"/>
                <w:lang w:val="zh-CN"/>
              </w:rPr>
              <w:t>已得到落实</w:t>
            </w:r>
          </w:p>
        </w:tc>
        <w:tc>
          <w:tcPr>
            <w:tcW w:w="849" w:type="dxa"/>
            <w:vAlign w:val="center"/>
          </w:tcPr>
          <w:p w:rsidR="003F13AB" w:rsidRDefault="003F13AB">
            <w:pPr>
              <w:adjustRightInd/>
              <w:snapToGrid/>
              <w:spacing w:line="240" w:lineRule="auto"/>
              <w:ind w:firstLineChars="0" w:firstLine="0"/>
              <w:jc w:val="center"/>
              <w:rPr>
                <w:color w:val="auto"/>
                <w:sz w:val="21"/>
                <w:szCs w:val="21"/>
                <w:lang w:val="zh-CN"/>
              </w:rPr>
            </w:pPr>
          </w:p>
        </w:tc>
      </w:tr>
      <w:tr w:rsidR="003F13AB">
        <w:trPr>
          <w:trHeight w:val="340"/>
          <w:tblHeader/>
          <w:jc w:val="center"/>
        </w:trPr>
        <w:tc>
          <w:tcPr>
            <w:tcW w:w="710" w:type="dxa"/>
            <w:vAlign w:val="center"/>
          </w:tcPr>
          <w:p w:rsidR="003F13AB" w:rsidRDefault="003F13AB">
            <w:pPr>
              <w:pStyle w:val="afa"/>
              <w:numPr>
                <w:ilvl w:val="0"/>
                <w:numId w:val="3"/>
              </w:numPr>
              <w:adjustRightInd/>
              <w:snapToGrid/>
              <w:spacing w:line="240" w:lineRule="auto"/>
              <w:ind w:left="0" w:firstLineChars="0" w:firstLine="0"/>
              <w:jc w:val="center"/>
              <w:rPr>
                <w:color w:val="auto"/>
                <w:sz w:val="21"/>
                <w:szCs w:val="21"/>
                <w:lang w:val="zh-CN"/>
              </w:rPr>
            </w:pPr>
          </w:p>
        </w:tc>
        <w:tc>
          <w:tcPr>
            <w:tcW w:w="3827" w:type="dxa"/>
            <w:vAlign w:val="center"/>
          </w:tcPr>
          <w:p w:rsidR="003F13AB" w:rsidRDefault="00EC6E7E">
            <w:pPr>
              <w:adjustRightInd/>
              <w:snapToGrid/>
              <w:spacing w:line="240" w:lineRule="auto"/>
              <w:ind w:firstLineChars="0" w:firstLine="0"/>
              <w:jc w:val="left"/>
              <w:rPr>
                <w:color w:val="auto"/>
                <w:sz w:val="21"/>
                <w:szCs w:val="21"/>
                <w:lang w:val="zh-CN"/>
              </w:rPr>
            </w:pPr>
            <w:r>
              <w:rPr>
                <w:rFonts w:hint="eastAsia"/>
                <w:color w:val="auto"/>
                <w:sz w:val="21"/>
                <w:szCs w:val="21"/>
                <w:lang w:val="zh-CN"/>
              </w:rPr>
              <w:t>设备部主任安全生产责任制</w:t>
            </w:r>
          </w:p>
        </w:tc>
        <w:tc>
          <w:tcPr>
            <w:tcW w:w="2410" w:type="dxa"/>
            <w:vAlign w:val="center"/>
          </w:tcPr>
          <w:p w:rsidR="003F13AB" w:rsidRDefault="00EC6E7E">
            <w:pPr>
              <w:adjustRightInd/>
              <w:snapToGrid/>
              <w:spacing w:line="240" w:lineRule="auto"/>
              <w:ind w:firstLineChars="0" w:firstLine="0"/>
              <w:jc w:val="center"/>
              <w:rPr>
                <w:color w:val="auto"/>
                <w:sz w:val="21"/>
                <w:szCs w:val="21"/>
                <w:lang w:val="zh-CN"/>
              </w:rPr>
            </w:pPr>
            <w:r>
              <w:rPr>
                <w:rFonts w:hint="eastAsia"/>
                <w:color w:val="auto"/>
                <w:sz w:val="21"/>
                <w:szCs w:val="21"/>
                <w:lang w:val="zh-CN"/>
              </w:rPr>
              <w:t>设备部主任</w:t>
            </w:r>
          </w:p>
        </w:tc>
        <w:tc>
          <w:tcPr>
            <w:tcW w:w="1276" w:type="dxa"/>
            <w:vAlign w:val="center"/>
          </w:tcPr>
          <w:p w:rsidR="003F13AB" w:rsidRDefault="00EC6E7E">
            <w:pPr>
              <w:adjustRightInd/>
              <w:snapToGrid/>
              <w:spacing w:line="240" w:lineRule="auto"/>
              <w:ind w:firstLineChars="0" w:firstLine="0"/>
              <w:jc w:val="center"/>
              <w:rPr>
                <w:color w:val="auto"/>
                <w:sz w:val="21"/>
                <w:szCs w:val="21"/>
                <w:lang w:val="zh-CN"/>
              </w:rPr>
            </w:pPr>
            <w:r>
              <w:rPr>
                <w:color w:val="auto"/>
                <w:sz w:val="21"/>
                <w:szCs w:val="21"/>
                <w:lang w:val="zh-CN"/>
              </w:rPr>
              <w:t>已得到落实</w:t>
            </w:r>
          </w:p>
        </w:tc>
        <w:tc>
          <w:tcPr>
            <w:tcW w:w="849" w:type="dxa"/>
            <w:vAlign w:val="center"/>
          </w:tcPr>
          <w:p w:rsidR="003F13AB" w:rsidRDefault="003F13AB">
            <w:pPr>
              <w:adjustRightInd/>
              <w:snapToGrid/>
              <w:spacing w:line="240" w:lineRule="auto"/>
              <w:ind w:firstLineChars="0" w:firstLine="0"/>
              <w:jc w:val="center"/>
              <w:rPr>
                <w:color w:val="auto"/>
                <w:sz w:val="21"/>
                <w:szCs w:val="21"/>
                <w:lang w:val="zh-CN"/>
              </w:rPr>
            </w:pPr>
          </w:p>
        </w:tc>
      </w:tr>
      <w:tr w:rsidR="003F13AB">
        <w:trPr>
          <w:trHeight w:val="340"/>
          <w:tblHeader/>
          <w:jc w:val="center"/>
        </w:trPr>
        <w:tc>
          <w:tcPr>
            <w:tcW w:w="710" w:type="dxa"/>
            <w:vAlign w:val="center"/>
          </w:tcPr>
          <w:p w:rsidR="003F13AB" w:rsidRDefault="003F13AB">
            <w:pPr>
              <w:pStyle w:val="afa"/>
              <w:numPr>
                <w:ilvl w:val="0"/>
                <w:numId w:val="3"/>
              </w:numPr>
              <w:adjustRightInd/>
              <w:snapToGrid/>
              <w:spacing w:line="240" w:lineRule="auto"/>
              <w:ind w:left="0" w:firstLineChars="0" w:firstLine="0"/>
              <w:jc w:val="center"/>
              <w:rPr>
                <w:color w:val="auto"/>
                <w:sz w:val="21"/>
                <w:szCs w:val="21"/>
                <w:lang w:val="zh-CN"/>
              </w:rPr>
            </w:pPr>
          </w:p>
        </w:tc>
        <w:tc>
          <w:tcPr>
            <w:tcW w:w="3827" w:type="dxa"/>
            <w:vAlign w:val="center"/>
          </w:tcPr>
          <w:p w:rsidR="003F13AB" w:rsidRDefault="00EC6E7E">
            <w:pPr>
              <w:adjustRightInd/>
              <w:snapToGrid/>
              <w:spacing w:line="240" w:lineRule="auto"/>
              <w:ind w:firstLineChars="0" w:firstLine="0"/>
              <w:jc w:val="left"/>
              <w:rPr>
                <w:color w:val="auto"/>
                <w:sz w:val="21"/>
                <w:szCs w:val="21"/>
                <w:lang w:val="zh-CN"/>
              </w:rPr>
            </w:pPr>
            <w:r>
              <w:rPr>
                <w:rFonts w:hint="eastAsia"/>
                <w:color w:val="auto"/>
                <w:sz w:val="21"/>
                <w:szCs w:val="21"/>
                <w:lang w:val="zh-CN"/>
              </w:rPr>
              <w:t>储运部主任安全生产责任制</w:t>
            </w:r>
          </w:p>
        </w:tc>
        <w:tc>
          <w:tcPr>
            <w:tcW w:w="2410" w:type="dxa"/>
            <w:vAlign w:val="center"/>
          </w:tcPr>
          <w:p w:rsidR="003F13AB" w:rsidRDefault="00EC6E7E">
            <w:pPr>
              <w:adjustRightInd/>
              <w:snapToGrid/>
              <w:spacing w:line="240" w:lineRule="auto"/>
              <w:ind w:firstLineChars="0" w:firstLine="0"/>
              <w:jc w:val="center"/>
              <w:rPr>
                <w:color w:val="auto"/>
                <w:sz w:val="21"/>
                <w:szCs w:val="21"/>
                <w:lang w:val="zh-CN"/>
              </w:rPr>
            </w:pPr>
            <w:r>
              <w:rPr>
                <w:rFonts w:hint="eastAsia"/>
                <w:color w:val="auto"/>
                <w:sz w:val="21"/>
                <w:szCs w:val="21"/>
                <w:lang w:val="zh-CN"/>
              </w:rPr>
              <w:t>储运部主任</w:t>
            </w:r>
          </w:p>
        </w:tc>
        <w:tc>
          <w:tcPr>
            <w:tcW w:w="1276" w:type="dxa"/>
            <w:vAlign w:val="center"/>
          </w:tcPr>
          <w:p w:rsidR="003F13AB" w:rsidRDefault="00EC6E7E">
            <w:pPr>
              <w:adjustRightInd/>
              <w:snapToGrid/>
              <w:spacing w:line="240" w:lineRule="auto"/>
              <w:ind w:firstLineChars="0" w:firstLine="0"/>
              <w:jc w:val="center"/>
              <w:rPr>
                <w:color w:val="auto"/>
                <w:sz w:val="21"/>
                <w:szCs w:val="21"/>
                <w:lang w:val="zh-CN"/>
              </w:rPr>
            </w:pPr>
            <w:r>
              <w:rPr>
                <w:color w:val="auto"/>
                <w:sz w:val="21"/>
                <w:szCs w:val="21"/>
                <w:lang w:val="zh-CN"/>
              </w:rPr>
              <w:t>已得到落实</w:t>
            </w:r>
          </w:p>
        </w:tc>
        <w:tc>
          <w:tcPr>
            <w:tcW w:w="849" w:type="dxa"/>
            <w:vAlign w:val="center"/>
          </w:tcPr>
          <w:p w:rsidR="003F13AB" w:rsidRDefault="003F13AB">
            <w:pPr>
              <w:adjustRightInd/>
              <w:snapToGrid/>
              <w:spacing w:line="240" w:lineRule="auto"/>
              <w:ind w:firstLineChars="0" w:firstLine="0"/>
              <w:jc w:val="center"/>
              <w:rPr>
                <w:color w:val="auto"/>
                <w:sz w:val="21"/>
                <w:szCs w:val="21"/>
                <w:lang w:val="zh-CN"/>
              </w:rPr>
            </w:pPr>
          </w:p>
        </w:tc>
      </w:tr>
      <w:tr w:rsidR="003F13AB">
        <w:trPr>
          <w:trHeight w:val="340"/>
          <w:tblHeader/>
          <w:jc w:val="center"/>
        </w:trPr>
        <w:tc>
          <w:tcPr>
            <w:tcW w:w="710" w:type="dxa"/>
            <w:vAlign w:val="center"/>
          </w:tcPr>
          <w:p w:rsidR="003F13AB" w:rsidRDefault="003F13AB">
            <w:pPr>
              <w:pStyle w:val="afa"/>
              <w:numPr>
                <w:ilvl w:val="0"/>
                <w:numId w:val="3"/>
              </w:numPr>
              <w:adjustRightInd/>
              <w:snapToGrid/>
              <w:spacing w:line="240" w:lineRule="auto"/>
              <w:ind w:left="0" w:firstLineChars="0" w:firstLine="0"/>
              <w:jc w:val="center"/>
              <w:rPr>
                <w:color w:val="auto"/>
                <w:sz w:val="21"/>
                <w:szCs w:val="21"/>
                <w:lang w:val="zh-CN"/>
              </w:rPr>
            </w:pPr>
          </w:p>
        </w:tc>
        <w:tc>
          <w:tcPr>
            <w:tcW w:w="3827" w:type="dxa"/>
            <w:vAlign w:val="center"/>
          </w:tcPr>
          <w:p w:rsidR="003F13AB" w:rsidRDefault="00EC6E7E">
            <w:pPr>
              <w:adjustRightInd/>
              <w:snapToGrid/>
              <w:spacing w:line="240" w:lineRule="auto"/>
              <w:ind w:firstLineChars="0" w:firstLine="0"/>
              <w:jc w:val="left"/>
              <w:rPr>
                <w:color w:val="auto"/>
                <w:sz w:val="21"/>
                <w:szCs w:val="21"/>
                <w:lang w:val="zh-CN"/>
              </w:rPr>
            </w:pPr>
            <w:r>
              <w:rPr>
                <w:rFonts w:hint="eastAsia"/>
                <w:color w:val="auto"/>
                <w:sz w:val="21"/>
                <w:szCs w:val="21"/>
                <w:lang w:val="zh-CN"/>
              </w:rPr>
              <w:t>门卫安全生产责任制</w:t>
            </w:r>
          </w:p>
        </w:tc>
        <w:tc>
          <w:tcPr>
            <w:tcW w:w="2410" w:type="dxa"/>
            <w:vAlign w:val="center"/>
          </w:tcPr>
          <w:p w:rsidR="003F13AB" w:rsidRDefault="00EC6E7E">
            <w:pPr>
              <w:adjustRightInd/>
              <w:snapToGrid/>
              <w:spacing w:line="240" w:lineRule="auto"/>
              <w:ind w:firstLineChars="0" w:firstLine="0"/>
              <w:jc w:val="center"/>
              <w:rPr>
                <w:color w:val="auto"/>
                <w:sz w:val="21"/>
                <w:szCs w:val="21"/>
                <w:lang w:val="zh-CN"/>
              </w:rPr>
            </w:pPr>
            <w:r>
              <w:rPr>
                <w:rFonts w:hint="eastAsia"/>
                <w:color w:val="auto"/>
                <w:sz w:val="21"/>
                <w:szCs w:val="21"/>
                <w:lang w:val="zh-CN"/>
              </w:rPr>
              <w:t>门卫</w:t>
            </w:r>
          </w:p>
        </w:tc>
        <w:tc>
          <w:tcPr>
            <w:tcW w:w="1276" w:type="dxa"/>
            <w:vAlign w:val="center"/>
          </w:tcPr>
          <w:p w:rsidR="003F13AB" w:rsidRDefault="00EC6E7E">
            <w:pPr>
              <w:adjustRightInd/>
              <w:snapToGrid/>
              <w:spacing w:line="240" w:lineRule="auto"/>
              <w:ind w:firstLineChars="0" w:firstLine="0"/>
              <w:jc w:val="center"/>
              <w:rPr>
                <w:color w:val="auto"/>
                <w:sz w:val="21"/>
                <w:szCs w:val="21"/>
                <w:lang w:val="zh-CN"/>
              </w:rPr>
            </w:pPr>
            <w:r>
              <w:rPr>
                <w:color w:val="auto"/>
                <w:sz w:val="21"/>
                <w:szCs w:val="21"/>
                <w:lang w:val="zh-CN"/>
              </w:rPr>
              <w:t>已得到落实</w:t>
            </w:r>
          </w:p>
        </w:tc>
        <w:tc>
          <w:tcPr>
            <w:tcW w:w="849" w:type="dxa"/>
            <w:vAlign w:val="center"/>
          </w:tcPr>
          <w:p w:rsidR="003F13AB" w:rsidRDefault="003F13AB">
            <w:pPr>
              <w:adjustRightInd/>
              <w:snapToGrid/>
              <w:spacing w:line="240" w:lineRule="auto"/>
              <w:ind w:firstLineChars="0" w:firstLine="0"/>
              <w:jc w:val="center"/>
              <w:rPr>
                <w:color w:val="auto"/>
                <w:sz w:val="21"/>
                <w:szCs w:val="21"/>
                <w:lang w:val="zh-CN"/>
              </w:rPr>
            </w:pPr>
          </w:p>
        </w:tc>
      </w:tr>
      <w:tr w:rsidR="003F13AB">
        <w:trPr>
          <w:trHeight w:val="340"/>
          <w:tblHeader/>
          <w:jc w:val="center"/>
        </w:trPr>
        <w:tc>
          <w:tcPr>
            <w:tcW w:w="710" w:type="dxa"/>
            <w:vAlign w:val="center"/>
          </w:tcPr>
          <w:p w:rsidR="003F13AB" w:rsidRDefault="003F13AB">
            <w:pPr>
              <w:pStyle w:val="afa"/>
              <w:numPr>
                <w:ilvl w:val="0"/>
                <w:numId w:val="3"/>
              </w:numPr>
              <w:adjustRightInd/>
              <w:snapToGrid/>
              <w:spacing w:line="240" w:lineRule="auto"/>
              <w:ind w:left="0" w:firstLineChars="0" w:firstLine="0"/>
              <w:jc w:val="center"/>
              <w:rPr>
                <w:color w:val="auto"/>
                <w:sz w:val="21"/>
                <w:szCs w:val="21"/>
                <w:lang w:val="zh-CN"/>
              </w:rPr>
            </w:pPr>
          </w:p>
        </w:tc>
        <w:tc>
          <w:tcPr>
            <w:tcW w:w="3827" w:type="dxa"/>
            <w:vAlign w:val="center"/>
          </w:tcPr>
          <w:p w:rsidR="003F13AB" w:rsidRDefault="00EC6E7E">
            <w:pPr>
              <w:adjustRightInd/>
              <w:snapToGrid/>
              <w:spacing w:line="240" w:lineRule="auto"/>
              <w:ind w:firstLineChars="0" w:firstLine="0"/>
              <w:jc w:val="left"/>
              <w:rPr>
                <w:color w:val="auto"/>
                <w:sz w:val="21"/>
                <w:szCs w:val="21"/>
                <w:lang w:val="zh-CN"/>
              </w:rPr>
            </w:pPr>
            <w:r>
              <w:rPr>
                <w:rFonts w:hint="eastAsia"/>
                <w:color w:val="auto"/>
                <w:sz w:val="21"/>
                <w:szCs w:val="21"/>
                <w:lang w:val="zh-CN"/>
              </w:rPr>
              <w:t>机修安全生产责任制</w:t>
            </w:r>
          </w:p>
        </w:tc>
        <w:tc>
          <w:tcPr>
            <w:tcW w:w="2410" w:type="dxa"/>
            <w:vAlign w:val="center"/>
          </w:tcPr>
          <w:p w:rsidR="003F13AB" w:rsidRDefault="00EC6E7E">
            <w:pPr>
              <w:adjustRightInd/>
              <w:snapToGrid/>
              <w:spacing w:line="240" w:lineRule="auto"/>
              <w:ind w:firstLineChars="0" w:firstLine="0"/>
              <w:jc w:val="center"/>
              <w:rPr>
                <w:color w:val="auto"/>
                <w:sz w:val="21"/>
                <w:szCs w:val="21"/>
                <w:lang w:val="zh-CN"/>
              </w:rPr>
            </w:pPr>
            <w:r>
              <w:rPr>
                <w:rFonts w:hint="eastAsia"/>
                <w:color w:val="auto"/>
                <w:sz w:val="21"/>
                <w:szCs w:val="21"/>
                <w:lang w:val="zh-CN"/>
              </w:rPr>
              <w:t>机修人员</w:t>
            </w:r>
          </w:p>
        </w:tc>
        <w:tc>
          <w:tcPr>
            <w:tcW w:w="1276" w:type="dxa"/>
            <w:vAlign w:val="center"/>
          </w:tcPr>
          <w:p w:rsidR="003F13AB" w:rsidRDefault="00EC6E7E">
            <w:pPr>
              <w:adjustRightInd/>
              <w:snapToGrid/>
              <w:spacing w:line="240" w:lineRule="auto"/>
              <w:ind w:firstLineChars="0" w:firstLine="0"/>
              <w:jc w:val="center"/>
              <w:rPr>
                <w:color w:val="auto"/>
                <w:sz w:val="21"/>
                <w:szCs w:val="21"/>
                <w:lang w:val="zh-CN"/>
              </w:rPr>
            </w:pPr>
            <w:r>
              <w:rPr>
                <w:color w:val="auto"/>
                <w:sz w:val="21"/>
                <w:szCs w:val="21"/>
                <w:lang w:val="zh-CN"/>
              </w:rPr>
              <w:t>已得到落实</w:t>
            </w:r>
          </w:p>
        </w:tc>
        <w:tc>
          <w:tcPr>
            <w:tcW w:w="849" w:type="dxa"/>
            <w:vAlign w:val="center"/>
          </w:tcPr>
          <w:p w:rsidR="003F13AB" w:rsidRDefault="003F13AB">
            <w:pPr>
              <w:adjustRightInd/>
              <w:snapToGrid/>
              <w:spacing w:line="240" w:lineRule="auto"/>
              <w:ind w:firstLineChars="0" w:firstLine="0"/>
              <w:jc w:val="center"/>
              <w:rPr>
                <w:color w:val="auto"/>
                <w:sz w:val="21"/>
                <w:szCs w:val="21"/>
                <w:lang w:val="zh-CN"/>
              </w:rPr>
            </w:pPr>
          </w:p>
        </w:tc>
      </w:tr>
      <w:tr w:rsidR="003F13AB">
        <w:trPr>
          <w:trHeight w:val="340"/>
          <w:tblHeader/>
          <w:jc w:val="center"/>
        </w:trPr>
        <w:tc>
          <w:tcPr>
            <w:tcW w:w="710" w:type="dxa"/>
            <w:vAlign w:val="center"/>
          </w:tcPr>
          <w:p w:rsidR="003F13AB" w:rsidRDefault="003F13AB">
            <w:pPr>
              <w:pStyle w:val="afa"/>
              <w:numPr>
                <w:ilvl w:val="0"/>
                <w:numId w:val="3"/>
              </w:numPr>
              <w:adjustRightInd/>
              <w:snapToGrid/>
              <w:spacing w:line="240" w:lineRule="auto"/>
              <w:ind w:left="0" w:firstLineChars="0" w:firstLine="0"/>
              <w:jc w:val="center"/>
              <w:rPr>
                <w:color w:val="auto"/>
                <w:sz w:val="21"/>
                <w:szCs w:val="21"/>
                <w:lang w:val="zh-CN"/>
              </w:rPr>
            </w:pPr>
          </w:p>
        </w:tc>
        <w:tc>
          <w:tcPr>
            <w:tcW w:w="3827" w:type="dxa"/>
            <w:vAlign w:val="center"/>
          </w:tcPr>
          <w:p w:rsidR="003F13AB" w:rsidRDefault="00EC6E7E">
            <w:pPr>
              <w:adjustRightInd/>
              <w:snapToGrid/>
              <w:spacing w:line="240" w:lineRule="auto"/>
              <w:ind w:firstLineChars="0" w:firstLine="0"/>
              <w:jc w:val="left"/>
              <w:rPr>
                <w:color w:val="auto"/>
                <w:sz w:val="21"/>
                <w:szCs w:val="21"/>
                <w:lang w:val="zh-CN"/>
              </w:rPr>
            </w:pPr>
            <w:r>
              <w:rPr>
                <w:rFonts w:hint="eastAsia"/>
                <w:color w:val="auto"/>
                <w:sz w:val="21"/>
                <w:szCs w:val="21"/>
                <w:lang w:val="zh-CN"/>
              </w:rPr>
              <w:t>安全员安全生产责任制</w:t>
            </w:r>
          </w:p>
        </w:tc>
        <w:tc>
          <w:tcPr>
            <w:tcW w:w="2410" w:type="dxa"/>
            <w:vAlign w:val="center"/>
          </w:tcPr>
          <w:p w:rsidR="003F13AB" w:rsidRDefault="00EC6E7E">
            <w:pPr>
              <w:adjustRightInd/>
              <w:snapToGrid/>
              <w:spacing w:line="240" w:lineRule="auto"/>
              <w:ind w:firstLineChars="0" w:firstLine="0"/>
              <w:jc w:val="center"/>
              <w:rPr>
                <w:color w:val="auto"/>
                <w:sz w:val="21"/>
                <w:szCs w:val="21"/>
                <w:lang w:val="zh-CN"/>
              </w:rPr>
            </w:pPr>
            <w:r>
              <w:rPr>
                <w:rFonts w:hint="eastAsia"/>
                <w:color w:val="auto"/>
                <w:sz w:val="21"/>
                <w:szCs w:val="21"/>
                <w:lang w:val="zh-CN"/>
              </w:rPr>
              <w:t>安全员</w:t>
            </w:r>
          </w:p>
        </w:tc>
        <w:tc>
          <w:tcPr>
            <w:tcW w:w="1276" w:type="dxa"/>
            <w:vAlign w:val="center"/>
          </w:tcPr>
          <w:p w:rsidR="003F13AB" w:rsidRDefault="00EC6E7E">
            <w:pPr>
              <w:adjustRightInd/>
              <w:snapToGrid/>
              <w:spacing w:line="240" w:lineRule="auto"/>
              <w:ind w:firstLineChars="0" w:firstLine="0"/>
              <w:jc w:val="center"/>
              <w:rPr>
                <w:color w:val="auto"/>
                <w:sz w:val="21"/>
                <w:szCs w:val="21"/>
                <w:lang w:val="zh-CN"/>
              </w:rPr>
            </w:pPr>
            <w:r>
              <w:rPr>
                <w:color w:val="auto"/>
                <w:sz w:val="21"/>
                <w:szCs w:val="21"/>
                <w:lang w:val="zh-CN"/>
              </w:rPr>
              <w:t>已得到落实</w:t>
            </w:r>
          </w:p>
        </w:tc>
        <w:tc>
          <w:tcPr>
            <w:tcW w:w="849" w:type="dxa"/>
            <w:vAlign w:val="center"/>
          </w:tcPr>
          <w:p w:rsidR="003F13AB" w:rsidRDefault="003F13AB">
            <w:pPr>
              <w:adjustRightInd/>
              <w:snapToGrid/>
              <w:spacing w:line="240" w:lineRule="auto"/>
              <w:ind w:firstLineChars="0" w:firstLine="0"/>
              <w:jc w:val="center"/>
              <w:rPr>
                <w:color w:val="auto"/>
                <w:sz w:val="21"/>
                <w:szCs w:val="21"/>
                <w:lang w:val="zh-CN"/>
              </w:rPr>
            </w:pPr>
          </w:p>
        </w:tc>
      </w:tr>
      <w:tr w:rsidR="003F13AB">
        <w:trPr>
          <w:trHeight w:val="340"/>
          <w:tblHeader/>
          <w:jc w:val="center"/>
        </w:trPr>
        <w:tc>
          <w:tcPr>
            <w:tcW w:w="710" w:type="dxa"/>
            <w:vAlign w:val="center"/>
          </w:tcPr>
          <w:p w:rsidR="003F13AB" w:rsidRDefault="003F13AB">
            <w:pPr>
              <w:pStyle w:val="afa"/>
              <w:numPr>
                <w:ilvl w:val="0"/>
                <w:numId w:val="3"/>
              </w:numPr>
              <w:adjustRightInd/>
              <w:snapToGrid/>
              <w:spacing w:line="240" w:lineRule="auto"/>
              <w:ind w:left="0" w:firstLineChars="0" w:firstLine="0"/>
              <w:jc w:val="center"/>
              <w:rPr>
                <w:color w:val="auto"/>
                <w:sz w:val="21"/>
                <w:szCs w:val="21"/>
                <w:lang w:val="zh-CN"/>
              </w:rPr>
            </w:pPr>
          </w:p>
        </w:tc>
        <w:tc>
          <w:tcPr>
            <w:tcW w:w="3827" w:type="dxa"/>
            <w:vAlign w:val="center"/>
          </w:tcPr>
          <w:p w:rsidR="003F13AB" w:rsidRDefault="00EC6E7E">
            <w:pPr>
              <w:adjustRightInd/>
              <w:snapToGrid/>
              <w:spacing w:line="240" w:lineRule="auto"/>
              <w:ind w:firstLineChars="0" w:firstLine="0"/>
              <w:rPr>
                <w:color w:val="auto"/>
                <w:sz w:val="21"/>
                <w:szCs w:val="21"/>
                <w:lang w:val="zh-CN"/>
              </w:rPr>
            </w:pPr>
            <w:r>
              <w:rPr>
                <w:rFonts w:hint="eastAsia"/>
                <w:color w:val="auto"/>
                <w:sz w:val="21"/>
                <w:szCs w:val="21"/>
                <w:lang w:val="zh-CN"/>
              </w:rPr>
              <w:t>员工安全生产责任制</w:t>
            </w:r>
          </w:p>
        </w:tc>
        <w:tc>
          <w:tcPr>
            <w:tcW w:w="2410" w:type="dxa"/>
            <w:vAlign w:val="center"/>
          </w:tcPr>
          <w:p w:rsidR="003F13AB" w:rsidRDefault="00EC6E7E">
            <w:pPr>
              <w:adjustRightInd/>
              <w:snapToGrid/>
              <w:spacing w:line="240" w:lineRule="auto"/>
              <w:ind w:firstLineChars="0" w:firstLine="0"/>
              <w:jc w:val="center"/>
              <w:rPr>
                <w:color w:val="auto"/>
                <w:sz w:val="21"/>
                <w:szCs w:val="21"/>
                <w:lang w:val="zh-CN"/>
              </w:rPr>
            </w:pPr>
            <w:r>
              <w:rPr>
                <w:rFonts w:hint="eastAsia"/>
                <w:color w:val="auto"/>
                <w:sz w:val="21"/>
                <w:szCs w:val="21"/>
                <w:lang w:val="zh-CN"/>
              </w:rPr>
              <w:t>员工</w:t>
            </w:r>
          </w:p>
        </w:tc>
        <w:tc>
          <w:tcPr>
            <w:tcW w:w="1276" w:type="dxa"/>
            <w:vAlign w:val="center"/>
          </w:tcPr>
          <w:p w:rsidR="003F13AB" w:rsidRDefault="00EC6E7E">
            <w:pPr>
              <w:adjustRightInd/>
              <w:snapToGrid/>
              <w:spacing w:line="240" w:lineRule="auto"/>
              <w:ind w:firstLineChars="0" w:firstLine="0"/>
              <w:jc w:val="center"/>
              <w:rPr>
                <w:color w:val="auto"/>
                <w:sz w:val="21"/>
                <w:szCs w:val="21"/>
                <w:lang w:val="zh-CN"/>
              </w:rPr>
            </w:pPr>
            <w:r>
              <w:rPr>
                <w:color w:val="auto"/>
                <w:sz w:val="21"/>
                <w:szCs w:val="21"/>
                <w:lang w:val="zh-CN"/>
              </w:rPr>
              <w:t>已得到落实</w:t>
            </w:r>
          </w:p>
        </w:tc>
        <w:tc>
          <w:tcPr>
            <w:tcW w:w="849" w:type="dxa"/>
            <w:vAlign w:val="center"/>
          </w:tcPr>
          <w:p w:rsidR="003F13AB" w:rsidRDefault="003F13AB">
            <w:pPr>
              <w:adjustRightInd/>
              <w:snapToGrid/>
              <w:spacing w:line="240" w:lineRule="auto"/>
              <w:ind w:firstLineChars="0" w:firstLine="0"/>
              <w:jc w:val="center"/>
              <w:rPr>
                <w:color w:val="auto"/>
                <w:sz w:val="21"/>
                <w:szCs w:val="21"/>
                <w:lang w:val="zh-CN"/>
              </w:rPr>
            </w:pPr>
          </w:p>
        </w:tc>
      </w:tr>
    </w:tbl>
    <w:p w:rsidR="003F13AB" w:rsidRDefault="003F13AB">
      <w:pPr>
        <w:adjustRightInd/>
        <w:snapToGrid/>
        <w:spacing w:line="240" w:lineRule="auto"/>
        <w:ind w:firstLineChars="0" w:firstLine="0"/>
        <w:jc w:val="center"/>
        <w:rPr>
          <w:color w:val="auto"/>
          <w:sz w:val="21"/>
          <w:szCs w:val="21"/>
          <w:lang w:val="zh-CN"/>
        </w:rPr>
      </w:pPr>
    </w:p>
    <w:p w:rsidR="003F13AB" w:rsidRDefault="00EC6E7E">
      <w:pPr>
        <w:ind w:firstLine="560"/>
        <w:rPr>
          <w:color w:val="auto"/>
        </w:rPr>
      </w:pPr>
      <w:r>
        <w:rPr>
          <w:rFonts w:hint="eastAsia"/>
          <w:color w:val="auto"/>
        </w:rPr>
        <w:t>农家乐公司在试运行过程中，制定的安全管理制度执行较好，各类人员熟悉各自安全生产职责。</w:t>
      </w:r>
    </w:p>
    <w:p w:rsidR="003F13AB" w:rsidRDefault="00EC6E7E">
      <w:pPr>
        <w:ind w:firstLine="560"/>
        <w:rPr>
          <w:color w:val="auto"/>
        </w:rPr>
      </w:pPr>
      <w:r>
        <w:rPr>
          <w:color w:val="auto"/>
        </w:rPr>
        <w:t>农家乐公司已经按照安全生产的相关要求，组织相关员工进行培训学习，</w:t>
      </w:r>
      <w:r>
        <w:rPr>
          <w:rFonts w:hint="eastAsia"/>
          <w:color w:val="auto"/>
        </w:rPr>
        <w:t>按照工艺设备，完善修订了安全管理制度及安全岗位责任制。</w:t>
      </w:r>
    </w:p>
    <w:p w:rsidR="003F13AB" w:rsidRDefault="00EC6E7E">
      <w:pPr>
        <w:pStyle w:val="3"/>
        <w:keepNext w:val="0"/>
        <w:keepLines w:val="0"/>
      </w:pPr>
      <w:bookmarkStart w:id="78" w:name="_Toc187914393"/>
      <w:r>
        <w:rPr>
          <w:rFonts w:hint="eastAsia"/>
        </w:rPr>
        <w:t>2.5.3 安全岗位操作规程</w:t>
      </w:r>
      <w:bookmarkEnd w:id="78"/>
    </w:p>
    <w:p w:rsidR="003F13AB" w:rsidRDefault="00EC6E7E">
      <w:pPr>
        <w:ind w:firstLine="560"/>
        <w:rPr>
          <w:color w:val="auto"/>
        </w:rPr>
      </w:pPr>
      <w:r>
        <w:rPr>
          <w:rFonts w:hint="eastAsia"/>
          <w:color w:val="auto"/>
        </w:rPr>
        <w:t>农家乐公司按国家相关法律、法规的要求，结合公司工艺情况编制了安全岗位操作规程，见下表。</w:t>
      </w:r>
    </w:p>
    <w:p w:rsidR="003F13AB" w:rsidRDefault="00EC6E7E">
      <w:pPr>
        <w:widowControl/>
        <w:adjustRightInd/>
        <w:snapToGrid/>
        <w:spacing w:line="240" w:lineRule="auto"/>
        <w:ind w:firstLineChars="0" w:firstLine="0"/>
        <w:jc w:val="left"/>
        <w:rPr>
          <w:rFonts w:ascii="宋体" w:hAnsi="宋体"/>
          <w:color w:val="auto"/>
        </w:rPr>
      </w:pPr>
      <w:r>
        <w:rPr>
          <w:rFonts w:ascii="宋体" w:hAnsi="宋体"/>
          <w:color w:val="auto"/>
        </w:rPr>
        <w:br w:type="page"/>
      </w:r>
    </w:p>
    <w:p w:rsidR="003F13AB" w:rsidRDefault="00EC6E7E">
      <w:pPr>
        <w:widowControl/>
        <w:adjustRightInd/>
        <w:snapToGrid/>
        <w:spacing w:line="240" w:lineRule="auto"/>
        <w:ind w:firstLineChars="0" w:firstLine="0"/>
        <w:jc w:val="center"/>
        <w:rPr>
          <w:rFonts w:ascii="宋体" w:hAnsi="宋体"/>
          <w:color w:val="auto"/>
        </w:rPr>
      </w:pPr>
      <w:r>
        <w:rPr>
          <w:rFonts w:ascii="宋体" w:hAnsi="宋体" w:hint="eastAsia"/>
          <w:color w:val="auto"/>
        </w:rPr>
        <w:lastRenderedPageBreak/>
        <w:t>表2.5-3  安全岗位操作规程表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828"/>
        <w:gridCol w:w="2976"/>
        <w:gridCol w:w="1807"/>
      </w:tblGrid>
      <w:tr w:rsidR="003F13AB">
        <w:trPr>
          <w:trHeight w:val="454"/>
          <w:tblHeader/>
          <w:jc w:val="center"/>
        </w:trPr>
        <w:tc>
          <w:tcPr>
            <w:tcW w:w="675" w:type="dxa"/>
            <w:vAlign w:val="center"/>
          </w:tcPr>
          <w:p w:rsidR="003F13AB" w:rsidRDefault="00EC6E7E">
            <w:pPr>
              <w:adjustRightInd/>
              <w:snapToGrid/>
              <w:spacing w:line="240" w:lineRule="exact"/>
              <w:ind w:firstLineChars="0" w:firstLine="0"/>
              <w:jc w:val="center"/>
              <w:rPr>
                <w:b/>
                <w:bCs/>
                <w:color w:val="auto"/>
                <w:sz w:val="21"/>
                <w:szCs w:val="21"/>
                <w:lang w:val="zh-CN"/>
              </w:rPr>
            </w:pPr>
            <w:r>
              <w:rPr>
                <w:b/>
                <w:bCs/>
                <w:color w:val="auto"/>
                <w:sz w:val="21"/>
                <w:szCs w:val="21"/>
                <w:lang w:val="zh-CN"/>
              </w:rPr>
              <w:t>序号</w:t>
            </w:r>
          </w:p>
        </w:tc>
        <w:tc>
          <w:tcPr>
            <w:tcW w:w="3828" w:type="dxa"/>
            <w:vAlign w:val="center"/>
          </w:tcPr>
          <w:p w:rsidR="003F13AB" w:rsidRDefault="00EC6E7E">
            <w:pPr>
              <w:adjustRightInd/>
              <w:snapToGrid/>
              <w:spacing w:line="240" w:lineRule="exact"/>
              <w:ind w:firstLineChars="0" w:firstLine="0"/>
              <w:jc w:val="center"/>
              <w:rPr>
                <w:b/>
                <w:bCs/>
                <w:color w:val="auto"/>
                <w:sz w:val="21"/>
                <w:szCs w:val="21"/>
                <w:lang w:val="zh-CN"/>
              </w:rPr>
            </w:pPr>
            <w:r>
              <w:rPr>
                <w:b/>
                <w:bCs/>
                <w:color w:val="auto"/>
                <w:sz w:val="21"/>
                <w:szCs w:val="21"/>
                <w:lang w:val="zh-CN"/>
              </w:rPr>
              <w:t>安全操作规程</w:t>
            </w:r>
          </w:p>
        </w:tc>
        <w:tc>
          <w:tcPr>
            <w:tcW w:w="2976" w:type="dxa"/>
            <w:vAlign w:val="center"/>
          </w:tcPr>
          <w:p w:rsidR="003F13AB" w:rsidRDefault="00EC6E7E">
            <w:pPr>
              <w:adjustRightInd/>
              <w:snapToGrid/>
              <w:spacing w:line="240" w:lineRule="exact"/>
              <w:ind w:firstLineChars="0" w:firstLine="0"/>
              <w:jc w:val="center"/>
              <w:rPr>
                <w:b/>
                <w:bCs/>
                <w:color w:val="auto"/>
                <w:sz w:val="21"/>
                <w:szCs w:val="21"/>
                <w:lang w:val="zh-CN"/>
              </w:rPr>
            </w:pPr>
            <w:r>
              <w:rPr>
                <w:b/>
                <w:bCs/>
                <w:color w:val="auto"/>
                <w:sz w:val="21"/>
                <w:szCs w:val="21"/>
                <w:lang w:val="zh-CN"/>
              </w:rPr>
              <w:t>作业岗位</w:t>
            </w:r>
          </w:p>
        </w:tc>
        <w:tc>
          <w:tcPr>
            <w:tcW w:w="1807" w:type="dxa"/>
            <w:vAlign w:val="center"/>
          </w:tcPr>
          <w:p w:rsidR="003F13AB" w:rsidRDefault="00EC6E7E">
            <w:pPr>
              <w:adjustRightInd/>
              <w:snapToGrid/>
              <w:spacing w:line="240" w:lineRule="exact"/>
              <w:ind w:firstLineChars="0" w:firstLine="0"/>
              <w:jc w:val="center"/>
              <w:rPr>
                <w:b/>
                <w:bCs/>
                <w:color w:val="auto"/>
                <w:sz w:val="21"/>
                <w:szCs w:val="21"/>
                <w:lang w:val="zh-CN"/>
              </w:rPr>
            </w:pPr>
            <w:r>
              <w:rPr>
                <w:b/>
                <w:bCs/>
                <w:color w:val="auto"/>
                <w:sz w:val="21"/>
                <w:szCs w:val="21"/>
                <w:lang w:val="zh-CN"/>
              </w:rPr>
              <w:t>执行情况</w:t>
            </w:r>
          </w:p>
        </w:tc>
      </w:tr>
      <w:tr w:rsidR="003F13AB">
        <w:trPr>
          <w:trHeight w:val="454"/>
          <w:tblHeader/>
          <w:jc w:val="center"/>
        </w:trPr>
        <w:tc>
          <w:tcPr>
            <w:tcW w:w="9286" w:type="dxa"/>
            <w:gridSpan w:val="4"/>
            <w:vAlign w:val="center"/>
          </w:tcPr>
          <w:p w:rsidR="003F13AB" w:rsidRDefault="00EC6E7E">
            <w:pPr>
              <w:adjustRightInd/>
              <w:snapToGrid/>
              <w:spacing w:line="240" w:lineRule="exact"/>
              <w:ind w:firstLineChars="0" w:firstLine="0"/>
              <w:jc w:val="center"/>
              <w:rPr>
                <w:b/>
                <w:bCs/>
                <w:color w:val="auto"/>
                <w:sz w:val="21"/>
                <w:szCs w:val="21"/>
                <w:lang w:val="zh-CN"/>
              </w:rPr>
            </w:pPr>
            <w:r>
              <w:rPr>
                <w:b/>
                <w:bCs/>
                <w:color w:val="auto"/>
                <w:sz w:val="21"/>
                <w:szCs w:val="21"/>
                <w:lang w:val="zh-CN"/>
              </w:rPr>
              <w:t>高塔工序</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电控岗位安全操作规程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lang w:val="zh-CN"/>
              </w:rPr>
            </w:pPr>
            <w:r>
              <w:rPr>
                <w:rFonts w:hint="eastAsia"/>
                <w:color w:val="auto"/>
                <w:sz w:val="21"/>
                <w:szCs w:val="21"/>
              </w:rPr>
              <w:t>电控岗位</w:t>
            </w:r>
          </w:p>
        </w:tc>
        <w:tc>
          <w:tcPr>
            <w:tcW w:w="1807" w:type="dxa"/>
            <w:vAlign w:val="center"/>
          </w:tcPr>
          <w:p w:rsidR="003F13AB" w:rsidRDefault="00EC6E7E">
            <w:pPr>
              <w:adjustRightInd/>
              <w:snapToGrid/>
              <w:spacing w:line="240" w:lineRule="exact"/>
              <w:ind w:firstLineChars="0" w:firstLine="0"/>
              <w:jc w:val="center"/>
              <w:rPr>
                <w:color w:val="auto"/>
                <w:sz w:val="21"/>
                <w:szCs w:val="21"/>
                <w:lang w:val="zh-CN"/>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proofErr w:type="gramStart"/>
            <w:r>
              <w:rPr>
                <w:rFonts w:hint="eastAsia"/>
                <w:color w:val="auto"/>
                <w:sz w:val="21"/>
                <w:szCs w:val="21"/>
              </w:rPr>
              <w:t>吨包破碎机</w:t>
            </w:r>
            <w:proofErr w:type="gramEnd"/>
            <w:r>
              <w:rPr>
                <w:rFonts w:hint="eastAsia"/>
                <w:color w:val="auto"/>
                <w:sz w:val="21"/>
                <w:szCs w:val="21"/>
              </w:rPr>
              <w:t>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proofErr w:type="gramStart"/>
            <w:r>
              <w:rPr>
                <w:rFonts w:hint="eastAsia"/>
                <w:color w:val="auto"/>
                <w:sz w:val="21"/>
                <w:szCs w:val="21"/>
              </w:rPr>
              <w:t>吨包破碎机</w:t>
            </w:r>
            <w:proofErr w:type="gramEnd"/>
            <w:r>
              <w:rPr>
                <w:rFonts w:hint="eastAsia"/>
                <w:color w:val="auto"/>
                <w:sz w:val="21"/>
                <w:szCs w:val="21"/>
              </w:rPr>
              <w:t>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原料投料岗位安全操作规程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原料投料岗位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塔底收料大盘岗位安全操作规程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塔底收料大盘岗位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筛分岗位安全操作规程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筛分岗位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斗提机岗位安全操作规程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斗提机岗位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布袋除尘器安全操作规程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布袋除尘器操作岗位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高塔冷却器安全操作规程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高塔冷却器</w:t>
            </w:r>
            <w:r>
              <w:rPr>
                <w:rFonts w:hint="eastAsia"/>
                <w:color w:val="auto"/>
                <w:sz w:val="21"/>
                <w:szCs w:val="21"/>
              </w:rPr>
              <w:t>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焊接与切割岗位安全操作规程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焊接与切割</w:t>
            </w:r>
            <w:r>
              <w:rPr>
                <w:rFonts w:hint="eastAsia"/>
                <w:color w:val="auto"/>
                <w:sz w:val="21"/>
                <w:szCs w:val="21"/>
              </w:rPr>
              <w:t>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高塔造粒岗位安全操作规程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高塔造粒岗位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包膜</w:t>
            </w:r>
            <w:proofErr w:type="gramStart"/>
            <w:r>
              <w:rPr>
                <w:color w:val="auto"/>
                <w:sz w:val="21"/>
                <w:szCs w:val="21"/>
              </w:rPr>
              <w:t>筒安全</w:t>
            </w:r>
            <w:proofErr w:type="gramEnd"/>
            <w:r>
              <w:rPr>
                <w:color w:val="auto"/>
                <w:sz w:val="21"/>
                <w:szCs w:val="21"/>
              </w:rPr>
              <w:t>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包膜</w:t>
            </w:r>
            <w:proofErr w:type="gramStart"/>
            <w:r>
              <w:rPr>
                <w:color w:val="auto"/>
                <w:sz w:val="21"/>
                <w:szCs w:val="21"/>
              </w:rPr>
              <w:t>筒操作</w:t>
            </w:r>
            <w:proofErr w:type="gramEnd"/>
            <w:r>
              <w:rPr>
                <w:rFonts w:hint="eastAsia"/>
                <w:color w:val="auto"/>
                <w:sz w:val="21"/>
                <w:szCs w:val="21"/>
              </w:rPr>
              <w:t>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numPr>
                <w:ilvl w:val="0"/>
                <w:numId w:val="4"/>
              </w:numPr>
              <w:adjustRightInd/>
              <w:snapToGrid/>
              <w:spacing w:line="240" w:lineRule="exact"/>
              <w:ind w:firstLineChars="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包装岗位安全操作规程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包装</w:t>
            </w:r>
            <w:proofErr w:type="gramStart"/>
            <w:r>
              <w:rPr>
                <w:color w:val="auto"/>
                <w:sz w:val="21"/>
                <w:szCs w:val="21"/>
              </w:rPr>
              <w:t>岗位</w:t>
            </w:r>
            <w:r>
              <w:rPr>
                <w:rFonts w:hint="eastAsia"/>
                <w:color w:val="auto"/>
                <w:sz w:val="21"/>
                <w:szCs w:val="21"/>
              </w:rPr>
              <w:t>岗位</w:t>
            </w:r>
            <w:proofErr w:type="gramEnd"/>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9286" w:type="dxa"/>
            <w:gridSpan w:val="4"/>
            <w:vAlign w:val="center"/>
          </w:tcPr>
          <w:p w:rsidR="003F13AB" w:rsidRDefault="00EC6E7E">
            <w:pPr>
              <w:adjustRightInd/>
              <w:snapToGrid/>
              <w:spacing w:line="240" w:lineRule="exact"/>
              <w:ind w:firstLineChars="0" w:firstLine="0"/>
              <w:jc w:val="center"/>
              <w:rPr>
                <w:b/>
                <w:color w:val="auto"/>
                <w:sz w:val="21"/>
                <w:szCs w:val="21"/>
              </w:rPr>
            </w:pPr>
            <w:r>
              <w:rPr>
                <w:rFonts w:hint="eastAsia"/>
                <w:b/>
                <w:color w:val="auto"/>
                <w:sz w:val="21"/>
                <w:szCs w:val="21"/>
              </w:rPr>
              <w:t>转鼓工序</w:t>
            </w:r>
          </w:p>
        </w:tc>
      </w:tr>
      <w:tr w:rsidR="003F13AB">
        <w:trPr>
          <w:trHeight w:val="454"/>
          <w:tblHeader/>
          <w:jc w:val="center"/>
        </w:trPr>
        <w:tc>
          <w:tcPr>
            <w:tcW w:w="675" w:type="dxa"/>
            <w:vAlign w:val="center"/>
          </w:tcPr>
          <w:p w:rsidR="003F13AB" w:rsidRDefault="003F13AB">
            <w:pPr>
              <w:pStyle w:val="afa"/>
              <w:numPr>
                <w:ilvl w:val="0"/>
                <w:numId w:val="5"/>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电控岗位安全操作规程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电控岗位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5"/>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proofErr w:type="gramStart"/>
            <w:r>
              <w:rPr>
                <w:rFonts w:hint="eastAsia"/>
                <w:color w:val="auto"/>
                <w:sz w:val="21"/>
                <w:szCs w:val="21"/>
              </w:rPr>
              <w:t>吨包破碎机</w:t>
            </w:r>
            <w:proofErr w:type="gramEnd"/>
            <w:r>
              <w:rPr>
                <w:rFonts w:hint="eastAsia"/>
                <w:color w:val="auto"/>
                <w:sz w:val="21"/>
                <w:szCs w:val="21"/>
              </w:rPr>
              <w:t>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proofErr w:type="gramStart"/>
            <w:r>
              <w:rPr>
                <w:rFonts w:hint="eastAsia"/>
                <w:color w:val="auto"/>
                <w:sz w:val="21"/>
                <w:szCs w:val="21"/>
              </w:rPr>
              <w:t>吨包破碎机</w:t>
            </w:r>
            <w:proofErr w:type="gramEnd"/>
            <w:r>
              <w:rPr>
                <w:rFonts w:hint="eastAsia"/>
                <w:color w:val="auto"/>
                <w:sz w:val="21"/>
                <w:szCs w:val="21"/>
              </w:rPr>
              <w:t>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5"/>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原料投料岗位安全操作规程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原料投料岗位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5"/>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筛分岗位安全操作规程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筛分岗位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5"/>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斗提机岗位安全操作规程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斗提机岗位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5"/>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布袋除尘器安全操作规程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布袋除尘器操作岗位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5"/>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焊接与切割岗位操作规程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焊接与切割岗位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5"/>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转鼓造粒岗位安全操作规程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转鼓造粒岗位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5"/>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包膜</w:t>
            </w:r>
            <w:proofErr w:type="gramStart"/>
            <w:r>
              <w:rPr>
                <w:rFonts w:hint="eastAsia"/>
                <w:color w:val="auto"/>
                <w:sz w:val="21"/>
                <w:szCs w:val="21"/>
              </w:rPr>
              <w:t>筒岗位</w:t>
            </w:r>
            <w:proofErr w:type="gramEnd"/>
            <w:r>
              <w:rPr>
                <w:rFonts w:hint="eastAsia"/>
                <w:color w:val="auto"/>
                <w:sz w:val="21"/>
                <w:szCs w:val="21"/>
              </w:rPr>
              <w:t>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包膜</w:t>
            </w:r>
            <w:proofErr w:type="gramStart"/>
            <w:r>
              <w:rPr>
                <w:rFonts w:hint="eastAsia"/>
                <w:color w:val="auto"/>
                <w:sz w:val="21"/>
                <w:szCs w:val="21"/>
              </w:rPr>
              <w:t>筒岗位</w:t>
            </w:r>
            <w:proofErr w:type="gramEnd"/>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5"/>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包装岗位安全操作规程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包装岗位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9286" w:type="dxa"/>
            <w:gridSpan w:val="4"/>
            <w:vAlign w:val="center"/>
          </w:tcPr>
          <w:p w:rsidR="003F13AB" w:rsidRDefault="00EC6E7E">
            <w:pPr>
              <w:adjustRightInd/>
              <w:snapToGrid/>
              <w:spacing w:line="240" w:lineRule="exact"/>
              <w:ind w:firstLineChars="0" w:firstLine="0"/>
              <w:jc w:val="center"/>
              <w:rPr>
                <w:b/>
                <w:color w:val="auto"/>
                <w:sz w:val="21"/>
                <w:szCs w:val="21"/>
              </w:rPr>
            </w:pPr>
            <w:r>
              <w:rPr>
                <w:rFonts w:hint="eastAsia"/>
                <w:b/>
                <w:color w:val="auto"/>
                <w:sz w:val="21"/>
                <w:szCs w:val="21"/>
              </w:rPr>
              <w:t>粉末线</w:t>
            </w:r>
          </w:p>
        </w:tc>
      </w:tr>
      <w:tr w:rsidR="003F13AB">
        <w:trPr>
          <w:trHeight w:val="454"/>
          <w:tblHeader/>
          <w:jc w:val="center"/>
        </w:trPr>
        <w:tc>
          <w:tcPr>
            <w:tcW w:w="675" w:type="dxa"/>
            <w:vAlign w:val="center"/>
          </w:tcPr>
          <w:p w:rsidR="003F13AB" w:rsidRDefault="003F13AB">
            <w:pPr>
              <w:pStyle w:val="afa"/>
              <w:numPr>
                <w:ilvl w:val="0"/>
                <w:numId w:val="6"/>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斗提机岗位安全操作规程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斗提机岗位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6"/>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混合机岗位安全操作规程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混合机岗位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6"/>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布袋除尘器安全操作规程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布袋除尘器岗位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9286" w:type="dxa"/>
            <w:gridSpan w:val="4"/>
            <w:vAlign w:val="center"/>
          </w:tcPr>
          <w:p w:rsidR="003F13AB" w:rsidRDefault="00EC6E7E">
            <w:pPr>
              <w:adjustRightInd/>
              <w:snapToGrid/>
              <w:spacing w:line="240" w:lineRule="exact"/>
              <w:ind w:firstLineChars="0" w:firstLine="0"/>
              <w:jc w:val="center"/>
              <w:rPr>
                <w:b/>
                <w:color w:val="auto"/>
                <w:sz w:val="21"/>
                <w:szCs w:val="21"/>
              </w:rPr>
            </w:pPr>
            <w:r>
              <w:rPr>
                <w:rFonts w:hint="eastAsia"/>
                <w:b/>
                <w:color w:val="auto"/>
                <w:sz w:val="21"/>
                <w:szCs w:val="21"/>
              </w:rPr>
              <w:t>储运部</w:t>
            </w:r>
          </w:p>
        </w:tc>
      </w:tr>
      <w:tr w:rsidR="003F13AB">
        <w:trPr>
          <w:trHeight w:val="454"/>
          <w:tblHeader/>
          <w:jc w:val="center"/>
        </w:trPr>
        <w:tc>
          <w:tcPr>
            <w:tcW w:w="675" w:type="dxa"/>
            <w:vAlign w:val="center"/>
          </w:tcPr>
          <w:p w:rsidR="003F13AB" w:rsidRDefault="003F13AB">
            <w:pPr>
              <w:pStyle w:val="afa"/>
              <w:numPr>
                <w:ilvl w:val="0"/>
                <w:numId w:val="7"/>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叉车安全操作规程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叉车操作岗位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7"/>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装车岗位操作规程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装车岗位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7"/>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卸车岗位操作规程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卸车岗位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9286" w:type="dxa"/>
            <w:gridSpan w:val="4"/>
            <w:vAlign w:val="center"/>
          </w:tcPr>
          <w:p w:rsidR="003F13AB" w:rsidRDefault="00EC6E7E">
            <w:pPr>
              <w:adjustRightInd/>
              <w:snapToGrid/>
              <w:spacing w:line="240" w:lineRule="exact"/>
              <w:ind w:firstLineChars="0" w:firstLine="0"/>
              <w:jc w:val="center"/>
              <w:rPr>
                <w:b/>
                <w:color w:val="auto"/>
                <w:sz w:val="21"/>
                <w:szCs w:val="21"/>
              </w:rPr>
            </w:pPr>
            <w:r>
              <w:rPr>
                <w:rFonts w:hint="eastAsia"/>
                <w:b/>
                <w:color w:val="auto"/>
                <w:sz w:val="21"/>
                <w:szCs w:val="21"/>
              </w:rPr>
              <w:t>锅炉</w:t>
            </w:r>
          </w:p>
        </w:tc>
      </w:tr>
      <w:tr w:rsidR="003F13AB">
        <w:trPr>
          <w:trHeight w:val="454"/>
          <w:tblHeader/>
          <w:jc w:val="center"/>
        </w:trPr>
        <w:tc>
          <w:tcPr>
            <w:tcW w:w="675" w:type="dxa"/>
            <w:vAlign w:val="center"/>
          </w:tcPr>
          <w:p w:rsidR="003F13AB" w:rsidRDefault="003F13AB">
            <w:pPr>
              <w:pStyle w:val="afa"/>
              <w:numPr>
                <w:ilvl w:val="0"/>
                <w:numId w:val="8"/>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司炉工安全操作规程</w:t>
            </w:r>
          </w:p>
        </w:tc>
        <w:tc>
          <w:tcPr>
            <w:tcW w:w="2976" w:type="dxa"/>
            <w:vAlign w:val="center"/>
          </w:tcPr>
          <w:p w:rsidR="003F13AB" w:rsidRDefault="00EC6E7E">
            <w:pPr>
              <w:adjustRightInd/>
              <w:snapToGrid/>
              <w:spacing w:line="240" w:lineRule="exact"/>
              <w:ind w:firstLineChars="0" w:firstLine="0"/>
              <w:jc w:val="center"/>
              <w:rPr>
                <w:color w:val="auto"/>
                <w:sz w:val="21"/>
                <w:szCs w:val="21"/>
              </w:rPr>
            </w:pPr>
            <w:r>
              <w:rPr>
                <w:color w:val="auto"/>
                <w:sz w:val="21"/>
                <w:szCs w:val="21"/>
              </w:rPr>
              <w:t>锅炉操作岗位</w:t>
            </w:r>
          </w:p>
        </w:tc>
        <w:tc>
          <w:tcPr>
            <w:tcW w:w="1807" w:type="dxa"/>
            <w:vAlign w:val="center"/>
          </w:tcPr>
          <w:p w:rsidR="003F13AB" w:rsidRDefault="00EC6E7E">
            <w:pPr>
              <w:adjustRightInd/>
              <w:snapToGrid/>
              <w:spacing w:line="240" w:lineRule="exact"/>
              <w:ind w:firstLineChars="0" w:firstLine="0"/>
              <w:jc w:val="center"/>
              <w:rPr>
                <w:color w:val="auto"/>
                <w:sz w:val="21"/>
                <w:szCs w:val="21"/>
              </w:rPr>
            </w:pPr>
            <w:r>
              <w:rPr>
                <w:rFonts w:hint="eastAsia"/>
                <w:color w:val="auto"/>
                <w:sz w:val="21"/>
                <w:szCs w:val="21"/>
              </w:rPr>
              <w:t>严格执行</w:t>
            </w:r>
          </w:p>
        </w:tc>
      </w:tr>
      <w:tr w:rsidR="003F13AB">
        <w:trPr>
          <w:trHeight w:val="454"/>
          <w:tblHeader/>
          <w:jc w:val="center"/>
        </w:trPr>
        <w:tc>
          <w:tcPr>
            <w:tcW w:w="675" w:type="dxa"/>
            <w:vAlign w:val="center"/>
          </w:tcPr>
          <w:p w:rsidR="003F13AB" w:rsidRDefault="003F13AB">
            <w:pPr>
              <w:pStyle w:val="afa"/>
              <w:numPr>
                <w:ilvl w:val="0"/>
                <w:numId w:val="8"/>
              </w:numPr>
              <w:adjustRightInd/>
              <w:snapToGrid/>
              <w:spacing w:line="240" w:lineRule="auto"/>
              <w:ind w:left="0" w:firstLineChars="0" w:firstLine="0"/>
              <w:jc w:val="center"/>
              <w:rPr>
                <w:color w:val="auto"/>
                <w:sz w:val="21"/>
                <w:szCs w:val="21"/>
                <w:lang w:val="zh-CN"/>
              </w:rPr>
            </w:pPr>
          </w:p>
        </w:tc>
        <w:tc>
          <w:tcPr>
            <w:tcW w:w="3828" w:type="dxa"/>
            <w:vAlign w:val="center"/>
          </w:tcPr>
          <w:p w:rsidR="003F13AB" w:rsidRPr="00611B5C" w:rsidRDefault="00EC6E7E">
            <w:pPr>
              <w:adjustRightInd/>
              <w:snapToGrid/>
              <w:spacing w:line="240" w:lineRule="exact"/>
              <w:ind w:firstLineChars="0" w:firstLine="0"/>
              <w:jc w:val="center"/>
              <w:rPr>
                <w:color w:val="auto"/>
                <w:sz w:val="21"/>
                <w:szCs w:val="21"/>
              </w:rPr>
            </w:pPr>
            <w:r w:rsidRPr="00611B5C">
              <w:rPr>
                <w:color w:val="auto"/>
                <w:sz w:val="21"/>
                <w:szCs w:val="21"/>
              </w:rPr>
              <w:t>热风炉岗位安全操作规程</w:t>
            </w:r>
          </w:p>
        </w:tc>
        <w:tc>
          <w:tcPr>
            <w:tcW w:w="2976" w:type="dxa"/>
            <w:vAlign w:val="center"/>
          </w:tcPr>
          <w:p w:rsidR="003F13AB" w:rsidRPr="00611B5C" w:rsidRDefault="00EC6E7E">
            <w:pPr>
              <w:adjustRightInd/>
              <w:snapToGrid/>
              <w:spacing w:line="240" w:lineRule="exact"/>
              <w:ind w:firstLineChars="0" w:firstLine="0"/>
              <w:jc w:val="center"/>
              <w:rPr>
                <w:color w:val="auto"/>
                <w:sz w:val="21"/>
                <w:szCs w:val="21"/>
              </w:rPr>
            </w:pPr>
            <w:r w:rsidRPr="00611B5C">
              <w:rPr>
                <w:color w:val="auto"/>
                <w:sz w:val="21"/>
                <w:szCs w:val="21"/>
              </w:rPr>
              <w:t>热风炉操作岗位</w:t>
            </w:r>
          </w:p>
        </w:tc>
        <w:tc>
          <w:tcPr>
            <w:tcW w:w="1807" w:type="dxa"/>
            <w:vAlign w:val="center"/>
          </w:tcPr>
          <w:p w:rsidR="003F13AB" w:rsidRPr="00611B5C" w:rsidRDefault="00EC6E7E">
            <w:pPr>
              <w:adjustRightInd/>
              <w:snapToGrid/>
              <w:spacing w:line="240" w:lineRule="exact"/>
              <w:ind w:firstLineChars="0" w:firstLine="0"/>
              <w:jc w:val="center"/>
              <w:rPr>
                <w:color w:val="auto"/>
                <w:sz w:val="21"/>
                <w:szCs w:val="21"/>
              </w:rPr>
            </w:pPr>
            <w:r w:rsidRPr="00611B5C">
              <w:rPr>
                <w:rFonts w:hint="eastAsia"/>
                <w:color w:val="auto"/>
                <w:sz w:val="21"/>
                <w:szCs w:val="21"/>
              </w:rPr>
              <w:t>严格执行</w:t>
            </w:r>
          </w:p>
        </w:tc>
      </w:tr>
    </w:tbl>
    <w:p w:rsidR="003F13AB" w:rsidRDefault="00EC6E7E">
      <w:pPr>
        <w:ind w:firstLine="560"/>
        <w:rPr>
          <w:color w:val="auto"/>
        </w:rPr>
      </w:pPr>
      <w:r>
        <w:rPr>
          <w:rFonts w:hint="eastAsia"/>
          <w:color w:val="auto"/>
        </w:rPr>
        <w:t>农家乐公司已经按照安全生产的相关要求，组织相关员工进行培训学习，按照工艺设备，完善修订了安全岗位责任制。</w:t>
      </w:r>
    </w:p>
    <w:p w:rsidR="003F13AB" w:rsidRDefault="00EC6E7E">
      <w:pPr>
        <w:pStyle w:val="3"/>
      </w:pPr>
      <w:bookmarkStart w:id="79" w:name="_Toc187914394"/>
      <w:r>
        <w:t>2.</w:t>
      </w:r>
      <w:r>
        <w:rPr>
          <w:rFonts w:hint="eastAsia"/>
        </w:rPr>
        <w:t>5.4 人员教育培训情况</w:t>
      </w:r>
      <w:bookmarkEnd w:id="79"/>
    </w:p>
    <w:p w:rsidR="003F13AB" w:rsidRDefault="00EC6E7E">
      <w:pPr>
        <w:spacing w:line="500" w:lineRule="exact"/>
        <w:ind w:firstLine="560"/>
        <w:rPr>
          <w:rFonts w:ascii="宋体" w:hAnsi="宋体"/>
          <w:color w:val="auto"/>
        </w:rPr>
      </w:pPr>
      <w:r>
        <w:rPr>
          <w:rFonts w:ascii="宋体" w:hAnsi="宋体" w:hint="eastAsia"/>
          <w:color w:val="auto"/>
        </w:rPr>
        <w:t>（1）主要负责人、安全管理人员、特种作业人员培训</w:t>
      </w:r>
    </w:p>
    <w:p w:rsidR="003F13AB" w:rsidRDefault="00EC6E7E">
      <w:pPr>
        <w:spacing w:line="500" w:lineRule="exact"/>
        <w:ind w:firstLine="560"/>
        <w:rPr>
          <w:color w:val="auto"/>
        </w:rPr>
      </w:pPr>
      <w:r>
        <w:rPr>
          <w:rFonts w:ascii="宋体" w:hAnsi="宋体" w:hint="eastAsia"/>
          <w:color w:val="auto"/>
        </w:rPr>
        <w:t>农家乐公司主要负责人、厂长和安全管理人员已进行安全培训，并取得安全培训合格证，特种设备操作人员（锅炉、叉车）已经培训合格取得相应操作证。主要负责人、厂长、安全管理人员、特种设备操作人员均经过培训合格，持证上岗，相关证件详见报告附件8.19，其培训持证情况如下：</w:t>
      </w:r>
    </w:p>
    <w:p w:rsidR="003F13AB" w:rsidRDefault="00EC6E7E">
      <w:pPr>
        <w:spacing w:line="500" w:lineRule="exact"/>
        <w:ind w:firstLine="560"/>
        <w:jc w:val="center"/>
        <w:rPr>
          <w:rFonts w:ascii="宋体" w:hAnsi="宋体"/>
          <w:color w:val="auto"/>
        </w:rPr>
      </w:pPr>
      <w:r>
        <w:rPr>
          <w:rFonts w:ascii="宋体" w:hAnsi="宋体" w:hint="eastAsia"/>
          <w:color w:val="auto"/>
        </w:rPr>
        <w:t>表2</w:t>
      </w:r>
      <w:r>
        <w:rPr>
          <w:rFonts w:ascii="宋体" w:hAnsi="宋体"/>
          <w:color w:val="auto"/>
        </w:rPr>
        <w:t>.</w:t>
      </w:r>
      <w:r>
        <w:rPr>
          <w:rFonts w:ascii="宋体" w:hAnsi="宋体" w:hint="eastAsia"/>
          <w:color w:val="auto"/>
        </w:rPr>
        <w:t>5-4  厂长、安全管理人员、特种设备操作人员、特种作业人员</w:t>
      </w:r>
      <w:r>
        <w:rPr>
          <w:rFonts w:hint="eastAsia"/>
          <w:color w:val="auto"/>
        </w:rPr>
        <w:t>培训情况一览表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915"/>
        <w:gridCol w:w="1276"/>
        <w:gridCol w:w="992"/>
        <w:gridCol w:w="1134"/>
        <w:gridCol w:w="2268"/>
        <w:gridCol w:w="1983"/>
      </w:tblGrid>
      <w:tr w:rsidR="003F13AB">
        <w:trPr>
          <w:trHeight w:val="340"/>
          <w:jc w:val="center"/>
        </w:trPr>
        <w:tc>
          <w:tcPr>
            <w:tcW w:w="504"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序号</w:t>
            </w:r>
          </w:p>
        </w:tc>
        <w:tc>
          <w:tcPr>
            <w:tcW w:w="915"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姓名</w:t>
            </w:r>
          </w:p>
        </w:tc>
        <w:tc>
          <w:tcPr>
            <w:tcW w:w="1276"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职务或特种作业类别</w:t>
            </w:r>
          </w:p>
        </w:tc>
        <w:tc>
          <w:tcPr>
            <w:tcW w:w="992"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取证日期</w:t>
            </w:r>
          </w:p>
        </w:tc>
        <w:tc>
          <w:tcPr>
            <w:tcW w:w="1134"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有效日期</w:t>
            </w:r>
          </w:p>
        </w:tc>
        <w:tc>
          <w:tcPr>
            <w:tcW w:w="2268"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证号</w:t>
            </w:r>
          </w:p>
        </w:tc>
        <w:tc>
          <w:tcPr>
            <w:tcW w:w="1983"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发证单位</w:t>
            </w:r>
          </w:p>
        </w:tc>
      </w:tr>
      <w:tr w:rsidR="003F13AB">
        <w:trPr>
          <w:trHeight w:val="340"/>
          <w:jc w:val="center"/>
        </w:trPr>
        <w:tc>
          <w:tcPr>
            <w:tcW w:w="504" w:type="dxa"/>
            <w:vAlign w:val="center"/>
          </w:tcPr>
          <w:p w:rsidR="003F13AB" w:rsidRDefault="003F13AB">
            <w:pPr>
              <w:pStyle w:val="afa"/>
              <w:numPr>
                <w:ilvl w:val="0"/>
                <w:numId w:val="9"/>
              </w:numPr>
              <w:topLinePunct/>
              <w:spacing w:line="240" w:lineRule="auto"/>
              <w:ind w:left="0" w:firstLineChars="0" w:firstLine="0"/>
              <w:jc w:val="center"/>
              <w:rPr>
                <w:rFonts w:ascii="宋体" w:hAnsi="宋体"/>
                <w:color w:val="auto"/>
                <w:sz w:val="21"/>
                <w:szCs w:val="21"/>
              </w:rPr>
            </w:pPr>
          </w:p>
        </w:tc>
        <w:tc>
          <w:tcPr>
            <w:tcW w:w="915" w:type="dxa"/>
            <w:vAlign w:val="center"/>
          </w:tcPr>
          <w:p w:rsidR="003F13AB" w:rsidRDefault="00EC6E7E">
            <w:pPr>
              <w:topLinePunct/>
              <w:spacing w:line="240" w:lineRule="auto"/>
              <w:ind w:firstLineChars="0" w:firstLine="0"/>
              <w:jc w:val="center"/>
              <w:rPr>
                <w:rFonts w:ascii="宋体" w:hAnsi="宋体"/>
                <w:color w:val="auto"/>
                <w:sz w:val="21"/>
                <w:szCs w:val="21"/>
              </w:rPr>
            </w:pPr>
            <w:proofErr w:type="gramStart"/>
            <w:r>
              <w:rPr>
                <w:rFonts w:ascii="宋体" w:hAnsi="宋体"/>
                <w:color w:val="auto"/>
                <w:sz w:val="21"/>
                <w:szCs w:val="21"/>
              </w:rPr>
              <w:t>杨章福</w:t>
            </w:r>
            <w:proofErr w:type="gramEnd"/>
          </w:p>
        </w:tc>
        <w:tc>
          <w:tcPr>
            <w:tcW w:w="1276"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主要负责人</w:t>
            </w:r>
          </w:p>
        </w:tc>
        <w:tc>
          <w:tcPr>
            <w:tcW w:w="992"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2024.11.12</w:t>
            </w:r>
          </w:p>
        </w:tc>
        <w:tc>
          <w:tcPr>
            <w:tcW w:w="1134"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2027.11.11</w:t>
            </w:r>
          </w:p>
        </w:tc>
        <w:tc>
          <w:tcPr>
            <w:tcW w:w="2268"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AJ8532024FZ4424</w:t>
            </w:r>
          </w:p>
        </w:tc>
        <w:tc>
          <w:tcPr>
            <w:tcW w:w="1983"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云南</w:t>
            </w:r>
            <w:proofErr w:type="gramStart"/>
            <w:r>
              <w:rPr>
                <w:rFonts w:ascii="宋体" w:hAnsi="宋体"/>
                <w:color w:val="auto"/>
                <w:sz w:val="21"/>
                <w:szCs w:val="21"/>
              </w:rPr>
              <w:t>安崇安全</w:t>
            </w:r>
            <w:proofErr w:type="gramEnd"/>
            <w:r>
              <w:rPr>
                <w:rFonts w:ascii="宋体" w:hAnsi="宋体"/>
                <w:color w:val="auto"/>
                <w:sz w:val="21"/>
                <w:szCs w:val="21"/>
              </w:rPr>
              <w:t>技术咨询服务有限公司</w:t>
            </w:r>
          </w:p>
        </w:tc>
      </w:tr>
      <w:tr w:rsidR="003F13AB">
        <w:trPr>
          <w:trHeight w:val="340"/>
          <w:jc w:val="center"/>
        </w:trPr>
        <w:tc>
          <w:tcPr>
            <w:tcW w:w="504" w:type="dxa"/>
            <w:vAlign w:val="center"/>
          </w:tcPr>
          <w:p w:rsidR="003F13AB" w:rsidRDefault="003F13AB">
            <w:pPr>
              <w:pStyle w:val="afa"/>
              <w:numPr>
                <w:ilvl w:val="0"/>
                <w:numId w:val="9"/>
              </w:numPr>
              <w:topLinePunct/>
              <w:spacing w:line="240" w:lineRule="auto"/>
              <w:ind w:left="0" w:firstLineChars="0" w:firstLine="0"/>
              <w:jc w:val="center"/>
              <w:rPr>
                <w:rFonts w:ascii="宋体" w:hAnsi="宋体"/>
                <w:color w:val="auto"/>
                <w:sz w:val="21"/>
                <w:szCs w:val="21"/>
              </w:rPr>
            </w:pPr>
          </w:p>
        </w:tc>
        <w:tc>
          <w:tcPr>
            <w:tcW w:w="915" w:type="dxa"/>
            <w:vAlign w:val="center"/>
          </w:tcPr>
          <w:p w:rsidR="003F13AB" w:rsidRDefault="00EC6E7E">
            <w:pPr>
              <w:topLinePunct/>
              <w:spacing w:line="240" w:lineRule="auto"/>
              <w:ind w:firstLineChars="0" w:firstLine="0"/>
              <w:jc w:val="center"/>
              <w:rPr>
                <w:rFonts w:ascii="宋体" w:hAnsi="宋体"/>
                <w:color w:val="auto"/>
                <w:sz w:val="21"/>
                <w:szCs w:val="21"/>
              </w:rPr>
            </w:pPr>
            <w:proofErr w:type="gramStart"/>
            <w:r>
              <w:rPr>
                <w:rFonts w:ascii="宋体" w:hAnsi="宋体"/>
                <w:color w:val="auto"/>
                <w:sz w:val="21"/>
                <w:szCs w:val="21"/>
              </w:rPr>
              <w:t>杨陆会</w:t>
            </w:r>
            <w:proofErr w:type="gramEnd"/>
          </w:p>
        </w:tc>
        <w:tc>
          <w:tcPr>
            <w:tcW w:w="1276"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安全管理人员</w:t>
            </w:r>
          </w:p>
        </w:tc>
        <w:tc>
          <w:tcPr>
            <w:tcW w:w="992"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2024.11.12</w:t>
            </w:r>
          </w:p>
        </w:tc>
        <w:tc>
          <w:tcPr>
            <w:tcW w:w="1134"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2027.11.11</w:t>
            </w:r>
          </w:p>
        </w:tc>
        <w:tc>
          <w:tcPr>
            <w:tcW w:w="2268"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AJ8532024GZ4419</w:t>
            </w:r>
          </w:p>
        </w:tc>
        <w:tc>
          <w:tcPr>
            <w:tcW w:w="1983"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云南</w:t>
            </w:r>
            <w:proofErr w:type="gramStart"/>
            <w:r>
              <w:rPr>
                <w:rFonts w:ascii="宋体" w:hAnsi="宋体"/>
                <w:color w:val="auto"/>
                <w:sz w:val="21"/>
                <w:szCs w:val="21"/>
              </w:rPr>
              <w:t>安崇安全</w:t>
            </w:r>
            <w:proofErr w:type="gramEnd"/>
            <w:r>
              <w:rPr>
                <w:rFonts w:ascii="宋体" w:hAnsi="宋体"/>
                <w:color w:val="auto"/>
                <w:sz w:val="21"/>
                <w:szCs w:val="21"/>
              </w:rPr>
              <w:t>技术咨询服务有限公司</w:t>
            </w:r>
          </w:p>
        </w:tc>
      </w:tr>
      <w:tr w:rsidR="003F13AB">
        <w:trPr>
          <w:trHeight w:val="340"/>
          <w:jc w:val="center"/>
        </w:trPr>
        <w:tc>
          <w:tcPr>
            <w:tcW w:w="504" w:type="dxa"/>
            <w:vAlign w:val="center"/>
          </w:tcPr>
          <w:p w:rsidR="003F13AB" w:rsidRDefault="003F13AB">
            <w:pPr>
              <w:pStyle w:val="afa"/>
              <w:numPr>
                <w:ilvl w:val="0"/>
                <w:numId w:val="9"/>
              </w:numPr>
              <w:topLinePunct/>
              <w:spacing w:line="240" w:lineRule="auto"/>
              <w:ind w:left="0" w:firstLineChars="0" w:firstLine="0"/>
              <w:jc w:val="center"/>
              <w:rPr>
                <w:rFonts w:ascii="宋体" w:hAnsi="宋体"/>
                <w:color w:val="auto"/>
                <w:sz w:val="21"/>
                <w:szCs w:val="21"/>
              </w:rPr>
            </w:pPr>
          </w:p>
        </w:tc>
        <w:tc>
          <w:tcPr>
            <w:tcW w:w="915" w:type="dxa"/>
            <w:vAlign w:val="center"/>
          </w:tcPr>
          <w:p w:rsidR="003F13AB" w:rsidRDefault="00EC6E7E">
            <w:pPr>
              <w:topLinePunct/>
              <w:spacing w:line="240" w:lineRule="auto"/>
              <w:ind w:firstLineChars="0" w:firstLine="0"/>
              <w:jc w:val="center"/>
              <w:rPr>
                <w:rFonts w:ascii="宋体" w:hAnsi="宋体"/>
                <w:color w:val="auto"/>
                <w:sz w:val="21"/>
                <w:szCs w:val="21"/>
              </w:rPr>
            </w:pPr>
            <w:proofErr w:type="gramStart"/>
            <w:r>
              <w:rPr>
                <w:rFonts w:ascii="宋体" w:hAnsi="宋体"/>
                <w:color w:val="auto"/>
                <w:sz w:val="21"/>
                <w:szCs w:val="21"/>
              </w:rPr>
              <w:t>汪林</w:t>
            </w:r>
            <w:proofErr w:type="gramEnd"/>
          </w:p>
        </w:tc>
        <w:tc>
          <w:tcPr>
            <w:tcW w:w="1276"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安全管理人员</w:t>
            </w:r>
          </w:p>
        </w:tc>
        <w:tc>
          <w:tcPr>
            <w:tcW w:w="992"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2024.11.12</w:t>
            </w:r>
          </w:p>
        </w:tc>
        <w:tc>
          <w:tcPr>
            <w:tcW w:w="1134"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2027.11.11</w:t>
            </w:r>
          </w:p>
        </w:tc>
        <w:tc>
          <w:tcPr>
            <w:tcW w:w="2268"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AJ8532024GZ4418</w:t>
            </w:r>
          </w:p>
        </w:tc>
        <w:tc>
          <w:tcPr>
            <w:tcW w:w="1983"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云南</w:t>
            </w:r>
            <w:proofErr w:type="gramStart"/>
            <w:r>
              <w:rPr>
                <w:rFonts w:ascii="宋体" w:hAnsi="宋体"/>
                <w:color w:val="auto"/>
                <w:sz w:val="21"/>
                <w:szCs w:val="21"/>
              </w:rPr>
              <w:t>安崇安全</w:t>
            </w:r>
            <w:proofErr w:type="gramEnd"/>
            <w:r>
              <w:rPr>
                <w:rFonts w:ascii="宋体" w:hAnsi="宋体"/>
                <w:color w:val="auto"/>
                <w:sz w:val="21"/>
                <w:szCs w:val="21"/>
              </w:rPr>
              <w:t>技术咨询服务有限公司</w:t>
            </w:r>
          </w:p>
        </w:tc>
      </w:tr>
      <w:tr w:rsidR="003F13AB">
        <w:trPr>
          <w:trHeight w:val="340"/>
          <w:jc w:val="center"/>
        </w:trPr>
        <w:tc>
          <w:tcPr>
            <w:tcW w:w="504" w:type="dxa"/>
            <w:vAlign w:val="center"/>
          </w:tcPr>
          <w:p w:rsidR="003F13AB" w:rsidRDefault="003F13AB">
            <w:pPr>
              <w:pStyle w:val="afa"/>
              <w:numPr>
                <w:ilvl w:val="0"/>
                <w:numId w:val="9"/>
              </w:numPr>
              <w:topLinePunct/>
              <w:spacing w:line="240" w:lineRule="auto"/>
              <w:ind w:left="0" w:firstLineChars="0" w:firstLine="0"/>
              <w:jc w:val="center"/>
              <w:rPr>
                <w:rFonts w:ascii="宋体" w:hAnsi="宋体"/>
                <w:color w:val="auto"/>
                <w:sz w:val="21"/>
                <w:szCs w:val="21"/>
              </w:rPr>
            </w:pPr>
          </w:p>
        </w:tc>
        <w:tc>
          <w:tcPr>
            <w:tcW w:w="915"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蒋品国</w:t>
            </w:r>
          </w:p>
        </w:tc>
        <w:tc>
          <w:tcPr>
            <w:tcW w:w="1276"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安全管理人员</w:t>
            </w:r>
          </w:p>
        </w:tc>
        <w:tc>
          <w:tcPr>
            <w:tcW w:w="992"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2024.11.12</w:t>
            </w:r>
          </w:p>
        </w:tc>
        <w:tc>
          <w:tcPr>
            <w:tcW w:w="1134"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2027.11.11</w:t>
            </w:r>
          </w:p>
        </w:tc>
        <w:tc>
          <w:tcPr>
            <w:tcW w:w="2268"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AJ8532024GZ4420</w:t>
            </w:r>
          </w:p>
        </w:tc>
        <w:tc>
          <w:tcPr>
            <w:tcW w:w="1983"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云南</w:t>
            </w:r>
            <w:proofErr w:type="gramStart"/>
            <w:r>
              <w:rPr>
                <w:rFonts w:ascii="宋体" w:hAnsi="宋体"/>
                <w:color w:val="auto"/>
                <w:sz w:val="21"/>
                <w:szCs w:val="21"/>
              </w:rPr>
              <w:t>安崇安全</w:t>
            </w:r>
            <w:proofErr w:type="gramEnd"/>
            <w:r>
              <w:rPr>
                <w:rFonts w:ascii="宋体" w:hAnsi="宋体"/>
                <w:color w:val="auto"/>
                <w:sz w:val="21"/>
                <w:szCs w:val="21"/>
              </w:rPr>
              <w:t>技术咨询服务有限公司</w:t>
            </w:r>
          </w:p>
        </w:tc>
      </w:tr>
      <w:tr w:rsidR="003F13AB">
        <w:trPr>
          <w:trHeight w:val="340"/>
          <w:jc w:val="center"/>
        </w:trPr>
        <w:tc>
          <w:tcPr>
            <w:tcW w:w="504" w:type="dxa"/>
            <w:vAlign w:val="center"/>
          </w:tcPr>
          <w:p w:rsidR="003F13AB" w:rsidRDefault="003F13AB">
            <w:pPr>
              <w:pStyle w:val="afa"/>
              <w:numPr>
                <w:ilvl w:val="0"/>
                <w:numId w:val="9"/>
              </w:numPr>
              <w:topLinePunct/>
              <w:spacing w:line="240" w:lineRule="auto"/>
              <w:ind w:left="0" w:firstLineChars="0" w:firstLine="0"/>
              <w:jc w:val="center"/>
              <w:rPr>
                <w:rFonts w:ascii="宋体" w:hAnsi="宋体"/>
                <w:color w:val="auto"/>
                <w:sz w:val="21"/>
                <w:szCs w:val="21"/>
              </w:rPr>
            </w:pPr>
          </w:p>
        </w:tc>
        <w:tc>
          <w:tcPr>
            <w:tcW w:w="915"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王到德</w:t>
            </w:r>
          </w:p>
        </w:tc>
        <w:tc>
          <w:tcPr>
            <w:tcW w:w="1276"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N1</w:t>
            </w:r>
          </w:p>
        </w:tc>
        <w:tc>
          <w:tcPr>
            <w:tcW w:w="992"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202</w:t>
            </w:r>
            <w:r>
              <w:rPr>
                <w:rFonts w:ascii="宋体" w:hAnsi="宋体" w:hint="eastAsia"/>
                <w:color w:val="auto"/>
                <w:sz w:val="21"/>
                <w:szCs w:val="21"/>
              </w:rPr>
              <w:t>1</w:t>
            </w:r>
            <w:r>
              <w:rPr>
                <w:rFonts w:ascii="宋体" w:hAnsi="宋体"/>
                <w:color w:val="auto"/>
                <w:sz w:val="21"/>
                <w:szCs w:val="21"/>
              </w:rPr>
              <w:t>.</w:t>
            </w:r>
            <w:r>
              <w:rPr>
                <w:rFonts w:ascii="宋体" w:hAnsi="宋体" w:hint="eastAsia"/>
                <w:color w:val="auto"/>
                <w:sz w:val="21"/>
                <w:szCs w:val="21"/>
              </w:rPr>
              <w:t>05</w:t>
            </w:r>
          </w:p>
        </w:tc>
        <w:tc>
          <w:tcPr>
            <w:tcW w:w="1134"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202</w:t>
            </w:r>
            <w:r>
              <w:rPr>
                <w:rFonts w:ascii="宋体" w:hAnsi="宋体" w:hint="eastAsia"/>
                <w:color w:val="auto"/>
                <w:sz w:val="21"/>
                <w:szCs w:val="21"/>
              </w:rPr>
              <w:t>5</w:t>
            </w:r>
            <w:r>
              <w:rPr>
                <w:rFonts w:ascii="宋体" w:hAnsi="宋体"/>
                <w:color w:val="auto"/>
                <w:sz w:val="21"/>
                <w:szCs w:val="21"/>
              </w:rPr>
              <w:t>.</w:t>
            </w:r>
            <w:r>
              <w:rPr>
                <w:rFonts w:ascii="宋体" w:hAnsi="宋体" w:hint="eastAsia"/>
                <w:color w:val="auto"/>
                <w:sz w:val="21"/>
                <w:szCs w:val="21"/>
              </w:rPr>
              <w:t>04</w:t>
            </w:r>
          </w:p>
        </w:tc>
        <w:tc>
          <w:tcPr>
            <w:tcW w:w="2268"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530326198201224917</w:t>
            </w:r>
          </w:p>
        </w:tc>
        <w:tc>
          <w:tcPr>
            <w:tcW w:w="1983"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昆明市盘龙区市场监督管理局</w:t>
            </w:r>
          </w:p>
        </w:tc>
      </w:tr>
      <w:tr w:rsidR="003F13AB">
        <w:trPr>
          <w:trHeight w:val="340"/>
          <w:jc w:val="center"/>
        </w:trPr>
        <w:tc>
          <w:tcPr>
            <w:tcW w:w="504" w:type="dxa"/>
            <w:vAlign w:val="center"/>
          </w:tcPr>
          <w:p w:rsidR="003F13AB" w:rsidRDefault="003F13AB">
            <w:pPr>
              <w:pStyle w:val="afa"/>
              <w:numPr>
                <w:ilvl w:val="0"/>
                <w:numId w:val="9"/>
              </w:numPr>
              <w:topLinePunct/>
              <w:spacing w:line="240" w:lineRule="auto"/>
              <w:ind w:left="0" w:firstLineChars="0" w:firstLine="0"/>
              <w:jc w:val="center"/>
              <w:rPr>
                <w:rFonts w:ascii="宋体" w:hAnsi="宋体"/>
                <w:color w:val="auto"/>
                <w:sz w:val="21"/>
                <w:szCs w:val="21"/>
              </w:rPr>
            </w:pPr>
          </w:p>
        </w:tc>
        <w:tc>
          <w:tcPr>
            <w:tcW w:w="915"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蔡国华</w:t>
            </w:r>
          </w:p>
        </w:tc>
        <w:tc>
          <w:tcPr>
            <w:tcW w:w="1276"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N1</w:t>
            </w:r>
          </w:p>
        </w:tc>
        <w:tc>
          <w:tcPr>
            <w:tcW w:w="992"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2021.05</w:t>
            </w:r>
          </w:p>
        </w:tc>
        <w:tc>
          <w:tcPr>
            <w:tcW w:w="1134"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2025.04</w:t>
            </w:r>
          </w:p>
        </w:tc>
        <w:tc>
          <w:tcPr>
            <w:tcW w:w="2268"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530326199508175173</w:t>
            </w:r>
          </w:p>
        </w:tc>
        <w:tc>
          <w:tcPr>
            <w:tcW w:w="1983"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昆明市盘龙区市场监督管理局</w:t>
            </w:r>
          </w:p>
        </w:tc>
      </w:tr>
      <w:tr w:rsidR="003F13AB">
        <w:trPr>
          <w:trHeight w:val="340"/>
          <w:jc w:val="center"/>
        </w:trPr>
        <w:tc>
          <w:tcPr>
            <w:tcW w:w="504" w:type="dxa"/>
            <w:vAlign w:val="center"/>
          </w:tcPr>
          <w:p w:rsidR="003F13AB" w:rsidRDefault="003F13AB">
            <w:pPr>
              <w:pStyle w:val="afa"/>
              <w:numPr>
                <w:ilvl w:val="0"/>
                <w:numId w:val="9"/>
              </w:numPr>
              <w:topLinePunct/>
              <w:spacing w:line="240" w:lineRule="auto"/>
              <w:ind w:left="0" w:firstLineChars="0" w:firstLine="0"/>
              <w:jc w:val="center"/>
              <w:rPr>
                <w:rFonts w:ascii="宋体" w:hAnsi="宋体"/>
                <w:color w:val="auto"/>
                <w:sz w:val="21"/>
                <w:szCs w:val="21"/>
              </w:rPr>
            </w:pPr>
          </w:p>
        </w:tc>
        <w:tc>
          <w:tcPr>
            <w:tcW w:w="915"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李燕</w:t>
            </w:r>
          </w:p>
        </w:tc>
        <w:tc>
          <w:tcPr>
            <w:tcW w:w="1276"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N2</w:t>
            </w:r>
          </w:p>
        </w:tc>
        <w:tc>
          <w:tcPr>
            <w:tcW w:w="992"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w:t>
            </w:r>
          </w:p>
        </w:tc>
        <w:tc>
          <w:tcPr>
            <w:tcW w:w="1134"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2025.04</w:t>
            </w:r>
            <w:r>
              <w:rPr>
                <w:rFonts w:ascii="宋体" w:hAnsi="宋体"/>
                <w:color w:val="auto"/>
                <w:sz w:val="21"/>
                <w:szCs w:val="21"/>
              </w:rPr>
              <w:t xml:space="preserve"> </w:t>
            </w:r>
          </w:p>
        </w:tc>
        <w:tc>
          <w:tcPr>
            <w:tcW w:w="2268"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530122197604050631</w:t>
            </w:r>
          </w:p>
        </w:tc>
        <w:tc>
          <w:tcPr>
            <w:tcW w:w="1983"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昆明市质量技术监督局</w:t>
            </w:r>
          </w:p>
        </w:tc>
      </w:tr>
      <w:tr w:rsidR="003F13AB">
        <w:trPr>
          <w:trHeight w:val="340"/>
          <w:jc w:val="center"/>
        </w:trPr>
        <w:tc>
          <w:tcPr>
            <w:tcW w:w="504" w:type="dxa"/>
            <w:vAlign w:val="center"/>
          </w:tcPr>
          <w:p w:rsidR="003F13AB" w:rsidRDefault="003F13AB">
            <w:pPr>
              <w:pStyle w:val="afa"/>
              <w:numPr>
                <w:ilvl w:val="0"/>
                <w:numId w:val="9"/>
              </w:numPr>
              <w:topLinePunct/>
              <w:spacing w:line="240" w:lineRule="auto"/>
              <w:ind w:left="0" w:firstLineChars="0" w:firstLine="0"/>
              <w:jc w:val="center"/>
              <w:rPr>
                <w:rFonts w:ascii="宋体" w:hAnsi="宋体"/>
                <w:color w:val="auto"/>
                <w:sz w:val="21"/>
                <w:szCs w:val="21"/>
              </w:rPr>
            </w:pPr>
          </w:p>
        </w:tc>
        <w:tc>
          <w:tcPr>
            <w:tcW w:w="915" w:type="dxa"/>
            <w:vAlign w:val="center"/>
          </w:tcPr>
          <w:p w:rsidR="003F13AB" w:rsidRDefault="00EC6E7E">
            <w:pPr>
              <w:topLinePunct/>
              <w:spacing w:line="240" w:lineRule="auto"/>
              <w:ind w:firstLineChars="0" w:firstLine="0"/>
              <w:jc w:val="center"/>
              <w:rPr>
                <w:rFonts w:ascii="宋体" w:hAnsi="宋体"/>
                <w:color w:val="auto"/>
                <w:sz w:val="21"/>
                <w:szCs w:val="21"/>
              </w:rPr>
            </w:pPr>
            <w:proofErr w:type="gramStart"/>
            <w:r>
              <w:rPr>
                <w:rFonts w:ascii="宋体" w:hAnsi="宋体"/>
                <w:color w:val="auto"/>
                <w:sz w:val="21"/>
                <w:szCs w:val="21"/>
              </w:rPr>
              <w:t>韩学刚</w:t>
            </w:r>
            <w:proofErr w:type="gramEnd"/>
          </w:p>
        </w:tc>
        <w:tc>
          <w:tcPr>
            <w:tcW w:w="1276"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G1</w:t>
            </w:r>
          </w:p>
        </w:tc>
        <w:tc>
          <w:tcPr>
            <w:tcW w:w="992"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2024.09</w:t>
            </w:r>
            <w:r>
              <w:rPr>
                <w:rFonts w:ascii="宋体" w:hAnsi="宋体"/>
                <w:color w:val="auto"/>
                <w:sz w:val="21"/>
                <w:szCs w:val="21"/>
              </w:rPr>
              <w:t xml:space="preserve"> </w:t>
            </w:r>
          </w:p>
        </w:tc>
        <w:tc>
          <w:tcPr>
            <w:tcW w:w="1134"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2028.08</w:t>
            </w:r>
          </w:p>
        </w:tc>
        <w:tc>
          <w:tcPr>
            <w:tcW w:w="2268"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532901197707131454</w:t>
            </w:r>
          </w:p>
        </w:tc>
        <w:tc>
          <w:tcPr>
            <w:tcW w:w="1983"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大理市市场监督管理局</w:t>
            </w:r>
          </w:p>
        </w:tc>
      </w:tr>
      <w:tr w:rsidR="003F13AB">
        <w:trPr>
          <w:trHeight w:val="340"/>
          <w:jc w:val="center"/>
        </w:trPr>
        <w:tc>
          <w:tcPr>
            <w:tcW w:w="504" w:type="dxa"/>
            <w:vAlign w:val="center"/>
          </w:tcPr>
          <w:p w:rsidR="003F13AB" w:rsidRDefault="003F13AB">
            <w:pPr>
              <w:pStyle w:val="afa"/>
              <w:numPr>
                <w:ilvl w:val="0"/>
                <w:numId w:val="9"/>
              </w:numPr>
              <w:topLinePunct/>
              <w:spacing w:line="240" w:lineRule="auto"/>
              <w:ind w:left="0" w:firstLineChars="0" w:firstLine="0"/>
              <w:jc w:val="center"/>
              <w:rPr>
                <w:rFonts w:ascii="宋体" w:hAnsi="宋体"/>
                <w:color w:val="auto"/>
                <w:sz w:val="21"/>
                <w:szCs w:val="21"/>
              </w:rPr>
            </w:pPr>
          </w:p>
        </w:tc>
        <w:tc>
          <w:tcPr>
            <w:tcW w:w="915"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蒋品国</w:t>
            </w:r>
          </w:p>
        </w:tc>
        <w:tc>
          <w:tcPr>
            <w:tcW w:w="1276"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G1</w:t>
            </w:r>
          </w:p>
        </w:tc>
        <w:tc>
          <w:tcPr>
            <w:tcW w:w="992"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2024.07</w:t>
            </w:r>
          </w:p>
        </w:tc>
        <w:tc>
          <w:tcPr>
            <w:tcW w:w="1134"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2028.06</w:t>
            </w:r>
          </w:p>
        </w:tc>
        <w:tc>
          <w:tcPr>
            <w:tcW w:w="2268"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532725197010041555</w:t>
            </w:r>
          </w:p>
        </w:tc>
        <w:tc>
          <w:tcPr>
            <w:tcW w:w="1983"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color w:val="auto"/>
                <w:sz w:val="21"/>
                <w:szCs w:val="21"/>
              </w:rPr>
              <w:t>昆明市西山区市场监督管理局</w:t>
            </w:r>
          </w:p>
        </w:tc>
      </w:tr>
    </w:tbl>
    <w:p w:rsidR="003F13AB" w:rsidRDefault="00EC6E7E">
      <w:pPr>
        <w:pStyle w:val="3"/>
      </w:pPr>
      <w:bookmarkStart w:id="80" w:name="_Toc187914395"/>
      <w:r>
        <w:t>2.</w:t>
      </w:r>
      <w:r>
        <w:rPr>
          <w:rFonts w:hint="eastAsia"/>
        </w:rPr>
        <w:t>5.5 事故应急救援预案</w:t>
      </w:r>
      <w:bookmarkEnd w:id="80"/>
    </w:p>
    <w:p w:rsidR="003F13AB" w:rsidRDefault="00EC6E7E">
      <w:pPr>
        <w:ind w:firstLine="560"/>
        <w:rPr>
          <w:rFonts w:ascii="宋体" w:hAnsi="宋体"/>
          <w:color w:val="auto"/>
        </w:rPr>
      </w:pPr>
      <w:r>
        <w:rPr>
          <w:rFonts w:ascii="宋体" w:hAnsi="宋体" w:hint="eastAsia"/>
          <w:color w:val="auto"/>
        </w:rPr>
        <w:t>（1）应急预案编制情况</w:t>
      </w:r>
    </w:p>
    <w:p w:rsidR="003F13AB" w:rsidRDefault="00EC6E7E">
      <w:pPr>
        <w:ind w:firstLine="560"/>
        <w:rPr>
          <w:rFonts w:ascii="宋体" w:hAnsi="宋体"/>
          <w:color w:val="auto"/>
        </w:rPr>
      </w:pPr>
      <w:r>
        <w:rPr>
          <w:rFonts w:ascii="宋体" w:hAnsi="宋体" w:hint="eastAsia"/>
          <w:color w:val="auto"/>
        </w:rPr>
        <w:t>农家乐公司于</w:t>
      </w:r>
      <w:r>
        <w:rPr>
          <w:rFonts w:ascii="宋体" w:hAnsi="宋体"/>
          <w:color w:val="auto"/>
        </w:rPr>
        <w:t>202</w:t>
      </w:r>
      <w:r>
        <w:rPr>
          <w:rFonts w:ascii="宋体" w:hAnsi="宋体" w:hint="eastAsia"/>
          <w:color w:val="auto"/>
        </w:rPr>
        <w:t>4年</w:t>
      </w:r>
      <w:r>
        <w:rPr>
          <w:rFonts w:ascii="宋体" w:hAnsi="宋体"/>
          <w:color w:val="auto"/>
        </w:rPr>
        <w:t>0</w:t>
      </w:r>
      <w:r>
        <w:rPr>
          <w:rFonts w:ascii="宋体" w:hAnsi="宋体" w:hint="eastAsia"/>
          <w:color w:val="auto"/>
        </w:rPr>
        <w:t>5月编制了《云南农家乐农业集团有限公司生产安全事故应急预案》，该预案主要包括专家评审意见、总则、事故风险描述、应急组织机构及职责、预警及信息报告、应急响应、信息公开、后期处置、应急救援保障、应急预案管理、专项应急预案、事故现场处置方案、附件等内容。</w:t>
      </w:r>
    </w:p>
    <w:p w:rsidR="003F13AB" w:rsidRDefault="00EC6E7E">
      <w:pPr>
        <w:ind w:firstLine="560"/>
        <w:rPr>
          <w:rFonts w:ascii="宋体" w:hAnsi="宋体"/>
          <w:color w:val="auto"/>
        </w:rPr>
      </w:pPr>
      <w:r>
        <w:rPr>
          <w:rFonts w:ascii="宋体" w:hAnsi="宋体" w:hint="eastAsia"/>
          <w:color w:val="auto"/>
        </w:rPr>
        <w:t>（2）应急预案备案、演练情况</w:t>
      </w:r>
    </w:p>
    <w:p w:rsidR="003F13AB" w:rsidRDefault="00EC6E7E">
      <w:pPr>
        <w:ind w:firstLine="560"/>
        <w:rPr>
          <w:color w:val="auto"/>
        </w:rPr>
      </w:pPr>
      <w:r>
        <w:rPr>
          <w:rFonts w:ascii="宋体" w:hAnsi="宋体" w:hint="eastAsia"/>
          <w:color w:val="auto"/>
        </w:rPr>
        <w:t>农家乐公司的应急预案于</w:t>
      </w:r>
      <w:r>
        <w:rPr>
          <w:rFonts w:ascii="宋体" w:hAnsi="宋体"/>
          <w:color w:val="auto"/>
        </w:rPr>
        <w:t>202</w:t>
      </w:r>
      <w:r>
        <w:rPr>
          <w:rFonts w:ascii="宋体" w:hAnsi="宋体" w:hint="eastAsia"/>
          <w:color w:val="auto"/>
        </w:rPr>
        <w:t>4年05月11日在昆明市晋宁区应急管理局进行备案，取得了应急预案备案登记表，备案编号530115-2024-015（危），备案证详见附件8.24；于2</w:t>
      </w:r>
      <w:r>
        <w:rPr>
          <w:rFonts w:ascii="宋体" w:hAnsi="宋体"/>
          <w:color w:val="auto"/>
        </w:rPr>
        <w:t>0</w:t>
      </w:r>
      <w:r>
        <w:rPr>
          <w:rFonts w:ascii="宋体" w:hAnsi="宋体" w:hint="eastAsia"/>
          <w:color w:val="auto"/>
        </w:rPr>
        <w:t>24年06月24日组织员工进行了消</w:t>
      </w:r>
      <w:r w:rsidRPr="00611B5C">
        <w:rPr>
          <w:rFonts w:ascii="宋体" w:hAnsi="宋体" w:hint="eastAsia"/>
          <w:color w:val="auto"/>
        </w:rPr>
        <w:t>防火灾事故</w:t>
      </w:r>
      <w:r>
        <w:rPr>
          <w:rFonts w:ascii="宋体" w:hAnsi="宋体" w:hint="eastAsia"/>
          <w:color w:val="auto"/>
        </w:rPr>
        <w:t>应急演练，并提供了演练记录等，详见报告附件8.25。</w:t>
      </w:r>
    </w:p>
    <w:p w:rsidR="003F13AB" w:rsidRDefault="00EC6E7E">
      <w:pPr>
        <w:pStyle w:val="3"/>
      </w:pPr>
      <w:bookmarkStart w:id="81" w:name="_Toc187914396"/>
      <w:r>
        <w:t>2.</w:t>
      </w:r>
      <w:r>
        <w:rPr>
          <w:rFonts w:hint="eastAsia"/>
        </w:rPr>
        <w:t>5.6 保险购买情况及劳动防护用品发放情况</w:t>
      </w:r>
      <w:bookmarkEnd w:id="81"/>
    </w:p>
    <w:p w:rsidR="003F13AB" w:rsidRDefault="00EC6E7E">
      <w:pPr>
        <w:ind w:firstLine="560"/>
        <w:rPr>
          <w:color w:val="auto"/>
        </w:rPr>
      </w:pPr>
      <w:r>
        <w:rPr>
          <w:rFonts w:hint="eastAsia"/>
          <w:color w:val="auto"/>
        </w:rPr>
        <w:t>（</w:t>
      </w:r>
      <w:r>
        <w:rPr>
          <w:rFonts w:hint="eastAsia"/>
          <w:color w:val="auto"/>
        </w:rPr>
        <w:t>1</w:t>
      </w:r>
      <w:r>
        <w:rPr>
          <w:rFonts w:hint="eastAsia"/>
          <w:color w:val="auto"/>
        </w:rPr>
        <w:t>）保险购买情况</w:t>
      </w:r>
    </w:p>
    <w:p w:rsidR="003F13AB" w:rsidRDefault="00EC6E7E">
      <w:pPr>
        <w:topLinePunct/>
        <w:ind w:firstLine="560"/>
        <w:rPr>
          <w:rFonts w:ascii="宋体" w:hAnsi="宋体"/>
          <w:color w:val="auto"/>
        </w:rPr>
      </w:pPr>
      <w:r>
        <w:rPr>
          <w:rFonts w:ascii="宋体" w:hAnsi="宋体" w:hint="eastAsia"/>
          <w:color w:val="auto"/>
        </w:rPr>
        <w:t>农家乐公司为员工购买了工伤保险，员工安全有保障，材料详见附件8.22。</w:t>
      </w:r>
    </w:p>
    <w:p w:rsidR="003F13AB" w:rsidRDefault="00EC6E7E">
      <w:pPr>
        <w:ind w:firstLine="560"/>
        <w:rPr>
          <w:color w:val="auto"/>
        </w:rPr>
      </w:pPr>
      <w:r>
        <w:rPr>
          <w:rFonts w:hint="eastAsia"/>
          <w:color w:val="auto"/>
        </w:rPr>
        <w:t>（</w:t>
      </w:r>
      <w:r>
        <w:rPr>
          <w:rFonts w:hint="eastAsia"/>
          <w:color w:val="auto"/>
        </w:rPr>
        <w:t>2</w:t>
      </w:r>
      <w:r>
        <w:rPr>
          <w:rFonts w:hint="eastAsia"/>
          <w:color w:val="auto"/>
        </w:rPr>
        <w:t>）劳动防护用品发放情况</w:t>
      </w:r>
    </w:p>
    <w:p w:rsidR="003F13AB" w:rsidRDefault="00EC6E7E">
      <w:pPr>
        <w:topLinePunct/>
        <w:ind w:firstLine="560"/>
        <w:rPr>
          <w:rFonts w:ascii="宋体" w:hAnsi="宋体"/>
          <w:color w:val="auto"/>
        </w:rPr>
      </w:pPr>
      <w:r>
        <w:rPr>
          <w:rFonts w:ascii="宋体" w:hAnsi="宋体" w:hint="eastAsia"/>
          <w:color w:val="auto"/>
        </w:rPr>
        <w:t>农家乐公司能够及时为员工发放劳动防护用品，材料详见附件8.23。</w:t>
      </w:r>
    </w:p>
    <w:p w:rsidR="003F13AB" w:rsidRDefault="00EC6E7E">
      <w:pPr>
        <w:pStyle w:val="2"/>
      </w:pPr>
      <w:bookmarkStart w:id="82" w:name="_Toc166857566"/>
      <w:bookmarkStart w:id="83" w:name="_Toc187914397"/>
      <w:r>
        <w:t>2.</w:t>
      </w:r>
      <w:r>
        <w:rPr>
          <w:rFonts w:hint="eastAsia"/>
        </w:rPr>
        <w:t>6 安全设施设置情况</w:t>
      </w:r>
      <w:bookmarkEnd w:id="82"/>
      <w:bookmarkEnd w:id="83"/>
    </w:p>
    <w:p w:rsidR="003F13AB" w:rsidRDefault="00EC6E7E">
      <w:pPr>
        <w:pStyle w:val="3"/>
      </w:pPr>
      <w:bookmarkStart w:id="84" w:name="_Toc187914398"/>
      <w:r>
        <w:rPr>
          <w:rFonts w:hint="eastAsia"/>
        </w:rPr>
        <w:t>2.6.1 预防和控制事故设施</w:t>
      </w:r>
      <w:bookmarkEnd w:id="84"/>
    </w:p>
    <w:p w:rsidR="003F13AB" w:rsidRDefault="00EC6E7E">
      <w:pPr>
        <w:pStyle w:val="4"/>
        <w:keepNext w:val="0"/>
        <w:ind w:firstLineChars="200" w:firstLine="562"/>
        <w:rPr>
          <w:rFonts w:eastAsia="宋体"/>
          <w:b/>
          <w:szCs w:val="20"/>
        </w:rPr>
      </w:pPr>
      <w:r>
        <w:rPr>
          <w:rFonts w:eastAsia="宋体" w:hint="eastAsia"/>
          <w:b/>
          <w:szCs w:val="20"/>
        </w:rPr>
        <w:t>2.6.1.1 检测、报警设施</w:t>
      </w:r>
    </w:p>
    <w:p w:rsidR="003F13AB" w:rsidRDefault="00EC6E7E">
      <w:pPr>
        <w:ind w:firstLine="560"/>
        <w:rPr>
          <w:rFonts w:ascii="宋体" w:hAnsi="宋体"/>
          <w:color w:val="auto"/>
        </w:rPr>
      </w:pPr>
      <w:r>
        <w:rPr>
          <w:rFonts w:hint="eastAsia"/>
          <w:color w:val="auto"/>
        </w:rPr>
        <w:t>在锅炉房和热风炉附近设置防爆型数显声光报警可燃气体检测系统，在线监测锅炉房室内天然气的含量。可燃气体检测探头选择阀门、管道接</w:t>
      </w:r>
      <w:r>
        <w:rPr>
          <w:rFonts w:hint="eastAsia"/>
          <w:color w:val="auto"/>
        </w:rPr>
        <w:lastRenderedPageBreak/>
        <w:t>口、或易泄漏处附近水平</w:t>
      </w:r>
      <w:r>
        <w:rPr>
          <w:rFonts w:hint="eastAsia"/>
          <w:color w:val="auto"/>
        </w:rPr>
        <w:t>5m</w:t>
      </w:r>
      <w:r>
        <w:rPr>
          <w:rFonts w:hint="eastAsia"/>
          <w:color w:val="auto"/>
        </w:rPr>
        <w:t>的范围内，探测器分两层布置，下层设置在高于释放源垂直距离</w:t>
      </w:r>
      <w:r>
        <w:rPr>
          <w:rFonts w:hint="eastAsia"/>
          <w:color w:val="auto"/>
        </w:rPr>
        <w:t>2m</w:t>
      </w:r>
      <w:r>
        <w:rPr>
          <w:rFonts w:hint="eastAsia"/>
          <w:color w:val="auto"/>
        </w:rPr>
        <w:t>处，上层设置在离屋顶</w:t>
      </w:r>
      <w:r>
        <w:rPr>
          <w:rFonts w:hint="eastAsia"/>
          <w:color w:val="auto"/>
        </w:rPr>
        <w:t>30cm</w:t>
      </w:r>
      <w:r>
        <w:rPr>
          <w:rFonts w:hint="eastAsia"/>
          <w:color w:val="auto"/>
        </w:rPr>
        <w:t>处。报警信号引至控制室，可燃气体浓度超标时，现场探测器发出声光报警信号并在控制室进行集中报警，同时启动事故排风机，关闭天然气进气总管电磁切断阀。</w:t>
      </w:r>
    </w:p>
    <w:p w:rsidR="003F13AB" w:rsidRDefault="00EC6E7E">
      <w:pPr>
        <w:pStyle w:val="4"/>
        <w:keepNext w:val="0"/>
        <w:ind w:firstLineChars="200" w:firstLine="562"/>
        <w:rPr>
          <w:rFonts w:eastAsia="宋体"/>
          <w:b/>
          <w:szCs w:val="20"/>
        </w:rPr>
      </w:pPr>
      <w:r>
        <w:rPr>
          <w:rFonts w:eastAsia="宋体" w:hint="eastAsia"/>
          <w:b/>
          <w:szCs w:val="20"/>
        </w:rPr>
        <w:t>2.6.1.2 设备安全防护设施</w:t>
      </w:r>
    </w:p>
    <w:p w:rsidR="003F13AB" w:rsidRDefault="00EC6E7E">
      <w:pPr>
        <w:ind w:firstLine="560"/>
        <w:rPr>
          <w:color w:val="auto"/>
        </w:rPr>
      </w:pPr>
      <w:r>
        <w:rPr>
          <w:rFonts w:hint="eastAsia"/>
          <w:color w:val="auto"/>
        </w:rPr>
        <w:t>（</w:t>
      </w:r>
      <w:r>
        <w:rPr>
          <w:rFonts w:hint="eastAsia"/>
          <w:color w:val="auto"/>
        </w:rPr>
        <w:t>1</w:t>
      </w:r>
      <w:r>
        <w:rPr>
          <w:rFonts w:hint="eastAsia"/>
          <w:color w:val="auto"/>
        </w:rPr>
        <w:t>）防护罩</w:t>
      </w:r>
    </w:p>
    <w:p w:rsidR="003F13AB" w:rsidRDefault="00EC6E7E">
      <w:pPr>
        <w:ind w:firstLine="560"/>
        <w:rPr>
          <w:color w:val="auto"/>
        </w:rPr>
      </w:pPr>
      <w:r>
        <w:rPr>
          <w:rFonts w:hint="eastAsia"/>
          <w:color w:val="auto"/>
        </w:rPr>
        <w:t>机、</w:t>
      </w:r>
      <w:proofErr w:type="gramStart"/>
      <w:r>
        <w:rPr>
          <w:rFonts w:hint="eastAsia"/>
          <w:color w:val="auto"/>
        </w:rPr>
        <w:t>泵设备</w:t>
      </w:r>
      <w:proofErr w:type="gramEnd"/>
      <w:r>
        <w:rPr>
          <w:rFonts w:hint="eastAsia"/>
          <w:color w:val="auto"/>
        </w:rPr>
        <w:t>的外露转动部分，安装安全防护罩。</w:t>
      </w:r>
    </w:p>
    <w:p w:rsidR="003F13AB" w:rsidRDefault="00EC6E7E">
      <w:pPr>
        <w:ind w:firstLine="560"/>
        <w:rPr>
          <w:color w:val="auto"/>
        </w:rPr>
      </w:pPr>
      <w:r>
        <w:rPr>
          <w:rFonts w:hint="eastAsia"/>
          <w:color w:val="auto"/>
        </w:rPr>
        <w:t>（</w:t>
      </w:r>
      <w:r>
        <w:rPr>
          <w:rFonts w:hint="eastAsia"/>
          <w:color w:val="auto"/>
        </w:rPr>
        <w:t>2</w:t>
      </w:r>
      <w:r>
        <w:rPr>
          <w:rFonts w:hint="eastAsia"/>
          <w:color w:val="auto"/>
        </w:rPr>
        <w:t>）防雷、防静电</w:t>
      </w:r>
    </w:p>
    <w:p w:rsidR="003F13AB" w:rsidRDefault="00EC6E7E">
      <w:pPr>
        <w:ind w:firstLine="560"/>
        <w:rPr>
          <w:color w:val="auto"/>
        </w:rPr>
      </w:pPr>
      <w:r>
        <w:rPr>
          <w:rFonts w:hint="eastAsia"/>
          <w:color w:val="auto"/>
        </w:rPr>
        <w:t>1</w:t>
      </w:r>
      <w:r>
        <w:rPr>
          <w:rFonts w:hint="eastAsia"/>
          <w:color w:val="auto"/>
        </w:rPr>
        <w:t>）综合楼、办公楼</w:t>
      </w:r>
    </w:p>
    <w:p w:rsidR="003F13AB" w:rsidRDefault="00EC6E7E">
      <w:pPr>
        <w:ind w:firstLine="560"/>
        <w:rPr>
          <w:color w:val="auto"/>
        </w:rPr>
      </w:pPr>
      <w:r>
        <w:rPr>
          <w:rFonts w:hint="eastAsia"/>
          <w:color w:val="auto"/>
        </w:rPr>
        <w:t>综合楼和办公楼按三类防雷建筑物进行设计，建筑物的防雷装置满足防直击雷、雷电波侵入，并设置总等电位联结。在屋顶采用φ</w:t>
      </w:r>
      <w:r>
        <w:rPr>
          <w:rFonts w:hint="eastAsia"/>
          <w:color w:val="auto"/>
        </w:rPr>
        <w:t>10</w:t>
      </w:r>
      <w:r>
        <w:rPr>
          <w:rFonts w:hint="eastAsia"/>
          <w:color w:val="auto"/>
        </w:rPr>
        <w:t>的热镀锌圆钢作为避雷带，屋顶避雷带连接线网格不大于</w:t>
      </w:r>
      <w:r>
        <w:rPr>
          <w:rFonts w:hint="eastAsia"/>
          <w:color w:val="auto"/>
        </w:rPr>
        <w:t>20m</w:t>
      </w:r>
      <w:r>
        <w:rPr>
          <w:rFonts w:hint="eastAsia"/>
          <w:color w:val="auto"/>
        </w:rPr>
        <w:t>×</w:t>
      </w:r>
      <w:r>
        <w:rPr>
          <w:rFonts w:hint="eastAsia"/>
          <w:color w:val="auto"/>
        </w:rPr>
        <w:t>20m</w:t>
      </w:r>
      <w:r>
        <w:rPr>
          <w:rFonts w:hint="eastAsia"/>
          <w:color w:val="auto"/>
        </w:rPr>
        <w:t>或</w:t>
      </w:r>
      <w:r>
        <w:rPr>
          <w:rFonts w:hint="eastAsia"/>
          <w:color w:val="auto"/>
        </w:rPr>
        <w:t>24m</w:t>
      </w:r>
      <w:r>
        <w:rPr>
          <w:rFonts w:hint="eastAsia"/>
          <w:color w:val="auto"/>
        </w:rPr>
        <w:t>×</w:t>
      </w:r>
      <w:r>
        <w:rPr>
          <w:rFonts w:hint="eastAsia"/>
          <w:color w:val="auto"/>
        </w:rPr>
        <w:t>16m</w:t>
      </w:r>
      <w:r>
        <w:rPr>
          <w:rFonts w:hint="eastAsia"/>
          <w:color w:val="auto"/>
        </w:rPr>
        <w:t>。</w:t>
      </w:r>
    </w:p>
    <w:p w:rsidR="003F13AB" w:rsidRDefault="00EC6E7E">
      <w:pPr>
        <w:ind w:firstLine="560"/>
        <w:rPr>
          <w:color w:val="auto"/>
        </w:rPr>
      </w:pPr>
      <w:r>
        <w:rPr>
          <w:rFonts w:hint="eastAsia"/>
          <w:color w:val="auto"/>
        </w:rPr>
        <w:t>利用建筑物柱内两根不小于φ</w:t>
      </w:r>
      <w:r>
        <w:rPr>
          <w:rFonts w:hint="eastAsia"/>
          <w:color w:val="auto"/>
        </w:rPr>
        <w:t>16</w:t>
      </w:r>
      <w:r>
        <w:rPr>
          <w:rFonts w:hint="eastAsia"/>
          <w:color w:val="auto"/>
        </w:rPr>
        <w:t>的钢筋焊接作为引下线，引下线的间距不大于</w:t>
      </w:r>
      <w:r>
        <w:rPr>
          <w:rFonts w:hint="eastAsia"/>
          <w:color w:val="auto"/>
        </w:rPr>
        <w:t>25m</w:t>
      </w:r>
      <w:r>
        <w:rPr>
          <w:rFonts w:hint="eastAsia"/>
          <w:color w:val="auto"/>
        </w:rPr>
        <w:t>。接地极为建筑物基础底梁上的上下两层钢筋中的两根不小于φ</w:t>
      </w:r>
      <w:r>
        <w:rPr>
          <w:rFonts w:hint="eastAsia"/>
          <w:color w:val="auto"/>
        </w:rPr>
        <w:t>16</w:t>
      </w:r>
      <w:r>
        <w:rPr>
          <w:rFonts w:hint="eastAsia"/>
          <w:color w:val="auto"/>
        </w:rPr>
        <w:t>的钢筋通长</w:t>
      </w:r>
      <w:proofErr w:type="gramStart"/>
      <w:r>
        <w:rPr>
          <w:rFonts w:hint="eastAsia"/>
          <w:color w:val="auto"/>
        </w:rPr>
        <w:t>连接型成的</w:t>
      </w:r>
      <w:proofErr w:type="gramEnd"/>
      <w:r>
        <w:rPr>
          <w:rFonts w:hint="eastAsia"/>
          <w:color w:val="auto"/>
        </w:rPr>
        <w:t>基础接地网。引下线上端与避雷带连接，下端与接地极连接。</w:t>
      </w:r>
      <w:proofErr w:type="gramStart"/>
      <w:r>
        <w:rPr>
          <w:rFonts w:hint="eastAsia"/>
          <w:color w:val="auto"/>
        </w:rPr>
        <w:t>凡突出</w:t>
      </w:r>
      <w:proofErr w:type="gramEnd"/>
      <w:r>
        <w:rPr>
          <w:rFonts w:hint="eastAsia"/>
          <w:color w:val="auto"/>
        </w:rPr>
        <w:t>屋面的所有金属构件、金属屋面、金属屋架等均与避雷带可靠连接。</w:t>
      </w:r>
    </w:p>
    <w:p w:rsidR="003F13AB" w:rsidRDefault="00EC6E7E">
      <w:pPr>
        <w:ind w:firstLine="560"/>
        <w:rPr>
          <w:color w:val="auto"/>
        </w:rPr>
      </w:pPr>
      <w:r>
        <w:rPr>
          <w:rFonts w:hint="eastAsia"/>
          <w:color w:val="auto"/>
        </w:rPr>
        <w:t>2</w:t>
      </w:r>
      <w:r>
        <w:rPr>
          <w:rFonts w:hint="eastAsia"/>
          <w:color w:val="auto"/>
        </w:rPr>
        <w:t>）成品仓库、原料仓库、丙类仓库</w:t>
      </w:r>
    </w:p>
    <w:p w:rsidR="003F13AB" w:rsidRDefault="00EC6E7E">
      <w:pPr>
        <w:ind w:firstLine="560"/>
        <w:rPr>
          <w:color w:val="auto"/>
        </w:rPr>
      </w:pPr>
      <w:r>
        <w:rPr>
          <w:rFonts w:hint="eastAsia"/>
          <w:color w:val="auto"/>
        </w:rPr>
        <w:t>成品仓库、原料仓库、丙类仓库按二类防雷建筑物进行设计，建筑物的防雷装置满足防直击雷、雷电波侵入，并设置总等电位联结。采用金属屋面作为接闪器，利用建筑物钢柱作为引下线，引下线的间距不大于</w:t>
      </w:r>
      <w:r>
        <w:rPr>
          <w:rFonts w:hint="eastAsia"/>
          <w:color w:val="auto"/>
        </w:rPr>
        <w:t>18m</w:t>
      </w:r>
      <w:r>
        <w:rPr>
          <w:rFonts w:hint="eastAsia"/>
          <w:color w:val="auto"/>
        </w:rPr>
        <w:t>。接地极为建筑物基础底梁上的上下两层钢筋中的两根不小于φ</w:t>
      </w:r>
      <w:r>
        <w:rPr>
          <w:rFonts w:hint="eastAsia"/>
          <w:color w:val="auto"/>
        </w:rPr>
        <w:t>16</w:t>
      </w:r>
      <w:r>
        <w:rPr>
          <w:rFonts w:hint="eastAsia"/>
          <w:color w:val="auto"/>
        </w:rPr>
        <w:t>的钢筋通长</w:t>
      </w:r>
      <w:proofErr w:type="gramStart"/>
      <w:r>
        <w:rPr>
          <w:rFonts w:hint="eastAsia"/>
          <w:color w:val="auto"/>
        </w:rPr>
        <w:t>连接型成的</w:t>
      </w:r>
      <w:proofErr w:type="gramEnd"/>
      <w:r>
        <w:rPr>
          <w:rFonts w:hint="eastAsia"/>
          <w:color w:val="auto"/>
        </w:rPr>
        <w:t>基础接地网。引下线上端与避雷带连接，下端与接地极连接。</w:t>
      </w:r>
      <w:proofErr w:type="gramStart"/>
      <w:r>
        <w:rPr>
          <w:rFonts w:hint="eastAsia"/>
          <w:color w:val="auto"/>
        </w:rPr>
        <w:t>凡突出</w:t>
      </w:r>
      <w:proofErr w:type="gramEnd"/>
      <w:r>
        <w:rPr>
          <w:rFonts w:hint="eastAsia"/>
          <w:color w:val="auto"/>
        </w:rPr>
        <w:t>屋面的所有金属构件、金属屋面、金属屋架等均与避雷带可靠连接。</w:t>
      </w:r>
    </w:p>
    <w:p w:rsidR="003F13AB" w:rsidRDefault="00EC6E7E">
      <w:pPr>
        <w:ind w:firstLine="560"/>
        <w:rPr>
          <w:color w:val="auto"/>
        </w:rPr>
      </w:pPr>
      <w:r>
        <w:rPr>
          <w:rFonts w:hint="eastAsia"/>
          <w:color w:val="auto"/>
        </w:rPr>
        <w:t>3</w:t>
      </w:r>
      <w:r>
        <w:rPr>
          <w:rFonts w:hint="eastAsia"/>
          <w:color w:val="auto"/>
        </w:rPr>
        <w:t>）生产厂房</w:t>
      </w:r>
    </w:p>
    <w:p w:rsidR="003F13AB" w:rsidRDefault="00EC6E7E">
      <w:pPr>
        <w:ind w:firstLine="560"/>
        <w:rPr>
          <w:color w:val="auto"/>
        </w:rPr>
      </w:pPr>
      <w:r>
        <w:rPr>
          <w:rFonts w:hint="eastAsia"/>
          <w:color w:val="auto"/>
        </w:rPr>
        <w:lastRenderedPageBreak/>
        <w:t>生产厂房按三类防雷建筑物进行设计，建筑物的防雷装置满足防直击雷、雷电波侵入，并设置总等电位联结。采用金属屋面作为接闪器，利用建筑物钢柱作为引下线，引下线的间距不大于</w:t>
      </w:r>
      <w:r>
        <w:rPr>
          <w:rFonts w:hint="eastAsia"/>
          <w:color w:val="auto"/>
        </w:rPr>
        <w:t>25m</w:t>
      </w:r>
      <w:r>
        <w:rPr>
          <w:rFonts w:hint="eastAsia"/>
          <w:color w:val="auto"/>
        </w:rPr>
        <w:t>。接地极为建筑物基础底梁上的上下两层钢筋中的两根不小于φ</w:t>
      </w:r>
      <w:r>
        <w:rPr>
          <w:rFonts w:hint="eastAsia"/>
          <w:color w:val="auto"/>
        </w:rPr>
        <w:t>16</w:t>
      </w:r>
      <w:r>
        <w:rPr>
          <w:rFonts w:hint="eastAsia"/>
          <w:color w:val="auto"/>
        </w:rPr>
        <w:t>的钢筋通长</w:t>
      </w:r>
      <w:proofErr w:type="gramStart"/>
      <w:r>
        <w:rPr>
          <w:rFonts w:hint="eastAsia"/>
          <w:color w:val="auto"/>
        </w:rPr>
        <w:t>连接型成的</w:t>
      </w:r>
      <w:proofErr w:type="gramEnd"/>
      <w:r>
        <w:rPr>
          <w:rFonts w:hint="eastAsia"/>
          <w:color w:val="auto"/>
        </w:rPr>
        <w:t>基础接地网。引下线上端与避雷带连接，下端与接地极连接。</w:t>
      </w:r>
      <w:proofErr w:type="gramStart"/>
      <w:r>
        <w:rPr>
          <w:rFonts w:hint="eastAsia"/>
          <w:color w:val="auto"/>
        </w:rPr>
        <w:t>凡突出</w:t>
      </w:r>
      <w:proofErr w:type="gramEnd"/>
      <w:r>
        <w:rPr>
          <w:rFonts w:hint="eastAsia"/>
          <w:color w:val="auto"/>
        </w:rPr>
        <w:t>屋面的所有金属构件、金属屋面、金属屋架等均与避雷带可靠连接。</w:t>
      </w:r>
    </w:p>
    <w:p w:rsidR="003F13AB" w:rsidRDefault="00EC6E7E">
      <w:pPr>
        <w:ind w:firstLine="560"/>
        <w:rPr>
          <w:color w:val="auto"/>
        </w:rPr>
      </w:pPr>
      <w:r>
        <w:rPr>
          <w:rFonts w:hint="eastAsia"/>
          <w:color w:val="auto"/>
        </w:rPr>
        <w:t>4</w:t>
      </w:r>
      <w:r>
        <w:rPr>
          <w:rFonts w:hint="eastAsia"/>
          <w:color w:val="auto"/>
        </w:rPr>
        <w:t>）设备、电气设施及仪表接地</w:t>
      </w:r>
    </w:p>
    <w:p w:rsidR="003F13AB" w:rsidRDefault="00EC6E7E">
      <w:pPr>
        <w:ind w:firstLine="560"/>
        <w:rPr>
          <w:color w:val="auto"/>
        </w:rPr>
      </w:pPr>
      <w:r>
        <w:rPr>
          <w:rFonts w:hint="eastAsia"/>
          <w:color w:val="auto"/>
        </w:rPr>
        <w:t>防雷接地、电气设备的保护接地、弱电的接地等共用统一的接地极，接地电阻值要求为上述接地系统接地电阻最小值，不大于</w:t>
      </w:r>
      <w:r>
        <w:rPr>
          <w:rFonts w:hint="eastAsia"/>
          <w:color w:val="auto"/>
        </w:rPr>
        <w:t>4</w:t>
      </w:r>
      <w:r>
        <w:rPr>
          <w:rFonts w:hint="eastAsia"/>
          <w:color w:val="auto"/>
        </w:rPr>
        <w:t>Ω，实测达不到要求时，增设人工接地极。信息系统及控制系统单独进行接地，接地电阻不大于</w:t>
      </w:r>
      <w:r>
        <w:rPr>
          <w:rFonts w:hint="eastAsia"/>
          <w:color w:val="auto"/>
        </w:rPr>
        <w:t>1</w:t>
      </w:r>
      <w:r>
        <w:rPr>
          <w:rFonts w:hint="eastAsia"/>
          <w:color w:val="auto"/>
        </w:rPr>
        <w:t>Ω，实测达不到要求时，增设人工接地极。</w:t>
      </w:r>
    </w:p>
    <w:p w:rsidR="003F13AB" w:rsidRDefault="00EC6E7E">
      <w:pPr>
        <w:ind w:firstLine="560"/>
        <w:rPr>
          <w:color w:val="auto"/>
        </w:rPr>
      </w:pPr>
      <w:r>
        <w:rPr>
          <w:rFonts w:hint="eastAsia"/>
          <w:color w:val="auto"/>
        </w:rPr>
        <w:t>根据控制系统和检测设备要求设置接地系统，包括屏蔽电缆层、</w:t>
      </w:r>
      <w:r>
        <w:rPr>
          <w:rFonts w:hint="eastAsia"/>
          <w:color w:val="auto"/>
        </w:rPr>
        <w:t>PLC</w:t>
      </w:r>
      <w:r>
        <w:rPr>
          <w:rFonts w:hint="eastAsia"/>
          <w:color w:val="auto"/>
        </w:rPr>
        <w:t>、现场仪表的系统接地。</w:t>
      </w:r>
    </w:p>
    <w:p w:rsidR="003F13AB" w:rsidRDefault="00EC6E7E">
      <w:pPr>
        <w:ind w:firstLine="560"/>
        <w:rPr>
          <w:color w:val="auto"/>
        </w:rPr>
      </w:pPr>
      <w:r>
        <w:rPr>
          <w:rFonts w:hint="eastAsia"/>
          <w:color w:val="auto"/>
        </w:rPr>
        <w:t>电气系统</w:t>
      </w:r>
      <w:proofErr w:type="gramStart"/>
      <w:r>
        <w:rPr>
          <w:rFonts w:hint="eastAsia"/>
          <w:color w:val="auto"/>
        </w:rPr>
        <w:t>采用总</w:t>
      </w:r>
      <w:proofErr w:type="gramEnd"/>
      <w:r>
        <w:rPr>
          <w:rFonts w:hint="eastAsia"/>
          <w:color w:val="auto"/>
        </w:rPr>
        <w:t>等电位联结，总等电位板由紫铜板制成，将建筑物内保护干线、设备进线总管等进行联结，设置三级浪涌保护装置，符合防雷的要求。控制室采用防静电地板及局部等电位连接，燃气管道采用局部等电位连接。</w:t>
      </w:r>
    </w:p>
    <w:p w:rsidR="003F13AB" w:rsidRDefault="00EC6E7E">
      <w:pPr>
        <w:ind w:firstLine="560"/>
        <w:rPr>
          <w:color w:val="auto"/>
        </w:rPr>
      </w:pPr>
      <w:proofErr w:type="gramStart"/>
      <w:r>
        <w:rPr>
          <w:rFonts w:hint="eastAsia"/>
          <w:color w:val="auto"/>
        </w:rPr>
        <w:t>凡正常不</w:t>
      </w:r>
      <w:proofErr w:type="gramEnd"/>
      <w:r>
        <w:rPr>
          <w:rFonts w:hint="eastAsia"/>
          <w:color w:val="auto"/>
        </w:rPr>
        <w:t>带电而当绝缘破坏有可能呈现电压的一切电气设备金属外壳均应可靠接地。天然气输送管道、金属外壳等各类金属设备、</w:t>
      </w:r>
      <w:r>
        <w:rPr>
          <w:rFonts w:hint="eastAsia"/>
          <w:color w:val="auto"/>
        </w:rPr>
        <w:t>PE</w:t>
      </w:r>
      <w:r>
        <w:rPr>
          <w:rFonts w:hint="eastAsia"/>
          <w:color w:val="auto"/>
        </w:rPr>
        <w:t>保护线等均与接地干线可靠连接，各类金属管道、法兰等之间采用不小于</w:t>
      </w:r>
      <w:r>
        <w:rPr>
          <w:rFonts w:hint="eastAsia"/>
          <w:color w:val="auto"/>
        </w:rPr>
        <w:t>BVR-1x16mm</w:t>
      </w:r>
      <w:r>
        <w:rPr>
          <w:rFonts w:hint="eastAsia"/>
          <w:color w:val="auto"/>
          <w:vertAlign w:val="superscript"/>
        </w:rPr>
        <w:t>2</w:t>
      </w:r>
      <w:proofErr w:type="gramStart"/>
      <w:r>
        <w:rPr>
          <w:rFonts w:hint="eastAsia"/>
          <w:color w:val="auto"/>
        </w:rPr>
        <w:t>软铜导线</w:t>
      </w:r>
      <w:proofErr w:type="gramEnd"/>
      <w:r>
        <w:rPr>
          <w:rFonts w:hint="eastAsia"/>
          <w:color w:val="auto"/>
        </w:rPr>
        <w:t>可靠连接成电气通路。在管道上的法兰两端等连接处，采用金属铜片跨接。</w:t>
      </w:r>
    </w:p>
    <w:p w:rsidR="003F13AB" w:rsidRDefault="00EC6E7E">
      <w:pPr>
        <w:ind w:firstLine="560"/>
        <w:rPr>
          <w:color w:val="auto"/>
        </w:rPr>
      </w:pPr>
      <w:r>
        <w:rPr>
          <w:rFonts w:hint="eastAsia"/>
          <w:color w:val="auto"/>
        </w:rPr>
        <w:t>所有电气设备均有完好的接地设施，形成接地网。为了提高用电安全性，配电系统接地型式采用</w:t>
      </w:r>
      <w:r>
        <w:rPr>
          <w:rFonts w:hint="eastAsia"/>
          <w:color w:val="auto"/>
        </w:rPr>
        <w:t>TN</w:t>
      </w:r>
      <w:r>
        <w:rPr>
          <w:rFonts w:hint="eastAsia"/>
          <w:color w:val="auto"/>
        </w:rPr>
        <w:t>－</w:t>
      </w:r>
      <w:r>
        <w:rPr>
          <w:rFonts w:hint="eastAsia"/>
          <w:color w:val="auto"/>
        </w:rPr>
        <w:t>S</w:t>
      </w:r>
      <w:r>
        <w:rPr>
          <w:rFonts w:hint="eastAsia"/>
          <w:color w:val="auto"/>
        </w:rPr>
        <w:t>。电气设备的外露可导电部分和其他装置外壳可导电部分须与接地线可靠连接。</w:t>
      </w:r>
    </w:p>
    <w:p w:rsidR="003F13AB" w:rsidRDefault="00EC6E7E">
      <w:pPr>
        <w:ind w:firstLine="560"/>
        <w:rPr>
          <w:color w:val="auto"/>
        </w:rPr>
      </w:pPr>
      <w:r>
        <w:rPr>
          <w:rFonts w:hint="eastAsia"/>
          <w:color w:val="auto"/>
        </w:rPr>
        <w:lastRenderedPageBreak/>
        <w:t>（</w:t>
      </w:r>
      <w:r>
        <w:rPr>
          <w:rFonts w:hint="eastAsia"/>
          <w:color w:val="auto"/>
        </w:rPr>
        <w:t>3</w:t>
      </w:r>
      <w:r>
        <w:rPr>
          <w:rFonts w:hint="eastAsia"/>
          <w:color w:val="auto"/>
        </w:rPr>
        <w:t>）设施防腐</w:t>
      </w:r>
    </w:p>
    <w:p w:rsidR="003F13AB" w:rsidRDefault="00EC6E7E">
      <w:pPr>
        <w:ind w:firstLine="560"/>
        <w:rPr>
          <w:color w:val="auto"/>
        </w:rPr>
      </w:pPr>
      <w:r>
        <w:rPr>
          <w:rFonts w:hint="eastAsia"/>
          <w:color w:val="auto"/>
        </w:rPr>
        <w:t>接触钾肥、氮肥等有弱腐蚀性的投料仓、提升机、搅拌机等相关设备，设备内部接触腐蚀性物质的部位材质选用</w:t>
      </w:r>
      <w:r>
        <w:rPr>
          <w:rFonts w:hint="eastAsia"/>
          <w:color w:val="auto"/>
        </w:rPr>
        <w:t>304</w:t>
      </w:r>
      <w:r>
        <w:rPr>
          <w:rFonts w:hint="eastAsia"/>
          <w:color w:val="auto"/>
        </w:rPr>
        <w:t>不锈钢。</w:t>
      </w:r>
    </w:p>
    <w:p w:rsidR="003F13AB" w:rsidRDefault="00EC6E7E">
      <w:pPr>
        <w:pStyle w:val="4"/>
        <w:keepNext w:val="0"/>
        <w:ind w:firstLineChars="200" w:firstLine="562"/>
        <w:rPr>
          <w:rFonts w:eastAsia="宋体"/>
          <w:b/>
          <w:szCs w:val="20"/>
        </w:rPr>
      </w:pPr>
      <w:r>
        <w:rPr>
          <w:rFonts w:eastAsia="宋体" w:hint="eastAsia"/>
          <w:b/>
          <w:szCs w:val="20"/>
        </w:rPr>
        <w:t>2.6.1.3 安全警示标志</w:t>
      </w:r>
    </w:p>
    <w:p w:rsidR="003F13AB" w:rsidRDefault="00EC6E7E">
      <w:pPr>
        <w:ind w:firstLine="560"/>
        <w:rPr>
          <w:rFonts w:ascii="宋体" w:hAnsi="宋体"/>
          <w:color w:val="auto"/>
        </w:rPr>
      </w:pPr>
      <w:r>
        <w:rPr>
          <w:rFonts w:ascii="宋体" w:hAnsi="宋体" w:hint="eastAsia"/>
          <w:color w:val="auto"/>
        </w:rPr>
        <w:t>在厂区设置“禁止烟火”、 “禁止吸烟”、“闲人不得入内”“未经许可，禁止车辆进入”、“防机械伤害”、“严禁以手代替工具”、“严禁设备运转检修”、“注意安全”、“当心车辆”标志，等安全警示标志，在配电控制箱附近设置“设备正在运行”、“当心触电”等安全警示标志。</w:t>
      </w:r>
    </w:p>
    <w:p w:rsidR="003F13AB" w:rsidRDefault="00EC6E7E">
      <w:pPr>
        <w:pStyle w:val="3"/>
      </w:pPr>
      <w:bookmarkStart w:id="85" w:name="_Toc187914399"/>
      <w:r>
        <w:rPr>
          <w:rFonts w:hint="eastAsia"/>
        </w:rPr>
        <w:t>2.6.2 控制事故设施</w:t>
      </w:r>
      <w:bookmarkEnd w:id="85"/>
    </w:p>
    <w:p w:rsidR="003F13AB" w:rsidRDefault="00EC6E7E">
      <w:pPr>
        <w:pStyle w:val="4"/>
        <w:keepNext w:val="0"/>
        <w:ind w:firstLineChars="200" w:firstLine="562"/>
        <w:rPr>
          <w:rFonts w:eastAsia="宋体"/>
          <w:b/>
          <w:szCs w:val="20"/>
        </w:rPr>
      </w:pPr>
      <w:r>
        <w:rPr>
          <w:rFonts w:eastAsia="宋体" w:hint="eastAsia"/>
          <w:b/>
          <w:szCs w:val="20"/>
        </w:rPr>
        <w:t>2.6.2.1泄压和止逆设施</w:t>
      </w:r>
    </w:p>
    <w:p w:rsidR="003F13AB" w:rsidRDefault="00EC6E7E">
      <w:pPr>
        <w:ind w:firstLine="560"/>
      </w:pPr>
      <w:r>
        <w:rPr>
          <w:rFonts w:hint="eastAsia"/>
        </w:rPr>
        <w:t>（</w:t>
      </w:r>
      <w:r>
        <w:rPr>
          <w:rFonts w:hint="eastAsia"/>
        </w:rPr>
        <w:t>1</w:t>
      </w:r>
      <w:r>
        <w:rPr>
          <w:rFonts w:hint="eastAsia"/>
        </w:rPr>
        <w:t>）锅炉房内的天然气供应主管到切断阀之间设置放散管。</w:t>
      </w:r>
    </w:p>
    <w:p w:rsidR="003F13AB" w:rsidRDefault="00EC6E7E">
      <w:pPr>
        <w:ind w:firstLine="560"/>
      </w:pPr>
      <w:r>
        <w:rPr>
          <w:rFonts w:hint="eastAsia"/>
        </w:rPr>
        <w:t>（</w:t>
      </w:r>
      <w:r>
        <w:rPr>
          <w:rFonts w:hint="eastAsia"/>
        </w:rPr>
        <w:t>2</w:t>
      </w:r>
      <w:r>
        <w:rPr>
          <w:rFonts w:hint="eastAsia"/>
        </w:rPr>
        <w:t>）锅炉锅筒、分汽缸、空压机附带的空气储罐上设置安全阀和放空管，锅炉锅筒和分汽缸采用双联式安全阀。</w:t>
      </w:r>
    </w:p>
    <w:p w:rsidR="003F13AB" w:rsidRDefault="00EC6E7E">
      <w:pPr>
        <w:pStyle w:val="4"/>
        <w:keepNext w:val="0"/>
        <w:ind w:firstLineChars="200" w:firstLine="562"/>
        <w:rPr>
          <w:rFonts w:eastAsia="宋体"/>
        </w:rPr>
      </w:pPr>
      <w:r>
        <w:rPr>
          <w:rFonts w:eastAsia="宋体" w:hint="eastAsia"/>
          <w:b/>
          <w:szCs w:val="20"/>
        </w:rPr>
        <w:t>2.6.2.2</w:t>
      </w:r>
      <w:r>
        <w:rPr>
          <w:rFonts w:eastAsia="宋体"/>
          <w:b/>
          <w:szCs w:val="20"/>
        </w:rPr>
        <w:t>紧急处理设施</w:t>
      </w:r>
    </w:p>
    <w:p w:rsidR="003F13AB" w:rsidRDefault="00EC6E7E">
      <w:pPr>
        <w:ind w:firstLine="560"/>
        <w:rPr>
          <w:rFonts w:ascii="宋体" w:hAnsi="宋体"/>
          <w:color w:val="auto"/>
        </w:rPr>
      </w:pPr>
      <w:r>
        <w:rPr>
          <w:rFonts w:ascii="宋体" w:hAnsi="宋体" w:hint="eastAsia"/>
          <w:color w:val="auto"/>
        </w:rPr>
        <w:t>（1）天然气供气管道上设置紧急切断阀，保证发生事故时能及时切断天然气供应。</w:t>
      </w:r>
    </w:p>
    <w:p w:rsidR="003F13AB" w:rsidRDefault="00EC6E7E">
      <w:pPr>
        <w:pStyle w:val="Default1"/>
        <w:spacing w:line="360" w:lineRule="auto"/>
        <w:ind w:firstLineChars="200" w:firstLine="560"/>
        <w:jc w:val="both"/>
        <w:rPr>
          <w:rFonts w:ascii="宋体" w:hAnsi="宋体" w:hint="default"/>
          <w:color w:val="auto"/>
          <w:sz w:val="28"/>
          <w:szCs w:val="28"/>
        </w:rPr>
      </w:pPr>
      <w:r>
        <w:rPr>
          <w:rFonts w:ascii="宋体" w:hAnsi="宋体"/>
          <w:color w:val="auto"/>
          <w:sz w:val="28"/>
          <w:szCs w:val="28"/>
        </w:rPr>
        <w:t>（2）运转设备在设备附近就近设置急停开关，急停开关采用红色按钮，用以在紧急停车时候使用。急停装置的复位只能通过手动复位。</w:t>
      </w:r>
    </w:p>
    <w:p w:rsidR="003F13AB" w:rsidRDefault="00EC6E7E">
      <w:pPr>
        <w:pStyle w:val="3"/>
      </w:pPr>
      <w:bookmarkStart w:id="86" w:name="_Toc187914400"/>
      <w:r>
        <w:rPr>
          <w:rFonts w:hint="eastAsia"/>
        </w:rPr>
        <w:t>2.6.3 减少与消除事故影响设施</w:t>
      </w:r>
      <w:bookmarkEnd w:id="86"/>
    </w:p>
    <w:p w:rsidR="003F13AB" w:rsidRDefault="00EC6E7E">
      <w:pPr>
        <w:pStyle w:val="4"/>
        <w:keepNext w:val="0"/>
        <w:ind w:firstLineChars="200" w:firstLine="562"/>
        <w:rPr>
          <w:rFonts w:eastAsia="宋体"/>
          <w:b/>
          <w:szCs w:val="20"/>
        </w:rPr>
      </w:pPr>
      <w:r>
        <w:rPr>
          <w:rFonts w:eastAsia="宋体" w:hint="eastAsia"/>
          <w:b/>
          <w:szCs w:val="20"/>
        </w:rPr>
        <w:t>2.6.3.1防止火灾蔓延设施</w:t>
      </w:r>
    </w:p>
    <w:p w:rsidR="003F13AB" w:rsidRDefault="00EC6E7E">
      <w:pPr>
        <w:ind w:firstLine="560"/>
      </w:pPr>
      <w:r>
        <w:rPr>
          <w:rFonts w:hint="eastAsia"/>
        </w:rPr>
        <w:t>（</w:t>
      </w:r>
      <w:r>
        <w:rPr>
          <w:rFonts w:hint="eastAsia"/>
        </w:rPr>
        <w:t>1</w:t>
      </w:r>
      <w:r>
        <w:rPr>
          <w:rFonts w:hint="eastAsia"/>
        </w:rPr>
        <w:t>）锅炉房内的天然气供应主管到切断阀之间应设置放散管，放散管管径为</w:t>
      </w:r>
      <w:r>
        <w:rPr>
          <w:rFonts w:hint="eastAsia"/>
        </w:rPr>
        <w:t>DN50</w:t>
      </w:r>
      <w:r>
        <w:rPr>
          <w:rFonts w:hint="eastAsia"/>
        </w:rPr>
        <w:t>。</w:t>
      </w:r>
    </w:p>
    <w:p w:rsidR="003F13AB" w:rsidRDefault="00EC6E7E">
      <w:pPr>
        <w:ind w:firstLine="560"/>
      </w:pPr>
      <w:r>
        <w:rPr>
          <w:rFonts w:hint="eastAsia"/>
        </w:rPr>
        <w:t>（</w:t>
      </w:r>
      <w:r>
        <w:rPr>
          <w:rFonts w:hint="eastAsia"/>
        </w:rPr>
        <w:t>2</w:t>
      </w:r>
      <w:r>
        <w:rPr>
          <w:rFonts w:hint="eastAsia"/>
        </w:rPr>
        <w:t>）发电机排烟管管口设置阻火器。</w:t>
      </w:r>
    </w:p>
    <w:p w:rsidR="003F13AB" w:rsidRDefault="00EC6E7E">
      <w:pPr>
        <w:pStyle w:val="4"/>
        <w:keepNext w:val="0"/>
        <w:ind w:firstLineChars="200" w:firstLine="562"/>
        <w:rPr>
          <w:rFonts w:eastAsia="宋体"/>
        </w:rPr>
      </w:pPr>
      <w:r>
        <w:rPr>
          <w:rFonts w:eastAsia="宋体" w:hint="eastAsia"/>
          <w:b/>
          <w:szCs w:val="20"/>
        </w:rPr>
        <w:t>2.6.3.2 灭火设施</w:t>
      </w:r>
    </w:p>
    <w:p w:rsidR="003F13AB" w:rsidRDefault="00EC6E7E">
      <w:pPr>
        <w:ind w:firstLine="560"/>
        <w:rPr>
          <w:rFonts w:ascii="宋体" w:hAnsi="宋体"/>
          <w:color w:val="auto"/>
        </w:rPr>
      </w:pPr>
      <w:r>
        <w:rPr>
          <w:rFonts w:ascii="宋体" w:hAnsi="宋体" w:hint="eastAsia"/>
          <w:color w:val="auto"/>
        </w:rPr>
        <w:t>（1）消防器材和设施的配置见本报告2.2.11.3节表2.2-10。</w:t>
      </w:r>
    </w:p>
    <w:p w:rsidR="003F13AB" w:rsidRDefault="00EC6E7E">
      <w:pPr>
        <w:ind w:firstLine="560"/>
        <w:rPr>
          <w:rFonts w:ascii="宋体" w:hAnsi="宋体"/>
          <w:color w:val="auto"/>
        </w:rPr>
      </w:pPr>
      <w:r>
        <w:rPr>
          <w:rFonts w:ascii="宋体" w:hAnsi="宋体" w:hint="eastAsia"/>
          <w:color w:val="auto"/>
        </w:rPr>
        <w:lastRenderedPageBreak/>
        <w:t>（2）其他消防系统</w:t>
      </w:r>
    </w:p>
    <w:p w:rsidR="003F13AB" w:rsidRDefault="00EC6E7E">
      <w:pPr>
        <w:ind w:firstLine="560"/>
        <w:rPr>
          <w:rFonts w:ascii="宋体" w:hAnsi="宋体"/>
          <w:color w:val="auto"/>
          <w:szCs w:val="21"/>
        </w:rPr>
      </w:pPr>
      <w:r>
        <w:rPr>
          <w:rFonts w:ascii="宋体" w:hAnsi="宋体"/>
          <w:color w:val="auto"/>
          <w:szCs w:val="21"/>
        </w:rPr>
        <w:t>1</w:t>
      </w:r>
      <w:r>
        <w:rPr>
          <w:rFonts w:ascii="宋体" w:hAnsi="宋体" w:hint="eastAsia"/>
          <w:color w:val="auto"/>
          <w:szCs w:val="21"/>
        </w:rPr>
        <w:t>）</w:t>
      </w:r>
      <w:r>
        <w:rPr>
          <w:rFonts w:ascii="宋体" w:hAnsi="宋体" w:hint="eastAsia"/>
          <w:color w:val="auto"/>
          <w:szCs w:val="28"/>
        </w:rPr>
        <w:t>厂区设置一台150kW柴油发电机作为备用电源。火灾事故照明、疏散指示标志采用自带蓄电池作为应急备用电源。设备信息、视频监控系统等采用UPS作为备用电源。备用电源保证安全防范系统在AC电源中断后，工作30min以上。</w:t>
      </w:r>
    </w:p>
    <w:p w:rsidR="003F13AB" w:rsidRDefault="00EC6E7E">
      <w:pPr>
        <w:ind w:firstLine="560"/>
        <w:rPr>
          <w:rFonts w:ascii="宋体" w:hAnsi="宋体"/>
          <w:color w:val="auto"/>
          <w:szCs w:val="28"/>
        </w:rPr>
      </w:pPr>
      <w:r>
        <w:rPr>
          <w:rFonts w:ascii="宋体" w:hAnsi="宋体" w:hint="eastAsia"/>
          <w:color w:val="auto"/>
          <w:szCs w:val="28"/>
        </w:rPr>
        <w:t>2）由厂内工作人员成立义务消防应急队伍，可以满足小型火灾的扑救工作。如发生大面积火灾，依托晋宁区公安消防大队。</w:t>
      </w:r>
    </w:p>
    <w:p w:rsidR="003F13AB" w:rsidRDefault="00EC6E7E">
      <w:pPr>
        <w:pStyle w:val="4"/>
        <w:keepNext w:val="0"/>
        <w:ind w:firstLineChars="200" w:firstLine="562"/>
        <w:rPr>
          <w:rFonts w:eastAsia="宋体"/>
          <w:b/>
          <w:szCs w:val="20"/>
        </w:rPr>
      </w:pPr>
      <w:r>
        <w:rPr>
          <w:rFonts w:eastAsia="宋体"/>
          <w:b/>
          <w:szCs w:val="20"/>
        </w:rPr>
        <w:t>2.6.3.</w:t>
      </w:r>
      <w:r>
        <w:rPr>
          <w:rFonts w:eastAsia="宋体" w:hint="eastAsia"/>
          <w:b/>
          <w:szCs w:val="20"/>
        </w:rPr>
        <w:t>3 劳动防护用品和装备</w:t>
      </w:r>
    </w:p>
    <w:p w:rsidR="003F13AB" w:rsidRDefault="00EC6E7E">
      <w:pPr>
        <w:ind w:firstLine="560"/>
      </w:pPr>
      <w:r>
        <w:rPr>
          <w:rFonts w:ascii="宋体" w:hAnsi="宋体" w:hint="eastAsia"/>
          <w:color w:val="auto"/>
        </w:rPr>
        <w:t>为厂内员工配置工作服、劳保手套、安全帽等劳动防护用品和装备。</w:t>
      </w:r>
    </w:p>
    <w:p w:rsidR="003F13AB" w:rsidRDefault="00EC6E7E">
      <w:pPr>
        <w:pStyle w:val="3"/>
      </w:pPr>
      <w:bookmarkStart w:id="87" w:name="_Toc187914401"/>
      <w:r>
        <w:rPr>
          <w:rFonts w:hint="eastAsia"/>
        </w:rPr>
        <w:t xml:space="preserve">2.6.4 </w:t>
      </w:r>
      <w:r>
        <w:t>主要安全设施</w:t>
      </w:r>
      <w:bookmarkEnd w:id="87"/>
    </w:p>
    <w:p w:rsidR="003F13AB" w:rsidRDefault="00EC6E7E">
      <w:pPr>
        <w:ind w:firstLineChars="0" w:firstLine="0"/>
        <w:jc w:val="center"/>
        <w:rPr>
          <w:rFonts w:ascii="宋体" w:hAnsi="宋体"/>
          <w:color w:val="auto"/>
        </w:rPr>
      </w:pPr>
      <w:r>
        <w:rPr>
          <w:rFonts w:ascii="宋体" w:hAnsi="宋体" w:hint="eastAsia"/>
          <w:color w:val="auto"/>
        </w:rPr>
        <w:t>表2</w:t>
      </w:r>
      <w:r>
        <w:rPr>
          <w:rFonts w:ascii="宋体" w:hAnsi="宋体"/>
          <w:color w:val="auto"/>
        </w:rPr>
        <w:t>.</w:t>
      </w:r>
      <w:r>
        <w:rPr>
          <w:rFonts w:ascii="宋体" w:hAnsi="宋体" w:hint="eastAsia"/>
          <w:color w:val="auto"/>
        </w:rPr>
        <w:t>6-1  安全设备设施一览表</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2210"/>
        <w:gridCol w:w="2051"/>
        <w:gridCol w:w="1551"/>
        <w:gridCol w:w="971"/>
        <w:gridCol w:w="91"/>
        <w:gridCol w:w="1673"/>
      </w:tblGrid>
      <w:tr w:rsidR="003F13AB">
        <w:trPr>
          <w:trHeight w:val="300"/>
          <w:tblHeader/>
        </w:trPr>
        <w:tc>
          <w:tcPr>
            <w:tcW w:w="525"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序号</w:t>
            </w:r>
          </w:p>
        </w:tc>
        <w:tc>
          <w:tcPr>
            <w:tcW w:w="2210"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设施名称</w:t>
            </w:r>
          </w:p>
        </w:tc>
        <w:tc>
          <w:tcPr>
            <w:tcW w:w="2051"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技术规格</w:t>
            </w:r>
          </w:p>
        </w:tc>
        <w:tc>
          <w:tcPr>
            <w:tcW w:w="1551"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数量</w:t>
            </w:r>
          </w:p>
        </w:tc>
        <w:tc>
          <w:tcPr>
            <w:tcW w:w="971" w:type="dxa"/>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费用</w:t>
            </w:r>
          </w:p>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（万元）</w:t>
            </w:r>
          </w:p>
        </w:tc>
        <w:tc>
          <w:tcPr>
            <w:tcW w:w="1764" w:type="dxa"/>
            <w:gridSpan w:val="2"/>
            <w:vAlign w:val="center"/>
          </w:tcPr>
          <w:p w:rsidR="003F13AB" w:rsidRDefault="00EC6E7E">
            <w:pPr>
              <w:adjustRightInd/>
              <w:snapToGrid/>
              <w:spacing w:line="240" w:lineRule="auto"/>
              <w:ind w:firstLineChars="0" w:firstLine="0"/>
              <w:jc w:val="center"/>
              <w:rPr>
                <w:rFonts w:ascii="宋体" w:hAnsi="宋体"/>
                <w:b/>
                <w:bCs/>
                <w:color w:val="auto"/>
                <w:kern w:val="0"/>
                <w:sz w:val="21"/>
                <w:szCs w:val="21"/>
              </w:rPr>
            </w:pPr>
            <w:r>
              <w:rPr>
                <w:rFonts w:ascii="宋体" w:hAnsi="宋体" w:cs="宋体" w:hint="eastAsia"/>
                <w:b/>
                <w:bCs/>
                <w:color w:val="auto"/>
                <w:kern w:val="0"/>
                <w:sz w:val="21"/>
                <w:szCs w:val="21"/>
              </w:rPr>
              <w:t>备注</w:t>
            </w:r>
          </w:p>
        </w:tc>
      </w:tr>
      <w:tr w:rsidR="003F13AB">
        <w:trPr>
          <w:trHeight w:val="368"/>
          <w:tblHeader/>
        </w:trPr>
        <w:tc>
          <w:tcPr>
            <w:tcW w:w="9072" w:type="dxa"/>
            <w:gridSpan w:val="7"/>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s="宋体" w:hint="eastAsia"/>
                <w:color w:val="auto"/>
                <w:kern w:val="0"/>
                <w:sz w:val="21"/>
                <w:szCs w:val="21"/>
              </w:rPr>
              <w:t>一、</w:t>
            </w:r>
            <w:r>
              <w:rPr>
                <w:rFonts w:ascii="宋体" w:hAnsi="宋体" w:cs="宋体" w:hint="eastAsia"/>
                <w:color w:val="auto"/>
                <w:sz w:val="21"/>
                <w:szCs w:val="21"/>
              </w:rPr>
              <w:t>预防事故措施</w:t>
            </w:r>
          </w:p>
        </w:tc>
      </w:tr>
      <w:tr w:rsidR="003F13AB">
        <w:trPr>
          <w:trHeight w:val="451"/>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1</w:t>
            </w:r>
          </w:p>
        </w:tc>
        <w:tc>
          <w:tcPr>
            <w:tcW w:w="2210" w:type="dxa"/>
          </w:tcPr>
          <w:p w:rsidR="003F13AB" w:rsidRDefault="00EC6E7E">
            <w:pPr>
              <w:ind w:firstLineChars="0" w:firstLine="0"/>
              <w:rPr>
                <w:sz w:val="21"/>
                <w:szCs w:val="21"/>
              </w:rPr>
            </w:pPr>
            <w:r>
              <w:rPr>
                <w:rFonts w:hint="eastAsia"/>
                <w:sz w:val="21"/>
                <w:szCs w:val="21"/>
              </w:rPr>
              <w:t>安全阀及放散管</w:t>
            </w:r>
          </w:p>
        </w:tc>
        <w:tc>
          <w:tcPr>
            <w:tcW w:w="205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w:t>
            </w:r>
          </w:p>
        </w:tc>
        <w:tc>
          <w:tcPr>
            <w:tcW w:w="1551" w:type="dxa"/>
            <w:vAlign w:val="center"/>
          </w:tcPr>
          <w:p w:rsidR="003F13AB" w:rsidRDefault="00EC6E7E">
            <w:pPr>
              <w:adjustRightInd/>
              <w:snapToGrid/>
              <w:spacing w:line="240" w:lineRule="auto"/>
              <w:ind w:right="420" w:firstLineChars="0" w:firstLine="0"/>
              <w:rPr>
                <w:rFonts w:ascii="宋体" w:hAnsi="宋体"/>
                <w:color w:val="auto"/>
                <w:kern w:val="0"/>
                <w:sz w:val="21"/>
                <w:szCs w:val="21"/>
              </w:rPr>
            </w:pPr>
            <w:r>
              <w:rPr>
                <w:rFonts w:ascii="宋体" w:hAnsi="宋体" w:hint="eastAsia"/>
                <w:color w:val="auto"/>
                <w:kern w:val="0"/>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8</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sz w:val="21"/>
                <w:szCs w:val="21"/>
              </w:rPr>
            </w:pPr>
          </w:p>
        </w:tc>
      </w:tr>
      <w:tr w:rsidR="003F13AB">
        <w:trPr>
          <w:trHeight w:val="451"/>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2</w:t>
            </w:r>
          </w:p>
        </w:tc>
        <w:tc>
          <w:tcPr>
            <w:tcW w:w="2210" w:type="dxa"/>
          </w:tcPr>
          <w:p w:rsidR="003F13AB" w:rsidRDefault="00EC6E7E">
            <w:pPr>
              <w:ind w:firstLineChars="0" w:firstLine="0"/>
              <w:rPr>
                <w:sz w:val="21"/>
                <w:szCs w:val="21"/>
              </w:rPr>
            </w:pPr>
            <w:r>
              <w:rPr>
                <w:rFonts w:hint="eastAsia"/>
                <w:sz w:val="21"/>
                <w:szCs w:val="21"/>
              </w:rPr>
              <w:t>压力表、液位计、流量计等仪表</w:t>
            </w:r>
          </w:p>
        </w:tc>
        <w:tc>
          <w:tcPr>
            <w:tcW w:w="2051" w:type="dxa"/>
            <w:vAlign w:val="center"/>
          </w:tcPr>
          <w:p w:rsidR="003F13AB" w:rsidRDefault="00EC6E7E">
            <w:pPr>
              <w:pStyle w:val="Default1"/>
              <w:rPr>
                <w:rFonts w:hint="default"/>
              </w:rPr>
            </w:pPr>
            <w:r>
              <w:rPr>
                <w:rFonts w:ascii="宋体" w:hAnsi="宋体"/>
                <w:color w:val="auto"/>
                <w:sz w:val="21"/>
                <w:szCs w:val="21"/>
              </w:rPr>
              <w:t>/</w:t>
            </w:r>
          </w:p>
        </w:tc>
        <w:tc>
          <w:tcPr>
            <w:tcW w:w="1551" w:type="dxa"/>
            <w:vAlign w:val="center"/>
          </w:tcPr>
          <w:p w:rsidR="003F13AB" w:rsidRDefault="00EC6E7E">
            <w:pPr>
              <w:adjustRightInd/>
              <w:snapToGrid/>
              <w:spacing w:line="240" w:lineRule="auto"/>
              <w:ind w:right="420" w:firstLineChars="0" w:firstLine="0"/>
              <w:rPr>
                <w:rFonts w:ascii="宋体" w:hAnsi="宋体"/>
                <w:color w:val="auto"/>
                <w:kern w:val="0"/>
                <w:sz w:val="21"/>
                <w:szCs w:val="21"/>
              </w:rPr>
            </w:pPr>
            <w:r>
              <w:rPr>
                <w:rFonts w:ascii="宋体" w:hAnsi="宋体" w:hint="eastAsia"/>
                <w:color w:val="auto"/>
                <w:kern w:val="0"/>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12</w:t>
            </w:r>
          </w:p>
        </w:tc>
        <w:tc>
          <w:tcPr>
            <w:tcW w:w="1764" w:type="dxa"/>
            <w:gridSpan w:val="2"/>
            <w:vAlign w:val="center"/>
          </w:tcPr>
          <w:p w:rsidR="003F13AB" w:rsidRDefault="003F13AB">
            <w:pPr>
              <w:adjustRightInd/>
              <w:snapToGrid/>
              <w:spacing w:line="240" w:lineRule="auto"/>
              <w:ind w:firstLineChars="0" w:firstLine="0"/>
              <w:rPr>
                <w:rFonts w:ascii="宋体" w:hAnsi="宋体" w:cs="宋体"/>
                <w:color w:val="auto"/>
                <w:sz w:val="21"/>
                <w:szCs w:val="21"/>
              </w:rPr>
            </w:pPr>
          </w:p>
        </w:tc>
      </w:tr>
      <w:tr w:rsidR="003F13AB">
        <w:trPr>
          <w:trHeight w:val="781"/>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3</w:t>
            </w:r>
          </w:p>
        </w:tc>
        <w:tc>
          <w:tcPr>
            <w:tcW w:w="2210" w:type="dxa"/>
            <w:vAlign w:val="center"/>
          </w:tcPr>
          <w:p w:rsidR="003F13AB" w:rsidRDefault="00EC6E7E">
            <w:pPr>
              <w:adjustRightInd/>
              <w:snapToGrid/>
              <w:spacing w:line="240" w:lineRule="auto"/>
              <w:ind w:firstLineChars="0" w:firstLine="0"/>
              <w:rPr>
                <w:rFonts w:ascii="宋体" w:hAnsi="宋体" w:cs="宋体"/>
                <w:color w:val="auto"/>
                <w:kern w:val="0"/>
                <w:sz w:val="21"/>
                <w:szCs w:val="21"/>
                <w:lang w:bidi="en-US"/>
              </w:rPr>
            </w:pPr>
            <w:r>
              <w:rPr>
                <w:rFonts w:hint="eastAsia"/>
                <w:sz w:val="21"/>
                <w:szCs w:val="21"/>
              </w:rPr>
              <w:t>固定式可燃气体检测报警系统</w:t>
            </w:r>
          </w:p>
        </w:tc>
        <w:tc>
          <w:tcPr>
            <w:tcW w:w="2051" w:type="dxa"/>
            <w:vAlign w:val="center"/>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报警：1.25%（</w:t>
            </w:r>
            <w:r>
              <w:rPr>
                <w:rFonts w:ascii="宋体" w:hAnsi="宋体"/>
                <w:color w:val="auto"/>
                <w:sz w:val="21"/>
                <w:szCs w:val="21"/>
              </w:rPr>
              <w:t>一级报警</w:t>
            </w:r>
            <w:r>
              <w:rPr>
                <w:rFonts w:ascii="宋体" w:hAnsi="宋体" w:hint="eastAsia"/>
                <w:color w:val="auto"/>
                <w:sz w:val="21"/>
                <w:szCs w:val="21"/>
              </w:rPr>
              <w:t>） 2.5%（二级报警）</w:t>
            </w:r>
          </w:p>
        </w:tc>
        <w:tc>
          <w:tcPr>
            <w:tcW w:w="155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1套</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6.4</w:t>
            </w:r>
          </w:p>
        </w:tc>
        <w:tc>
          <w:tcPr>
            <w:tcW w:w="1764" w:type="dxa"/>
            <w:gridSpan w:val="2"/>
            <w:vAlign w:val="center"/>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含管线费用</w:t>
            </w:r>
          </w:p>
        </w:tc>
      </w:tr>
      <w:tr w:rsidR="003F13AB">
        <w:trPr>
          <w:trHeight w:val="540"/>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4</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hint="eastAsia"/>
                <w:sz w:val="21"/>
                <w:szCs w:val="21"/>
              </w:rPr>
              <w:t>便携式可燃气体检测报警仪</w:t>
            </w:r>
          </w:p>
        </w:tc>
        <w:tc>
          <w:tcPr>
            <w:tcW w:w="2051" w:type="dxa"/>
            <w:vAlign w:val="center"/>
          </w:tcPr>
          <w:p w:rsidR="003F13AB" w:rsidRDefault="00EC6E7E">
            <w:pPr>
              <w:adjustRightInd/>
              <w:snapToGrid/>
              <w:spacing w:line="240" w:lineRule="auto"/>
              <w:ind w:firstLineChars="0" w:firstLine="0"/>
              <w:rPr>
                <w:rFonts w:ascii="宋体" w:hAnsi="宋体" w:cs="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2</w:t>
            </w:r>
            <w:r>
              <w:rPr>
                <w:rFonts w:ascii="宋体" w:hAnsi="宋体" w:cs="宋体" w:hint="eastAsia"/>
                <w:color w:val="auto"/>
                <w:sz w:val="21"/>
                <w:szCs w:val="21"/>
              </w:rPr>
              <w:t>台</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0.4</w:t>
            </w:r>
          </w:p>
        </w:tc>
        <w:tc>
          <w:tcPr>
            <w:tcW w:w="1764"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值班室</w:t>
            </w:r>
          </w:p>
        </w:tc>
      </w:tr>
      <w:tr w:rsidR="003F13AB">
        <w:trPr>
          <w:trHeight w:val="271"/>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5</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lang w:bidi="en-US"/>
              </w:rPr>
              <w:t>防爆事故通风机</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color w:val="auto"/>
                <w:sz w:val="21"/>
                <w:szCs w:val="21"/>
              </w:rPr>
              <w:t>1</w:t>
            </w:r>
            <w:r>
              <w:rPr>
                <w:rFonts w:ascii="宋体" w:hAnsi="宋体" w:hint="eastAsia"/>
                <w:color w:val="auto"/>
                <w:sz w:val="21"/>
                <w:szCs w:val="21"/>
              </w:rPr>
              <w:t>0</w:t>
            </w:r>
            <w:r>
              <w:rPr>
                <w:rFonts w:ascii="宋体" w:hAnsi="宋体" w:cs="宋体" w:hint="eastAsia"/>
                <w:color w:val="auto"/>
                <w:sz w:val="21"/>
                <w:szCs w:val="21"/>
              </w:rPr>
              <w:t>台</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7</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25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6</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防雷防静电接地设施</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olor w:val="auto"/>
                <w:kern w:val="0"/>
                <w:sz w:val="21"/>
                <w:szCs w:val="21"/>
              </w:rPr>
              <w:t>1</w:t>
            </w:r>
            <w:r>
              <w:rPr>
                <w:rFonts w:ascii="宋体" w:hAnsi="宋体" w:cs="宋体" w:hint="eastAsia"/>
                <w:color w:val="auto"/>
                <w:kern w:val="0"/>
                <w:sz w:val="21"/>
                <w:szCs w:val="21"/>
              </w:rPr>
              <w:t>套</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30</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25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7</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防护罩、隔离栏</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olor w:val="auto"/>
                <w:kern w:val="0"/>
                <w:sz w:val="21"/>
                <w:szCs w:val="21"/>
              </w:rPr>
              <w:t>若干</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35</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25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8</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工作接地、保护接地</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45</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9"/>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9</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sz w:val="21"/>
                <w:szCs w:val="21"/>
              </w:rPr>
              <w:t>减振基础</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right="420" w:firstLineChars="0" w:firstLine="0"/>
              <w:rPr>
                <w:rFonts w:ascii="宋体" w:hAnsi="宋体" w:cs="宋体"/>
                <w:color w:val="auto"/>
                <w:sz w:val="21"/>
                <w:szCs w:val="21"/>
              </w:rPr>
            </w:pPr>
            <w:r>
              <w:rPr>
                <w:rFonts w:ascii="宋体" w:hAnsi="宋体" w:cs="宋体" w:hint="eastAsia"/>
                <w:color w:val="auto"/>
                <w:sz w:val="21"/>
                <w:szCs w:val="21"/>
              </w:rPr>
              <w:t>/</w:t>
            </w:r>
          </w:p>
        </w:tc>
        <w:tc>
          <w:tcPr>
            <w:tcW w:w="971" w:type="dxa"/>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20</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9"/>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1</w:t>
            </w:r>
            <w:r>
              <w:rPr>
                <w:rFonts w:ascii="宋体" w:hAnsi="宋体" w:hint="eastAsia"/>
                <w:color w:val="auto"/>
                <w:kern w:val="0"/>
                <w:sz w:val="21"/>
                <w:szCs w:val="21"/>
              </w:rPr>
              <w:t>0</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保温隔热层</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10</w:t>
            </w:r>
          </w:p>
        </w:tc>
        <w:tc>
          <w:tcPr>
            <w:tcW w:w="1764"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Theme="minorEastAsia" w:eastAsiaTheme="minorEastAsia" w:hAnsiTheme="minorEastAsia" w:cstheme="minorEastAsia" w:hint="eastAsia"/>
                <w:kern w:val="0"/>
                <w:sz w:val="21"/>
                <w:szCs w:val="21"/>
              </w:rPr>
              <w:t>热风炉、蒸汽管道</w:t>
            </w:r>
          </w:p>
        </w:tc>
      </w:tr>
      <w:tr w:rsidR="003F13AB">
        <w:trPr>
          <w:trHeight w:val="349"/>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1</w:t>
            </w:r>
            <w:r>
              <w:rPr>
                <w:rFonts w:ascii="宋体" w:hAnsi="宋体" w:hint="eastAsia"/>
                <w:color w:val="auto"/>
                <w:kern w:val="0"/>
                <w:sz w:val="21"/>
                <w:szCs w:val="21"/>
              </w:rPr>
              <w:t>1</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其他安全用电设施</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6</w:t>
            </w:r>
          </w:p>
        </w:tc>
        <w:tc>
          <w:tcPr>
            <w:tcW w:w="1764"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浪涌保护器、绝缘垫等</w:t>
            </w:r>
          </w:p>
        </w:tc>
      </w:tr>
      <w:tr w:rsidR="003F13AB">
        <w:trPr>
          <w:trHeight w:val="349"/>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12</w:t>
            </w:r>
          </w:p>
        </w:tc>
        <w:tc>
          <w:tcPr>
            <w:tcW w:w="2210" w:type="dxa"/>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安全警示标志</w:t>
            </w:r>
          </w:p>
        </w:tc>
        <w:tc>
          <w:tcPr>
            <w:tcW w:w="2051" w:type="dxa"/>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w:t>
            </w:r>
          </w:p>
        </w:tc>
        <w:tc>
          <w:tcPr>
            <w:tcW w:w="1551" w:type="dxa"/>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若干</w:t>
            </w:r>
          </w:p>
        </w:tc>
        <w:tc>
          <w:tcPr>
            <w:tcW w:w="971" w:type="dxa"/>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3</w:t>
            </w:r>
          </w:p>
        </w:tc>
        <w:tc>
          <w:tcPr>
            <w:tcW w:w="1764" w:type="dxa"/>
            <w:gridSpan w:val="2"/>
            <w:vAlign w:val="center"/>
          </w:tcPr>
          <w:p w:rsidR="003F13AB" w:rsidRDefault="00EC6E7E">
            <w:pPr>
              <w:adjustRightInd/>
              <w:snapToGrid/>
              <w:spacing w:before="120"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厂区内</w:t>
            </w:r>
          </w:p>
        </w:tc>
      </w:tr>
      <w:tr w:rsidR="003F13AB">
        <w:trPr>
          <w:trHeight w:val="349"/>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tcPr>
          <w:p w:rsidR="003F13AB" w:rsidRDefault="003F13AB">
            <w:pPr>
              <w:adjustRightInd/>
              <w:snapToGrid/>
              <w:spacing w:line="240" w:lineRule="auto"/>
              <w:ind w:firstLineChars="0" w:firstLine="0"/>
              <w:rPr>
                <w:rFonts w:ascii="宋体" w:hAnsi="宋体"/>
                <w:color w:val="auto"/>
                <w:sz w:val="21"/>
                <w:szCs w:val="21"/>
              </w:rPr>
            </w:pPr>
          </w:p>
        </w:tc>
        <w:tc>
          <w:tcPr>
            <w:tcW w:w="2051" w:type="dxa"/>
          </w:tcPr>
          <w:p w:rsidR="003F13AB" w:rsidRDefault="003F13AB">
            <w:pPr>
              <w:adjustRightInd/>
              <w:snapToGrid/>
              <w:spacing w:line="240" w:lineRule="auto"/>
              <w:ind w:firstLineChars="0" w:firstLine="0"/>
              <w:rPr>
                <w:rFonts w:ascii="宋体" w:hAnsi="宋体"/>
                <w:color w:val="auto"/>
                <w:sz w:val="21"/>
                <w:szCs w:val="21"/>
              </w:rPr>
            </w:pPr>
          </w:p>
        </w:tc>
        <w:tc>
          <w:tcPr>
            <w:tcW w:w="1551" w:type="dxa"/>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合计</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182.8</w:t>
            </w:r>
          </w:p>
        </w:tc>
        <w:tc>
          <w:tcPr>
            <w:tcW w:w="1764" w:type="dxa"/>
            <w:gridSpan w:val="2"/>
            <w:vAlign w:val="center"/>
          </w:tcPr>
          <w:p w:rsidR="003F13AB" w:rsidRDefault="003F13AB">
            <w:pPr>
              <w:adjustRightInd/>
              <w:snapToGrid/>
              <w:spacing w:before="120" w:line="240" w:lineRule="auto"/>
              <w:ind w:firstLineChars="0" w:firstLine="0"/>
              <w:rPr>
                <w:rFonts w:ascii="宋体" w:hAnsi="宋体" w:cs="宋体"/>
                <w:color w:val="auto"/>
                <w:kern w:val="0"/>
                <w:sz w:val="21"/>
                <w:szCs w:val="21"/>
              </w:rPr>
            </w:pPr>
          </w:p>
        </w:tc>
      </w:tr>
      <w:tr w:rsidR="003F13AB">
        <w:trPr>
          <w:trHeight w:val="349"/>
          <w:tblHeader/>
        </w:trPr>
        <w:tc>
          <w:tcPr>
            <w:tcW w:w="9072" w:type="dxa"/>
            <w:gridSpan w:val="7"/>
            <w:vAlign w:val="center"/>
          </w:tcPr>
          <w:p w:rsidR="003F13AB" w:rsidRDefault="00EC6E7E">
            <w:pPr>
              <w:adjustRightInd/>
              <w:snapToGrid/>
              <w:spacing w:line="240" w:lineRule="auto"/>
              <w:ind w:firstLineChars="0" w:firstLine="0"/>
              <w:jc w:val="center"/>
              <w:rPr>
                <w:rFonts w:ascii="宋体" w:hAnsi="宋体"/>
                <w:color w:val="auto"/>
                <w:sz w:val="21"/>
                <w:szCs w:val="21"/>
              </w:rPr>
            </w:pPr>
            <w:r>
              <w:rPr>
                <w:rFonts w:ascii="宋体" w:hAnsi="宋体" w:cs="宋体" w:hint="eastAsia"/>
                <w:color w:val="auto"/>
                <w:sz w:val="21"/>
                <w:szCs w:val="21"/>
              </w:rPr>
              <w:t>二、控制事故设施</w:t>
            </w:r>
          </w:p>
        </w:tc>
      </w:tr>
      <w:tr w:rsidR="003F13AB">
        <w:trPr>
          <w:trHeight w:val="540"/>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lastRenderedPageBreak/>
              <w:t>1</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应急照明及疏散指示</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before="120" w:line="240" w:lineRule="auto"/>
              <w:ind w:right="420" w:firstLineChars="0" w:firstLine="0"/>
              <w:rPr>
                <w:rFonts w:ascii="宋体" w:hAnsi="宋体" w:cs="宋体"/>
                <w:color w:val="auto"/>
                <w:sz w:val="21"/>
                <w:szCs w:val="21"/>
              </w:rPr>
            </w:pPr>
            <w:r>
              <w:rPr>
                <w:rFonts w:ascii="宋体" w:hAnsi="宋体" w:cs="宋体" w:hint="eastAsia"/>
                <w:color w:val="auto"/>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8</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29"/>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3F13AB">
            <w:pPr>
              <w:adjustRightInd/>
              <w:snapToGrid/>
              <w:spacing w:line="240" w:lineRule="auto"/>
              <w:ind w:firstLineChars="0" w:firstLine="0"/>
              <w:rPr>
                <w:rFonts w:ascii="宋体" w:hAnsi="宋体" w:cs="宋体"/>
                <w:color w:val="auto"/>
                <w:sz w:val="21"/>
                <w:szCs w:val="21"/>
              </w:rPr>
            </w:pPr>
          </w:p>
        </w:tc>
        <w:tc>
          <w:tcPr>
            <w:tcW w:w="2051" w:type="dxa"/>
            <w:vAlign w:val="center"/>
          </w:tcPr>
          <w:p w:rsidR="003F13AB" w:rsidRDefault="003F13AB">
            <w:pPr>
              <w:adjustRightInd/>
              <w:snapToGrid/>
              <w:spacing w:line="240" w:lineRule="auto"/>
              <w:ind w:firstLineChars="0" w:firstLine="0"/>
              <w:rPr>
                <w:rFonts w:ascii="宋体" w:hAnsi="宋体" w:cs="宋体"/>
                <w:color w:val="auto"/>
                <w:kern w:val="0"/>
                <w:sz w:val="21"/>
                <w:szCs w:val="21"/>
              </w:rPr>
            </w:pP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合计</w:t>
            </w:r>
          </w:p>
        </w:tc>
        <w:tc>
          <w:tcPr>
            <w:tcW w:w="97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8</w:t>
            </w:r>
          </w:p>
        </w:tc>
        <w:tc>
          <w:tcPr>
            <w:tcW w:w="1764" w:type="dxa"/>
            <w:gridSpan w:val="2"/>
            <w:vAlign w:val="center"/>
          </w:tcPr>
          <w:p w:rsidR="003F13AB" w:rsidRDefault="003F13AB">
            <w:pPr>
              <w:adjustRightInd/>
              <w:snapToGrid/>
              <w:spacing w:line="240" w:lineRule="auto"/>
              <w:ind w:firstLineChars="0" w:firstLine="0"/>
              <w:rPr>
                <w:rFonts w:ascii="宋体" w:hAnsi="宋体" w:cs="宋体"/>
                <w:color w:val="auto"/>
                <w:kern w:val="0"/>
                <w:sz w:val="21"/>
                <w:szCs w:val="21"/>
              </w:rPr>
            </w:pPr>
          </w:p>
        </w:tc>
      </w:tr>
      <w:tr w:rsidR="003F13AB">
        <w:trPr>
          <w:trHeight w:val="345"/>
          <w:tblHeader/>
        </w:trPr>
        <w:tc>
          <w:tcPr>
            <w:tcW w:w="9072" w:type="dxa"/>
            <w:gridSpan w:val="7"/>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s="宋体" w:hint="eastAsia"/>
                <w:color w:val="auto"/>
                <w:kern w:val="0"/>
                <w:sz w:val="21"/>
                <w:szCs w:val="21"/>
              </w:rPr>
              <w:t>三、</w:t>
            </w:r>
            <w:r>
              <w:rPr>
                <w:rFonts w:ascii="宋体" w:hAnsi="宋体" w:cs="宋体" w:hint="eastAsia"/>
                <w:color w:val="auto"/>
                <w:sz w:val="21"/>
                <w:szCs w:val="21"/>
              </w:rPr>
              <w:t>减少与消除事故影响设施</w:t>
            </w: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1</w:t>
            </w:r>
          </w:p>
        </w:tc>
        <w:tc>
          <w:tcPr>
            <w:tcW w:w="2210" w:type="dxa"/>
            <w:vAlign w:val="center"/>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消防设施</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97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30</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2</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正压式空气呼吸器</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olor w:val="auto"/>
                <w:kern w:val="0"/>
                <w:sz w:val="21"/>
                <w:szCs w:val="21"/>
              </w:rPr>
              <w:t>2</w:t>
            </w:r>
            <w:r>
              <w:rPr>
                <w:rFonts w:ascii="宋体" w:hAnsi="宋体" w:hint="eastAsia"/>
                <w:color w:val="auto"/>
                <w:kern w:val="0"/>
                <w:sz w:val="21"/>
                <w:szCs w:val="21"/>
              </w:rPr>
              <w:t>套</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7.2</w:t>
            </w:r>
          </w:p>
        </w:tc>
        <w:tc>
          <w:tcPr>
            <w:tcW w:w="1764"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综合楼安全设施储存箱内</w:t>
            </w: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3</w:t>
            </w: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防毒面具</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5</w:t>
            </w:r>
            <w:r>
              <w:rPr>
                <w:rFonts w:ascii="宋体" w:hAnsi="宋体" w:cs="宋体" w:hint="eastAsia"/>
                <w:color w:val="auto"/>
                <w:kern w:val="0"/>
                <w:sz w:val="21"/>
                <w:szCs w:val="21"/>
              </w:rPr>
              <w:t>个</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0.5</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4</w:t>
            </w:r>
          </w:p>
        </w:tc>
        <w:tc>
          <w:tcPr>
            <w:tcW w:w="2210" w:type="dxa"/>
            <w:vAlign w:val="center"/>
          </w:tcPr>
          <w:p w:rsidR="003F13AB" w:rsidRDefault="00EC6E7E">
            <w:pPr>
              <w:adjustRightInd/>
              <w:snapToGri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安全网、安全带</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5套</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0.4</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5</w:t>
            </w:r>
          </w:p>
        </w:tc>
        <w:tc>
          <w:tcPr>
            <w:tcW w:w="2210" w:type="dxa"/>
            <w:vAlign w:val="center"/>
          </w:tcPr>
          <w:p w:rsidR="003F13AB" w:rsidRDefault="00EC6E7E">
            <w:pPr>
              <w:adjustRightInd/>
              <w:snapToGri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急救箱</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2套</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0.8</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2051"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合计</w:t>
            </w:r>
          </w:p>
        </w:tc>
        <w:tc>
          <w:tcPr>
            <w:tcW w:w="971" w:type="dxa"/>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kern w:val="0"/>
                <w:sz w:val="21"/>
                <w:szCs w:val="21"/>
              </w:rPr>
              <w:t>38.9</w:t>
            </w:r>
          </w:p>
        </w:tc>
        <w:tc>
          <w:tcPr>
            <w:tcW w:w="1764" w:type="dxa"/>
            <w:gridSpan w:val="2"/>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9072" w:type="dxa"/>
            <w:gridSpan w:val="7"/>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s="宋体" w:hint="eastAsia"/>
                <w:color w:val="auto"/>
                <w:kern w:val="0"/>
                <w:sz w:val="21"/>
                <w:szCs w:val="21"/>
              </w:rPr>
              <w:t>四、</w:t>
            </w:r>
            <w:r>
              <w:rPr>
                <w:rFonts w:ascii="宋体" w:hAnsi="宋体" w:cs="宋体" w:hint="eastAsia"/>
                <w:color w:val="auto"/>
                <w:sz w:val="21"/>
                <w:szCs w:val="21"/>
              </w:rPr>
              <w:t>个人防护装备配置</w:t>
            </w: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1</w:t>
            </w:r>
          </w:p>
        </w:tc>
        <w:tc>
          <w:tcPr>
            <w:tcW w:w="2210" w:type="dxa"/>
          </w:tcPr>
          <w:p w:rsidR="003F13AB" w:rsidRDefault="00EC6E7E">
            <w:pPr>
              <w:ind w:firstLineChars="0" w:firstLine="0"/>
              <w:rPr>
                <w:sz w:val="21"/>
                <w:szCs w:val="21"/>
              </w:rPr>
            </w:pPr>
            <w:r>
              <w:rPr>
                <w:rFonts w:hint="eastAsia"/>
                <w:sz w:val="21"/>
                <w:szCs w:val="21"/>
              </w:rPr>
              <w:t>防静电工作服</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2套/人/年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4</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2</w:t>
            </w:r>
          </w:p>
        </w:tc>
        <w:tc>
          <w:tcPr>
            <w:tcW w:w="2210" w:type="dxa"/>
          </w:tcPr>
          <w:p w:rsidR="003F13AB" w:rsidRDefault="00EC6E7E">
            <w:pPr>
              <w:ind w:firstLineChars="0" w:firstLine="0"/>
              <w:rPr>
                <w:sz w:val="21"/>
                <w:szCs w:val="21"/>
              </w:rPr>
            </w:pPr>
            <w:r>
              <w:rPr>
                <w:rFonts w:hint="eastAsia"/>
                <w:sz w:val="21"/>
                <w:szCs w:val="21"/>
              </w:rPr>
              <w:t>安全帽</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符合</w:t>
            </w:r>
            <w:r>
              <w:rPr>
                <w:rFonts w:ascii="宋体" w:hAnsi="宋体"/>
                <w:color w:val="auto"/>
                <w:kern w:val="0"/>
                <w:sz w:val="21"/>
                <w:szCs w:val="21"/>
              </w:rPr>
              <w:t>GB2811</w:t>
            </w:r>
            <w:r>
              <w:rPr>
                <w:rFonts w:ascii="宋体" w:hAnsi="宋体" w:cs="宋体" w:hint="eastAsia"/>
                <w:color w:val="auto"/>
                <w:kern w:val="0"/>
                <w:sz w:val="21"/>
                <w:szCs w:val="21"/>
              </w:rPr>
              <w:t>要求</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1顶/人/年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1.8</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3</w:t>
            </w:r>
          </w:p>
        </w:tc>
        <w:tc>
          <w:tcPr>
            <w:tcW w:w="2210" w:type="dxa"/>
          </w:tcPr>
          <w:p w:rsidR="003F13AB" w:rsidRDefault="00EC6E7E">
            <w:pPr>
              <w:ind w:firstLineChars="0" w:firstLine="0"/>
              <w:rPr>
                <w:sz w:val="21"/>
                <w:szCs w:val="21"/>
              </w:rPr>
            </w:pPr>
            <w:r>
              <w:rPr>
                <w:rFonts w:hint="eastAsia"/>
                <w:sz w:val="21"/>
                <w:szCs w:val="21"/>
              </w:rPr>
              <w:t>隔热手套</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4套/人/年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1.2</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color w:val="auto"/>
                <w:kern w:val="0"/>
                <w:sz w:val="21"/>
                <w:szCs w:val="21"/>
              </w:rPr>
              <w:t>4</w:t>
            </w:r>
          </w:p>
        </w:tc>
        <w:tc>
          <w:tcPr>
            <w:tcW w:w="2210" w:type="dxa"/>
          </w:tcPr>
          <w:p w:rsidR="003F13AB" w:rsidRDefault="00EC6E7E">
            <w:pPr>
              <w:ind w:firstLineChars="0" w:firstLine="0"/>
              <w:rPr>
                <w:sz w:val="21"/>
                <w:szCs w:val="21"/>
              </w:rPr>
            </w:pPr>
            <w:r>
              <w:rPr>
                <w:rFonts w:hint="eastAsia"/>
                <w:sz w:val="21"/>
                <w:szCs w:val="21"/>
              </w:rPr>
              <w:t>工作服</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2套/人/年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3.5</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5</w:t>
            </w:r>
          </w:p>
        </w:tc>
        <w:tc>
          <w:tcPr>
            <w:tcW w:w="2210" w:type="dxa"/>
          </w:tcPr>
          <w:p w:rsidR="003F13AB" w:rsidRDefault="00EC6E7E">
            <w:pPr>
              <w:ind w:firstLineChars="0" w:firstLine="0"/>
              <w:rPr>
                <w:sz w:val="21"/>
                <w:szCs w:val="21"/>
              </w:rPr>
            </w:pPr>
            <w:r>
              <w:rPr>
                <w:rFonts w:hint="eastAsia"/>
                <w:sz w:val="21"/>
                <w:szCs w:val="21"/>
              </w:rPr>
              <w:t>绝缘鞋</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1双/人/年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1.5</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6</w:t>
            </w:r>
          </w:p>
        </w:tc>
        <w:tc>
          <w:tcPr>
            <w:tcW w:w="2210" w:type="dxa"/>
          </w:tcPr>
          <w:p w:rsidR="003F13AB" w:rsidRDefault="00EC6E7E">
            <w:pPr>
              <w:ind w:firstLineChars="0" w:firstLine="0"/>
              <w:rPr>
                <w:sz w:val="21"/>
                <w:szCs w:val="21"/>
              </w:rPr>
            </w:pPr>
            <w:r>
              <w:rPr>
                <w:rFonts w:hint="eastAsia"/>
                <w:sz w:val="21"/>
                <w:szCs w:val="21"/>
              </w:rPr>
              <w:t>绝缘手套</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2双/人/年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7</w:t>
            </w:r>
          </w:p>
        </w:tc>
        <w:tc>
          <w:tcPr>
            <w:tcW w:w="2210" w:type="dxa"/>
          </w:tcPr>
          <w:p w:rsidR="003F13AB" w:rsidRDefault="00EC6E7E">
            <w:pPr>
              <w:ind w:firstLineChars="0" w:firstLine="0"/>
              <w:rPr>
                <w:sz w:val="21"/>
                <w:szCs w:val="21"/>
              </w:rPr>
            </w:pPr>
            <w:r>
              <w:rPr>
                <w:rFonts w:hint="eastAsia"/>
                <w:sz w:val="21"/>
                <w:szCs w:val="21"/>
              </w:rPr>
              <w:t>耳塞</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12套/人/年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w:t>
            </w:r>
          </w:p>
        </w:tc>
        <w:tc>
          <w:tcPr>
            <w:tcW w:w="1673" w:type="dxa"/>
            <w:vAlign w:val="center"/>
          </w:tcPr>
          <w:p w:rsidR="003F13AB" w:rsidRDefault="003F13AB">
            <w:pPr>
              <w:adjustRightInd/>
              <w:snapToGrid/>
              <w:spacing w:line="240" w:lineRule="auto"/>
              <w:ind w:firstLineChars="0" w:firstLine="0"/>
              <w:rPr>
                <w:rFonts w:ascii="宋体" w:hAnsi="宋体" w:cs="宋体"/>
                <w:color w:val="auto"/>
                <w:kern w:val="0"/>
                <w:sz w:val="21"/>
                <w:szCs w:val="21"/>
              </w:rPr>
            </w:pPr>
          </w:p>
        </w:tc>
      </w:tr>
      <w:tr w:rsidR="003F13AB">
        <w:trPr>
          <w:trHeight w:val="345"/>
          <w:tblHeader/>
        </w:trPr>
        <w:tc>
          <w:tcPr>
            <w:tcW w:w="525" w:type="dxa"/>
            <w:vAlign w:val="center"/>
          </w:tcPr>
          <w:p w:rsidR="003F13AB" w:rsidRDefault="00EC6E7E">
            <w:pPr>
              <w:adjustRightInd/>
              <w:snapToGrid/>
              <w:spacing w:line="240" w:lineRule="auto"/>
              <w:ind w:firstLineChars="0" w:firstLine="0"/>
              <w:jc w:val="center"/>
              <w:rPr>
                <w:rFonts w:ascii="宋体" w:hAnsi="宋体"/>
                <w:color w:val="auto"/>
                <w:kern w:val="0"/>
                <w:sz w:val="21"/>
                <w:szCs w:val="21"/>
              </w:rPr>
            </w:pPr>
            <w:r>
              <w:rPr>
                <w:rFonts w:ascii="宋体" w:hAnsi="宋体" w:hint="eastAsia"/>
                <w:color w:val="auto"/>
                <w:kern w:val="0"/>
                <w:sz w:val="21"/>
                <w:szCs w:val="21"/>
              </w:rPr>
              <w:t>8</w:t>
            </w:r>
          </w:p>
        </w:tc>
        <w:tc>
          <w:tcPr>
            <w:tcW w:w="2210" w:type="dxa"/>
          </w:tcPr>
          <w:p w:rsidR="003F13AB" w:rsidRDefault="00EC6E7E">
            <w:pPr>
              <w:ind w:firstLineChars="0" w:firstLine="0"/>
              <w:rPr>
                <w:sz w:val="21"/>
                <w:szCs w:val="21"/>
              </w:rPr>
            </w:pPr>
            <w:r>
              <w:rPr>
                <w:rFonts w:hint="eastAsia"/>
                <w:sz w:val="21"/>
                <w:szCs w:val="21"/>
              </w:rPr>
              <w:t>防尘口罩</w:t>
            </w:r>
          </w:p>
        </w:tc>
        <w:tc>
          <w:tcPr>
            <w:tcW w:w="20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w:t>
            </w: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300只/人/年</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1.2</w:t>
            </w:r>
          </w:p>
        </w:tc>
        <w:tc>
          <w:tcPr>
            <w:tcW w:w="1673" w:type="dxa"/>
            <w:vAlign w:val="center"/>
          </w:tcPr>
          <w:p w:rsidR="003F13AB" w:rsidRDefault="003F13AB">
            <w:pPr>
              <w:adjustRightInd/>
              <w:snapToGrid/>
              <w:spacing w:line="240" w:lineRule="auto"/>
              <w:ind w:firstLineChars="0" w:firstLine="0"/>
              <w:rPr>
                <w:rFonts w:ascii="宋体" w:hAnsi="宋体" w:cs="宋体"/>
                <w:color w:val="auto"/>
                <w:kern w:val="0"/>
                <w:sz w:val="21"/>
                <w:szCs w:val="21"/>
              </w:rPr>
            </w:pPr>
          </w:p>
        </w:tc>
      </w:tr>
      <w:tr w:rsidR="003F13AB">
        <w:trPr>
          <w:trHeight w:val="45"/>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2051"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1551"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合计</w:t>
            </w:r>
          </w:p>
        </w:tc>
        <w:tc>
          <w:tcPr>
            <w:tcW w:w="1062" w:type="dxa"/>
            <w:gridSpan w:val="2"/>
            <w:vAlign w:val="center"/>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15</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本建设项目总投资</w:t>
            </w:r>
          </w:p>
        </w:tc>
        <w:tc>
          <w:tcPr>
            <w:tcW w:w="2051"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1551"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1062"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highlight w:val="yellow"/>
              </w:rPr>
            </w:pPr>
            <w:r>
              <w:rPr>
                <w:rFonts w:ascii="宋体" w:hAnsi="宋体" w:hint="eastAsia"/>
                <w:color w:val="auto"/>
                <w:kern w:val="0"/>
                <w:sz w:val="21"/>
                <w:szCs w:val="21"/>
              </w:rPr>
              <w:t>21000</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安全设施投资</w:t>
            </w:r>
          </w:p>
        </w:tc>
        <w:tc>
          <w:tcPr>
            <w:tcW w:w="2051"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1551"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1062"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highlight w:val="yellow"/>
              </w:rPr>
            </w:pPr>
            <w:r>
              <w:rPr>
                <w:rFonts w:ascii="宋体" w:hAnsi="宋体" w:hint="eastAsia"/>
                <w:color w:val="auto"/>
                <w:kern w:val="0"/>
                <w:sz w:val="21"/>
                <w:szCs w:val="21"/>
              </w:rPr>
              <w:t>244.7</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r w:rsidR="003F13AB">
        <w:trPr>
          <w:trHeight w:val="345"/>
          <w:tblHeader/>
        </w:trPr>
        <w:tc>
          <w:tcPr>
            <w:tcW w:w="525"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2210" w:type="dxa"/>
            <w:vAlign w:val="center"/>
          </w:tcPr>
          <w:p w:rsidR="003F13AB" w:rsidRDefault="00EC6E7E">
            <w:pPr>
              <w:adjustRightInd/>
              <w:snapToGrid/>
              <w:spacing w:line="240" w:lineRule="auto"/>
              <w:ind w:firstLineChars="0" w:firstLine="0"/>
              <w:rPr>
                <w:rFonts w:ascii="宋体" w:hAnsi="宋体"/>
                <w:color w:val="auto"/>
                <w:kern w:val="0"/>
                <w:sz w:val="21"/>
                <w:szCs w:val="21"/>
              </w:rPr>
            </w:pPr>
            <w:r>
              <w:rPr>
                <w:rFonts w:ascii="宋体" w:hAnsi="宋体" w:cs="宋体" w:hint="eastAsia"/>
                <w:color w:val="auto"/>
                <w:kern w:val="0"/>
                <w:sz w:val="21"/>
                <w:szCs w:val="21"/>
              </w:rPr>
              <w:t>占总投资概算</w:t>
            </w:r>
            <w:r>
              <w:rPr>
                <w:rFonts w:ascii="宋体" w:hAnsi="宋体"/>
                <w:color w:val="auto"/>
                <w:kern w:val="0"/>
                <w:sz w:val="21"/>
                <w:szCs w:val="21"/>
              </w:rPr>
              <w:t>%</w:t>
            </w:r>
          </w:p>
        </w:tc>
        <w:tc>
          <w:tcPr>
            <w:tcW w:w="2051" w:type="dxa"/>
            <w:vAlign w:val="center"/>
          </w:tcPr>
          <w:p w:rsidR="003F13AB" w:rsidRDefault="003F13AB">
            <w:pPr>
              <w:adjustRightInd/>
              <w:snapToGrid/>
              <w:spacing w:line="240" w:lineRule="auto"/>
              <w:ind w:firstLineChars="0" w:firstLine="0"/>
              <w:jc w:val="center"/>
              <w:rPr>
                <w:rFonts w:ascii="宋体" w:hAnsi="宋体"/>
                <w:color w:val="auto"/>
                <w:kern w:val="0"/>
                <w:sz w:val="21"/>
                <w:szCs w:val="21"/>
              </w:rPr>
            </w:pPr>
          </w:p>
        </w:tc>
        <w:tc>
          <w:tcPr>
            <w:tcW w:w="1551"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c>
          <w:tcPr>
            <w:tcW w:w="1062" w:type="dxa"/>
            <w:gridSpan w:val="2"/>
            <w:vAlign w:val="center"/>
          </w:tcPr>
          <w:p w:rsidR="003F13AB" w:rsidRDefault="00EC6E7E">
            <w:pPr>
              <w:adjustRightInd/>
              <w:snapToGrid/>
              <w:spacing w:line="240" w:lineRule="auto"/>
              <w:ind w:firstLineChars="0" w:firstLine="0"/>
              <w:rPr>
                <w:rFonts w:ascii="宋体" w:hAnsi="宋体"/>
                <w:color w:val="auto"/>
                <w:kern w:val="0"/>
                <w:sz w:val="21"/>
                <w:szCs w:val="21"/>
                <w:highlight w:val="yellow"/>
              </w:rPr>
            </w:pPr>
            <w:r>
              <w:rPr>
                <w:rFonts w:ascii="宋体" w:hAnsi="宋体" w:hint="eastAsia"/>
                <w:color w:val="auto"/>
                <w:kern w:val="0"/>
                <w:sz w:val="21"/>
                <w:szCs w:val="21"/>
              </w:rPr>
              <w:t>1.165</w:t>
            </w:r>
          </w:p>
        </w:tc>
        <w:tc>
          <w:tcPr>
            <w:tcW w:w="1673" w:type="dxa"/>
            <w:vAlign w:val="center"/>
          </w:tcPr>
          <w:p w:rsidR="003F13AB" w:rsidRDefault="003F13AB">
            <w:pPr>
              <w:adjustRightInd/>
              <w:snapToGrid/>
              <w:spacing w:line="240" w:lineRule="auto"/>
              <w:ind w:firstLineChars="0" w:firstLine="0"/>
              <w:rPr>
                <w:rFonts w:ascii="宋体" w:hAnsi="宋体"/>
                <w:color w:val="auto"/>
                <w:kern w:val="0"/>
                <w:sz w:val="21"/>
                <w:szCs w:val="21"/>
              </w:rPr>
            </w:pPr>
          </w:p>
        </w:tc>
      </w:tr>
    </w:tbl>
    <w:p w:rsidR="003F13AB" w:rsidRDefault="003F13AB">
      <w:pPr>
        <w:pStyle w:val="Default1"/>
        <w:rPr>
          <w:rFonts w:ascii="宋体" w:hAnsi="宋体" w:hint="default"/>
          <w:sz w:val="28"/>
          <w:szCs w:val="28"/>
        </w:rPr>
      </w:pPr>
    </w:p>
    <w:p w:rsidR="003F13AB" w:rsidRDefault="00EC6E7E">
      <w:pPr>
        <w:pStyle w:val="2"/>
      </w:pPr>
      <w:bookmarkStart w:id="88" w:name="_Toc166857567"/>
      <w:bookmarkStart w:id="89" w:name="_Toc187914402"/>
      <w:r>
        <w:t>2.</w:t>
      </w:r>
      <w:r>
        <w:rPr>
          <w:rFonts w:hint="eastAsia"/>
        </w:rPr>
        <w:t>7 工程施工及其质量情况</w:t>
      </w:r>
      <w:bookmarkEnd w:id="88"/>
      <w:bookmarkEnd w:id="89"/>
    </w:p>
    <w:p w:rsidR="003F13AB" w:rsidRDefault="00EC6E7E">
      <w:pPr>
        <w:pStyle w:val="3"/>
      </w:pPr>
      <w:bookmarkStart w:id="90" w:name="_Toc187914403"/>
      <w:r>
        <w:rPr>
          <w:rFonts w:hint="eastAsia"/>
        </w:rPr>
        <w:t>2.7.1 设计变更情况</w:t>
      </w:r>
      <w:bookmarkEnd w:id="90"/>
    </w:p>
    <w:p w:rsidR="003F13AB" w:rsidRPr="00611B5C" w:rsidRDefault="00EC6E7E">
      <w:pPr>
        <w:ind w:firstLine="560"/>
        <w:rPr>
          <w:color w:val="auto"/>
        </w:rPr>
      </w:pPr>
      <w:r>
        <w:rPr>
          <w:rFonts w:hint="eastAsia"/>
          <w:color w:val="auto"/>
        </w:rPr>
        <w:t>根据现场踏勘以及查阅《云南农家乐农业集团有限公司年产</w:t>
      </w:r>
      <w:r>
        <w:rPr>
          <w:rFonts w:hint="eastAsia"/>
          <w:color w:val="auto"/>
        </w:rPr>
        <w:t>50</w:t>
      </w:r>
      <w:r>
        <w:rPr>
          <w:rFonts w:hint="eastAsia"/>
          <w:color w:val="auto"/>
        </w:rPr>
        <w:t>万吨缓控释肥料、水溶肥料、专用肥料生产基地建设项目安全设施设计》、《竣工技术资料》及相关</w:t>
      </w:r>
      <w:r w:rsidRPr="00611B5C">
        <w:rPr>
          <w:rFonts w:hint="eastAsia"/>
          <w:color w:val="auto"/>
        </w:rPr>
        <w:t>施工图纸等资料情况，项目安全设施设计通过评审后，存在设计变更情况。</w:t>
      </w:r>
      <w:r w:rsidRPr="00611B5C">
        <w:rPr>
          <w:color w:val="auto"/>
          <w:szCs w:val="28"/>
        </w:rPr>
        <w:t>项目（一期）由武汉理工大设计研究院有限公司出具设计变更，设计变更已经建设单位、设计单位、监理单位和施工单位签字盖章确认，满足相关规范要求，变更内容如下：</w:t>
      </w:r>
    </w:p>
    <w:p w:rsidR="003F13AB" w:rsidRDefault="00EC6E7E">
      <w:pPr>
        <w:ind w:firstLine="560"/>
        <w:rPr>
          <w:color w:val="auto"/>
        </w:rPr>
      </w:pPr>
      <w:r>
        <w:rPr>
          <w:rFonts w:hint="eastAsia"/>
          <w:color w:val="auto"/>
        </w:rPr>
        <w:t>（</w:t>
      </w:r>
      <w:r>
        <w:rPr>
          <w:rFonts w:hint="eastAsia"/>
          <w:color w:val="auto"/>
        </w:rPr>
        <w:t>1</w:t>
      </w:r>
      <w:r>
        <w:rPr>
          <w:rFonts w:hint="eastAsia"/>
          <w:color w:val="auto"/>
        </w:rPr>
        <w:t>）事由：因建设单位使用要求，</w:t>
      </w:r>
      <w:r>
        <w:rPr>
          <w:rFonts w:hint="eastAsia"/>
          <w:color w:val="auto"/>
        </w:rPr>
        <w:t>15</w:t>
      </w:r>
      <w:r>
        <w:rPr>
          <w:rFonts w:hint="eastAsia"/>
          <w:color w:val="auto"/>
        </w:rPr>
        <w:t>层（</w:t>
      </w:r>
      <w:r>
        <w:rPr>
          <w:rFonts w:hint="eastAsia"/>
          <w:color w:val="auto"/>
        </w:rPr>
        <w:t>110.5</w:t>
      </w:r>
      <w:r>
        <w:rPr>
          <w:rFonts w:hint="eastAsia"/>
          <w:color w:val="auto"/>
        </w:rPr>
        <w:t>米）、</w:t>
      </w:r>
      <w:r>
        <w:rPr>
          <w:rFonts w:hint="eastAsia"/>
          <w:color w:val="auto"/>
        </w:rPr>
        <w:t>14</w:t>
      </w:r>
      <w:r>
        <w:rPr>
          <w:rFonts w:hint="eastAsia"/>
          <w:color w:val="auto"/>
        </w:rPr>
        <w:t>层（</w:t>
      </w:r>
      <w:r>
        <w:rPr>
          <w:rFonts w:hint="eastAsia"/>
          <w:color w:val="auto"/>
        </w:rPr>
        <w:t>107</w:t>
      </w:r>
      <w:r>
        <w:rPr>
          <w:rFonts w:hint="eastAsia"/>
          <w:color w:val="auto"/>
        </w:rPr>
        <w:t>米）、</w:t>
      </w:r>
      <w:r>
        <w:rPr>
          <w:rFonts w:hint="eastAsia"/>
          <w:color w:val="auto"/>
        </w:rPr>
        <w:lastRenderedPageBreak/>
        <w:t>13</w:t>
      </w:r>
      <w:r>
        <w:rPr>
          <w:rFonts w:hint="eastAsia"/>
          <w:color w:val="auto"/>
        </w:rPr>
        <w:t>层（</w:t>
      </w:r>
      <w:r>
        <w:rPr>
          <w:rFonts w:hint="eastAsia"/>
          <w:color w:val="auto"/>
        </w:rPr>
        <w:t>103.5</w:t>
      </w:r>
      <w:r>
        <w:rPr>
          <w:rFonts w:hint="eastAsia"/>
          <w:color w:val="auto"/>
        </w:rPr>
        <w:t>米）、夹层（</w:t>
      </w:r>
      <w:r>
        <w:rPr>
          <w:rFonts w:hint="eastAsia"/>
          <w:color w:val="auto"/>
        </w:rPr>
        <w:t>100</w:t>
      </w:r>
      <w:r>
        <w:rPr>
          <w:rFonts w:hint="eastAsia"/>
          <w:color w:val="auto"/>
        </w:rPr>
        <w:t>米</w:t>
      </w:r>
      <w:r>
        <w:rPr>
          <w:rFonts w:hint="eastAsia"/>
          <w:color w:val="auto"/>
        </w:rPr>
        <w:t>)</w:t>
      </w:r>
      <w:r>
        <w:rPr>
          <w:rFonts w:hint="eastAsia"/>
          <w:color w:val="auto"/>
        </w:rPr>
        <w:t>、</w:t>
      </w:r>
      <w:r>
        <w:rPr>
          <w:rFonts w:hint="eastAsia"/>
          <w:color w:val="auto"/>
        </w:rPr>
        <w:t>12</w:t>
      </w:r>
      <w:r>
        <w:rPr>
          <w:rFonts w:hint="eastAsia"/>
          <w:color w:val="auto"/>
        </w:rPr>
        <w:t>层（</w:t>
      </w:r>
      <w:r>
        <w:rPr>
          <w:rFonts w:hint="eastAsia"/>
          <w:color w:val="auto"/>
        </w:rPr>
        <w:t>95.8</w:t>
      </w:r>
      <w:r>
        <w:rPr>
          <w:rFonts w:hint="eastAsia"/>
          <w:color w:val="auto"/>
        </w:rPr>
        <w:t>米）塔壁①轴</w:t>
      </w:r>
      <w:r>
        <w:rPr>
          <w:rFonts w:hint="eastAsia"/>
          <w:color w:val="auto"/>
        </w:rPr>
        <w:t>FM</w:t>
      </w:r>
      <w:r>
        <w:rPr>
          <w:rFonts w:hint="eastAsia"/>
          <w:color w:val="auto"/>
        </w:rPr>
        <w:t>乙</w:t>
      </w:r>
      <w:r>
        <w:rPr>
          <w:rFonts w:hint="eastAsia"/>
          <w:color w:val="auto"/>
        </w:rPr>
        <w:t>1321</w:t>
      </w:r>
      <w:r>
        <w:rPr>
          <w:rFonts w:hint="eastAsia"/>
          <w:color w:val="auto"/>
        </w:rPr>
        <w:t>防火门及洞口取消；</w:t>
      </w:r>
      <w:r>
        <w:rPr>
          <w:rFonts w:hint="eastAsia"/>
          <w:color w:val="auto"/>
        </w:rPr>
        <w:t>1</w:t>
      </w:r>
      <w:r>
        <w:rPr>
          <w:rFonts w:hint="eastAsia"/>
          <w:color w:val="auto"/>
        </w:rPr>
        <w:t>层（</w:t>
      </w:r>
      <w:r>
        <w:rPr>
          <w:rFonts w:hint="eastAsia"/>
          <w:color w:val="auto"/>
        </w:rPr>
        <w:t>0.3</w:t>
      </w:r>
      <w:r>
        <w:rPr>
          <w:rFonts w:hint="eastAsia"/>
          <w:color w:val="auto"/>
        </w:rPr>
        <w:t>米）</w:t>
      </w:r>
      <w:r>
        <w:rPr>
          <w:rFonts w:hint="eastAsia"/>
          <w:color w:val="auto"/>
        </w:rPr>
        <w:t>A</w:t>
      </w:r>
      <w:r>
        <w:rPr>
          <w:rFonts w:hint="eastAsia"/>
          <w:color w:val="auto"/>
        </w:rPr>
        <w:t>轴交①</w:t>
      </w:r>
      <w:r>
        <w:rPr>
          <w:rFonts w:hint="eastAsia"/>
          <w:color w:val="auto"/>
        </w:rPr>
        <w:t>-</w:t>
      </w:r>
      <w:r>
        <w:rPr>
          <w:rFonts w:hint="eastAsia"/>
          <w:color w:val="auto"/>
        </w:rPr>
        <w:t>②轴</w:t>
      </w:r>
      <w:r>
        <w:rPr>
          <w:rFonts w:hint="eastAsia"/>
          <w:color w:val="auto"/>
        </w:rPr>
        <w:t>FM</w:t>
      </w:r>
      <w:r>
        <w:rPr>
          <w:rFonts w:hint="eastAsia"/>
          <w:color w:val="auto"/>
        </w:rPr>
        <w:t>甲</w:t>
      </w:r>
      <w:r>
        <w:rPr>
          <w:rFonts w:hint="eastAsia"/>
          <w:color w:val="auto"/>
        </w:rPr>
        <w:t>1321</w:t>
      </w:r>
      <w:r>
        <w:rPr>
          <w:rFonts w:hint="eastAsia"/>
          <w:color w:val="auto"/>
        </w:rPr>
        <w:t>防火门及洞口取消；封闭</w:t>
      </w:r>
      <w:r>
        <w:rPr>
          <w:rFonts w:hint="eastAsia"/>
          <w:color w:val="auto"/>
        </w:rPr>
        <w:t>15</w:t>
      </w:r>
      <w:r>
        <w:rPr>
          <w:rFonts w:hint="eastAsia"/>
          <w:color w:val="auto"/>
        </w:rPr>
        <w:t>层（</w:t>
      </w:r>
      <w:r>
        <w:rPr>
          <w:rFonts w:hint="eastAsia"/>
          <w:color w:val="auto"/>
        </w:rPr>
        <w:t>110.5</w:t>
      </w:r>
      <w:r>
        <w:rPr>
          <w:rFonts w:hint="eastAsia"/>
          <w:color w:val="auto"/>
        </w:rPr>
        <w:t>米）、</w:t>
      </w:r>
      <w:r>
        <w:rPr>
          <w:rFonts w:hint="eastAsia"/>
          <w:color w:val="auto"/>
        </w:rPr>
        <w:t>14</w:t>
      </w:r>
      <w:r>
        <w:rPr>
          <w:rFonts w:hint="eastAsia"/>
          <w:color w:val="auto"/>
        </w:rPr>
        <w:t>层（</w:t>
      </w:r>
      <w:r>
        <w:rPr>
          <w:rFonts w:hint="eastAsia"/>
          <w:color w:val="auto"/>
        </w:rPr>
        <w:t>107</w:t>
      </w:r>
      <w:r>
        <w:rPr>
          <w:rFonts w:hint="eastAsia"/>
          <w:color w:val="auto"/>
        </w:rPr>
        <w:t>米）、</w:t>
      </w:r>
      <w:r>
        <w:rPr>
          <w:rFonts w:hint="eastAsia"/>
          <w:color w:val="auto"/>
        </w:rPr>
        <w:t>13</w:t>
      </w:r>
      <w:r>
        <w:rPr>
          <w:rFonts w:hint="eastAsia"/>
          <w:color w:val="auto"/>
        </w:rPr>
        <w:t>层（</w:t>
      </w:r>
      <w:r>
        <w:rPr>
          <w:rFonts w:hint="eastAsia"/>
          <w:color w:val="auto"/>
        </w:rPr>
        <w:t>103.5</w:t>
      </w:r>
      <w:r>
        <w:rPr>
          <w:rFonts w:hint="eastAsia"/>
          <w:color w:val="auto"/>
        </w:rPr>
        <w:t>米）、夹层（</w:t>
      </w:r>
      <w:r>
        <w:rPr>
          <w:rFonts w:hint="eastAsia"/>
          <w:color w:val="auto"/>
        </w:rPr>
        <w:t>100</w:t>
      </w:r>
      <w:r>
        <w:rPr>
          <w:rFonts w:hint="eastAsia"/>
          <w:color w:val="auto"/>
        </w:rPr>
        <w:t>米）、</w:t>
      </w:r>
      <w:r>
        <w:rPr>
          <w:rFonts w:hint="eastAsia"/>
          <w:color w:val="auto"/>
        </w:rPr>
        <w:t>12</w:t>
      </w:r>
      <w:r>
        <w:rPr>
          <w:rFonts w:hint="eastAsia"/>
          <w:color w:val="auto"/>
        </w:rPr>
        <w:t>层（</w:t>
      </w:r>
      <w:r>
        <w:rPr>
          <w:rFonts w:hint="eastAsia"/>
          <w:color w:val="auto"/>
        </w:rPr>
        <w:t>95.8</w:t>
      </w:r>
      <w:r>
        <w:rPr>
          <w:rFonts w:hint="eastAsia"/>
          <w:color w:val="auto"/>
        </w:rPr>
        <w:t>米</w:t>
      </w:r>
      <w:r>
        <w:rPr>
          <w:rFonts w:hint="eastAsia"/>
          <w:color w:val="auto"/>
        </w:rPr>
        <w:t>)</w:t>
      </w:r>
      <w:r>
        <w:rPr>
          <w:rFonts w:hint="eastAsia"/>
          <w:color w:val="auto"/>
        </w:rPr>
        <w:t>、</w:t>
      </w:r>
      <w:r>
        <w:rPr>
          <w:rFonts w:hint="eastAsia"/>
          <w:color w:val="auto"/>
        </w:rPr>
        <w:t>11</w:t>
      </w:r>
      <w:r>
        <w:rPr>
          <w:rFonts w:hint="eastAsia"/>
          <w:color w:val="auto"/>
        </w:rPr>
        <w:t>层（</w:t>
      </w:r>
      <w:r>
        <w:rPr>
          <w:rFonts w:hint="eastAsia"/>
          <w:color w:val="auto"/>
        </w:rPr>
        <w:t>87.6</w:t>
      </w:r>
      <w:r>
        <w:rPr>
          <w:rFonts w:hint="eastAsia"/>
          <w:color w:val="auto"/>
        </w:rPr>
        <w:t>米）、</w:t>
      </w:r>
      <w:r>
        <w:rPr>
          <w:rFonts w:hint="eastAsia"/>
          <w:color w:val="auto"/>
        </w:rPr>
        <w:t>10</w:t>
      </w:r>
      <w:r>
        <w:rPr>
          <w:rFonts w:hint="eastAsia"/>
          <w:color w:val="auto"/>
        </w:rPr>
        <w:t>层（</w:t>
      </w:r>
      <w:r>
        <w:rPr>
          <w:rFonts w:hint="eastAsia"/>
          <w:color w:val="auto"/>
        </w:rPr>
        <w:t>76.8</w:t>
      </w:r>
      <w:r>
        <w:rPr>
          <w:rFonts w:hint="eastAsia"/>
          <w:color w:val="auto"/>
        </w:rPr>
        <w:t>米）、</w:t>
      </w:r>
      <w:r>
        <w:rPr>
          <w:rFonts w:hint="eastAsia"/>
          <w:color w:val="auto"/>
        </w:rPr>
        <w:t>9</w:t>
      </w:r>
      <w:r>
        <w:rPr>
          <w:rFonts w:hint="eastAsia"/>
          <w:color w:val="auto"/>
        </w:rPr>
        <w:t>层（</w:t>
      </w:r>
      <w:r>
        <w:rPr>
          <w:rFonts w:hint="eastAsia"/>
          <w:color w:val="auto"/>
        </w:rPr>
        <w:t>66</w:t>
      </w:r>
      <w:r>
        <w:rPr>
          <w:rFonts w:hint="eastAsia"/>
          <w:color w:val="auto"/>
        </w:rPr>
        <w:t>米</w:t>
      </w:r>
      <w:r>
        <w:rPr>
          <w:rFonts w:hint="eastAsia"/>
          <w:color w:val="auto"/>
        </w:rPr>
        <w:t>)</w:t>
      </w:r>
      <w:r>
        <w:rPr>
          <w:rFonts w:hint="eastAsia"/>
          <w:color w:val="auto"/>
        </w:rPr>
        <w:t>、</w:t>
      </w:r>
      <w:r>
        <w:rPr>
          <w:rFonts w:hint="eastAsia"/>
          <w:color w:val="auto"/>
        </w:rPr>
        <w:t>8</w:t>
      </w:r>
      <w:r>
        <w:rPr>
          <w:rFonts w:hint="eastAsia"/>
          <w:color w:val="auto"/>
        </w:rPr>
        <w:t>层（</w:t>
      </w:r>
      <w:r>
        <w:rPr>
          <w:rFonts w:hint="eastAsia"/>
          <w:color w:val="auto"/>
        </w:rPr>
        <w:t>55.2</w:t>
      </w:r>
      <w:r>
        <w:rPr>
          <w:rFonts w:hint="eastAsia"/>
          <w:color w:val="auto"/>
        </w:rPr>
        <w:t>米</w:t>
      </w:r>
      <w:r>
        <w:rPr>
          <w:rFonts w:hint="eastAsia"/>
          <w:color w:val="auto"/>
        </w:rPr>
        <w:t>)</w:t>
      </w:r>
      <w:r>
        <w:rPr>
          <w:rFonts w:hint="eastAsia"/>
          <w:color w:val="auto"/>
        </w:rPr>
        <w:t>、</w:t>
      </w:r>
      <w:r>
        <w:rPr>
          <w:rFonts w:hint="eastAsia"/>
          <w:color w:val="auto"/>
        </w:rPr>
        <w:t>7</w:t>
      </w:r>
      <w:r>
        <w:rPr>
          <w:rFonts w:hint="eastAsia"/>
          <w:color w:val="auto"/>
        </w:rPr>
        <w:t>层（</w:t>
      </w:r>
      <w:r>
        <w:rPr>
          <w:rFonts w:hint="eastAsia"/>
          <w:color w:val="auto"/>
        </w:rPr>
        <w:t>44.4</w:t>
      </w:r>
      <w:r>
        <w:rPr>
          <w:rFonts w:hint="eastAsia"/>
          <w:color w:val="auto"/>
        </w:rPr>
        <w:t>米</w:t>
      </w:r>
      <w:r>
        <w:rPr>
          <w:rFonts w:hint="eastAsia"/>
          <w:color w:val="auto"/>
        </w:rPr>
        <w:t>)</w:t>
      </w:r>
      <w:r>
        <w:rPr>
          <w:rFonts w:hint="eastAsia"/>
          <w:color w:val="auto"/>
        </w:rPr>
        <w:t>、</w:t>
      </w:r>
      <w:r>
        <w:rPr>
          <w:rFonts w:hint="eastAsia"/>
          <w:color w:val="auto"/>
        </w:rPr>
        <w:t>6</w:t>
      </w:r>
      <w:r>
        <w:rPr>
          <w:rFonts w:hint="eastAsia"/>
          <w:color w:val="auto"/>
        </w:rPr>
        <w:t>层（</w:t>
      </w:r>
      <w:r>
        <w:rPr>
          <w:rFonts w:hint="eastAsia"/>
          <w:color w:val="auto"/>
        </w:rPr>
        <w:t>33.6</w:t>
      </w:r>
      <w:r>
        <w:rPr>
          <w:rFonts w:hint="eastAsia"/>
          <w:color w:val="auto"/>
        </w:rPr>
        <w:t>米</w:t>
      </w:r>
      <w:r>
        <w:rPr>
          <w:rFonts w:hint="eastAsia"/>
          <w:color w:val="auto"/>
        </w:rPr>
        <w:t>)</w:t>
      </w:r>
      <w:r>
        <w:rPr>
          <w:rFonts w:hint="eastAsia"/>
          <w:color w:val="auto"/>
        </w:rPr>
        <w:t>、</w:t>
      </w:r>
      <w:r>
        <w:rPr>
          <w:rFonts w:hint="eastAsia"/>
          <w:color w:val="auto"/>
        </w:rPr>
        <w:t>5</w:t>
      </w:r>
      <w:r>
        <w:rPr>
          <w:rFonts w:hint="eastAsia"/>
          <w:color w:val="auto"/>
        </w:rPr>
        <w:t>层（</w:t>
      </w:r>
      <w:r>
        <w:rPr>
          <w:rFonts w:hint="eastAsia"/>
          <w:color w:val="auto"/>
        </w:rPr>
        <w:t>22.8</w:t>
      </w:r>
      <w:r>
        <w:rPr>
          <w:rFonts w:hint="eastAsia"/>
          <w:color w:val="auto"/>
        </w:rPr>
        <w:t>米）、</w:t>
      </w:r>
      <w:r>
        <w:rPr>
          <w:rFonts w:hint="eastAsia"/>
          <w:color w:val="auto"/>
        </w:rPr>
        <w:t>3</w:t>
      </w:r>
      <w:r>
        <w:rPr>
          <w:rFonts w:hint="eastAsia"/>
          <w:color w:val="auto"/>
        </w:rPr>
        <w:t>层（</w:t>
      </w:r>
      <w:r>
        <w:rPr>
          <w:rFonts w:hint="eastAsia"/>
          <w:color w:val="auto"/>
        </w:rPr>
        <w:t>11.24</w:t>
      </w:r>
      <w:r>
        <w:rPr>
          <w:rFonts w:hint="eastAsia"/>
          <w:color w:val="auto"/>
        </w:rPr>
        <w:t>米）、</w:t>
      </w:r>
      <w:r>
        <w:rPr>
          <w:rFonts w:hint="eastAsia"/>
          <w:color w:val="auto"/>
        </w:rPr>
        <w:t>2</w:t>
      </w:r>
      <w:r>
        <w:rPr>
          <w:rFonts w:hint="eastAsia"/>
          <w:color w:val="auto"/>
        </w:rPr>
        <w:t>层（</w:t>
      </w:r>
      <w:r>
        <w:rPr>
          <w:rFonts w:hint="eastAsia"/>
          <w:color w:val="auto"/>
        </w:rPr>
        <w:t>6.64</w:t>
      </w:r>
      <w:r>
        <w:rPr>
          <w:rFonts w:hint="eastAsia"/>
          <w:color w:val="auto"/>
        </w:rPr>
        <w:t>米）</w:t>
      </w:r>
      <w:r>
        <w:rPr>
          <w:rFonts w:hint="eastAsia"/>
          <w:color w:val="auto"/>
        </w:rPr>
        <w:t>C-D</w:t>
      </w:r>
      <w:r>
        <w:rPr>
          <w:rFonts w:hint="eastAsia"/>
          <w:color w:val="auto"/>
        </w:rPr>
        <w:t>轴交②</w:t>
      </w:r>
      <w:r>
        <w:rPr>
          <w:rFonts w:hint="eastAsia"/>
          <w:color w:val="auto"/>
        </w:rPr>
        <w:t>-</w:t>
      </w:r>
      <w:r>
        <w:rPr>
          <w:rFonts w:hint="eastAsia"/>
          <w:color w:val="auto"/>
        </w:rPr>
        <w:t>③轴</w:t>
      </w:r>
      <w:proofErr w:type="gramStart"/>
      <w:r>
        <w:rPr>
          <w:rFonts w:hint="eastAsia"/>
          <w:color w:val="auto"/>
        </w:rPr>
        <w:t>电梯前空</w:t>
      </w:r>
      <w:proofErr w:type="gramEnd"/>
      <w:r>
        <w:rPr>
          <w:rFonts w:hint="eastAsia"/>
          <w:color w:val="auto"/>
        </w:rPr>
        <w:t>M1321</w:t>
      </w:r>
      <w:r>
        <w:rPr>
          <w:rFonts w:hint="eastAsia"/>
          <w:color w:val="auto"/>
        </w:rPr>
        <w:t>门洞，取消</w:t>
      </w:r>
      <w:r>
        <w:rPr>
          <w:rFonts w:hint="eastAsia"/>
          <w:color w:val="auto"/>
        </w:rPr>
        <w:t>M1321</w:t>
      </w:r>
      <w:r>
        <w:rPr>
          <w:rFonts w:hint="eastAsia"/>
          <w:color w:val="auto"/>
        </w:rPr>
        <w:t>普通门；封闭</w:t>
      </w:r>
      <w:r>
        <w:rPr>
          <w:rFonts w:hint="eastAsia"/>
          <w:color w:val="auto"/>
        </w:rPr>
        <w:t>1</w:t>
      </w:r>
      <w:r>
        <w:rPr>
          <w:rFonts w:hint="eastAsia"/>
          <w:color w:val="auto"/>
        </w:rPr>
        <w:t>层（</w:t>
      </w:r>
      <w:r>
        <w:rPr>
          <w:rFonts w:hint="eastAsia"/>
          <w:color w:val="auto"/>
        </w:rPr>
        <w:t>0.3</w:t>
      </w:r>
      <w:r>
        <w:rPr>
          <w:rFonts w:hint="eastAsia"/>
          <w:color w:val="auto"/>
        </w:rPr>
        <w:t>米）</w:t>
      </w:r>
      <w:r>
        <w:rPr>
          <w:rFonts w:hint="eastAsia"/>
          <w:color w:val="auto"/>
        </w:rPr>
        <w:t>C-D</w:t>
      </w:r>
      <w:r>
        <w:rPr>
          <w:rFonts w:hint="eastAsia"/>
          <w:color w:val="auto"/>
        </w:rPr>
        <w:t>轴交②</w:t>
      </w:r>
      <w:r>
        <w:rPr>
          <w:rFonts w:hint="eastAsia"/>
          <w:color w:val="auto"/>
        </w:rPr>
        <w:t>-</w:t>
      </w:r>
      <w:r>
        <w:rPr>
          <w:rFonts w:hint="eastAsia"/>
          <w:color w:val="auto"/>
        </w:rPr>
        <w:t>③轴电梯前室</w:t>
      </w:r>
      <w:r>
        <w:rPr>
          <w:rFonts w:hint="eastAsia"/>
          <w:color w:val="auto"/>
        </w:rPr>
        <w:t>FM</w:t>
      </w:r>
      <w:r>
        <w:rPr>
          <w:rFonts w:hint="eastAsia"/>
          <w:color w:val="auto"/>
        </w:rPr>
        <w:t>甲</w:t>
      </w:r>
      <w:r>
        <w:rPr>
          <w:rFonts w:hint="eastAsia"/>
          <w:color w:val="auto"/>
        </w:rPr>
        <w:t>1321</w:t>
      </w:r>
      <w:r>
        <w:rPr>
          <w:rFonts w:hint="eastAsia"/>
          <w:color w:val="auto"/>
        </w:rPr>
        <w:t>门洞，取消</w:t>
      </w:r>
      <w:r>
        <w:rPr>
          <w:rFonts w:hint="eastAsia"/>
          <w:color w:val="auto"/>
        </w:rPr>
        <w:t>FM</w:t>
      </w:r>
      <w:r>
        <w:rPr>
          <w:rFonts w:hint="eastAsia"/>
          <w:color w:val="auto"/>
        </w:rPr>
        <w:t>甲</w:t>
      </w:r>
      <w:r>
        <w:rPr>
          <w:rFonts w:hint="eastAsia"/>
          <w:color w:val="auto"/>
        </w:rPr>
        <w:t>1321</w:t>
      </w:r>
      <w:r>
        <w:rPr>
          <w:rFonts w:hint="eastAsia"/>
          <w:color w:val="auto"/>
        </w:rPr>
        <w:t>防火门；</w:t>
      </w:r>
      <w:r>
        <w:rPr>
          <w:rFonts w:hint="eastAsia"/>
          <w:color w:val="auto"/>
        </w:rPr>
        <w:t>15</w:t>
      </w:r>
      <w:r>
        <w:rPr>
          <w:rFonts w:hint="eastAsia"/>
          <w:color w:val="auto"/>
        </w:rPr>
        <w:t>层（</w:t>
      </w:r>
      <w:r>
        <w:rPr>
          <w:rFonts w:hint="eastAsia"/>
          <w:color w:val="auto"/>
        </w:rPr>
        <w:t>110.5</w:t>
      </w:r>
      <w:r>
        <w:rPr>
          <w:rFonts w:hint="eastAsia"/>
          <w:color w:val="auto"/>
        </w:rPr>
        <w:t>米）、</w:t>
      </w:r>
      <w:r>
        <w:rPr>
          <w:rFonts w:hint="eastAsia"/>
          <w:color w:val="auto"/>
        </w:rPr>
        <w:t>14</w:t>
      </w:r>
      <w:r>
        <w:rPr>
          <w:rFonts w:hint="eastAsia"/>
          <w:color w:val="auto"/>
        </w:rPr>
        <w:t>层（</w:t>
      </w:r>
      <w:r>
        <w:rPr>
          <w:rFonts w:hint="eastAsia"/>
          <w:color w:val="auto"/>
        </w:rPr>
        <w:t>107</w:t>
      </w:r>
      <w:r>
        <w:rPr>
          <w:rFonts w:hint="eastAsia"/>
          <w:color w:val="auto"/>
        </w:rPr>
        <w:t>米）、</w:t>
      </w:r>
      <w:r>
        <w:rPr>
          <w:rFonts w:hint="eastAsia"/>
          <w:color w:val="auto"/>
        </w:rPr>
        <w:t>13</w:t>
      </w:r>
      <w:r>
        <w:rPr>
          <w:rFonts w:hint="eastAsia"/>
          <w:color w:val="auto"/>
        </w:rPr>
        <w:t>层（</w:t>
      </w:r>
      <w:r>
        <w:rPr>
          <w:rFonts w:hint="eastAsia"/>
          <w:color w:val="auto"/>
        </w:rPr>
        <w:t>103.5</w:t>
      </w:r>
      <w:r>
        <w:rPr>
          <w:rFonts w:hint="eastAsia"/>
          <w:color w:val="auto"/>
        </w:rPr>
        <w:t>米）、夹层（</w:t>
      </w:r>
      <w:r>
        <w:rPr>
          <w:rFonts w:hint="eastAsia"/>
          <w:color w:val="auto"/>
        </w:rPr>
        <w:t>100</w:t>
      </w:r>
      <w:r>
        <w:rPr>
          <w:rFonts w:hint="eastAsia"/>
          <w:color w:val="auto"/>
        </w:rPr>
        <w:t>米）、</w:t>
      </w:r>
      <w:r>
        <w:rPr>
          <w:rFonts w:hint="eastAsia"/>
          <w:color w:val="auto"/>
        </w:rPr>
        <w:t>12</w:t>
      </w:r>
      <w:r>
        <w:rPr>
          <w:rFonts w:hint="eastAsia"/>
          <w:color w:val="auto"/>
        </w:rPr>
        <w:t>层（</w:t>
      </w:r>
      <w:r>
        <w:rPr>
          <w:rFonts w:hint="eastAsia"/>
          <w:color w:val="auto"/>
        </w:rPr>
        <w:t>95.8</w:t>
      </w:r>
      <w:r>
        <w:rPr>
          <w:rFonts w:hint="eastAsia"/>
          <w:color w:val="auto"/>
        </w:rPr>
        <w:t>米）、</w:t>
      </w:r>
      <w:r>
        <w:rPr>
          <w:rFonts w:hint="eastAsia"/>
          <w:color w:val="auto"/>
        </w:rPr>
        <w:t>11</w:t>
      </w:r>
      <w:r>
        <w:rPr>
          <w:rFonts w:hint="eastAsia"/>
          <w:color w:val="auto"/>
        </w:rPr>
        <w:t>层（</w:t>
      </w:r>
      <w:r>
        <w:rPr>
          <w:rFonts w:hint="eastAsia"/>
          <w:color w:val="auto"/>
        </w:rPr>
        <w:t>87.6</w:t>
      </w:r>
      <w:r>
        <w:rPr>
          <w:rFonts w:hint="eastAsia"/>
          <w:color w:val="auto"/>
        </w:rPr>
        <w:t>米）、</w:t>
      </w:r>
      <w:r>
        <w:rPr>
          <w:rFonts w:hint="eastAsia"/>
          <w:color w:val="auto"/>
        </w:rPr>
        <w:t>10</w:t>
      </w:r>
      <w:r>
        <w:rPr>
          <w:rFonts w:hint="eastAsia"/>
          <w:color w:val="auto"/>
        </w:rPr>
        <w:t>层（</w:t>
      </w:r>
      <w:r>
        <w:rPr>
          <w:rFonts w:hint="eastAsia"/>
          <w:color w:val="auto"/>
        </w:rPr>
        <w:t>76.8</w:t>
      </w:r>
      <w:r>
        <w:rPr>
          <w:rFonts w:hint="eastAsia"/>
          <w:color w:val="auto"/>
        </w:rPr>
        <w:t>米）、</w:t>
      </w:r>
      <w:r>
        <w:rPr>
          <w:rFonts w:hint="eastAsia"/>
          <w:color w:val="auto"/>
        </w:rPr>
        <w:t>9</w:t>
      </w:r>
      <w:r>
        <w:rPr>
          <w:rFonts w:hint="eastAsia"/>
          <w:color w:val="auto"/>
        </w:rPr>
        <w:t>层（</w:t>
      </w:r>
      <w:r>
        <w:rPr>
          <w:rFonts w:hint="eastAsia"/>
          <w:color w:val="auto"/>
        </w:rPr>
        <w:t>66</w:t>
      </w:r>
      <w:r>
        <w:rPr>
          <w:rFonts w:hint="eastAsia"/>
          <w:color w:val="auto"/>
        </w:rPr>
        <w:t>米）、</w:t>
      </w:r>
      <w:r>
        <w:rPr>
          <w:rFonts w:hint="eastAsia"/>
          <w:color w:val="auto"/>
        </w:rPr>
        <w:t>8</w:t>
      </w:r>
      <w:r>
        <w:rPr>
          <w:rFonts w:hint="eastAsia"/>
          <w:color w:val="auto"/>
        </w:rPr>
        <w:t>层（</w:t>
      </w:r>
      <w:r>
        <w:rPr>
          <w:rFonts w:hint="eastAsia"/>
          <w:color w:val="auto"/>
        </w:rPr>
        <w:t>55.2</w:t>
      </w:r>
      <w:r>
        <w:rPr>
          <w:rFonts w:hint="eastAsia"/>
          <w:color w:val="auto"/>
        </w:rPr>
        <w:t>米）、</w:t>
      </w:r>
      <w:r>
        <w:rPr>
          <w:rFonts w:hint="eastAsia"/>
          <w:color w:val="auto"/>
        </w:rPr>
        <w:t>7</w:t>
      </w:r>
      <w:r>
        <w:rPr>
          <w:rFonts w:hint="eastAsia"/>
          <w:color w:val="auto"/>
        </w:rPr>
        <w:t>层（</w:t>
      </w:r>
      <w:r>
        <w:rPr>
          <w:rFonts w:hint="eastAsia"/>
          <w:color w:val="auto"/>
        </w:rPr>
        <w:t>44.4</w:t>
      </w:r>
      <w:r>
        <w:rPr>
          <w:rFonts w:hint="eastAsia"/>
          <w:color w:val="auto"/>
        </w:rPr>
        <w:t>米）、</w:t>
      </w:r>
      <w:r>
        <w:rPr>
          <w:rFonts w:hint="eastAsia"/>
          <w:color w:val="auto"/>
        </w:rPr>
        <w:t>6</w:t>
      </w:r>
      <w:r>
        <w:rPr>
          <w:rFonts w:hint="eastAsia"/>
          <w:color w:val="auto"/>
        </w:rPr>
        <w:t>层（</w:t>
      </w:r>
      <w:r>
        <w:rPr>
          <w:rFonts w:hint="eastAsia"/>
          <w:color w:val="auto"/>
        </w:rPr>
        <w:t>33.6</w:t>
      </w:r>
      <w:r>
        <w:rPr>
          <w:rFonts w:hint="eastAsia"/>
          <w:color w:val="auto"/>
        </w:rPr>
        <w:t>米）、</w:t>
      </w:r>
      <w:r>
        <w:rPr>
          <w:rFonts w:hint="eastAsia"/>
          <w:color w:val="auto"/>
        </w:rPr>
        <w:t>5</w:t>
      </w:r>
      <w:r>
        <w:rPr>
          <w:rFonts w:hint="eastAsia"/>
          <w:color w:val="auto"/>
        </w:rPr>
        <w:t>层（</w:t>
      </w:r>
      <w:r>
        <w:rPr>
          <w:rFonts w:hint="eastAsia"/>
          <w:color w:val="auto"/>
        </w:rPr>
        <w:t>22.8</w:t>
      </w:r>
      <w:r>
        <w:rPr>
          <w:rFonts w:hint="eastAsia"/>
          <w:color w:val="auto"/>
        </w:rPr>
        <w:t>米）、</w:t>
      </w:r>
      <w:r>
        <w:rPr>
          <w:rFonts w:hint="eastAsia"/>
          <w:color w:val="auto"/>
        </w:rPr>
        <w:t>4</w:t>
      </w:r>
      <w:r>
        <w:rPr>
          <w:rFonts w:hint="eastAsia"/>
          <w:color w:val="auto"/>
        </w:rPr>
        <w:t>层（</w:t>
      </w:r>
      <w:r>
        <w:rPr>
          <w:rFonts w:hint="eastAsia"/>
          <w:color w:val="auto"/>
        </w:rPr>
        <w:t>16.8</w:t>
      </w:r>
      <w:r>
        <w:rPr>
          <w:rFonts w:hint="eastAsia"/>
          <w:color w:val="auto"/>
        </w:rPr>
        <w:t>米）</w:t>
      </w:r>
      <w:r>
        <w:rPr>
          <w:rFonts w:hint="eastAsia"/>
          <w:color w:val="auto"/>
        </w:rPr>
        <w:t>C-D</w:t>
      </w:r>
      <w:r>
        <w:rPr>
          <w:rFonts w:hint="eastAsia"/>
          <w:color w:val="auto"/>
        </w:rPr>
        <w:t>轴交②</w:t>
      </w:r>
      <w:r>
        <w:rPr>
          <w:rFonts w:hint="eastAsia"/>
          <w:color w:val="auto"/>
        </w:rPr>
        <w:t>-</w:t>
      </w:r>
      <w:r>
        <w:rPr>
          <w:rFonts w:hint="eastAsia"/>
          <w:color w:val="auto"/>
        </w:rPr>
        <w:t>③轴电梯前室消防救援窗尺寸</w:t>
      </w:r>
      <w:r>
        <w:rPr>
          <w:rFonts w:hint="eastAsia"/>
          <w:color w:val="auto"/>
        </w:rPr>
        <w:t>C1215</w:t>
      </w:r>
      <w:r>
        <w:rPr>
          <w:rFonts w:hint="eastAsia"/>
          <w:color w:val="auto"/>
        </w:rPr>
        <w:t>变更为</w:t>
      </w:r>
      <w:r>
        <w:rPr>
          <w:rFonts w:hint="eastAsia"/>
          <w:color w:val="auto"/>
        </w:rPr>
        <w:t>C1115</w:t>
      </w:r>
      <w:r>
        <w:rPr>
          <w:rFonts w:hint="eastAsia"/>
          <w:color w:val="auto"/>
        </w:rPr>
        <w:t>，</w:t>
      </w:r>
      <w:r>
        <w:rPr>
          <w:rFonts w:hint="eastAsia"/>
          <w:color w:val="auto"/>
        </w:rPr>
        <w:t>2</w:t>
      </w:r>
      <w:r>
        <w:rPr>
          <w:rFonts w:hint="eastAsia"/>
          <w:color w:val="auto"/>
        </w:rPr>
        <w:t>层（</w:t>
      </w:r>
      <w:r>
        <w:rPr>
          <w:rFonts w:hint="eastAsia"/>
          <w:color w:val="auto"/>
        </w:rPr>
        <w:t>6.64</w:t>
      </w:r>
      <w:r>
        <w:rPr>
          <w:rFonts w:hint="eastAsia"/>
          <w:color w:val="auto"/>
        </w:rPr>
        <w:t>米）楼梯间</w:t>
      </w:r>
      <w:r>
        <w:rPr>
          <w:rFonts w:hint="eastAsia"/>
          <w:color w:val="auto"/>
        </w:rPr>
        <w:t>C1215</w:t>
      </w:r>
      <w:r>
        <w:rPr>
          <w:rFonts w:hint="eastAsia"/>
          <w:color w:val="auto"/>
        </w:rPr>
        <w:t>窗取消，仅保留洞口。</w:t>
      </w:r>
    </w:p>
    <w:p w:rsidR="003F13AB" w:rsidRDefault="00EC6E7E">
      <w:pPr>
        <w:ind w:firstLine="560"/>
        <w:rPr>
          <w:color w:val="auto"/>
        </w:rPr>
      </w:pPr>
      <w:r>
        <w:rPr>
          <w:rFonts w:hint="eastAsia"/>
          <w:color w:val="auto"/>
        </w:rPr>
        <w:t>（</w:t>
      </w:r>
      <w:r>
        <w:rPr>
          <w:rFonts w:hint="eastAsia"/>
          <w:color w:val="auto"/>
        </w:rPr>
        <w:t>2</w:t>
      </w:r>
      <w:r>
        <w:rPr>
          <w:rFonts w:hint="eastAsia"/>
          <w:color w:val="auto"/>
        </w:rPr>
        <w:t>）事由：因建设单位使用要求，电梯机房层</w:t>
      </w:r>
      <w:r>
        <w:rPr>
          <w:rFonts w:hint="eastAsia"/>
          <w:color w:val="auto"/>
        </w:rPr>
        <w:t>(115.7</w:t>
      </w:r>
      <w:r>
        <w:rPr>
          <w:rFonts w:hint="eastAsia"/>
          <w:color w:val="auto"/>
        </w:rPr>
        <w:t>米）</w:t>
      </w:r>
      <w:r>
        <w:rPr>
          <w:rFonts w:hint="eastAsia"/>
          <w:color w:val="auto"/>
        </w:rPr>
        <w:t>C-E</w:t>
      </w:r>
      <w:r>
        <w:rPr>
          <w:rFonts w:hint="eastAsia"/>
          <w:color w:val="auto"/>
        </w:rPr>
        <w:t>轴交①</w:t>
      </w:r>
      <w:r>
        <w:rPr>
          <w:rFonts w:hint="eastAsia"/>
          <w:color w:val="auto"/>
        </w:rPr>
        <w:t>-</w:t>
      </w:r>
      <w:r>
        <w:rPr>
          <w:rFonts w:hint="eastAsia"/>
          <w:color w:val="auto"/>
        </w:rPr>
        <w:t>②轴增设吊装电机操作间；</w:t>
      </w:r>
      <w:r>
        <w:rPr>
          <w:rFonts w:hint="eastAsia"/>
          <w:color w:val="auto"/>
        </w:rPr>
        <w:t>13</w:t>
      </w:r>
      <w:r>
        <w:rPr>
          <w:rFonts w:hint="eastAsia"/>
          <w:color w:val="auto"/>
        </w:rPr>
        <w:t>层</w:t>
      </w:r>
      <w:r>
        <w:rPr>
          <w:rFonts w:hint="eastAsia"/>
          <w:color w:val="auto"/>
        </w:rPr>
        <w:t>(103.5</w:t>
      </w:r>
      <w:r>
        <w:rPr>
          <w:rFonts w:hint="eastAsia"/>
          <w:color w:val="auto"/>
        </w:rPr>
        <w:t>米）</w:t>
      </w:r>
      <w:r>
        <w:rPr>
          <w:rFonts w:hint="eastAsia"/>
          <w:color w:val="auto"/>
        </w:rPr>
        <w:t>T2</w:t>
      </w:r>
      <w:r>
        <w:rPr>
          <w:rFonts w:hint="eastAsia"/>
          <w:color w:val="auto"/>
        </w:rPr>
        <w:t>轴、</w:t>
      </w:r>
      <w:r>
        <w:rPr>
          <w:rFonts w:hint="eastAsia"/>
          <w:color w:val="auto"/>
        </w:rPr>
        <w:t>T1</w:t>
      </w:r>
      <w:r>
        <w:rPr>
          <w:rFonts w:hint="eastAsia"/>
          <w:color w:val="auto"/>
        </w:rPr>
        <w:t>轴、</w:t>
      </w:r>
      <w:r>
        <w:rPr>
          <w:rFonts w:hint="eastAsia"/>
          <w:color w:val="auto"/>
        </w:rPr>
        <w:t>T16</w:t>
      </w:r>
      <w:r>
        <w:rPr>
          <w:rFonts w:hint="eastAsia"/>
          <w:color w:val="auto"/>
        </w:rPr>
        <w:t>轴间增设高塔动力配电室；</w:t>
      </w:r>
      <w:r>
        <w:rPr>
          <w:rFonts w:hint="eastAsia"/>
          <w:color w:val="auto"/>
        </w:rPr>
        <w:t>12</w:t>
      </w:r>
      <w:r>
        <w:rPr>
          <w:rFonts w:hint="eastAsia"/>
          <w:color w:val="auto"/>
        </w:rPr>
        <w:t>层（</w:t>
      </w:r>
      <w:r>
        <w:rPr>
          <w:rFonts w:hint="eastAsia"/>
          <w:color w:val="auto"/>
        </w:rPr>
        <w:t>95.8</w:t>
      </w:r>
      <w:r>
        <w:rPr>
          <w:rFonts w:hint="eastAsia"/>
          <w:color w:val="auto"/>
        </w:rPr>
        <w:t>米）</w:t>
      </w:r>
      <w:r>
        <w:rPr>
          <w:rFonts w:hint="eastAsia"/>
          <w:color w:val="auto"/>
        </w:rPr>
        <w:t>T2</w:t>
      </w:r>
      <w:r>
        <w:rPr>
          <w:rFonts w:hint="eastAsia"/>
          <w:color w:val="auto"/>
        </w:rPr>
        <w:t>轴、</w:t>
      </w:r>
      <w:r>
        <w:rPr>
          <w:rFonts w:hint="eastAsia"/>
          <w:color w:val="auto"/>
        </w:rPr>
        <w:t>T1</w:t>
      </w:r>
      <w:r>
        <w:rPr>
          <w:rFonts w:hint="eastAsia"/>
          <w:color w:val="auto"/>
        </w:rPr>
        <w:t>轴、</w:t>
      </w:r>
      <w:r>
        <w:rPr>
          <w:rFonts w:hint="eastAsia"/>
          <w:color w:val="auto"/>
        </w:rPr>
        <w:t>T16</w:t>
      </w:r>
      <w:r>
        <w:rPr>
          <w:rFonts w:hint="eastAsia"/>
          <w:color w:val="auto"/>
        </w:rPr>
        <w:t>轴、</w:t>
      </w:r>
      <w:r>
        <w:rPr>
          <w:rFonts w:hint="eastAsia"/>
          <w:color w:val="auto"/>
        </w:rPr>
        <w:t>T15</w:t>
      </w:r>
      <w:r>
        <w:rPr>
          <w:rFonts w:hint="eastAsia"/>
          <w:color w:val="auto"/>
        </w:rPr>
        <w:t>轴间配件暂存室及相应墙体</w:t>
      </w:r>
      <w:r>
        <w:rPr>
          <w:rFonts w:hint="eastAsia"/>
          <w:color w:val="auto"/>
        </w:rPr>
        <w:t>FM</w:t>
      </w:r>
      <w:r>
        <w:rPr>
          <w:rFonts w:hint="eastAsia"/>
          <w:color w:val="auto"/>
        </w:rPr>
        <w:t>乙</w:t>
      </w:r>
      <w:r>
        <w:rPr>
          <w:rFonts w:hint="eastAsia"/>
          <w:color w:val="auto"/>
        </w:rPr>
        <w:t>1221</w:t>
      </w:r>
      <w:r>
        <w:rPr>
          <w:rFonts w:hint="eastAsia"/>
          <w:color w:val="auto"/>
        </w:rPr>
        <w:t>、</w:t>
      </w:r>
      <w:r>
        <w:rPr>
          <w:rFonts w:hint="eastAsia"/>
          <w:color w:val="auto"/>
        </w:rPr>
        <w:t>FM</w:t>
      </w:r>
      <w:r>
        <w:rPr>
          <w:rFonts w:hint="eastAsia"/>
          <w:color w:val="auto"/>
        </w:rPr>
        <w:t>乙</w:t>
      </w:r>
      <w:r>
        <w:rPr>
          <w:rFonts w:hint="eastAsia"/>
          <w:color w:val="auto"/>
        </w:rPr>
        <w:t>1021</w:t>
      </w:r>
      <w:r>
        <w:rPr>
          <w:rFonts w:hint="eastAsia"/>
          <w:color w:val="auto"/>
        </w:rPr>
        <w:t>防火门取消；</w:t>
      </w:r>
      <w:r>
        <w:rPr>
          <w:rFonts w:hint="eastAsia"/>
          <w:color w:val="auto"/>
        </w:rPr>
        <w:t>4</w:t>
      </w:r>
      <w:r>
        <w:rPr>
          <w:rFonts w:hint="eastAsia"/>
          <w:color w:val="auto"/>
        </w:rPr>
        <w:t>层（</w:t>
      </w:r>
      <w:r>
        <w:rPr>
          <w:rFonts w:hint="eastAsia"/>
          <w:color w:val="auto"/>
        </w:rPr>
        <w:t>16.8</w:t>
      </w:r>
      <w:r>
        <w:rPr>
          <w:rFonts w:hint="eastAsia"/>
          <w:color w:val="auto"/>
        </w:rPr>
        <w:t>米）</w:t>
      </w:r>
      <w:r>
        <w:rPr>
          <w:rFonts w:hint="eastAsia"/>
          <w:color w:val="auto"/>
        </w:rPr>
        <w:t>E</w:t>
      </w:r>
      <w:r>
        <w:rPr>
          <w:rFonts w:hint="eastAsia"/>
          <w:color w:val="auto"/>
        </w:rPr>
        <w:t>至</w:t>
      </w:r>
      <w:r>
        <w:rPr>
          <w:rFonts w:hint="eastAsia"/>
          <w:color w:val="auto"/>
        </w:rPr>
        <w:t>D</w:t>
      </w:r>
      <w:r>
        <w:rPr>
          <w:rFonts w:hint="eastAsia"/>
          <w:color w:val="auto"/>
        </w:rPr>
        <w:t>轴交②</w:t>
      </w:r>
      <w:r>
        <w:rPr>
          <w:rFonts w:hint="eastAsia"/>
          <w:color w:val="auto"/>
        </w:rPr>
        <w:t>-</w:t>
      </w:r>
      <w:r>
        <w:rPr>
          <w:rFonts w:hint="eastAsia"/>
          <w:color w:val="auto"/>
        </w:rPr>
        <w:t>③轴封闭电梯前室电梯门：</w:t>
      </w:r>
      <w:r>
        <w:rPr>
          <w:rFonts w:hint="eastAsia"/>
          <w:color w:val="auto"/>
        </w:rPr>
        <w:t>2</w:t>
      </w:r>
      <w:r>
        <w:rPr>
          <w:rFonts w:hint="eastAsia"/>
          <w:color w:val="auto"/>
        </w:rPr>
        <w:t>层（</w:t>
      </w:r>
      <w:r>
        <w:rPr>
          <w:rFonts w:hint="eastAsia"/>
          <w:color w:val="auto"/>
        </w:rPr>
        <w:t>7</w:t>
      </w:r>
      <w:r>
        <w:rPr>
          <w:rFonts w:hint="eastAsia"/>
          <w:color w:val="auto"/>
        </w:rPr>
        <w:t>米平台）控制室、配电室合并，防火门朝向变更、门尺寸由</w:t>
      </w:r>
      <w:r>
        <w:rPr>
          <w:rFonts w:hint="eastAsia"/>
          <w:color w:val="auto"/>
        </w:rPr>
        <w:t>FM</w:t>
      </w:r>
      <w:r>
        <w:rPr>
          <w:rFonts w:hint="eastAsia"/>
          <w:color w:val="auto"/>
        </w:rPr>
        <w:t>乙</w:t>
      </w:r>
      <w:r>
        <w:rPr>
          <w:rFonts w:hint="eastAsia"/>
          <w:color w:val="auto"/>
        </w:rPr>
        <w:t>1521</w:t>
      </w:r>
      <w:r>
        <w:rPr>
          <w:rFonts w:hint="eastAsia"/>
          <w:color w:val="auto"/>
        </w:rPr>
        <w:t>变更为</w:t>
      </w:r>
      <w:r>
        <w:rPr>
          <w:rFonts w:hint="eastAsia"/>
          <w:color w:val="auto"/>
        </w:rPr>
        <w:t>FM</w:t>
      </w:r>
      <w:r>
        <w:rPr>
          <w:rFonts w:hint="eastAsia"/>
          <w:color w:val="auto"/>
        </w:rPr>
        <w:t>甲</w:t>
      </w:r>
      <w:r>
        <w:rPr>
          <w:rFonts w:hint="eastAsia"/>
          <w:color w:val="auto"/>
        </w:rPr>
        <w:t>1821</w:t>
      </w:r>
      <w:r>
        <w:rPr>
          <w:rFonts w:hint="eastAsia"/>
          <w:color w:val="auto"/>
        </w:rPr>
        <w:t>。</w:t>
      </w:r>
    </w:p>
    <w:p w:rsidR="003F13AB" w:rsidRDefault="00EC6E7E">
      <w:pPr>
        <w:ind w:firstLine="560"/>
        <w:rPr>
          <w:color w:val="auto"/>
        </w:rPr>
      </w:pPr>
      <w:r>
        <w:rPr>
          <w:rFonts w:hint="eastAsia"/>
          <w:color w:val="auto"/>
        </w:rPr>
        <w:t>（</w:t>
      </w:r>
      <w:r>
        <w:rPr>
          <w:rFonts w:hint="eastAsia"/>
          <w:color w:val="auto"/>
        </w:rPr>
        <w:t>3</w:t>
      </w:r>
      <w:r>
        <w:rPr>
          <w:rFonts w:hint="eastAsia"/>
          <w:color w:val="auto"/>
        </w:rPr>
        <w:t>）事由：因图纸设计尺寸无法安装及建设单位使用要求，原设计</w:t>
      </w:r>
      <w:r>
        <w:rPr>
          <w:rFonts w:hint="eastAsia"/>
          <w:color w:val="auto"/>
        </w:rPr>
        <w:t>6</w:t>
      </w:r>
      <w:r>
        <w:rPr>
          <w:rFonts w:hint="eastAsia"/>
          <w:color w:val="auto"/>
        </w:rPr>
        <w:t>层（</w:t>
      </w:r>
      <w:r>
        <w:rPr>
          <w:rFonts w:hint="eastAsia"/>
          <w:color w:val="auto"/>
        </w:rPr>
        <w:t>33.6</w:t>
      </w:r>
      <w:r>
        <w:rPr>
          <w:rFonts w:hint="eastAsia"/>
          <w:color w:val="auto"/>
        </w:rPr>
        <w:t>米</w:t>
      </w:r>
      <w:r>
        <w:rPr>
          <w:rFonts w:hint="eastAsia"/>
          <w:color w:val="auto"/>
        </w:rPr>
        <w:t>)</w:t>
      </w:r>
      <w:r>
        <w:rPr>
          <w:rFonts w:hint="eastAsia"/>
          <w:color w:val="auto"/>
        </w:rPr>
        <w:t>至屋面消火栓由高塔一层经传输水泵、消火栓泵供水，定义为高区消火栓，现场不具备水源及泵房安装条件，取消高塔一层传输水泵及高区消火栓泵，调整高区消火栓供水由消防水泵房直接供水至现场设备，原设计消防水泵房水泵参数由</w:t>
      </w:r>
      <w:r>
        <w:rPr>
          <w:rFonts w:hint="eastAsia"/>
          <w:color w:val="auto"/>
        </w:rPr>
        <w:t>Q=50L/S</w:t>
      </w:r>
      <w:r>
        <w:rPr>
          <w:rFonts w:hint="eastAsia"/>
          <w:color w:val="auto"/>
        </w:rPr>
        <w:t>，</w:t>
      </w:r>
      <w:r>
        <w:rPr>
          <w:rFonts w:hint="eastAsia"/>
          <w:color w:val="auto"/>
        </w:rPr>
        <w:t>H=60m</w:t>
      </w:r>
      <w:r>
        <w:rPr>
          <w:rFonts w:hint="eastAsia"/>
          <w:color w:val="auto"/>
        </w:rPr>
        <w:t>，</w:t>
      </w:r>
      <w:r>
        <w:rPr>
          <w:rFonts w:hint="eastAsia"/>
          <w:color w:val="auto"/>
        </w:rPr>
        <w:t>N=45KW</w:t>
      </w:r>
      <w:r>
        <w:rPr>
          <w:rFonts w:hint="eastAsia"/>
          <w:color w:val="auto"/>
        </w:rPr>
        <w:t>调整为</w:t>
      </w:r>
      <w:r>
        <w:rPr>
          <w:rFonts w:hint="eastAsia"/>
          <w:color w:val="auto"/>
        </w:rPr>
        <w:t>Q=50L/S</w:t>
      </w:r>
      <w:r>
        <w:rPr>
          <w:rFonts w:hint="eastAsia"/>
          <w:color w:val="auto"/>
        </w:rPr>
        <w:t>，</w:t>
      </w:r>
      <w:r>
        <w:rPr>
          <w:rFonts w:hint="eastAsia"/>
          <w:color w:val="auto"/>
        </w:rPr>
        <w:t>H=150m</w:t>
      </w:r>
      <w:r>
        <w:rPr>
          <w:rFonts w:hint="eastAsia"/>
          <w:color w:val="auto"/>
        </w:rPr>
        <w:t>，</w:t>
      </w:r>
      <w:r>
        <w:rPr>
          <w:rFonts w:hint="eastAsia"/>
          <w:color w:val="auto"/>
        </w:rPr>
        <w:t>N=110KW</w:t>
      </w:r>
      <w:r>
        <w:rPr>
          <w:rFonts w:hint="eastAsia"/>
          <w:color w:val="auto"/>
        </w:rPr>
        <w:t>；原设计</w:t>
      </w:r>
      <w:r>
        <w:rPr>
          <w:rFonts w:hint="eastAsia"/>
          <w:color w:val="auto"/>
        </w:rPr>
        <w:t>A-D</w:t>
      </w:r>
      <w:r>
        <w:rPr>
          <w:rFonts w:hint="eastAsia"/>
          <w:color w:val="auto"/>
        </w:rPr>
        <w:t>轴交②</w:t>
      </w:r>
      <w:r>
        <w:rPr>
          <w:rFonts w:hint="eastAsia"/>
          <w:color w:val="auto"/>
        </w:rPr>
        <w:t>-</w:t>
      </w:r>
      <w:r>
        <w:rPr>
          <w:rFonts w:hint="eastAsia"/>
          <w:color w:val="auto"/>
        </w:rPr>
        <w:t>③</w:t>
      </w:r>
      <w:proofErr w:type="gramStart"/>
      <w:r>
        <w:rPr>
          <w:rFonts w:hint="eastAsia"/>
          <w:color w:val="auto"/>
        </w:rPr>
        <w:t>轴低区</w:t>
      </w:r>
      <w:proofErr w:type="gramEnd"/>
      <w:r>
        <w:rPr>
          <w:rFonts w:hint="eastAsia"/>
          <w:color w:val="auto"/>
        </w:rPr>
        <w:t>XL-2#</w:t>
      </w:r>
      <w:r>
        <w:rPr>
          <w:rFonts w:hint="eastAsia"/>
          <w:color w:val="auto"/>
        </w:rPr>
        <w:t>、高区</w:t>
      </w:r>
      <w:r>
        <w:rPr>
          <w:rFonts w:hint="eastAsia"/>
          <w:color w:val="auto"/>
        </w:rPr>
        <w:t>XL-4#</w:t>
      </w:r>
      <w:r>
        <w:rPr>
          <w:rFonts w:hint="eastAsia"/>
          <w:color w:val="auto"/>
        </w:rPr>
        <w:t>消</w:t>
      </w:r>
      <w:r>
        <w:rPr>
          <w:rFonts w:hint="eastAsia"/>
          <w:color w:val="auto"/>
        </w:rPr>
        <w:lastRenderedPageBreak/>
        <w:t>火栓立管及设备无法安装至楼梯间平台位置，调整低区</w:t>
      </w:r>
      <w:r>
        <w:rPr>
          <w:rFonts w:hint="eastAsia"/>
          <w:color w:val="auto"/>
        </w:rPr>
        <w:t>XL-2#</w:t>
      </w:r>
      <w:r>
        <w:rPr>
          <w:rFonts w:hint="eastAsia"/>
          <w:color w:val="auto"/>
        </w:rPr>
        <w:t>、高区</w:t>
      </w:r>
      <w:r>
        <w:rPr>
          <w:rFonts w:hint="eastAsia"/>
          <w:color w:val="auto"/>
        </w:rPr>
        <w:t>XL-4#</w:t>
      </w:r>
      <w:r>
        <w:rPr>
          <w:rFonts w:hint="eastAsia"/>
          <w:color w:val="auto"/>
        </w:rPr>
        <w:t>消火栓立管及设备至电梯前室；原设计消防给排水系统图因厂区及高塔未设置自动喷水灭火系统，取消消防给排水系统屋顶水箱至室外自动喷水灭火系统</w:t>
      </w:r>
      <w:r>
        <w:rPr>
          <w:rFonts w:hint="eastAsia"/>
          <w:color w:val="auto"/>
        </w:rPr>
        <w:t>DN100</w:t>
      </w:r>
      <w:r>
        <w:rPr>
          <w:rFonts w:hint="eastAsia"/>
          <w:color w:val="auto"/>
        </w:rPr>
        <w:t>稳压管。</w:t>
      </w:r>
    </w:p>
    <w:p w:rsidR="003F13AB" w:rsidRDefault="00EC6E7E">
      <w:pPr>
        <w:ind w:firstLine="560"/>
        <w:rPr>
          <w:color w:val="auto"/>
        </w:rPr>
      </w:pPr>
      <w:r>
        <w:rPr>
          <w:rFonts w:hint="eastAsia"/>
          <w:color w:val="auto"/>
        </w:rPr>
        <w:t>（</w:t>
      </w:r>
      <w:r>
        <w:rPr>
          <w:rFonts w:hint="eastAsia"/>
          <w:color w:val="auto"/>
        </w:rPr>
        <w:t>4</w:t>
      </w:r>
      <w:r>
        <w:rPr>
          <w:rFonts w:hint="eastAsia"/>
          <w:color w:val="auto"/>
        </w:rPr>
        <w:t>）事由：因建设单位使用要求，原设计设计</w:t>
      </w:r>
      <w:r>
        <w:rPr>
          <w:rFonts w:hint="eastAsia"/>
          <w:color w:val="auto"/>
        </w:rPr>
        <w:t>1</w:t>
      </w:r>
      <w:r>
        <w:rPr>
          <w:rFonts w:hint="eastAsia"/>
          <w:color w:val="auto"/>
        </w:rPr>
        <w:t>层（</w:t>
      </w:r>
      <w:r>
        <w:rPr>
          <w:rFonts w:hint="eastAsia"/>
          <w:color w:val="auto"/>
        </w:rPr>
        <w:t>0.3</w:t>
      </w:r>
      <w:r>
        <w:rPr>
          <w:rFonts w:hint="eastAsia"/>
          <w:color w:val="auto"/>
        </w:rPr>
        <w:t>米）至</w:t>
      </w:r>
      <w:r>
        <w:rPr>
          <w:rFonts w:hint="eastAsia"/>
          <w:color w:val="auto"/>
        </w:rPr>
        <w:t>15</w:t>
      </w:r>
      <w:r>
        <w:rPr>
          <w:rFonts w:hint="eastAsia"/>
          <w:color w:val="auto"/>
        </w:rPr>
        <w:t>层（</w:t>
      </w:r>
      <w:r>
        <w:rPr>
          <w:rFonts w:hint="eastAsia"/>
          <w:color w:val="auto"/>
        </w:rPr>
        <w:t>110.5</w:t>
      </w:r>
      <w:r>
        <w:rPr>
          <w:rFonts w:hint="eastAsia"/>
          <w:color w:val="auto"/>
        </w:rPr>
        <w:t>米）</w:t>
      </w:r>
      <w:r>
        <w:rPr>
          <w:rFonts w:hint="eastAsia"/>
          <w:color w:val="auto"/>
        </w:rPr>
        <w:t>A-D</w:t>
      </w:r>
      <w:r>
        <w:rPr>
          <w:rFonts w:hint="eastAsia"/>
          <w:color w:val="auto"/>
        </w:rPr>
        <w:t>轴交②</w:t>
      </w:r>
      <w:r>
        <w:rPr>
          <w:rFonts w:hint="eastAsia"/>
          <w:color w:val="auto"/>
        </w:rPr>
        <w:t>-</w:t>
      </w:r>
      <w:r>
        <w:rPr>
          <w:rFonts w:hint="eastAsia"/>
          <w:color w:val="auto"/>
        </w:rPr>
        <w:t>③轴楼梯间消火栓按</w:t>
      </w:r>
      <w:proofErr w:type="gramStart"/>
      <w:r>
        <w:rPr>
          <w:rFonts w:hint="eastAsia"/>
          <w:color w:val="auto"/>
        </w:rPr>
        <w:t>纽</w:t>
      </w:r>
      <w:proofErr w:type="gramEnd"/>
      <w:r>
        <w:rPr>
          <w:rFonts w:hint="eastAsia"/>
          <w:color w:val="auto"/>
        </w:rPr>
        <w:t>移位至电梯前室；原设计设计</w:t>
      </w:r>
      <w:r>
        <w:rPr>
          <w:rFonts w:hint="eastAsia"/>
          <w:color w:val="auto"/>
        </w:rPr>
        <w:t>1</w:t>
      </w:r>
      <w:r>
        <w:rPr>
          <w:rFonts w:hint="eastAsia"/>
          <w:color w:val="auto"/>
        </w:rPr>
        <w:t>层（</w:t>
      </w:r>
      <w:r>
        <w:rPr>
          <w:rFonts w:hint="eastAsia"/>
          <w:color w:val="auto"/>
        </w:rPr>
        <w:t>0.3</w:t>
      </w:r>
      <w:r>
        <w:rPr>
          <w:rFonts w:hint="eastAsia"/>
          <w:color w:val="auto"/>
        </w:rPr>
        <w:t>米）至</w:t>
      </w:r>
      <w:r>
        <w:rPr>
          <w:rFonts w:hint="eastAsia"/>
          <w:color w:val="auto"/>
        </w:rPr>
        <w:t>15</w:t>
      </w:r>
      <w:r>
        <w:rPr>
          <w:rFonts w:hint="eastAsia"/>
          <w:color w:val="auto"/>
        </w:rPr>
        <w:t>层（</w:t>
      </w:r>
      <w:r>
        <w:rPr>
          <w:rFonts w:hint="eastAsia"/>
          <w:color w:val="auto"/>
        </w:rPr>
        <w:t>110.5</w:t>
      </w:r>
      <w:r>
        <w:rPr>
          <w:rFonts w:hint="eastAsia"/>
          <w:color w:val="auto"/>
        </w:rPr>
        <w:t>米）</w:t>
      </w:r>
      <w:r>
        <w:rPr>
          <w:rFonts w:hint="eastAsia"/>
          <w:color w:val="auto"/>
        </w:rPr>
        <w:t>C-D</w:t>
      </w:r>
      <w:r>
        <w:rPr>
          <w:rFonts w:hint="eastAsia"/>
          <w:color w:val="auto"/>
        </w:rPr>
        <w:t>轴交②</w:t>
      </w:r>
      <w:r>
        <w:rPr>
          <w:rFonts w:hint="eastAsia"/>
          <w:color w:val="auto"/>
        </w:rPr>
        <w:t>-</w:t>
      </w:r>
      <w:r>
        <w:rPr>
          <w:rFonts w:hint="eastAsia"/>
          <w:color w:val="auto"/>
        </w:rPr>
        <w:t>③轴电梯前室</w:t>
      </w:r>
      <w:r>
        <w:rPr>
          <w:rFonts w:hint="eastAsia"/>
          <w:color w:val="auto"/>
        </w:rPr>
        <w:t>M1321</w:t>
      </w:r>
      <w:r>
        <w:rPr>
          <w:rFonts w:hint="eastAsia"/>
          <w:color w:val="auto"/>
        </w:rPr>
        <w:t>安全出口取消，故该部位安全出口标志灯取消，移位至楼梯平台出口。</w:t>
      </w:r>
    </w:p>
    <w:p w:rsidR="003F13AB" w:rsidRDefault="00EC6E7E">
      <w:pPr>
        <w:ind w:firstLine="560"/>
        <w:rPr>
          <w:color w:val="auto"/>
        </w:rPr>
      </w:pPr>
      <w:r>
        <w:rPr>
          <w:rFonts w:hint="eastAsia"/>
          <w:color w:val="auto"/>
        </w:rPr>
        <w:t>项目（二期）由昆明兰的设计有限公司出具设计变更，变更内容如下：</w:t>
      </w:r>
    </w:p>
    <w:p w:rsidR="003F13AB" w:rsidRDefault="00EC6E7E">
      <w:pPr>
        <w:ind w:firstLine="560"/>
        <w:rPr>
          <w:color w:val="auto"/>
        </w:rPr>
      </w:pPr>
      <w:r>
        <w:rPr>
          <w:rFonts w:hint="eastAsia"/>
          <w:color w:val="auto"/>
        </w:rPr>
        <w:t>（</w:t>
      </w:r>
      <w:r>
        <w:rPr>
          <w:rFonts w:hint="eastAsia"/>
          <w:color w:val="auto"/>
        </w:rPr>
        <w:t>1</w:t>
      </w:r>
      <w:r>
        <w:rPr>
          <w:rFonts w:hint="eastAsia"/>
          <w:color w:val="auto"/>
        </w:rPr>
        <w:t>）经研究，对给排水施工图做出如下变更：</w:t>
      </w:r>
    </w:p>
    <w:p w:rsidR="003F13AB" w:rsidRDefault="00EC6E7E">
      <w:pPr>
        <w:ind w:firstLine="560"/>
        <w:rPr>
          <w:color w:val="auto"/>
        </w:rPr>
      </w:pPr>
      <w:r>
        <w:rPr>
          <w:rFonts w:hint="eastAsia"/>
          <w:color w:val="auto"/>
        </w:rPr>
        <w:t>1</w:t>
      </w:r>
      <w:r>
        <w:rPr>
          <w:rFonts w:hint="eastAsia"/>
          <w:color w:val="auto"/>
        </w:rPr>
        <w:t>）成品库装卸平台内的室内消火栓设置位置进行调整。</w:t>
      </w:r>
    </w:p>
    <w:p w:rsidR="003F13AB" w:rsidRDefault="00EC6E7E">
      <w:pPr>
        <w:ind w:firstLine="560"/>
        <w:rPr>
          <w:color w:val="auto"/>
        </w:rPr>
      </w:pPr>
      <w:r>
        <w:rPr>
          <w:rFonts w:hint="eastAsia"/>
          <w:color w:val="auto"/>
        </w:rPr>
        <w:t>2</w:t>
      </w:r>
      <w:r>
        <w:rPr>
          <w:rFonts w:hint="eastAsia"/>
          <w:color w:val="auto"/>
        </w:rPr>
        <w:t>）原设计高区（</w:t>
      </w:r>
      <w:r>
        <w:rPr>
          <w:rFonts w:hint="eastAsia"/>
          <w:color w:val="auto"/>
        </w:rPr>
        <w:t>100m</w:t>
      </w:r>
      <w:r>
        <w:rPr>
          <w:rFonts w:hint="eastAsia"/>
          <w:color w:val="auto"/>
        </w:rPr>
        <w:t>高塔，甲方另行委托其他单位设计）和低区（除高塔外项目界区内的建构筑物）消防供水系统分开设置，现在变更为共用一套供水系统，主要包含以下变更内容：</w:t>
      </w:r>
    </w:p>
    <w:p w:rsidR="003F13AB" w:rsidRDefault="00EC6E7E">
      <w:pPr>
        <w:ind w:firstLine="560"/>
        <w:rPr>
          <w:color w:val="auto"/>
        </w:rPr>
      </w:pPr>
      <w:r>
        <w:rPr>
          <w:rFonts w:hint="eastAsia"/>
          <w:color w:val="auto"/>
        </w:rPr>
        <w:t>①消防泵选型变更，消防泵扬程由</w:t>
      </w:r>
      <w:r>
        <w:rPr>
          <w:rFonts w:hint="eastAsia"/>
          <w:color w:val="auto"/>
        </w:rPr>
        <w:t>60m</w:t>
      </w:r>
      <w:r>
        <w:rPr>
          <w:rFonts w:hint="eastAsia"/>
          <w:color w:val="auto"/>
        </w:rPr>
        <w:t>变更为</w:t>
      </w:r>
      <w:r>
        <w:rPr>
          <w:rFonts w:hint="eastAsia"/>
          <w:color w:val="auto"/>
        </w:rPr>
        <w:t>150m</w:t>
      </w:r>
      <w:r>
        <w:rPr>
          <w:rFonts w:hint="eastAsia"/>
          <w:color w:val="auto"/>
        </w:rPr>
        <w:t>，流量维持</w:t>
      </w:r>
      <w:proofErr w:type="gramStart"/>
      <w:r>
        <w:rPr>
          <w:rFonts w:hint="eastAsia"/>
          <w:color w:val="auto"/>
        </w:rPr>
        <w:t>不</w:t>
      </w:r>
      <w:proofErr w:type="gramEnd"/>
      <w:r>
        <w:rPr>
          <w:rFonts w:hint="eastAsia"/>
          <w:color w:val="auto"/>
        </w:rPr>
        <w:t>变为</w:t>
      </w:r>
      <w:r>
        <w:rPr>
          <w:rFonts w:hint="eastAsia"/>
          <w:color w:val="auto"/>
        </w:rPr>
        <w:t>50L/s</w:t>
      </w:r>
      <w:r>
        <w:rPr>
          <w:rFonts w:hint="eastAsia"/>
          <w:color w:val="auto"/>
        </w:rPr>
        <w:t>，消防泵电机功率由</w:t>
      </w:r>
      <w:r>
        <w:rPr>
          <w:rFonts w:hint="eastAsia"/>
          <w:color w:val="auto"/>
        </w:rPr>
        <w:t>45kW</w:t>
      </w:r>
      <w:r>
        <w:rPr>
          <w:rFonts w:hint="eastAsia"/>
          <w:color w:val="auto"/>
        </w:rPr>
        <w:t>提高至</w:t>
      </w:r>
      <w:r>
        <w:rPr>
          <w:rFonts w:hint="eastAsia"/>
          <w:color w:val="auto"/>
        </w:rPr>
        <w:t>110KW</w:t>
      </w:r>
      <w:r>
        <w:rPr>
          <w:rFonts w:hint="eastAsia"/>
          <w:color w:val="auto"/>
        </w:rPr>
        <w:t>；</w:t>
      </w:r>
    </w:p>
    <w:p w:rsidR="003F13AB" w:rsidRDefault="00EC6E7E">
      <w:pPr>
        <w:ind w:firstLine="560"/>
        <w:rPr>
          <w:color w:val="auto"/>
        </w:rPr>
      </w:pPr>
      <w:r>
        <w:rPr>
          <w:rFonts w:hint="eastAsia"/>
          <w:color w:val="auto"/>
        </w:rPr>
        <w:t>②泵房管网变更，泵出水管两条至高区消防系统，两条经过减压阀组后至低区消防系统；</w:t>
      </w:r>
    </w:p>
    <w:p w:rsidR="003F13AB" w:rsidRDefault="00EC6E7E">
      <w:pPr>
        <w:ind w:firstLine="560"/>
        <w:rPr>
          <w:color w:val="auto"/>
        </w:rPr>
      </w:pPr>
      <w:r>
        <w:rPr>
          <w:rFonts w:hint="eastAsia"/>
          <w:color w:val="auto"/>
        </w:rPr>
        <w:t>③消防泵房原设置稳压系统取消，与高区共用稳压设施；</w:t>
      </w:r>
    </w:p>
    <w:p w:rsidR="003F13AB" w:rsidRDefault="00EC6E7E">
      <w:pPr>
        <w:ind w:firstLine="560"/>
        <w:rPr>
          <w:color w:val="auto"/>
        </w:rPr>
      </w:pPr>
      <w:r>
        <w:rPr>
          <w:rFonts w:hint="eastAsia"/>
          <w:color w:val="auto"/>
        </w:rPr>
        <w:t>④</w:t>
      </w:r>
      <w:proofErr w:type="gramStart"/>
      <w:r>
        <w:rPr>
          <w:rFonts w:hint="eastAsia"/>
          <w:color w:val="auto"/>
        </w:rPr>
        <w:t>全厂消防</w:t>
      </w:r>
      <w:proofErr w:type="gramEnd"/>
      <w:r>
        <w:rPr>
          <w:rFonts w:hint="eastAsia"/>
          <w:color w:val="auto"/>
        </w:rPr>
        <w:t>管网变更，增设两条</w:t>
      </w:r>
      <w:r>
        <w:rPr>
          <w:rFonts w:hint="eastAsia"/>
          <w:color w:val="auto"/>
        </w:rPr>
        <w:t>DN100</w:t>
      </w:r>
      <w:r>
        <w:rPr>
          <w:rFonts w:hint="eastAsia"/>
          <w:color w:val="auto"/>
        </w:rPr>
        <w:t>消防埋地管网至高区室内消火栓系统，并设置</w:t>
      </w:r>
      <w:r>
        <w:rPr>
          <w:rFonts w:hint="eastAsia"/>
          <w:color w:val="auto"/>
        </w:rPr>
        <w:t>3</w:t>
      </w:r>
      <w:r>
        <w:rPr>
          <w:rFonts w:hint="eastAsia"/>
          <w:color w:val="auto"/>
        </w:rPr>
        <w:t>个水泵接合器；</w:t>
      </w:r>
    </w:p>
    <w:p w:rsidR="003F13AB" w:rsidRDefault="00EC6E7E">
      <w:pPr>
        <w:ind w:firstLine="560"/>
        <w:rPr>
          <w:color w:val="auto"/>
        </w:rPr>
      </w:pPr>
      <w:r>
        <w:rPr>
          <w:rFonts w:hint="eastAsia"/>
          <w:color w:val="auto"/>
        </w:rPr>
        <w:t>⑤原有雨水管、中水回用管根据新增消防管作相应调整。</w:t>
      </w:r>
    </w:p>
    <w:p w:rsidR="003F13AB" w:rsidRDefault="00EC6E7E">
      <w:pPr>
        <w:ind w:firstLine="560"/>
        <w:rPr>
          <w:color w:val="auto"/>
        </w:rPr>
      </w:pPr>
      <w:r>
        <w:rPr>
          <w:rFonts w:hint="eastAsia"/>
          <w:color w:val="auto"/>
        </w:rPr>
        <w:t>3</w:t>
      </w:r>
      <w:r>
        <w:rPr>
          <w:rFonts w:hint="eastAsia"/>
          <w:color w:val="auto"/>
        </w:rPr>
        <w:t>）原消防车取水口取消吸水口，改为从人孔直接吸水，人孔上锁，并设置永久性消防取水口标识。</w:t>
      </w:r>
    </w:p>
    <w:p w:rsidR="003F13AB" w:rsidRDefault="00EC6E7E">
      <w:pPr>
        <w:ind w:firstLine="560"/>
        <w:rPr>
          <w:color w:val="auto"/>
        </w:rPr>
      </w:pPr>
      <w:r>
        <w:rPr>
          <w:rFonts w:hint="eastAsia"/>
          <w:color w:val="auto"/>
        </w:rPr>
        <w:t>（</w:t>
      </w:r>
      <w:r>
        <w:rPr>
          <w:rFonts w:hint="eastAsia"/>
          <w:color w:val="auto"/>
        </w:rPr>
        <w:t>2</w:t>
      </w:r>
      <w:r>
        <w:rPr>
          <w:rFonts w:hint="eastAsia"/>
          <w:color w:val="auto"/>
        </w:rPr>
        <w:t>）因甲方生产需要，经研究对项日（二期）生产厂房做出如下变更：</w:t>
      </w:r>
      <w:r>
        <w:rPr>
          <w:rFonts w:hint="eastAsia"/>
          <w:color w:val="auto"/>
        </w:rPr>
        <w:lastRenderedPageBreak/>
        <w:t>取消</w:t>
      </w:r>
      <w:r>
        <w:rPr>
          <w:rFonts w:hint="eastAsia"/>
          <w:color w:val="auto"/>
        </w:rPr>
        <w:t>5</w:t>
      </w:r>
      <w:r>
        <w:rPr>
          <w:rFonts w:hint="eastAsia"/>
          <w:color w:val="auto"/>
        </w:rPr>
        <w:t>轴处原设计锅炉房操作间及该房间防火门（编号</w:t>
      </w:r>
      <w:r>
        <w:rPr>
          <w:rFonts w:hint="eastAsia"/>
          <w:color w:val="auto"/>
        </w:rPr>
        <w:t>FM0921</w:t>
      </w:r>
      <w:r>
        <w:rPr>
          <w:rFonts w:hint="eastAsia"/>
          <w:color w:val="auto"/>
        </w:rPr>
        <w:t>）。</w:t>
      </w:r>
    </w:p>
    <w:p w:rsidR="003F13AB" w:rsidRDefault="00EC6E7E">
      <w:pPr>
        <w:ind w:firstLine="560"/>
        <w:rPr>
          <w:color w:val="auto"/>
        </w:rPr>
      </w:pPr>
      <w:r>
        <w:rPr>
          <w:rFonts w:hint="eastAsia"/>
          <w:color w:val="auto"/>
        </w:rPr>
        <w:t>（</w:t>
      </w:r>
      <w:r>
        <w:rPr>
          <w:rFonts w:hint="eastAsia"/>
          <w:color w:val="auto"/>
        </w:rPr>
        <w:t>3</w:t>
      </w:r>
      <w:r>
        <w:rPr>
          <w:rFonts w:hint="eastAsia"/>
          <w:color w:val="auto"/>
        </w:rPr>
        <w:t>）因建设单位使用要求，取消原总平面布置图中变配电室及柴油发电机房，将变配电</w:t>
      </w:r>
      <w:proofErr w:type="gramStart"/>
      <w:r>
        <w:rPr>
          <w:rFonts w:hint="eastAsia"/>
          <w:color w:val="auto"/>
        </w:rPr>
        <w:t>室调整</w:t>
      </w:r>
      <w:proofErr w:type="gramEnd"/>
      <w:r>
        <w:rPr>
          <w:rFonts w:hint="eastAsia"/>
          <w:color w:val="auto"/>
        </w:rPr>
        <w:t>至生产车间</w:t>
      </w:r>
      <w:r>
        <w:rPr>
          <w:rFonts w:hint="eastAsia"/>
          <w:color w:val="auto"/>
        </w:rPr>
        <w:t>7</w:t>
      </w:r>
      <w:r>
        <w:rPr>
          <w:rFonts w:hint="eastAsia"/>
          <w:color w:val="auto"/>
        </w:rPr>
        <w:t>米平层与车间配电室合用，柴油发电机房位置调整至原料仓库北侧硬化空地，调整后均能满足现行标准、规范要求，具体详见总平面布置图</w:t>
      </w:r>
      <w:r>
        <w:rPr>
          <w:rFonts w:hint="eastAsia"/>
          <w:color w:val="auto"/>
        </w:rPr>
        <w:t>LD2021-5153-5T01-01(</w:t>
      </w:r>
      <w:r>
        <w:rPr>
          <w:rFonts w:hint="eastAsia"/>
          <w:color w:val="auto"/>
        </w:rPr>
        <w:t>修</w:t>
      </w:r>
      <w:r>
        <w:rPr>
          <w:rFonts w:hint="eastAsia"/>
          <w:color w:val="auto"/>
        </w:rPr>
        <w:t>)</w:t>
      </w:r>
      <w:r>
        <w:rPr>
          <w:rFonts w:hint="eastAsia"/>
          <w:color w:val="auto"/>
        </w:rPr>
        <w:t>。</w:t>
      </w:r>
    </w:p>
    <w:p w:rsidR="003F13AB" w:rsidRDefault="00EC6E7E">
      <w:pPr>
        <w:ind w:firstLine="560"/>
        <w:rPr>
          <w:color w:val="auto"/>
        </w:rPr>
      </w:pPr>
      <w:r>
        <w:rPr>
          <w:rFonts w:hint="eastAsia"/>
          <w:color w:val="auto"/>
        </w:rPr>
        <w:t>原设计室外电气线路根据调整后的变配电室、柴油发电机房位置作相应调整。</w:t>
      </w:r>
    </w:p>
    <w:p w:rsidR="003F13AB" w:rsidRDefault="00EC6E7E">
      <w:pPr>
        <w:ind w:firstLine="560"/>
        <w:rPr>
          <w:color w:val="auto"/>
        </w:rPr>
      </w:pPr>
      <w:r>
        <w:rPr>
          <w:rFonts w:hint="eastAsia"/>
          <w:color w:val="auto"/>
        </w:rPr>
        <w:t>设计变更详见附件</w:t>
      </w:r>
      <w:r>
        <w:rPr>
          <w:rFonts w:hint="eastAsia"/>
          <w:color w:val="auto"/>
        </w:rPr>
        <w:t>8.34</w:t>
      </w:r>
      <w:r>
        <w:rPr>
          <w:rFonts w:hint="eastAsia"/>
          <w:color w:val="auto"/>
        </w:rPr>
        <w:t>。</w:t>
      </w:r>
    </w:p>
    <w:p w:rsidR="003F13AB" w:rsidRDefault="00EC6E7E">
      <w:pPr>
        <w:pStyle w:val="3"/>
        <w:rPr>
          <w:szCs w:val="20"/>
        </w:rPr>
      </w:pPr>
      <w:bookmarkStart w:id="91" w:name="_Toc187914404"/>
      <w:r>
        <w:rPr>
          <w:rFonts w:hint="eastAsia"/>
        </w:rPr>
        <w:t>2.7.2 工程施工及质量情况</w:t>
      </w:r>
      <w:bookmarkEnd w:id="91"/>
    </w:p>
    <w:p w:rsidR="003F13AB" w:rsidRDefault="00EC6E7E">
      <w:pPr>
        <w:spacing w:line="500" w:lineRule="exact"/>
        <w:ind w:firstLine="560"/>
        <w:rPr>
          <w:color w:val="auto"/>
        </w:rPr>
      </w:pPr>
      <w:r>
        <w:rPr>
          <w:rFonts w:hint="eastAsia"/>
          <w:color w:val="auto"/>
        </w:rPr>
        <w:t>本项目施工完成后，施工单位、设计单位及相关部门按规定进行了工程交工验收，施工单位提交了包括材料和设备质量证明文件及材料检验报告，安装工程，竣工图的相关施工、检测检验记录和文件，项目组根据农家乐公司提供的材料及现场测量核实，确认本项目的建设施工及其质量与设计相符合。</w:t>
      </w:r>
    </w:p>
    <w:p w:rsidR="003F13AB" w:rsidRDefault="00EC6E7E">
      <w:pPr>
        <w:spacing w:line="500" w:lineRule="exact"/>
        <w:ind w:firstLine="560"/>
        <w:rPr>
          <w:rFonts w:ascii="宋体" w:hAnsi="宋体"/>
          <w:color w:val="auto"/>
          <w:szCs w:val="28"/>
        </w:rPr>
      </w:pPr>
      <w:r>
        <w:rPr>
          <w:rFonts w:hint="eastAsia"/>
          <w:color w:val="auto"/>
        </w:rPr>
        <w:t>据农家乐公司提供的资料可知：</w:t>
      </w:r>
    </w:p>
    <w:p w:rsidR="003F13AB" w:rsidRDefault="00EC6E7E">
      <w:pPr>
        <w:spacing w:line="500" w:lineRule="exact"/>
        <w:ind w:firstLine="560"/>
        <w:rPr>
          <w:color w:val="auto"/>
          <w:kern w:val="0"/>
          <w:szCs w:val="44"/>
        </w:rPr>
      </w:pPr>
      <w:r>
        <w:rPr>
          <w:rFonts w:ascii="宋体" w:hAnsi="宋体" w:hint="eastAsia"/>
          <w:color w:val="auto"/>
          <w:szCs w:val="28"/>
        </w:rPr>
        <w:t>（1）本项目一期（造粒塔）设计单位</w:t>
      </w:r>
      <w:r>
        <w:rPr>
          <w:color w:val="auto"/>
          <w:szCs w:val="28"/>
        </w:rPr>
        <w:t>为武汉理工大设计研究院有限公司，二期（</w:t>
      </w:r>
      <w:r>
        <w:rPr>
          <w:rFonts w:hint="eastAsia"/>
          <w:color w:val="auto"/>
          <w:szCs w:val="28"/>
        </w:rPr>
        <w:t>原料仓库、丙类仓库、生产厂房（含锅炉房）、成品仓库以及配套的变配电室、消防泵房、循环冷却水池、事故应急水池等</w:t>
      </w:r>
      <w:r>
        <w:rPr>
          <w:color w:val="auto"/>
          <w:szCs w:val="28"/>
        </w:rPr>
        <w:t>）设计单位为</w:t>
      </w:r>
      <w:r>
        <w:rPr>
          <w:rFonts w:hint="eastAsia"/>
          <w:color w:val="auto"/>
        </w:rPr>
        <w:t>昆明兰德设计有限公司，</w:t>
      </w:r>
      <w:r>
        <w:rPr>
          <w:color w:val="auto"/>
          <w:kern w:val="0"/>
          <w:szCs w:val="44"/>
        </w:rPr>
        <w:t>安全设施设计单位为</w:t>
      </w:r>
      <w:r>
        <w:rPr>
          <w:rFonts w:hint="eastAsia"/>
          <w:color w:val="auto"/>
          <w:kern w:val="0"/>
          <w:szCs w:val="44"/>
        </w:rPr>
        <w:t>昆明兰德设计有限公司；一期</w:t>
      </w:r>
      <w:r>
        <w:rPr>
          <w:color w:val="auto"/>
          <w:kern w:val="0"/>
          <w:szCs w:val="44"/>
        </w:rPr>
        <w:t>施工单位为</w:t>
      </w:r>
      <w:r>
        <w:rPr>
          <w:rFonts w:hint="eastAsia"/>
          <w:color w:val="auto"/>
          <w:kern w:val="0"/>
          <w:szCs w:val="44"/>
        </w:rPr>
        <w:t>金大陆建设集团有限公司，二期施工单位为云南君瑞工程管理有限公司，锅炉及压力管道等安装由云南鸿云锅炉有限责任公司负责；项目监理由</w:t>
      </w:r>
      <w:r>
        <w:rPr>
          <w:color w:val="auto"/>
          <w:szCs w:val="28"/>
        </w:rPr>
        <w:t>云南工程勘察设计院集团有限公司负责。</w:t>
      </w:r>
      <w:r>
        <w:rPr>
          <w:color w:val="auto"/>
          <w:kern w:val="0"/>
          <w:szCs w:val="44"/>
        </w:rPr>
        <w:t>以上公司具有相应资质</w:t>
      </w:r>
      <w:r>
        <w:rPr>
          <w:rFonts w:hint="eastAsia"/>
          <w:color w:val="auto"/>
          <w:kern w:val="0"/>
          <w:szCs w:val="44"/>
        </w:rPr>
        <w:t>，分别出具了施工图、安全设施设计、竣工报告、施工情况报告、质量评估报告等相应资料。</w:t>
      </w:r>
    </w:p>
    <w:p w:rsidR="003F13AB" w:rsidRDefault="00EC6E7E">
      <w:pPr>
        <w:spacing w:line="500" w:lineRule="exact"/>
        <w:ind w:firstLine="560"/>
        <w:rPr>
          <w:color w:val="auto"/>
          <w:kern w:val="0"/>
          <w:szCs w:val="44"/>
        </w:rPr>
      </w:pPr>
      <w:r>
        <w:rPr>
          <w:color w:val="auto"/>
          <w:kern w:val="0"/>
          <w:szCs w:val="44"/>
        </w:rPr>
        <w:t>（</w:t>
      </w:r>
      <w:r>
        <w:rPr>
          <w:color w:val="auto"/>
          <w:kern w:val="0"/>
          <w:szCs w:val="44"/>
        </w:rPr>
        <w:t>2</w:t>
      </w:r>
      <w:r>
        <w:rPr>
          <w:color w:val="auto"/>
          <w:kern w:val="0"/>
          <w:szCs w:val="44"/>
        </w:rPr>
        <w:t>）施工过程中，已按照设计变更进行施工</w:t>
      </w:r>
      <w:r>
        <w:rPr>
          <w:color w:val="auto"/>
        </w:rPr>
        <w:t>。</w:t>
      </w:r>
    </w:p>
    <w:p w:rsidR="003F13AB" w:rsidRDefault="00EC6E7E">
      <w:pPr>
        <w:spacing w:line="500" w:lineRule="exact"/>
        <w:ind w:firstLine="560"/>
        <w:rPr>
          <w:color w:val="auto"/>
          <w:kern w:val="0"/>
          <w:szCs w:val="44"/>
        </w:rPr>
      </w:pPr>
      <w:r>
        <w:rPr>
          <w:rFonts w:hint="eastAsia"/>
          <w:color w:val="auto"/>
          <w:kern w:val="0"/>
          <w:szCs w:val="44"/>
        </w:rPr>
        <w:t>（</w:t>
      </w:r>
      <w:r>
        <w:rPr>
          <w:rFonts w:hint="eastAsia"/>
          <w:color w:val="auto"/>
          <w:kern w:val="0"/>
          <w:szCs w:val="44"/>
        </w:rPr>
        <w:t>3</w:t>
      </w:r>
      <w:r>
        <w:rPr>
          <w:rFonts w:hint="eastAsia"/>
          <w:color w:val="auto"/>
          <w:kern w:val="0"/>
          <w:szCs w:val="44"/>
        </w:rPr>
        <w:t>）企业提供了有效的防雷检测报告、消防检测报告等附件。</w:t>
      </w:r>
    </w:p>
    <w:p w:rsidR="003F13AB" w:rsidRDefault="00EC6E7E">
      <w:pPr>
        <w:spacing w:line="500" w:lineRule="exact"/>
        <w:ind w:firstLine="560"/>
        <w:rPr>
          <w:color w:val="auto"/>
          <w:kern w:val="0"/>
          <w:szCs w:val="44"/>
        </w:rPr>
      </w:pPr>
      <w:r>
        <w:rPr>
          <w:color w:val="auto"/>
          <w:kern w:val="0"/>
          <w:szCs w:val="44"/>
        </w:rPr>
        <w:lastRenderedPageBreak/>
        <w:t>综合考虑，本项目施工按照施工图设计要求进行施工。</w:t>
      </w:r>
    </w:p>
    <w:p w:rsidR="003F13AB" w:rsidRDefault="00EC6E7E">
      <w:pPr>
        <w:pStyle w:val="2"/>
      </w:pPr>
      <w:bookmarkStart w:id="92" w:name="_Toc187914405"/>
      <w:bookmarkStart w:id="93" w:name="_Toc166857568"/>
      <w:r>
        <w:rPr>
          <w:rFonts w:hint="eastAsia"/>
        </w:rPr>
        <w:t>2.8 试生产情况</w:t>
      </w:r>
      <w:bookmarkEnd w:id="92"/>
      <w:bookmarkEnd w:id="93"/>
    </w:p>
    <w:p w:rsidR="003F13AB" w:rsidRDefault="00EC6E7E">
      <w:pPr>
        <w:ind w:firstLine="560"/>
        <w:rPr>
          <w:color w:val="auto"/>
        </w:rPr>
      </w:pPr>
      <w:r>
        <w:rPr>
          <w:rFonts w:hint="eastAsia"/>
          <w:color w:val="auto"/>
        </w:rPr>
        <w:t>农家乐公司项目于</w:t>
      </w:r>
      <w:r>
        <w:rPr>
          <w:rFonts w:hint="eastAsia"/>
          <w:color w:val="auto"/>
        </w:rPr>
        <w:t>2023</w:t>
      </w:r>
      <w:r>
        <w:rPr>
          <w:rFonts w:hint="eastAsia"/>
          <w:color w:val="auto"/>
        </w:rPr>
        <w:t>年</w:t>
      </w:r>
      <w:r>
        <w:rPr>
          <w:rFonts w:hint="eastAsia"/>
          <w:color w:val="auto"/>
        </w:rPr>
        <w:t>03</w:t>
      </w:r>
      <w:r>
        <w:rPr>
          <w:rFonts w:hint="eastAsia"/>
          <w:color w:val="auto"/>
        </w:rPr>
        <w:t>月开工建设，于</w:t>
      </w:r>
      <w:r>
        <w:rPr>
          <w:rFonts w:hint="eastAsia"/>
          <w:color w:val="auto"/>
        </w:rPr>
        <w:t>2024</w:t>
      </w:r>
      <w:r>
        <w:rPr>
          <w:rFonts w:hint="eastAsia"/>
          <w:color w:val="auto"/>
        </w:rPr>
        <w:t>年</w:t>
      </w:r>
      <w:r>
        <w:rPr>
          <w:rFonts w:hint="eastAsia"/>
          <w:color w:val="auto"/>
        </w:rPr>
        <w:t>04</w:t>
      </w:r>
      <w:r>
        <w:rPr>
          <w:rFonts w:hint="eastAsia"/>
          <w:color w:val="auto"/>
        </w:rPr>
        <w:t>月设备及设施调试完成。</w:t>
      </w:r>
      <w:r>
        <w:rPr>
          <w:rFonts w:hint="eastAsia"/>
          <w:color w:val="auto"/>
        </w:rPr>
        <w:t>2024</w:t>
      </w:r>
      <w:r>
        <w:rPr>
          <w:rFonts w:hint="eastAsia"/>
          <w:color w:val="auto"/>
        </w:rPr>
        <w:t>年</w:t>
      </w:r>
      <w:r>
        <w:rPr>
          <w:rFonts w:hint="eastAsia"/>
          <w:color w:val="auto"/>
        </w:rPr>
        <w:t>05</w:t>
      </w:r>
      <w:r>
        <w:rPr>
          <w:rFonts w:hint="eastAsia"/>
          <w:color w:val="auto"/>
        </w:rPr>
        <w:t>月农家乐公司编制试生产方案，</w:t>
      </w:r>
      <w:r>
        <w:rPr>
          <w:rFonts w:hint="eastAsia"/>
          <w:color w:val="auto"/>
        </w:rPr>
        <w:t xml:space="preserve"> 2024</w:t>
      </w:r>
      <w:r>
        <w:rPr>
          <w:rFonts w:hint="eastAsia"/>
          <w:color w:val="auto"/>
        </w:rPr>
        <w:t>年</w:t>
      </w:r>
      <w:r>
        <w:rPr>
          <w:rFonts w:hint="eastAsia"/>
          <w:color w:val="auto"/>
        </w:rPr>
        <w:t>05</w:t>
      </w:r>
      <w:r>
        <w:rPr>
          <w:rFonts w:hint="eastAsia"/>
          <w:color w:val="auto"/>
        </w:rPr>
        <w:t>月</w:t>
      </w:r>
      <w:r>
        <w:rPr>
          <w:rFonts w:hint="eastAsia"/>
          <w:color w:val="auto"/>
        </w:rPr>
        <w:t>22</w:t>
      </w:r>
      <w:r>
        <w:rPr>
          <w:rFonts w:hint="eastAsia"/>
          <w:color w:val="auto"/>
        </w:rPr>
        <w:t>日开始至</w:t>
      </w:r>
      <w:r>
        <w:rPr>
          <w:rFonts w:hint="eastAsia"/>
          <w:color w:val="auto"/>
        </w:rPr>
        <w:t>2024</w:t>
      </w:r>
      <w:r>
        <w:rPr>
          <w:rFonts w:hint="eastAsia"/>
          <w:color w:val="auto"/>
        </w:rPr>
        <w:t>年</w:t>
      </w:r>
      <w:r>
        <w:rPr>
          <w:rFonts w:hint="eastAsia"/>
          <w:color w:val="auto"/>
        </w:rPr>
        <w:t>11</w:t>
      </w:r>
      <w:r>
        <w:rPr>
          <w:rFonts w:hint="eastAsia"/>
          <w:color w:val="auto"/>
        </w:rPr>
        <w:t>月</w:t>
      </w:r>
      <w:r>
        <w:rPr>
          <w:rFonts w:hint="eastAsia"/>
          <w:color w:val="auto"/>
        </w:rPr>
        <w:t>20</w:t>
      </w:r>
      <w:r>
        <w:rPr>
          <w:rFonts w:hint="eastAsia"/>
          <w:color w:val="auto"/>
        </w:rPr>
        <w:t>日止。试生产方案详见附件</w:t>
      </w:r>
      <w:r>
        <w:rPr>
          <w:rFonts w:hint="eastAsia"/>
          <w:color w:val="auto"/>
        </w:rPr>
        <w:t>8.27</w:t>
      </w:r>
      <w:r>
        <w:rPr>
          <w:rFonts w:hint="eastAsia"/>
          <w:color w:val="auto"/>
        </w:rPr>
        <w:t>试生产方</w:t>
      </w:r>
      <w:r w:rsidRPr="00611B5C">
        <w:rPr>
          <w:rFonts w:hint="eastAsia"/>
          <w:color w:val="auto"/>
        </w:rPr>
        <w:t>案。根据企业提供资料可知，试生产过程中各项工艺参数可达到设计要求，能达到生产能力，设备运行平稳，操作人员可正确操作，试生产过程中未</w:t>
      </w:r>
      <w:r>
        <w:rPr>
          <w:rFonts w:hint="eastAsia"/>
          <w:color w:val="auto"/>
        </w:rPr>
        <w:t>发生安全生产事故。企业提供了试生产总结报告，详见附件</w:t>
      </w:r>
      <w:r>
        <w:rPr>
          <w:rFonts w:hint="eastAsia"/>
          <w:color w:val="auto"/>
        </w:rPr>
        <w:t>8.38</w:t>
      </w:r>
      <w:r>
        <w:rPr>
          <w:rFonts w:hint="eastAsia"/>
          <w:color w:val="auto"/>
        </w:rPr>
        <w:t>。</w:t>
      </w:r>
    </w:p>
    <w:p w:rsidR="003F13AB" w:rsidRDefault="00EC6E7E">
      <w:pPr>
        <w:pStyle w:val="1"/>
        <w:keepNext w:val="0"/>
        <w:keepLines w:val="0"/>
        <w:numPr>
          <w:ilvl w:val="0"/>
          <w:numId w:val="1"/>
        </w:numPr>
        <w:ind w:left="0" w:firstLine="0"/>
        <w:textAlignment w:val="center"/>
        <w:rPr>
          <w:rFonts w:ascii="宋体" w:hAnsi="宋体"/>
          <w:b/>
          <w:bCs w:val="0"/>
          <w:color w:val="auto"/>
          <w:szCs w:val="20"/>
        </w:rPr>
      </w:pPr>
      <w:r>
        <w:rPr>
          <w:rFonts w:ascii="宋体" w:hAnsi="宋体" w:hint="eastAsia"/>
          <w:b/>
          <w:bCs w:val="0"/>
          <w:color w:val="auto"/>
          <w:szCs w:val="20"/>
        </w:rPr>
        <w:lastRenderedPageBreak/>
        <w:t xml:space="preserve">  </w:t>
      </w:r>
      <w:bookmarkStart w:id="94" w:name="_Toc166857569"/>
      <w:bookmarkStart w:id="95" w:name="_Toc187914406"/>
      <w:r>
        <w:rPr>
          <w:rFonts w:ascii="宋体" w:hAnsi="宋体" w:hint="eastAsia"/>
          <w:b/>
          <w:bCs w:val="0"/>
          <w:color w:val="auto"/>
          <w:szCs w:val="20"/>
        </w:rPr>
        <w:t>危险、有害因素辨识结果及依据说明</w:t>
      </w:r>
      <w:bookmarkEnd w:id="94"/>
      <w:bookmarkEnd w:id="95"/>
    </w:p>
    <w:p w:rsidR="003F13AB" w:rsidRDefault="00EC6E7E">
      <w:pPr>
        <w:pStyle w:val="2"/>
      </w:pPr>
      <w:bookmarkStart w:id="96" w:name="_Toc187914407"/>
      <w:bookmarkStart w:id="97" w:name="_Toc166857570"/>
      <w:r>
        <w:rPr>
          <w:rFonts w:hint="eastAsia"/>
        </w:rPr>
        <w:t>3.1 辨识与分析的目的</w:t>
      </w:r>
      <w:bookmarkEnd w:id="96"/>
      <w:bookmarkEnd w:id="97"/>
    </w:p>
    <w:p w:rsidR="003F13AB" w:rsidRDefault="00EC6E7E">
      <w:pPr>
        <w:ind w:firstLine="560"/>
        <w:rPr>
          <w:color w:val="auto"/>
        </w:rPr>
      </w:pPr>
      <w:r>
        <w:rPr>
          <w:rFonts w:hint="eastAsia"/>
          <w:color w:val="auto"/>
        </w:rPr>
        <w:t>危险有害因素是指对人造成伤亡或对物造成突发性损害，以及能影响人的身体健康，导致疾病，或对物造成慢性损坏的因素。</w:t>
      </w:r>
    </w:p>
    <w:p w:rsidR="003F13AB" w:rsidRDefault="00EC6E7E">
      <w:pPr>
        <w:ind w:firstLine="560"/>
        <w:rPr>
          <w:color w:val="auto"/>
        </w:rPr>
      </w:pPr>
      <w:r>
        <w:rPr>
          <w:rFonts w:hint="eastAsia"/>
          <w:color w:val="auto"/>
        </w:rPr>
        <w:t>本章主要根据《企业职工伤亡事故分类》（</w:t>
      </w:r>
      <w:r>
        <w:rPr>
          <w:rFonts w:hint="eastAsia"/>
          <w:color w:val="auto"/>
        </w:rPr>
        <w:t>GB 6441-1986</w:t>
      </w:r>
      <w:r>
        <w:rPr>
          <w:rFonts w:hint="eastAsia"/>
          <w:color w:val="auto"/>
        </w:rPr>
        <w:t>）、《生产过程危险和有害因素分类与代码》（</w:t>
      </w:r>
      <w:r>
        <w:rPr>
          <w:rFonts w:hint="eastAsia"/>
          <w:color w:val="auto"/>
        </w:rPr>
        <w:t>GB/T 13861-2022</w:t>
      </w:r>
      <w:r>
        <w:rPr>
          <w:rFonts w:hint="eastAsia"/>
          <w:color w:val="auto"/>
        </w:rPr>
        <w:t>）、</w:t>
      </w:r>
      <w:r>
        <w:rPr>
          <w:rFonts w:hint="eastAsia"/>
          <w:color w:val="auto"/>
        </w:rPr>
        <w:tab/>
      </w:r>
      <w:r>
        <w:rPr>
          <w:rFonts w:hint="eastAsia"/>
          <w:color w:val="auto"/>
        </w:rPr>
        <w:t>《危险化学品目录》（</w:t>
      </w:r>
      <w:r>
        <w:rPr>
          <w:rFonts w:hint="eastAsia"/>
          <w:color w:val="auto"/>
        </w:rPr>
        <w:t>2022</w:t>
      </w:r>
      <w:r>
        <w:rPr>
          <w:rFonts w:hint="eastAsia"/>
          <w:color w:val="auto"/>
        </w:rPr>
        <w:t>调整版）及《危险化学品分类信息表》等对危险有害因素的分类标准，结合同类行业的以往事故案例和相关安全生产工作经验，对该项目进行危险有害因素辨识与分析。</w:t>
      </w:r>
    </w:p>
    <w:p w:rsidR="003F13AB" w:rsidRDefault="00EC6E7E">
      <w:pPr>
        <w:ind w:firstLine="560"/>
        <w:rPr>
          <w:color w:val="auto"/>
        </w:rPr>
      </w:pPr>
      <w:r>
        <w:rPr>
          <w:rFonts w:hint="eastAsia"/>
          <w:color w:val="auto"/>
        </w:rPr>
        <w:t>同时，根据《危险化学品重大危险源辨识》（</w:t>
      </w:r>
      <w:r>
        <w:rPr>
          <w:rFonts w:hint="eastAsia"/>
          <w:color w:val="auto"/>
        </w:rPr>
        <w:t>GB 18218-2018</w:t>
      </w:r>
      <w:r>
        <w:rPr>
          <w:rFonts w:hint="eastAsia"/>
          <w:color w:val="auto"/>
        </w:rPr>
        <w:t>）的规定，对存在危险化学品的场所进行重大危险源辨识与分析</w:t>
      </w:r>
      <w:r>
        <w:rPr>
          <w:color w:val="auto"/>
        </w:rPr>
        <w:t>。</w:t>
      </w:r>
    </w:p>
    <w:p w:rsidR="003F13AB" w:rsidRDefault="00EC6E7E">
      <w:pPr>
        <w:pStyle w:val="2"/>
      </w:pPr>
      <w:bookmarkStart w:id="98" w:name="_Toc187914408"/>
      <w:bookmarkStart w:id="99" w:name="_Toc166857571"/>
      <w:r>
        <w:rPr>
          <w:rFonts w:hint="eastAsia"/>
        </w:rPr>
        <w:t>3.2 危险有害因素辨识主要依据</w:t>
      </w:r>
      <w:bookmarkEnd w:id="98"/>
      <w:bookmarkEnd w:id="99"/>
    </w:p>
    <w:p w:rsidR="003F13AB" w:rsidRDefault="00EC6E7E">
      <w:pPr>
        <w:ind w:firstLine="560"/>
        <w:rPr>
          <w:color w:val="auto"/>
        </w:rPr>
      </w:pPr>
      <w:r>
        <w:rPr>
          <w:color w:val="auto"/>
        </w:rPr>
        <w:t>本报告对危险、有害因素的辨识，是根据</w:t>
      </w:r>
      <w:r>
        <w:rPr>
          <w:rFonts w:hint="eastAsia"/>
          <w:color w:val="auto"/>
        </w:rPr>
        <w:t>本项目</w:t>
      </w:r>
      <w:r>
        <w:rPr>
          <w:color w:val="auto"/>
        </w:rPr>
        <w:t>在运行过程中涉及的危险、有害物质及其危险特性、生产工艺、设备等方面进行分析，以辨识该项目存在的主要危险、有害因素。</w:t>
      </w:r>
    </w:p>
    <w:p w:rsidR="003F13AB" w:rsidRDefault="00EC6E7E">
      <w:pPr>
        <w:ind w:firstLine="560"/>
        <w:rPr>
          <w:color w:val="auto"/>
        </w:rPr>
      </w:pPr>
      <w:r>
        <w:rPr>
          <w:color w:val="auto"/>
        </w:rPr>
        <w:t>按照《企业职工伤亡事故分类》（</w:t>
      </w:r>
      <w:r>
        <w:rPr>
          <w:color w:val="auto"/>
        </w:rPr>
        <w:t>GB6441-1986</w:t>
      </w:r>
      <w:r>
        <w:rPr>
          <w:color w:val="auto"/>
        </w:rPr>
        <w:t>），综合考虑起因物、引起事故的诱导性原因、致害物、伤害方式等，将危险因素</w:t>
      </w:r>
      <w:r>
        <w:rPr>
          <w:rFonts w:hint="eastAsia"/>
          <w:color w:val="auto"/>
        </w:rPr>
        <w:t>导致的事故类型</w:t>
      </w:r>
      <w:r>
        <w:rPr>
          <w:color w:val="auto"/>
        </w:rPr>
        <w:t>分为</w:t>
      </w:r>
      <w:r>
        <w:rPr>
          <w:color w:val="auto"/>
        </w:rPr>
        <w:t>20</w:t>
      </w:r>
      <w:r>
        <w:rPr>
          <w:color w:val="auto"/>
        </w:rPr>
        <w:t>类，分别为物体打击、车辆伤害、机械伤害、起重伤害、触电、淹溺、灼烫、火灾、高处坠落、坍塌、锅炉爆炸、容器爆炸、其他爆炸、中毒和窒息及其他伤害等。</w:t>
      </w:r>
    </w:p>
    <w:p w:rsidR="003F13AB" w:rsidRDefault="00EC6E7E">
      <w:pPr>
        <w:ind w:firstLine="560"/>
        <w:rPr>
          <w:color w:val="auto"/>
        </w:rPr>
      </w:pPr>
      <w:r>
        <w:rPr>
          <w:color w:val="auto"/>
        </w:rPr>
        <w:t>根据《生产过程危险和有害因素分类与代码》（</w:t>
      </w:r>
      <w:r>
        <w:rPr>
          <w:color w:val="auto"/>
        </w:rPr>
        <w:t>GB/T13861-20</w:t>
      </w:r>
      <w:r>
        <w:rPr>
          <w:rFonts w:hint="eastAsia"/>
          <w:color w:val="auto"/>
        </w:rPr>
        <w:t>22</w:t>
      </w:r>
      <w:r>
        <w:rPr>
          <w:color w:val="auto"/>
        </w:rPr>
        <w:t>）的规定，将危险因素分为四类：</w:t>
      </w:r>
    </w:p>
    <w:p w:rsidR="003F13AB" w:rsidRDefault="00EC6E7E">
      <w:pPr>
        <w:ind w:firstLine="560"/>
        <w:rPr>
          <w:color w:val="auto"/>
        </w:rPr>
      </w:pPr>
      <w:r>
        <w:rPr>
          <w:rFonts w:hint="eastAsia"/>
          <w:color w:val="auto"/>
        </w:rPr>
        <w:t>1</w:t>
      </w:r>
      <w:r>
        <w:rPr>
          <w:rFonts w:hint="eastAsia"/>
          <w:color w:val="auto"/>
        </w:rPr>
        <w:t>．</w:t>
      </w:r>
      <w:r>
        <w:rPr>
          <w:color w:val="auto"/>
        </w:rPr>
        <w:t>人的因素；</w:t>
      </w:r>
    </w:p>
    <w:p w:rsidR="003F13AB" w:rsidRDefault="00EC6E7E">
      <w:pPr>
        <w:ind w:firstLine="560"/>
        <w:rPr>
          <w:color w:val="auto"/>
        </w:rPr>
      </w:pPr>
      <w:r>
        <w:rPr>
          <w:color w:val="auto"/>
        </w:rPr>
        <w:t>1</w:t>
      </w:r>
      <w:r>
        <w:rPr>
          <w:rFonts w:hint="eastAsia"/>
          <w:color w:val="auto"/>
        </w:rPr>
        <w:t>）</w:t>
      </w:r>
      <w:r>
        <w:rPr>
          <w:color w:val="auto"/>
        </w:rPr>
        <w:t>心理、生理</w:t>
      </w:r>
      <w:proofErr w:type="gramStart"/>
      <w:r>
        <w:rPr>
          <w:color w:val="auto"/>
        </w:rPr>
        <w:t>性危险</w:t>
      </w:r>
      <w:proofErr w:type="gramEnd"/>
      <w:r>
        <w:rPr>
          <w:color w:val="auto"/>
        </w:rPr>
        <w:t>和有害因素；</w:t>
      </w:r>
    </w:p>
    <w:p w:rsidR="003F13AB" w:rsidRDefault="00EC6E7E">
      <w:pPr>
        <w:ind w:firstLine="560"/>
        <w:rPr>
          <w:color w:val="auto"/>
        </w:rPr>
      </w:pPr>
      <w:r>
        <w:rPr>
          <w:color w:val="auto"/>
        </w:rPr>
        <w:t>2</w:t>
      </w:r>
      <w:r>
        <w:rPr>
          <w:rFonts w:hint="eastAsia"/>
          <w:color w:val="auto"/>
        </w:rPr>
        <w:t>）</w:t>
      </w:r>
      <w:r>
        <w:rPr>
          <w:color w:val="auto"/>
        </w:rPr>
        <w:t>行为</w:t>
      </w:r>
      <w:proofErr w:type="gramStart"/>
      <w:r>
        <w:rPr>
          <w:color w:val="auto"/>
        </w:rPr>
        <w:t>性危险</w:t>
      </w:r>
      <w:proofErr w:type="gramEnd"/>
      <w:r>
        <w:rPr>
          <w:color w:val="auto"/>
        </w:rPr>
        <w:t>和有害因素。</w:t>
      </w:r>
    </w:p>
    <w:p w:rsidR="003F13AB" w:rsidRDefault="00EC6E7E">
      <w:pPr>
        <w:ind w:firstLine="560"/>
        <w:rPr>
          <w:color w:val="auto"/>
        </w:rPr>
      </w:pPr>
      <w:r>
        <w:rPr>
          <w:rFonts w:hint="eastAsia"/>
          <w:color w:val="auto"/>
        </w:rPr>
        <w:lastRenderedPageBreak/>
        <w:t>2</w:t>
      </w:r>
      <w:r>
        <w:rPr>
          <w:rFonts w:hint="eastAsia"/>
          <w:color w:val="auto"/>
        </w:rPr>
        <w:t>．</w:t>
      </w:r>
      <w:r>
        <w:rPr>
          <w:color w:val="auto"/>
        </w:rPr>
        <w:t>物的因素；</w:t>
      </w:r>
    </w:p>
    <w:p w:rsidR="003F13AB" w:rsidRDefault="00EC6E7E">
      <w:pPr>
        <w:ind w:firstLine="560"/>
        <w:rPr>
          <w:color w:val="auto"/>
        </w:rPr>
      </w:pPr>
      <w:r>
        <w:rPr>
          <w:color w:val="auto"/>
        </w:rPr>
        <w:t>1</w:t>
      </w:r>
      <w:r>
        <w:rPr>
          <w:rFonts w:hint="eastAsia"/>
          <w:color w:val="auto"/>
        </w:rPr>
        <w:t>）</w:t>
      </w:r>
      <w:r>
        <w:rPr>
          <w:color w:val="auto"/>
        </w:rPr>
        <w:t>物理</w:t>
      </w:r>
      <w:proofErr w:type="gramStart"/>
      <w:r>
        <w:rPr>
          <w:color w:val="auto"/>
        </w:rPr>
        <w:t>性危险</w:t>
      </w:r>
      <w:proofErr w:type="gramEnd"/>
      <w:r>
        <w:rPr>
          <w:color w:val="auto"/>
        </w:rPr>
        <w:t>和有害因素；</w:t>
      </w:r>
    </w:p>
    <w:p w:rsidR="003F13AB" w:rsidRDefault="00EC6E7E">
      <w:pPr>
        <w:ind w:firstLine="560"/>
        <w:rPr>
          <w:color w:val="auto"/>
        </w:rPr>
      </w:pPr>
      <w:r>
        <w:rPr>
          <w:color w:val="auto"/>
        </w:rPr>
        <w:t>2</w:t>
      </w:r>
      <w:r>
        <w:rPr>
          <w:rFonts w:hint="eastAsia"/>
          <w:color w:val="auto"/>
        </w:rPr>
        <w:t>）</w:t>
      </w:r>
      <w:r>
        <w:rPr>
          <w:color w:val="auto"/>
        </w:rPr>
        <w:t>化学</w:t>
      </w:r>
      <w:proofErr w:type="gramStart"/>
      <w:r>
        <w:rPr>
          <w:color w:val="auto"/>
        </w:rPr>
        <w:t>性危险</w:t>
      </w:r>
      <w:proofErr w:type="gramEnd"/>
      <w:r>
        <w:rPr>
          <w:color w:val="auto"/>
        </w:rPr>
        <w:t>和有害因素；</w:t>
      </w:r>
    </w:p>
    <w:p w:rsidR="003F13AB" w:rsidRDefault="00EC6E7E">
      <w:pPr>
        <w:ind w:firstLine="560"/>
        <w:rPr>
          <w:color w:val="auto"/>
        </w:rPr>
      </w:pPr>
      <w:r>
        <w:rPr>
          <w:color w:val="auto"/>
        </w:rPr>
        <w:t>3</w:t>
      </w:r>
      <w:r>
        <w:rPr>
          <w:rFonts w:hint="eastAsia"/>
          <w:color w:val="auto"/>
        </w:rPr>
        <w:t>）</w:t>
      </w:r>
      <w:r>
        <w:rPr>
          <w:color w:val="auto"/>
        </w:rPr>
        <w:t>生物</w:t>
      </w:r>
      <w:proofErr w:type="gramStart"/>
      <w:r>
        <w:rPr>
          <w:color w:val="auto"/>
        </w:rPr>
        <w:t>性危险</w:t>
      </w:r>
      <w:proofErr w:type="gramEnd"/>
      <w:r>
        <w:rPr>
          <w:color w:val="auto"/>
        </w:rPr>
        <w:t>和有害因素。</w:t>
      </w:r>
    </w:p>
    <w:p w:rsidR="003F13AB" w:rsidRDefault="00EC6E7E">
      <w:pPr>
        <w:ind w:firstLine="560"/>
        <w:rPr>
          <w:color w:val="auto"/>
        </w:rPr>
      </w:pPr>
      <w:r>
        <w:rPr>
          <w:rFonts w:hint="eastAsia"/>
          <w:color w:val="auto"/>
        </w:rPr>
        <w:t>3</w:t>
      </w:r>
      <w:r>
        <w:rPr>
          <w:color w:val="auto"/>
        </w:rPr>
        <w:t>．环境因素；</w:t>
      </w:r>
    </w:p>
    <w:p w:rsidR="003F13AB" w:rsidRDefault="00EC6E7E">
      <w:pPr>
        <w:ind w:firstLine="560"/>
        <w:rPr>
          <w:color w:val="auto"/>
        </w:rPr>
      </w:pPr>
      <w:r>
        <w:rPr>
          <w:color w:val="auto"/>
        </w:rPr>
        <w:t>1</w:t>
      </w:r>
      <w:r>
        <w:rPr>
          <w:rFonts w:hint="eastAsia"/>
          <w:color w:val="auto"/>
        </w:rPr>
        <w:t>）</w:t>
      </w:r>
      <w:r>
        <w:rPr>
          <w:color w:val="auto"/>
        </w:rPr>
        <w:t>室内作业场所环境不良；</w:t>
      </w:r>
    </w:p>
    <w:p w:rsidR="003F13AB" w:rsidRDefault="00EC6E7E">
      <w:pPr>
        <w:ind w:firstLine="560"/>
        <w:rPr>
          <w:color w:val="auto"/>
        </w:rPr>
      </w:pPr>
      <w:r>
        <w:rPr>
          <w:color w:val="auto"/>
        </w:rPr>
        <w:t>2</w:t>
      </w:r>
      <w:r>
        <w:rPr>
          <w:rFonts w:hint="eastAsia"/>
          <w:color w:val="auto"/>
        </w:rPr>
        <w:t>）</w:t>
      </w:r>
      <w:r>
        <w:rPr>
          <w:color w:val="auto"/>
        </w:rPr>
        <w:t>室外作业场地环境不良；</w:t>
      </w:r>
    </w:p>
    <w:p w:rsidR="003F13AB" w:rsidRDefault="00EC6E7E">
      <w:pPr>
        <w:ind w:firstLine="560"/>
        <w:rPr>
          <w:color w:val="auto"/>
        </w:rPr>
      </w:pPr>
      <w:r>
        <w:rPr>
          <w:color w:val="auto"/>
        </w:rPr>
        <w:t>3</w:t>
      </w:r>
      <w:r>
        <w:rPr>
          <w:rFonts w:hint="eastAsia"/>
          <w:color w:val="auto"/>
        </w:rPr>
        <w:t>）</w:t>
      </w:r>
      <w:r>
        <w:rPr>
          <w:color w:val="auto"/>
        </w:rPr>
        <w:t>地下（含水下）作业环境不良；</w:t>
      </w:r>
    </w:p>
    <w:p w:rsidR="003F13AB" w:rsidRDefault="00EC6E7E">
      <w:pPr>
        <w:ind w:firstLine="560"/>
        <w:rPr>
          <w:color w:val="auto"/>
        </w:rPr>
      </w:pPr>
      <w:r>
        <w:rPr>
          <w:color w:val="auto"/>
        </w:rPr>
        <w:t>4</w:t>
      </w:r>
      <w:r>
        <w:rPr>
          <w:rFonts w:hint="eastAsia"/>
          <w:color w:val="auto"/>
        </w:rPr>
        <w:t>）</w:t>
      </w:r>
      <w:r>
        <w:rPr>
          <w:color w:val="auto"/>
        </w:rPr>
        <w:t>其他作业环境不良。</w:t>
      </w:r>
    </w:p>
    <w:p w:rsidR="003F13AB" w:rsidRDefault="00EC6E7E">
      <w:pPr>
        <w:ind w:firstLine="560"/>
        <w:rPr>
          <w:color w:val="auto"/>
        </w:rPr>
      </w:pPr>
      <w:r>
        <w:rPr>
          <w:rFonts w:hint="eastAsia"/>
          <w:color w:val="auto"/>
        </w:rPr>
        <w:t>4</w:t>
      </w:r>
      <w:r>
        <w:rPr>
          <w:color w:val="auto"/>
        </w:rPr>
        <w:t>．管理因素。</w:t>
      </w:r>
    </w:p>
    <w:p w:rsidR="003F13AB" w:rsidRDefault="00EC6E7E">
      <w:pPr>
        <w:ind w:firstLine="560"/>
        <w:rPr>
          <w:color w:val="auto"/>
        </w:rPr>
      </w:pPr>
      <w:r>
        <w:rPr>
          <w:rFonts w:hint="eastAsia"/>
          <w:color w:val="auto"/>
        </w:rPr>
        <w:t>1</w:t>
      </w:r>
      <w:r>
        <w:rPr>
          <w:rFonts w:hint="eastAsia"/>
          <w:color w:val="auto"/>
        </w:rPr>
        <w:t>）职业安全卫生管理机构设置和人员配备不健全；</w:t>
      </w:r>
    </w:p>
    <w:p w:rsidR="003F13AB" w:rsidRDefault="00EC6E7E">
      <w:pPr>
        <w:ind w:firstLine="560"/>
        <w:rPr>
          <w:color w:val="auto"/>
        </w:rPr>
      </w:pPr>
      <w:r>
        <w:rPr>
          <w:rFonts w:hint="eastAsia"/>
          <w:color w:val="auto"/>
        </w:rPr>
        <w:t>2</w:t>
      </w:r>
      <w:r>
        <w:rPr>
          <w:rFonts w:hint="eastAsia"/>
          <w:color w:val="auto"/>
        </w:rPr>
        <w:t>）职业安全卫生责任制不完善或未落实；</w:t>
      </w:r>
    </w:p>
    <w:p w:rsidR="003F13AB" w:rsidRDefault="00EC6E7E">
      <w:pPr>
        <w:ind w:firstLine="560"/>
        <w:rPr>
          <w:color w:val="auto"/>
        </w:rPr>
      </w:pPr>
      <w:r>
        <w:rPr>
          <w:rFonts w:hint="eastAsia"/>
          <w:color w:val="auto"/>
        </w:rPr>
        <w:t>3</w:t>
      </w:r>
      <w:r>
        <w:rPr>
          <w:rFonts w:hint="eastAsia"/>
          <w:color w:val="auto"/>
        </w:rPr>
        <w:t>）职业安全卫生管理制度不完善或未落实；</w:t>
      </w:r>
    </w:p>
    <w:p w:rsidR="003F13AB" w:rsidRDefault="00EC6E7E">
      <w:pPr>
        <w:ind w:firstLine="560"/>
        <w:rPr>
          <w:color w:val="auto"/>
        </w:rPr>
      </w:pPr>
      <w:r>
        <w:rPr>
          <w:rFonts w:hint="eastAsia"/>
          <w:color w:val="auto"/>
        </w:rPr>
        <w:t>4</w:t>
      </w:r>
      <w:r>
        <w:rPr>
          <w:rFonts w:hint="eastAsia"/>
          <w:color w:val="auto"/>
        </w:rPr>
        <w:t>）职业安全卫生投入不足；</w:t>
      </w:r>
    </w:p>
    <w:p w:rsidR="003F13AB" w:rsidRDefault="00EC6E7E">
      <w:pPr>
        <w:ind w:firstLine="560"/>
        <w:rPr>
          <w:color w:val="auto"/>
        </w:rPr>
      </w:pPr>
      <w:r>
        <w:rPr>
          <w:rFonts w:hint="eastAsia"/>
          <w:color w:val="auto"/>
        </w:rPr>
        <w:t>5</w:t>
      </w:r>
      <w:r>
        <w:rPr>
          <w:rFonts w:hint="eastAsia"/>
          <w:color w:val="auto"/>
        </w:rPr>
        <w:t>）应急管理缺陷；</w:t>
      </w:r>
    </w:p>
    <w:p w:rsidR="003F13AB" w:rsidRDefault="00EC6E7E">
      <w:pPr>
        <w:ind w:firstLine="560"/>
        <w:rPr>
          <w:color w:val="auto"/>
        </w:rPr>
      </w:pPr>
      <w:r>
        <w:rPr>
          <w:rFonts w:hint="eastAsia"/>
          <w:color w:val="auto"/>
        </w:rPr>
        <w:t>6</w:t>
      </w:r>
      <w:r>
        <w:rPr>
          <w:rFonts w:hint="eastAsia"/>
          <w:color w:val="auto"/>
        </w:rPr>
        <w:t>）其他管理因素缺陷。</w:t>
      </w:r>
    </w:p>
    <w:p w:rsidR="003F13AB" w:rsidRDefault="00EC6E7E">
      <w:pPr>
        <w:ind w:firstLine="560"/>
        <w:rPr>
          <w:color w:val="auto"/>
        </w:rPr>
      </w:pPr>
      <w:r>
        <w:rPr>
          <w:color w:val="auto"/>
        </w:rPr>
        <w:t>根据</w:t>
      </w:r>
      <w:proofErr w:type="gramStart"/>
      <w:r>
        <w:rPr>
          <w:color w:val="auto"/>
        </w:rPr>
        <w:t>《</w:t>
      </w:r>
      <w:proofErr w:type="gramEnd"/>
      <w:r>
        <w:rPr>
          <w:color w:val="auto"/>
        </w:rPr>
        <w:t>关于印发</w:t>
      </w:r>
      <w:proofErr w:type="gramStart"/>
      <w:r>
        <w:rPr>
          <w:color w:val="auto"/>
        </w:rPr>
        <w:t>《</w:t>
      </w:r>
      <w:proofErr w:type="gramEnd"/>
      <w:r>
        <w:rPr>
          <w:color w:val="auto"/>
        </w:rPr>
        <w:t>职业病危害因素分类目录</w:t>
      </w:r>
      <w:proofErr w:type="gramStart"/>
      <w:r>
        <w:rPr>
          <w:color w:val="auto"/>
        </w:rPr>
        <w:t>》</w:t>
      </w:r>
      <w:proofErr w:type="gramEnd"/>
      <w:r>
        <w:rPr>
          <w:color w:val="auto"/>
        </w:rPr>
        <w:t>的通知</w:t>
      </w:r>
      <w:proofErr w:type="gramStart"/>
      <w:r>
        <w:rPr>
          <w:color w:val="auto"/>
        </w:rPr>
        <w:t>》</w:t>
      </w:r>
      <w:proofErr w:type="gramEnd"/>
      <w:r>
        <w:rPr>
          <w:color w:val="auto"/>
        </w:rPr>
        <w:t>（国卫疾控发〔</w:t>
      </w:r>
      <w:r>
        <w:rPr>
          <w:color w:val="auto"/>
        </w:rPr>
        <w:t>2015</w:t>
      </w:r>
      <w:r>
        <w:rPr>
          <w:color w:val="auto"/>
        </w:rPr>
        <w:t>〕</w:t>
      </w:r>
      <w:r>
        <w:rPr>
          <w:color w:val="auto"/>
        </w:rPr>
        <w:t>92</w:t>
      </w:r>
      <w:r>
        <w:rPr>
          <w:color w:val="auto"/>
        </w:rPr>
        <w:t>号），将有害因素分为六类：</w:t>
      </w:r>
    </w:p>
    <w:p w:rsidR="003F13AB" w:rsidRDefault="00EC6E7E">
      <w:pPr>
        <w:ind w:firstLine="560"/>
        <w:rPr>
          <w:color w:val="auto"/>
        </w:rPr>
      </w:pPr>
      <w:r>
        <w:rPr>
          <w:rFonts w:hint="eastAsia"/>
          <w:color w:val="auto"/>
        </w:rPr>
        <w:t>1</w:t>
      </w:r>
      <w:r>
        <w:rPr>
          <w:rFonts w:hint="eastAsia"/>
          <w:color w:val="auto"/>
        </w:rPr>
        <w:t>．</w:t>
      </w:r>
      <w:r>
        <w:rPr>
          <w:color w:val="auto"/>
        </w:rPr>
        <w:t>粉尘类；</w:t>
      </w:r>
    </w:p>
    <w:p w:rsidR="003F13AB" w:rsidRDefault="00EC6E7E">
      <w:pPr>
        <w:ind w:firstLine="560"/>
        <w:rPr>
          <w:color w:val="auto"/>
        </w:rPr>
      </w:pPr>
      <w:r>
        <w:rPr>
          <w:rFonts w:hint="eastAsia"/>
          <w:color w:val="auto"/>
        </w:rPr>
        <w:t>2</w:t>
      </w:r>
      <w:r>
        <w:rPr>
          <w:rFonts w:hint="eastAsia"/>
          <w:color w:val="auto"/>
        </w:rPr>
        <w:t>．</w:t>
      </w:r>
      <w:r>
        <w:rPr>
          <w:color w:val="auto"/>
        </w:rPr>
        <w:t>化学物质；</w:t>
      </w:r>
    </w:p>
    <w:p w:rsidR="003F13AB" w:rsidRDefault="00EC6E7E">
      <w:pPr>
        <w:ind w:firstLine="560"/>
        <w:rPr>
          <w:color w:val="auto"/>
        </w:rPr>
      </w:pPr>
      <w:r>
        <w:rPr>
          <w:rFonts w:hint="eastAsia"/>
          <w:color w:val="auto"/>
        </w:rPr>
        <w:t>3</w:t>
      </w:r>
      <w:r>
        <w:rPr>
          <w:rFonts w:hint="eastAsia"/>
          <w:color w:val="auto"/>
        </w:rPr>
        <w:t>．</w:t>
      </w:r>
      <w:r>
        <w:rPr>
          <w:color w:val="auto"/>
        </w:rPr>
        <w:t>物理因素；</w:t>
      </w:r>
    </w:p>
    <w:p w:rsidR="003F13AB" w:rsidRDefault="00EC6E7E">
      <w:pPr>
        <w:ind w:firstLine="560"/>
        <w:rPr>
          <w:color w:val="auto"/>
        </w:rPr>
      </w:pPr>
      <w:r>
        <w:rPr>
          <w:rFonts w:hint="eastAsia"/>
          <w:color w:val="auto"/>
        </w:rPr>
        <w:t>4</w:t>
      </w:r>
      <w:r>
        <w:rPr>
          <w:rFonts w:hint="eastAsia"/>
          <w:color w:val="auto"/>
        </w:rPr>
        <w:t>．</w:t>
      </w:r>
      <w:r>
        <w:rPr>
          <w:color w:val="auto"/>
        </w:rPr>
        <w:t>放射性因素；</w:t>
      </w:r>
    </w:p>
    <w:p w:rsidR="003F13AB" w:rsidRDefault="00EC6E7E">
      <w:pPr>
        <w:ind w:firstLine="560"/>
        <w:rPr>
          <w:color w:val="auto"/>
        </w:rPr>
      </w:pPr>
      <w:r>
        <w:rPr>
          <w:rFonts w:hint="eastAsia"/>
          <w:color w:val="auto"/>
        </w:rPr>
        <w:t>5</w:t>
      </w:r>
      <w:r>
        <w:rPr>
          <w:rFonts w:hint="eastAsia"/>
          <w:color w:val="auto"/>
        </w:rPr>
        <w:t>．</w:t>
      </w:r>
      <w:r>
        <w:rPr>
          <w:color w:val="auto"/>
        </w:rPr>
        <w:t>生物因素；</w:t>
      </w:r>
    </w:p>
    <w:p w:rsidR="003F13AB" w:rsidRDefault="00EC6E7E">
      <w:pPr>
        <w:ind w:firstLine="560"/>
        <w:rPr>
          <w:color w:val="auto"/>
        </w:rPr>
      </w:pPr>
      <w:r>
        <w:rPr>
          <w:rFonts w:hint="eastAsia"/>
          <w:color w:val="auto"/>
        </w:rPr>
        <w:t>6</w:t>
      </w:r>
      <w:r>
        <w:rPr>
          <w:rFonts w:hint="eastAsia"/>
          <w:color w:val="auto"/>
        </w:rPr>
        <w:t>．</w:t>
      </w:r>
      <w:r>
        <w:rPr>
          <w:color w:val="auto"/>
        </w:rPr>
        <w:t>其他因素。</w:t>
      </w:r>
    </w:p>
    <w:p w:rsidR="003F13AB" w:rsidRDefault="00EC6E7E">
      <w:pPr>
        <w:ind w:firstLine="560"/>
        <w:rPr>
          <w:color w:val="auto"/>
        </w:rPr>
      </w:pPr>
      <w:r>
        <w:rPr>
          <w:rFonts w:hint="eastAsia"/>
          <w:color w:val="auto"/>
        </w:rPr>
        <w:t>同时，根据《危险化学品重大危险源辨识》（</w:t>
      </w:r>
      <w:r>
        <w:rPr>
          <w:rFonts w:hint="eastAsia"/>
          <w:color w:val="auto"/>
        </w:rPr>
        <w:t>GB 18218-2018</w:t>
      </w:r>
      <w:r>
        <w:rPr>
          <w:rFonts w:hint="eastAsia"/>
          <w:color w:val="auto"/>
        </w:rPr>
        <w:t>）的规定，</w:t>
      </w:r>
      <w:r>
        <w:rPr>
          <w:rFonts w:hint="eastAsia"/>
          <w:color w:val="auto"/>
        </w:rPr>
        <w:lastRenderedPageBreak/>
        <w:t>对存在危险化学品的场所进行重大危险源辨识与分析。</w:t>
      </w:r>
    </w:p>
    <w:p w:rsidR="003F13AB" w:rsidRDefault="00EC6E7E">
      <w:pPr>
        <w:pStyle w:val="2"/>
      </w:pPr>
      <w:bookmarkStart w:id="100" w:name="_Toc187914409"/>
      <w:bookmarkStart w:id="101" w:name="_Toc166857572"/>
      <w:bookmarkStart w:id="102" w:name="_Toc503269866"/>
      <w:bookmarkStart w:id="103" w:name="_Toc174244031"/>
      <w:bookmarkStart w:id="104" w:name="_Toc246965449"/>
      <w:r>
        <w:rPr>
          <w:rFonts w:hint="eastAsia"/>
        </w:rPr>
        <w:t>3.3 危险、有害因素产生的原因</w:t>
      </w:r>
      <w:bookmarkEnd w:id="100"/>
      <w:bookmarkEnd w:id="101"/>
    </w:p>
    <w:p w:rsidR="003F13AB" w:rsidRDefault="00EC6E7E">
      <w:pPr>
        <w:pStyle w:val="3"/>
      </w:pPr>
      <w:bookmarkStart w:id="105" w:name="_Toc187914410"/>
      <w:r>
        <w:rPr>
          <w:rFonts w:hint="eastAsia"/>
        </w:rPr>
        <w:t>3.3.1 运行失控与设备故障</w:t>
      </w:r>
      <w:bookmarkEnd w:id="105"/>
    </w:p>
    <w:p w:rsidR="003F13AB" w:rsidRDefault="00EC6E7E">
      <w:pPr>
        <w:ind w:firstLine="560"/>
        <w:rPr>
          <w:color w:val="auto"/>
        </w:rPr>
      </w:pPr>
      <w:r>
        <w:rPr>
          <w:rFonts w:hint="eastAsia"/>
          <w:color w:val="auto"/>
        </w:rPr>
        <w:t>运行失控是指装置运行过程中偏离或超过了正常的工艺技术条件，出现危险状态。故障是指设备、元件等在运行过程中由于性能低下而不能实现预期功能的现象。在生产过程中运行失控故障的发生是可能的，故障具有随机性和突发性，故障的发生一般是随机事件。造成故障发生的原因很复杂（如设计、制造、安装、腐蚀、疲劳、检查和检修保养、人员失误、环境及其它系统的影响等），但故障发生的规律是可知的，通过定期检查、维修、保养可使故障在预定期间内得到控制、避免、减少。</w:t>
      </w:r>
    </w:p>
    <w:p w:rsidR="003F13AB" w:rsidRDefault="00EC6E7E">
      <w:pPr>
        <w:pStyle w:val="3"/>
      </w:pPr>
      <w:bookmarkStart w:id="106" w:name="_Toc187914411"/>
      <w:r>
        <w:rPr>
          <w:rFonts w:hint="eastAsia"/>
        </w:rPr>
        <w:t>3.3.2 人员失误</w:t>
      </w:r>
      <w:bookmarkEnd w:id="106"/>
    </w:p>
    <w:p w:rsidR="003F13AB" w:rsidRDefault="00EC6E7E">
      <w:pPr>
        <w:ind w:firstLine="560"/>
        <w:rPr>
          <w:color w:val="auto"/>
        </w:rPr>
      </w:pPr>
      <w:r>
        <w:rPr>
          <w:rFonts w:hint="eastAsia"/>
          <w:color w:val="auto"/>
        </w:rPr>
        <w:t>人员失误系指不安全行为（指职工在劳动过程中违反劳动纪律、操作程序、方法等具有危险性的作法）产生不良后果的行为。人员失误在生产过程中是不可避免的，它具有随机性和偶然性，往往是不可预测的意外行为。影响人员失误的因素很多，但发生人员失误的规律和失误率通过大量的观测、统计分析是可以预测的。</w:t>
      </w:r>
    </w:p>
    <w:p w:rsidR="003F13AB" w:rsidRDefault="00EC6E7E">
      <w:pPr>
        <w:pStyle w:val="3"/>
      </w:pPr>
      <w:bookmarkStart w:id="107" w:name="_Toc187914412"/>
      <w:r>
        <w:rPr>
          <w:rFonts w:hint="eastAsia"/>
        </w:rPr>
        <w:t>3.3.3 管理缺陷</w:t>
      </w:r>
      <w:bookmarkEnd w:id="107"/>
    </w:p>
    <w:p w:rsidR="003F13AB" w:rsidRDefault="00EC6E7E">
      <w:pPr>
        <w:ind w:firstLine="560"/>
        <w:rPr>
          <w:color w:val="auto"/>
        </w:rPr>
      </w:pPr>
      <w:r>
        <w:rPr>
          <w:rFonts w:hint="eastAsia"/>
          <w:color w:val="auto"/>
        </w:rPr>
        <w:t>安全管理是为保证及时、有效地实现既定的安全目标，是在预测、分析的基础上进行的计划、组织、协调、检查等工作，是预防故障和人员失误发生的有效手段。管理缺陷是影响运行失控发生的重要因素。</w:t>
      </w:r>
    </w:p>
    <w:p w:rsidR="003F13AB" w:rsidRDefault="00EC6E7E">
      <w:pPr>
        <w:pStyle w:val="3"/>
      </w:pPr>
      <w:bookmarkStart w:id="108" w:name="_Toc187914413"/>
      <w:r>
        <w:rPr>
          <w:rFonts w:hint="eastAsia"/>
        </w:rPr>
        <w:t>3.3.4 环境因素</w:t>
      </w:r>
      <w:bookmarkEnd w:id="108"/>
    </w:p>
    <w:p w:rsidR="003F13AB" w:rsidRDefault="00EC6E7E">
      <w:pPr>
        <w:ind w:firstLine="560"/>
        <w:rPr>
          <w:color w:val="auto"/>
        </w:rPr>
      </w:pPr>
      <w:r>
        <w:rPr>
          <w:rFonts w:hint="eastAsia"/>
          <w:color w:val="auto"/>
        </w:rPr>
        <w:t>不良环境的影响包括自然环境和作业环境。作业环境如温度、湿度、通风、照明、噪声、采光等因素的变化均可能导致人的情绪异常而引发误操作，从而引发事故；自然环境如风、雨、雷电、水文、地质条件等均可能引发安全事故。</w:t>
      </w:r>
    </w:p>
    <w:p w:rsidR="003F13AB" w:rsidRDefault="00EC6E7E">
      <w:pPr>
        <w:pStyle w:val="2"/>
      </w:pPr>
      <w:bookmarkStart w:id="109" w:name="_Toc166857573"/>
      <w:bookmarkStart w:id="110" w:name="_Toc187914414"/>
      <w:r>
        <w:rPr>
          <w:rFonts w:hint="eastAsia"/>
        </w:rPr>
        <w:lastRenderedPageBreak/>
        <w:t>3.4 危险、有害</w:t>
      </w:r>
      <w:bookmarkEnd w:id="102"/>
      <w:bookmarkEnd w:id="103"/>
      <w:bookmarkEnd w:id="104"/>
      <w:r>
        <w:rPr>
          <w:rFonts w:hint="eastAsia"/>
        </w:rPr>
        <w:t>物质辨识</w:t>
      </w:r>
      <w:bookmarkEnd w:id="109"/>
      <w:bookmarkEnd w:id="110"/>
    </w:p>
    <w:p w:rsidR="003F13AB" w:rsidRDefault="00EC6E7E">
      <w:pPr>
        <w:pStyle w:val="3"/>
      </w:pPr>
      <w:bookmarkStart w:id="111" w:name="_Toc109812324"/>
      <w:bookmarkStart w:id="112" w:name="_Toc93301155"/>
      <w:bookmarkStart w:id="113" w:name="_Toc93301223"/>
      <w:bookmarkStart w:id="114" w:name="_Toc503269867"/>
      <w:bookmarkStart w:id="115" w:name="_Toc93301265"/>
      <w:bookmarkStart w:id="116" w:name="_Toc93300970"/>
      <w:bookmarkStart w:id="117" w:name="_Toc355972232"/>
      <w:bookmarkStart w:id="118" w:name="_Toc187914415"/>
      <w:r>
        <w:rPr>
          <w:rFonts w:hint="eastAsia"/>
        </w:rPr>
        <w:t>3.4.1 危险化学品辨识</w:t>
      </w:r>
      <w:bookmarkEnd w:id="111"/>
      <w:bookmarkEnd w:id="112"/>
      <w:bookmarkEnd w:id="113"/>
      <w:bookmarkEnd w:id="114"/>
      <w:bookmarkEnd w:id="115"/>
      <w:bookmarkEnd w:id="116"/>
      <w:bookmarkEnd w:id="117"/>
      <w:bookmarkEnd w:id="118"/>
    </w:p>
    <w:p w:rsidR="003F13AB" w:rsidRDefault="00EC6E7E">
      <w:pPr>
        <w:ind w:firstLine="560"/>
        <w:rPr>
          <w:color w:val="auto"/>
        </w:rPr>
      </w:pPr>
      <w:r>
        <w:rPr>
          <w:rFonts w:hint="eastAsia"/>
          <w:color w:val="auto"/>
        </w:rPr>
        <w:t>本项目原辅材料主要是尿素、氯化铵、硫酸铵、磷酸</w:t>
      </w:r>
      <w:proofErr w:type="gramStart"/>
      <w:r>
        <w:rPr>
          <w:rFonts w:hint="eastAsia"/>
          <w:color w:val="auto"/>
        </w:rPr>
        <w:t>一</w:t>
      </w:r>
      <w:proofErr w:type="gramEnd"/>
      <w:r>
        <w:rPr>
          <w:rFonts w:hint="eastAsia"/>
          <w:color w:val="auto"/>
        </w:rPr>
        <w:t>铵、钙镁磷肥、普钙、氯化钾、硫酸钾、填充料（粘土、白土、滑石粉）、缓释控剂（沸石、膨润土）等。</w:t>
      </w:r>
    </w:p>
    <w:p w:rsidR="003F13AB" w:rsidRDefault="00EC6E7E">
      <w:pPr>
        <w:ind w:firstLine="560"/>
        <w:rPr>
          <w:color w:val="auto"/>
        </w:rPr>
      </w:pPr>
      <w:r>
        <w:rPr>
          <w:rFonts w:hint="eastAsia"/>
          <w:color w:val="auto"/>
        </w:rPr>
        <w:t>蒸汽锅炉使用的燃料天然气属易燃气体，主要成分为甲烷；柴油发电机燃料为柴油，柴油属易燃液体。</w:t>
      </w:r>
    </w:p>
    <w:p w:rsidR="003F13AB" w:rsidRDefault="00EC6E7E">
      <w:pPr>
        <w:ind w:firstLine="560"/>
        <w:rPr>
          <w:color w:val="auto"/>
        </w:rPr>
      </w:pPr>
      <w:r>
        <w:rPr>
          <w:rFonts w:hint="eastAsia"/>
          <w:color w:val="auto"/>
        </w:rPr>
        <w:t>依据《危险化学品目录》（</w:t>
      </w:r>
      <w:r>
        <w:rPr>
          <w:rFonts w:hint="eastAsia"/>
          <w:color w:val="auto"/>
        </w:rPr>
        <w:t>2022</w:t>
      </w:r>
      <w:r>
        <w:rPr>
          <w:rFonts w:hint="eastAsia"/>
          <w:color w:val="auto"/>
        </w:rPr>
        <w:t>年调整版）有关内容，农家乐公司生产过程中涉及的主要危险化学品的有：</w:t>
      </w:r>
      <w:r>
        <w:rPr>
          <w:rFonts w:hint="eastAsia"/>
          <w:bCs/>
          <w:snapToGrid w:val="0"/>
          <w:color w:val="auto"/>
          <w:kern w:val="0"/>
        </w:rPr>
        <w:t>天然气、柴油</w:t>
      </w:r>
      <w:r>
        <w:rPr>
          <w:rFonts w:hint="eastAsia"/>
          <w:color w:val="auto"/>
        </w:rPr>
        <w:t>。</w:t>
      </w:r>
    </w:p>
    <w:p w:rsidR="003F13AB" w:rsidRDefault="00EC6E7E">
      <w:pPr>
        <w:pStyle w:val="3"/>
      </w:pPr>
      <w:bookmarkStart w:id="119" w:name="_Toc187914416"/>
      <w:r>
        <w:rPr>
          <w:rFonts w:hint="eastAsia"/>
        </w:rPr>
        <w:t>3.4.2 主要危险、有害物质危险性分析</w:t>
      </w:r>
      <w:bookmarkEnd w:id="119"/>
    </w:p>
    <w:p w:rsidR="003F13AB" w:rsidRDefault="00EC6E7E">
      <w:pPr>
        <w:ind w:firstLine="560"/>
        <w:rPr>
          <w:rFonts w:ascii="宋体" w:hAnsi="宋体"/>
          <w:color w:val="auto"/>
        </w:rPr>
      </w:pPr>
      <w:r>
        <w:rPr>
          <w:rFonts w:ascii="宋体" w:hAnsi="宋体"/>
          <w:color w:val="auto"/>
        </w:rPr>
        <w:t>根据《危险化学品分类信息表》，涉及的危险化学品危险性类别分类信息如表3</w:t>
      </w:r>
      <w:r>
        <w:rPr>
          <w:rFonts w:ascii="宋体" w:hAnsi="宋体" w:hint="eastAsia"/>
          <w:color w:val="auto"/>
        </w:rPr>
        <w:t>.4</w:t>
      </w:r>
      <w:r>
        <w:rPr>
          <w:rFonts w:ascii="宋体" w:hAnsi="宋体"/>
          <w:color w:val="auto"/>
        </w:rPr>
        <w:t>-1所示</w:t>
      </w:r>
      <w:r>
        <w:rPr>
          <w:rFonts w:ascii="宋体" w:hAnsi="宋体" w:hint="eastAsia"/>
          <w:color w:val="auto"/>
        </w:rPr>
        <w:t>，</w:t>
      </w:r>
      <w:r>
        <w:rPr>
          <w:rFonts w:ascii="宋体" w:hAnsi="宋体"/>
          <w:color w:val="auto"/>
        </w:rPr>
        <w:t>涉及的危险化学品理化特性表见附件附表</w:t>
      </w:r>
      <w:r>
        <w:rPr>
          <w:rFonts w:ascii="宋体" w:hAnsi="宋体" w:hint="eastAsia"/>
          <w:color w:val="auto"/>
        </w:rPr>
        <w:t>2.1-1</w:t>
      </w:r>
      <w:r>
        <w:rPr>
          <w:rFonts w:ascii="宋体" w:hAnsi="宋体"/>
          <w:color w:val="auto"/>
        </w:rPr>
        <w:t>。</w:t>
      </w:r>
    </w:p>
    <w:p w:rsidR="003F13AB" w:rsidRDefault="00EC6E7E">
      <w:pPr>
        <w:pStyle w:val="Style2"/>
        <w:topLinePunct/>
        <w:ind w:firstLineChars="0" w:firstLine="0"/>
        <w:jc w:val="center"/>
        <w:rPr>
          <w:rFonts w:ascii="宋体" w:hAnsi="宋体"/>
          <w:color w:val="auto"/>
          <w:szCs w:val="28"/>
        </w:rPr>
      </w:pPr>
      <w:r>
        <w:rPr>
          <w:rFonts w:ascii="宋体" w:hAnsi="宋体" w:hint="eastAsia"/>
          <w:color w:val="auto"/>
          <w:szCs w:val="28"/>
        </w:rPr>
        <w:t>表3.4-1  涉及的危险化学品的</w:t>
      </w:r>
      <w:r>
        <w:rPr>
          <w:rFonts w:ascii="宋体" w:hAnsi="宋体"/>
          <w:color w:val="auto"/>
          <w:szCs w:val="28"/>
        </w:rPr>
        <w:t>危险性类别分类信息</w:t>
      </w:r>
      <w:r>
        <w:rPr>
          <w:rFonts w:ascii="宋体" w:hAnsi="宋体" w:hint="eastAsia"/>
          <w:color w:val="auto"/>
          <w:szCs w:val="28"/>
        </w:rPr>
        <w:t>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633"/>
        <w:gridCol w:w="1475"/>
        <w:gridCol w:w="1128"/>
      </w:tblGrid>
      <w:tr w:rsidR="003F13AB">
        <w:trPr>
          <w:trHeight w:val="340"/>
          <w:jc w:val="center"/>
        </w:trPr>
        <w:tc>
          <w:tcPr>
            <w:tcW w:w="2836" w:type="dxa"/>
            <w:vAlign w:val="center"/>
          </w:tcPr>
          <w:p w:rsidR="003F13AB" w:rsidRDefault="00EC6E7E">
            <w:pPr>
              <w:widowControl/>
              <w:tabs>
                <w:tab w:val="left" w:pos="1195"/>
                <w:tab w:val="right" w:leader="dot" w:pos="9174"/>
              </w:tabs>
              <w:adjustRightInd/>
              <w:snapToGrid/>
              <w:spacing w:line="240" w:lineRule="auto"/>
              <w:ind w:firstLineChars="0" w:firstLine="0"/>
              <w:jc w:val="center"/>
              <w:textAlignment w:val="baseline"/>
              <w:rPr>
                <w:rFonts w:ascii="宋体" w:hAnsi="宋体"/>
                <w:b/>
                <w:color w:val="auto"/>
                <w:kern w:val="0"/>
                <w:sz w:val="21"/>
                <w:szCs w:val="21"/>
                <w:lang w:val="zh-CN"/>
              </w:rPr>
            </w:pPr>
            <w:r>
              <w:rPr>
                <w:rFonts w:ascii="宋体" w:hAnsi="宋体"/>
                <w:b/>
                <w:color w:val="auto"/>
                <w:kern w:val="0"/>
                <w:sz w:val="21"/>
                <w:szCs w:val="21"/>
                <w:lang w:val="zh-CN"/>
              </w:rPr>
              <w:t>危险化学品名称</w:t>
            </w:r>
          </w:p>
        </w:tc>
        <w:tc>
          <w:tcPr>
            <w:tcW w:w="3633" w:type="dxa"/>
            <w:vAlign w:val="center"/>
          </w:tcPr>
          <w:p w:rsidR="003F13AB" w:rsidRDefault="00EC6E7E">
            <w:pPr>
              <w:widowControl/>
              <w:tabs>
                <w:tab w:val="left" w:pos="1195"/>
                <w:tab w:val="right" w:leader="dot" w:pos="9174"/>
              </w:tabs>
              <w:adjustRightInd/>
              <w:snapToGrid/>
              <w:spacing w:line="240" w:lineRule="auto"/>
              <w:ind w:firstLineChars="0" w:firstLine="0"/>
              <w:jc w:val="center"/>
              <w:textAlignment w:val="baseline"/>
              <w:rPr>
                <w:rFonts w:ascii="宋体" w:hAnsi="宋体"/>
                <w:b/>
                <w:color w:val="auto"/>
                <w:kern w:val="0"/>
                <w:sz w:val="21"/>
                <w:szCs w:val="21"/>
                <w:lang w:val="zh-CN"/>
              </w:rPr>
            </w:pPr>
            <w:r>
              <w:rPr>
                <w:rFonts w:ascii="宋体" w:hAnsi="宋体"/>
                <w:b/>
                <w:color w:val="auto"/>
                <w:kern w:val="0"/>
                <w:sz w:val="21"/>
                <w:szCs w:val="21"/>
                <w:lang w:val="zh-CN"/>
              </w:rPr>
              <w:t>危险性类别</w:t>
            </w:r>
          </w:p>
        </w:tc>
        <w:tc>
          <w:tcPr>
            <w:tcW w:w="1475" w:type="dxa"/>
            <w:vAlign w:val="center"/>
          </w:tcPr>
          <w:p w:rsidR="003F13AB" w:rsidRDefault="00EC6E7E">
            <w:pPr>
              <w:widowControl/>
              <w:tabs>
                <w:tab w:val="left" w:pos="1195"/>
                <w:tab w:val="right" w:leader="dot" w:pos="9174"/>
              </w:tabs>
              <w:adjustRightInd/>
              <w:snapToGrid/>
              <w:spacing w:line="240" w:lineRule="auto"/>
              <w:ind w:firstLineChars="0" w:firstLine="0"/>
              <w:jc w:val="center"/>
              <w:textAlignment w:val="baseline"/>
              <w:rPr>
                <w:rFonts w:ascii="宋体" w:hAnsi="宋体"/>
                <w:b/>
                <w:color w:val="auto"/>
                <w:kern w:val="0"/>
                <w:sz w:val="21"/>
                <w:szCs w:val="21"/>
                <w:lang w:val="zh-CN"/>
              </w:rPr>
            </w:pPr>
            <w:r>
              <w:rPr>
                <w:rFonts w:ascii="宋体" w:hAnsi="宋体"/>
                <w:b/>
                <w:color w:val="auto"/>
                <w:kern w:val="0"/>
                <w:sz w:val="21"/>
                <w:szCs w:val="21"/>
                <w:lang w:val="zh-CN"/>
              </w:rPr>
              <w:t>CAS</w:t>
            </w:r>
          </w:p>
        </w:tc>
        <w:tc>
          <w:tcPr>
            <w:tcW w:w="1128" w:type="dxa"/>
            <w:vAlign w:val="center"/>
          </w:tcPr>
          <w:p w:rsidR="003F13AB" w:rsidRDefault="00EC6E7E">
            <w:pPr>
              <w:widowControl/>
              <w:tabs>
                <w:tab w:val="left" w:pos="1195"/>
                <w:tab w:val="right" w:leader="dot" w:pos="9174"/>
              </w:tabs>
              <w:adjustRightInd/>
              <w:snapToGrid/>
              <w:spacing w:line="240" w:lineRule="auto"/>
              <w:ind w:firstLineChars="0" w:firstLine="0"/>
              <w:jc w:val="center"/>
              <w:textAlignment w:val="baseline"/>
              <w:rPr>
                <w:rFonts w:ascii="宋体" w:hAnsi="宋体"/>
                <w:b/>
                <w:color w:val="auto"/>
                <w:kern w:val="0"/>
                <w:sz w:val="21"/>
                <w:szCs w:val="21"/>
                <w:lang w:val="zh-CN"/>
              </w:rPr>
            </w:pPr>
            <w:r>
              <w:rPr>
                <w:rFonts w:ascii="宋体" w:hAnsi="宋体"/>
                <w:b/>
                <w:color w:val="auto"/>
                <w:kern w:val="0"/>
                <w:sz w:val="21"/>
                <w:szCs w:val="21"/>
                <w:lang w:val="zh-CN"/>
              </w:rPr>
              <w:t>备注</w:t>
            </w:r>
          </w:p>
        </w:tc>
      </w:tr>
      <w:tr w:rsidR="003F13AB">
        <w:trPr>
          <w:trHeight w:val="340"/>
          <w:jc w:val="center"/>
        </w:trPr>
        <w:tc>
          <w:tcPr>
            <w:tcW w:w="2836" w:type="dxa"/>
            <w:vAlign w:val="center"/>
          </w:tcPr>
          <w:p w:rsidR="003F13AB" w:rsidRDefault="00EC6E7E">
            <w:pPr>
              <w:widowControl/>
              <w:tabs>
                <w:tab w:val="left" w:pos="1195"/>
                <w:tab w:val="right" w:leader="dot" w:pos="9174"/>
              </w:tabs>
              <w:adjustRightInd/>
              <w:snapToGrid/>
              <w:spacing w:line="240" w:lineRule="auto"/>
              <w:ind w:firstLineChars="0" w:firstLine="0"/>
              <w:jc w:val="center"/>
              <w:textAlignment w:val="baseline"/>
              <w:rPr>
                <w:rFonts w:ascii="宋体" w:hAnsi="宋体"/>
                <w:color w:val="auto"/>
                <w:kern w:val="0"/>
                <w:sz w:val="21"/>
                <w:szCs w:val="21"/>
              </w:rPr>
            </w:pPr>
            <w:r>
              <w:rPr>
                <w:rFonts w:ascii="宋体" w:hAnsi="宋体" w:hint="eastAsia"/>
                <w:color w:val="auto"/>
                <w:kern w:val="0"/>
                <w:sz w:val="21"/>
                <w:szCs w:val="21"/>
                <w:lang w:val="zh-CN"/>
              </w:rPr>
              <w:t>天然气</w:t>
            </w:r>
          </w:p>
        </w:tc>
        <w:tc>
          <w:tcPr>
            <w:tcW w:w="3633" w:type="dxa"/>
            <w:vAlign w:val="center"/>
          </w:tcPr>
          <w:p w:rsidR="003F13AB" w:rsidRDefault="00EC6E7E">
            <w:pPr>
              <w:widowControl/>
              <w:tabs>
                <w:tab w:val="left" w:pos="1195"/>
                <w:tab w:val="right" w:leader="dot" w:pos="9174"/>
              </w:tabs>
              <w:adjustRightInd/>
              <w:snapToGrid/>
              <w:spacing w:line="240" w:lineRule="auto"/>
              <w:ind w:firstLineChars="0" w:firstLine="0"/>
              <w:jc w:val="center"/>
              <w:textAlignment w:val="baseline"/>
              <w:rPr>
                <w:rFonts w:ascii="宋体" w:hAnsi="宋体"/>
                <w:color w:val="auto"/>
                <w:kern w:val="0"/>
                <w:sz w:val="21"/>
                <w:szCs w:val="21"/>
                <w:lang w:val="zh-CN"/>
              </w:rPr>
            </w:pPr>
            <w:r>
              <w:rPr>
                <w:rFonts w:ascii="宋体" w:hAnsi="宋体" w:cs="宋体" w:hint="eastAsia"/>
                <w:color w:val="auto"/>
                <w:kern w:val="0"/>
                <w:sz w:val="21"/>
                <w:szCs w:val="21"/>
              </w:rPr>
              <w:t>易燃气体，类别1</w:t>
            </w:r>
          </w:p>
        </w:tc>
        <w:tc>
          <w:tcPr>
            <w:tcW w:w="1475" w:type="dxa"/>
            <w:vAlign w:val="center"/>
          </w:tcPr>
          <w:p w:rsidR="003F13AB" w:rsidRDefault="00EC6E7E">
            <w:pPr>
              <w:widowControl/>
              <w:tabs>
                <w:tab w:val="left" w:pos="1195"/>
                <w:tab w:val="right" w:leader="dot" w:pos="9174"/>
              </w:tabs>
              <w:adjustRightInd/>
              <w:snapToGrid/>
              <w:spacing w:line="240" w:lineRule="auto"/>
              <w:ind w:firstLineChars="0" w:firstLine="0"/>
              <w:jc w:val="center"/>
              <w:textAlignment w:val="baseline"/>
              <w:rPr>
                <w:rFonts w:ascii="宋体" w:hAnsi="宋体"/>
                <w:color w:val="auto"/>
                <w:kern w:val="0"/>
                <w:sz w:val="21"/>
                <w:szCs w:val="21"/>
                <w:lang w:val="zh-CN"/>
              </w:rPr>
            </w:pPr>
            <w:r>
              <w:rPr>
                <w:rFonts w:ascii="宋体" w:hAnsi="宋体" w:cs="宋体"/>
                <w:color w:val="auto"/>
                <w:kern w:val="0"/>
                <w:sz w:val="20"/>
                <w:szCs w:val="20"/>
              </w:rPr>
              <w:t>74-82-8</w:t>
            </w:r>
          </w:p>
        </w:tc>
        <w:tc>
          <w:tcPr>
            <w:tcW w:w="1128" w:type="dxa"/>
            <w:vAlign w:val="center"/>
          </w:tcPr>
          <w:p w:rsidR="003F13AB" w:rsidRDefault="003F13AB">
            <w:pPr>
              <w:widowControl/>
              <w:tabs>
                <w:tab w:val="left" w:pos="1195"/>
                <w:tab w:val="right" w:leader="dot" w:pos="9174"/>
              </w:tabs>
              <w:adjustRightInd/>
              <w:snapToGrid/>
              <w:spacing w:line="240" w:lineRule="auto"/>
              <w:ind w:firstLineChars="0" w:firstLine="0"/>
              <w:jc w:val="center"/>
              <w:textAlignment w:val="baseline"/>
              <w:rPr>
                <w:rFonts w:ascii="宋体" w:hAnsi="宋体"/>
                <w:color w:val="auto"/>
                <w:kern w:val="0"/>
                <w:sz w:val="21"/>
                <w:szCs w:val="21"/>
                <w:lang w:val="zh-CN"/>
              </w:rPr>
            </w:pPr>
          </w:p>
        </w:tc>
      </w:tr>
      <w:tr w:rsidR="003F13AB">
        <w:trPr>
          <w:trHeight w:val="340"/>
          <w:jc w:val="center"/>
        </w:trPr>
        <w:tc>
          <w:tcPr>
            <w:tcW w:w="2836" w:type="dxa"/>
            <w:vAlign w:val="center"/>
          </w:tcPr>
          <w:p w:rsidR="003F13AB" w:rsidRDefault="00EC6E7E">
            <w:pPr>
              <w:widowControl/>
              <w:tabs>
                <w:tab w:val="left" w:pos="1195"/>
                <w:tab w:val="right" w:leader="dot" w:pos="9174"/>
              </w:tabs>
              <w:adjustRightInd/>
              <w:snapToGrid/>
              <w:spacing w:line="240" w:lineRule="auto"/>
              <w:ind w:firstLineChars="0" w:firstLine="0"/>
              <w:jc w:val="center"/>
              <w:textAlignment w:val="baseline"/>
              <w:rPr>
                <w:rFonts w:ascii="宋体" w:hAnsi="宋体"/>
                <w:color w:val="auto"/>
                <w:kern w:val="0"/>
                <w:sz w:val="21"/>
                <w:szCs w:val="21"/>
                <w:lang w:val="zh-CN"/>
              </w:rPr>
            </w:pPr>
            <w:r>
              <w:rPr>
                <w:rFonts w:ascii="宋体" w:hAnsi="宋体" w:hint="eastAsia"/>
                <w:color w:val="auto"/>
                <w:kern w:val="0"/>
                <w:sz w:val="21"/>
                <w:szCs w:val="21"/>
                <w:lang w:val="zh-CN"/>
              </w:rPr>
              <w:t>柴油</w:t>
            </w:r>
          </w:p>
        </w:tc>
        <w:tc>
          <w:tcPr>
            <w:tcW w:w="3633" w:type="dxa"/>
            <w:vAlign w:val="center"/>
          </w:tcPr>
          <w:p w:rsidR="003F13AB" w:rsidRDefault="00EC6E7E">
            <w:pPr>
              <w:widowControl/>
              <w:tabs>
                <w:tab w:val="left" w:pos="1195"/>
                <w:tab w:val="right" w:leader="dot" w:pos="9174"/>
              </w:tabs>
              <w:adjustRightInd/>
              <w:snapToGrid/>
              <w:spacing w:line="240" w:lineRule="auto"/>
              <w:ind w:firstLineChars="0" w:firstLine="0"/>
              <w:jc w:val="center"/>
              <w:textAlignment w:val="baseline"/>
              <w:rPr>
                <w:rFonts w:ascii="宋体" w:hAnsi="宋体" w:cs="宋体"/>
                <w:color w:val="auto"/>
                <w:kern w:val="0"/>
                <w:sz w:val="21"/>
                <w:szCs w:val="21"/>
              </w:rPr>
            </w:pPr>
            <w:r>
              <w:rPr>
                <w:rFonts w:ascii="宋体" w:hAnsi="宋体" w:cs="宋体" w:hint="eastAsia"/>
                <w:color w:val="auto"/>
                <w:kern w:val="0"/>
                <w:sz w:val="21"/>
                <w:szCs w:val="21"/>
              </w:rPr>
              <w:t>易燃液体，类别3</w:t>
            </w:r>
          </w:p>
        </w:tc>
        <w:tc>
          <w:tcPr>
            <w:tcW w:w="1475" w:type="dxa"/>
            <w:vAlign w:val="center"/>
          </w:tcPr>
          <w:p w:rsidR="003F13AB" w:rsidRDefault="00EC6E7E">
            <w:pPr>
              <w:widowControl/>
              <w:tabs>
                <w:tab w:val="left" w:pos="1195"/>
                <w:tab w:val="right" w:leader="dot" w:pos="9174"/>
              </w:tabs>
              <w:adjustRightInd/>
              <w:snapToGrid/>
              <w:spacing w:line="240" w:lineRule="auto"/>
              <w:ind w:firstLineChars="0" w:firstLine="0"/>
              <w:jc w:val="center"/>
              <w:textAlignment w:val="baseline"/>
              <w:rPr>
                <w:rFonts w:ascii="宋体" w:hAnsi="宋体" w:cs="宋体"/>
                <w:color w:val="auto"/>
                <w:kern w:val="0"/>
                <w:sz w:val="20"/>
                <w:szCs w:val="20"/>
              </w:rPr>
            </w:pPr>
            <w:r>
              <w:rPr>
                <w:rFonts w:ascii="宋体" w:hAnsi="宋体" w:cs="宋体"/>
                <w:color w:val="auto"/>
                <w:kern w:val="0"/>
                <w:sz w:val="20"/>
                <w:szCs w:val="20"/>
              </w:rPr>
              <w:t>68334-30-5</w:t>
            </w:r>
          </w:p>
        </w:tc>
        <w:tc>
          <w:tcPr>
            <w:tcW w:w="1128" w:type="dxa"/>
            <w:vAlign w:val="center"/>
          </w:tcPr>
          <w:p w:rsidR="003F13AB" w:rsidRDefault="003F13AB">
            <w:pPr>
              <w:widowControl/>
              <w:tabs>
                <w:tab w:val="left" w:pos="1195"/>
                <w:tab w:val="right" w:leader="dot" w:pos="9174"/>
              </w:tabs>
              <w:adjustRightInd/>
              <w:snapToGrid/>
              <w:spacing w:line="240" w:lineRule="auto"/>
              <w:ind w:firstLineChars="0" w:firstLine="0"/>
              <w:jc w:val="center"/>
              <w:textAlignment w:val="baseline"/>
              <w:rPr>
                <w:rFonts w:ascii="宋体" w:hAnsi="宋体"/>
                <w:color w:val="auto"/>
                <w:kern w:val="0"/>
                <w:sz w:val="21"/>
                <w:szCs w:val="21"/>
                <w:lang w:val="zh-CN"/>
              </w:rPr>
            </w:pPr>
          </w:p>
        </w:tc>
      </w:tr>
    </w:tbl>
    <w:p w:rsidR="003F13AB" w:rsidRDefault="003F13AB">
      <w:pPr>
        <w:ind w:firstLine="560"/>
        <w:rPr>
          <w:color w:val="auto"/>
        </w:rPr>
      </w:pPr>
    </w:p>
    <w:p w:rsidR="003F13AB" w:rsidRDefault="00EC6E7E">
      <w:pPr>
        <w:pStyle w:val="2"/>
      </w:pPr>
      <w:bookmarkStart w:id="120" w:name="_Toc187914417"/>
      <w:bookmarkStart w:id="121" w:name="_Toc166857574"/>
      <w:r>
        <w:rPr>
          <w:rFonts w:hint="eastAsia"/>
        </w:rPr>
        <w:t>3.5 危险、有害因素辨识</w:t>
      </w:r>
      <w:bookmarkEnd w:id="120"/>
      <w:bookmarkEnd w:id="121"/>
    </w:p>
    <w:p w:rsidR="003F13AB" w:rsidRDefault="00EC6E7E">
      <w:pPr>
        <w:pStyle w:val="3"/>
      </w:pPr>
      <w:bookmarkStart w:id="122" w:name="_Toc187914418"/>
      <w:r>
        <w:rPr>
          <w:rFonts w:hint="eastAsia"/>
        </w:rPr>
        <w:t>3.5.1 作业过程危险、有害因素分析结果</w:t>
      </w:r>
      <w:bookmarkEnd w:id="122"/>
    </w:p>
    <w:p w:rsidR="003F13AB" w:rsidRDefault="00EC6E7E">
      <w:pPr>
        <w:ind w:firstLine="560"/>
        <w:rPr>
          <w:color w:val="auto"/>
        </w:rPr>
      </w:pPr>
      <w:r>
        <w:rPr>
          <w:rFonts w:hint="eastAsia"/>
          <w:color w:val="auto"/>
        </w:rPr>
        <w:t>项目生产过程可能发生火灾、爆炸、锅炉爆炸、容器爆炸、高温灼伤和化学灼伤、中毒和窒息、起重伤害、机械伤害、触电、高处坠落、车辆伤害、物体打击、淹溺、噪声等事故。</w:t>
      </w:r>
    </w:p>
    <w:p w:rsidR="003F13AB" w:rsidRDefault="00EC6E7E">
      <w:pPr>
        <w:ind w:firstLine="560"/>
        <w:rPr>
          <w:color w:val="auto"/>
        </w:rPr>
      </w:pPr>
      <w:r>
        <w:rPr>
          <w:rFonts w:hint="eastAsia"/>
          <w:color w:val="auto"/>
        </w:rPr>
        <w:t>具体分析详见报告附件第</w:t>
      </w:r>
      <w:r>
        <w:rPr>
          <w:rFonts w:hint="eastAsia"/>
          <w:color w:val="auto"/>
        </w:rPr>
        <w:t>2</w:t>
      </w:r>
      <w:r>
        <w:rPr>
          <w:rFonts w:hint="eastAsia"/>
          <w:color w:val="auto"/>
        </w:rPr>
        <w:t>章</w:t>
      </w:r>
      <w:r>
        <w:rPr>
          <w:rFonts w:hint="eastAsia"/>
          <w:color w:val="auto"/>
        </w:rPr>
        <w:t>2.3</w:t>
      </w:r>
      <w:r>
        <w:rPr>
          <w:rFonts w:hint="eastAsia"/>
          <w:color w:val="auto"/>
        </w:rPr>
        <w:t>节。</w:t>
      </w:r>
    </w:p>
    <w:p w:rsidR="003F13AB" w:rsidRDefault="00EC6E7E">
      <w:pPr>
        <w:pStyle w:val="3"/>
      </w:pPr>
      <w:bookmarkStart w:id="123" w:name="_Toc187914419"/>
      <w:r>
        <w:rPr>
          <w:rFonts w:hint="eastAsia"/>
        </w:rPr>
        <w:t>3.5.2 危险、有害因素分布情况</w:t>
      </w:r>
      <w:bookmarkEnd w:id="123"/>
    </w:p>
    <w:p w:rsidR="003F13AB" w:rsidRDefault="00EC6E7E">
      <w:pPr>
        <w:ind w:firstLine="560"/>
        <w:rPr>
          <w:color w:val="auto"/>
        </w:rPr>
      </w:pPr>
      <w:r>
        <w:rPr>
          <w:rFonts w:hint="eastAsia"/>
          <w:color w:val="auto"/>
        </w:rPr>
        <w:t>通过以上危险、有害因素的分析，</w:t>
      </w:r>
      <w:proofErr w:type="gramStart"/>
      <w:r>
        <w:rPr>
          <w:rFonts w:hint="eastAsia"/>
          <w:color w:val="auto"/>
        </w:rPr>
        <w:t>本评价</w:t>
      </w:r>
      <w:proofErr w:type="gramEnd"/>
      <w:r>
        <w:rPr>
          <w:rFonts w:hint="eastAsia"/>
          <w:color w:val="auto"/>
        </w:rPr>
        <w:t>项目主要存在火灾、爆炸、锅炉爆炸、容器爆炸、高温灼伤和化学灼伤、中毒和窒息、起重伤害、机</w:t>
      </w:r>
      <w:r>
        <w:rPr>
          <w:rFonts w:hint="eastAsia"/>
          <w:color w:val="auto"/>
        </w:rPr>
        <w:lastRenderedPageBreak/>
        <w:t>械伤害、触电、高处坠落、车辆伤害、物体打击、噪声等危险、有害因素。</w:t>
      </w:r>
    </w:p>
    <w:p w:rsidR="003F13AB" w:rsidRDefault="00EC6E7E">
      <w:pPr>
        <w:ind w:firstLine="560"/>
        <w:rPr>
          <w:color w:val="auto"/>
        </w:rPr>
      </w:pPr>
      <w:r>
        <w:rPr>
          <w:rFonts w:hint="eastAsia"/>
          <w:color w:val="auto"/>
        </w:rPr>
        <w:t>各因素在项目工艺或设备设施中的主要</w:t>
      </w:r>
      <w:proofErr w:type="gramStart"/>
      <w:r>
        <w:rPr>
          <w:rFonts w:hint="eastAsia"/>
          <w:color w:val="auto"/>
        </w:rPr>
        <w:t>分布见</w:t>
      </w:r>
      <w:proofErr w:type="gramEnd"/>
      <w:r>
        <w:rPr>
          <w:rFonts w:hint="eastAsia"/>
          <w:color w:val="auto"/>
        </w:rPr>
        <w:t>下表。</w:t>
      </w:r>
    </w:p>
    <w:p w:rsidR="003F13AB" w:rsidRDefault="00EC6E7E">
      <w:pPr>
        <w:topLinePunct/>
        <w:ind w:firstLineChars="0" w:firstLine="0"/>
        <w:jc w:val="center"/>
        <w:rPr>
          <w:rFonts w:ascii="宋体" w:hAnsi="宋体"/>
          <w:color w:val="auto"/>
          <w:szCs w:val="21"/>
        </w:rPr>
      </w:pPr>
      <w:r>
        <w:rPr>
          <w:rFonts w:ascii="宋体" w:hAnsi="宋体" w:hint="eastAsia"/>
          <w:color w:val="auto"/>
          <w:szCs w:val="21"/>
        </w:rPr>
        <w:t>表3.5</w:t>
      </w:r>
      <w:r>
        <w:rPr>
          <w:rFonts w:ascii="宋体" w:hAnsi="宋体"/>
          <w:color w:val="auto"/>
          <w:szCs w:val="21"/>
        </w:rPr>
        <w:t>-</w:t>
      </w:r>
      <w:r>
        <w:rPr>
          <w:rFonts w:ascii="宋体" w:hAnsi="宋体" w:hint="eastAsia"/>
          <w:color w:val="auto"/>
          <w:szCs w:val="21"/>
        </w:rPr>
        <w:t>1  各危险、有害因素分布表</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118"/>
        <w:gridCol w:w="2538"/>
        <w:gridCol w:w="4725"/>
      </w:tblGrid>
      <w:tr w:rsidR="003F13AB">
        <w:tc>
          <w:tcPr>
            <w:tcW w:w="381" w:type="pct"/>
            <w:vAlign w:val="center"/>
          </w:tcPr>
          <w:p w:rsidR="003F13AB" w:rsidRDefault="00EC6E7E">
            <w:pPr>
              <w:spacing w:line="240" w:lineRule="auto"/>
              <w:ind w:firstLineChars="0" w:firstLine="0"/>
              <w:jc w:val="center"/>
              <w:rPr>
                <w:rFonts w:ascii="宋体" w:hAnsi="宋体"/>
                <w:b/>
                <w:color w:val="auto"/>
                <w:spacing w:val="20"/>
                <w:sz w:val="21"/>
                <w:szCs w:val="21"/>
              </w:rPr>
            </w:pPr>
            <w:r>
              <w:rPr>
                <w:rFonts w:ascii="宋体" w:hAnsi="宋体"/>
                <w:b/>
                <w:color w:val="auto"/>
                <w:spacing w:val="20"/>
                <w:sz w:val="21"/>
                <w:szCs w:val="21"/>
              </w:rPr>
              <w:t>序号</w:t>
            </w:r>
          </w:p>
        </w:tc>
        <w:tc>
          <w:tcPr>
            <w:tcW w:w="616" w:type="pct"/>
            <w:vAlign w:val="center"/>
          </w:tcPr>
          <w:p w:rsidR="003F13AB" w:rsidRDefault="00EC6E7E">
            <w:pPr>
              <w:spacing w:line="240" w:lineRule="auto"/>
              <w:ind w:firstLineChars="0" w:firstLine="0"/>
              <w:jc w:val="center"/>
              <w:rPr>
                <w:rFonts w:ascii="宋体" w:hAnsi="宋体"/>
                <w:b/>
                <w:color w:val="auto"/>
                <w:spacing w:val="20"/>
                <w:sz w:val="21"/>
                <w:szCs w:val="21"/>
              </w:rPr>
            </w:pPr>
            <w:r>
              <w:rPr>
                <w:rFonts w:ascii="宋体" w:hAnsi="宋体"/>
                <w:b/>
                <w:color w:val="auto"/>
                <w:spacing w:val="20"/>
                <w:sz w:val="21"/>
                <w:szCs w:val="21"/>
              </w:rPr>
              <w:t>危险有害因素</w:t>
            </w:r>
          </w:p>
        </w:tc>
        <w:tc>
          <w:tcPr>
            <w:tcW w:w="1399" w:type="pct"/>
            <w:vAlign w:val="center"/>
          </w:tcPr>
          <w:p w:rsidR="003F13AB" w:rsidRDefault="00EC6E7E">
            <w:pPr>
              <w:spacing w:line="240" w:lineRule="auto"/>
              <w:ind w:firstLineChars="0" w:firstLine="0"/>
              <w:jc w:val="center"/>
              <w:rPr>
                <w:rFonts w:ascii="宋体" w:hAnsi="宋体"/>
                <w:b/>
                <w:color w:val="auto"/>
                <w:spacing w:val="20"/>
                <w:sz w:val="21"/>
                <w:szCs w:val="21"/>
              </w:rPr>
            </w:pPr>
            <w:r>
              <w:rPr>
                <w:rFonts w:ascii="宋体" w:hAnsi="宋体"/>
                <w:b/>
                <w:color w:val="auto"/>
                <w:spacing w:val="20"/>
                <w:sz w:val="21"/>
                <w:szCs w:val="21"/>
              </w:rPr>
              <w:t>存在部位</w:t>
            </w:r>
          </w:p>
        </w:tc>
        <w:tc>
          <w:tcPr>
            <w:tcW w:w="2604" w:type="pct"/>
            <w:vAlign w:val="center"/>
          </w:tcPr>
          <w:p w:rsidR="003F13AB" w:rsidRDefault="00EC6E7E">
            <w:pPr>
              <w:spacing w:line="240" w:lineRule="auto"/>
              <w:ind w:firstLineChars="0" w:firstLine="0"/>
              <w:jc w:val="center"/>
              <w:rPr>
                <w:rFonts w:ascii="宋体" w:hAnsi="宋体"/>
                <w:b/>
                <w:color w:val="auto"/>
                <w:spacing w:val="20"/>
                <w:sz w:val="21"/>
                <w:szCs w:val="21"/>
              </w:rPr>
            </w:pPr>
            <w:r>
              <w:rPr>
                <w:rFonts w:ascii="宋体" w:hAnsi="宋体"/>
                <w:b/>
                <w:color w:val="auto"/>
                <w:spacing w:val="20"/>
                <w:sz w:val="21"/>
                <w:szCs w:val="21"/>
              </w:rPr>
              <w:t>产生原因</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1</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火灾、爆炸</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燃气锅炉、热风炉、天然气管道等部位；尿素和包装材料存放部位；柴油箱；检修时使用乙炔、氧气部位；用电设备等。</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（1）生产过程中使用的天然气属于易燃气体，柴油属于易燃液体，尿素和包装材料属于可燃物。</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（2）天然气供气系统因管道、阀门缺陷和故障、密封件失效发生泄漏时，遇明火、高热时极易发生燃烧、爆炸。</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（3）生产厂房以及仓库等建筑物内存在大量用电设备，电气系统因短路、过载、接头接触不良、散热不良等原因，会引发电气火灾。</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2</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锅炉爆炸</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两套天然气蒸汽锅炉。</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导致锅炉爆炸的原因有：</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（1）制造锅炉的原材料缺陷；</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（2）锅炉设计结构有缺陷，如：开孔、焊缝布置不合理；炉胆与炉筒接管与筒体连接结构不合理等。</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（3）焊接缺陷，特别是焊接裂缝或未焊透。</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（4）装配成型缺陷，如错边或角变形超标。</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（5）运行中超压。造成超压的原因有以下几点：①安全附件不全或失效；②出汽阀关闭或关小；③操作人员脱岗；④违章超压运行。</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（6）锅炉较长时间缺水，锅体温度过高导致机械强度急骤降低的情况下，司炉人员违反操作规程，向炉内进水，引起爆炸。</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（7）锅炉满水事故；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（8）汽水共腾事故；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（9）炉管爆破事故；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（10）水位计损坏事故；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（11）水击事故；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（12）锅炉操作工未持证上岗，违章操作；</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（13）锅炉炉膛及烟道爆炸等。</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3</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容器爆炸</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蒸汽分气缸、连续排污扩容器、定期排污扩容器以及空压机附带的空气储罐等部位。</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天然气蒸汽锅炉配备的蒸汽分气缸、连续排污扩容器、定期排污扩容器以及空压机附带的空气储罐等</w:t>
            </w:r>
            <w:proofErr w:type="gramStart"/>
            <w:r>
              <w:rPr>
                <w:rFonts w:ascii="宋体" w:hAnsi="宋体" w:hint="eastAsia"/>
                <w:color w:val="auto"/>
                <w:spacing w:val="20"/>
                <w:sz w:val="21"/>
                <w:szCs w:val="21"/>
              </w:rPr>
              <w:t>属压力</w:t>
            </w:r>
            <w:proofErr w:type="gramEnd"/>
            <w:r>
              <w:rPr>
                <w:rFonts w:ascii="宋体" w:hAnsi="宋体" w:hint="eastAsia"/>
                <w:color w:val="auto"/>
                <w:spacing w:val="20"/>
                <w:sz w:val="21"/>
                <w:szCs w:val="21"/>
              </w:rPr>
              <w:t>容器，生产过程中若发生操作失误；未按规定进行定期检验；压力表、安全阀未定期校验而失效，致压力表不能正确指示，安全阀超压不能起跳；压力超限等均可导致压力容器超压爆炸。</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4</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高温灼伤和化学灼伤</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蒸汽锅炉、蒸汽管道、热风炉、烘干筒和熔融槽等高温设备和管</w:t>
            </w:r>
            <w:r>
              <w:rPr>
                <w:rFonts w:ascii="宋体" w:hAnsi="宋体" w:hint="eastAsia"/>
                <w:color w:val="auto"/>
                <w:spacing w:val="20"/>
                <w:sz w:val="21"/>
                <w:szCs w:val="21"/>
              </w:rPr>
              <w:lastRenderedPageBreak/>
              <w:t>道部位；尿素、氯化铵、硫酸铵、</w:t>
            </w:r>
            <w:proofErr w:type="gramStart"/>
            <w:r>
              <w:rPr>
                <w:rFonts w:ascii="宋体" w:hAnsi="宋体" w:hint="eastAsia"/>
                <w:color w:val="auto"/>
                <w:spacing w:val="20"/>
                <w:sz w:val="21"/>
                <w:szCs w:val="21"/>
              </w:rPr>
              <w:t>磷酸一铵等</w:t>
            </w:r>
            <w:proofErr w:type="gramEnd"/>
            <w:r>
              <w:rPr>
                <w:rFonts w:ascii="宋体" w:hAnsi="宋体" w:hint="eastAsia"/>
                <w:color w:val="auto"/>
                <w:spacing w:val="20"/>
                <w:sz w:val="21"/>
                <w:szCs w:val="21"/>
              </w:rPr>
              <w:t>使用点。</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lastRenderedPageBreak/>
              <w:t>（1）厂内有蒸汽锅炉、热风炉、烘干筒和熔融槽，存在高温设备和高温管道，若防护设施设置不当，或未采取有效保温、隔</w:t>
            </w:r>
            <w:r>
              <w:rPr>
                <w:rFonts w:ascii="宋体" w:hAnsi="宋体" w:hint="eastAsia"/>
                <w:color w:val="auto"/>
                <w:spacing w:val="20"/>
                <w:sz w:val="21"/>
                <w:szCs w:val="21"/>
              </w:rPr>
              <w:lastRenderedPageBreak/>
              <w:t>热措施等，或管道发生破裂、爆炸或法兰、阀门等发生泄漏、操作和管理不当或人体不慎接触，均有对作业人员造成灼伤的危险。在对高温设备进行检修、清理时若没有进行充分的降温冷却、个体防护措施不当，都有可能发生高温烫伤的危险。</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（2）生产使用的固体物质尿素、氯化铵、硫酸铵、磷酸</w:t>
            </w:r>
            <w:proofErr w:type="gramStart"/>
            <w:r>
              <w:rPr>
                <w:rFonts w:ascii="宋体" w:hAnsi="宋体" w:hint="eastAsia"/>
                <w:color w:val="auto"/>
                <w:spacing w:val="20"/>
                <w:sz w:val="21"/>
                <w:szCs w:val="21"/>
              </w:rPr>
              <w:t>一</w:t>
            </w:r>
            <w:proofErr w:type="gramEnd"/>
            <w:r>
              <w:rPr>
                <w:rFonts w:ascii="宋体" w:hAnsi="宋体" w:hint="eastAsia"/>
                <w:color w:val="auto"/>
                <w:spacing w:val="20"/>
                <w:sz w:val="21"/>
                <w:szCs w:val="21"/>
              </w:rPr>
              <w:t>铵对眼</w:t>
            </w:r>
            <w:proofErr w:type="gramStart"/>
            <w:r>
              <w:rPr>
                <w:rFonts w:ascii="宋体" w:hAnsi="宋体" w:hint="eastAsia"/>
                <w:color w:val="auto"/>
                <w:spacing w:val="20"/>
                <w:sz w:val="21"/>
                <w:szCs w:val="21"/>
              </w:rPr>
              <w:t>睛和</w:t>
            </w:r>
            <w:proofErr w:type="gramEnd"/>
            <w:r>
              <w:rPr>
                <w:rFonts w:ascii="宋体" w:hAnsi="宋体" w:hint="eastAsia"/>
                <w:color w:val="auto"/>
                <w:spacing w:val="20"/>
                <w:sz w:val="21"/>
                <w:szCs w:val="21"/>
              </w:rPr>
              <w:t>皮肤有腐蚀刺激性，若这些物质粉尘不慎接触现场巡检和维护人员的眼睛和皮肤，可能导致化学灼伤事故。</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lastRenderedPageBreak/>
              <w:t>5</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中毒和窒息</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柴油、锅炉的燃气和烟气、天然气存在部位；地下水池等有限空间。</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（1）柴油具有刺激性毒性。吸入可引起吸入性肺炎，皮肤接触可引起接触性皮炎、油性痤疮。柴油废气可引起眼鼻刺激症状、头痛及头晕。</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（2）锅炉的燃气和烟气成分十分复杂，含有甲烷、一氧化碳、硫化氢气体、二氧化碳、烃类、氮氧化物等有害气体，均可能造成人员中毒和窒息伤害事故。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（3）天然气供气系统发生泄漏时，在泄漏点附近可能造成人员中毒和窒息伤害事故。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（4）在进入烟道、设备、高塔、水池等有限空间作业时，若未进行气体置换和气体分析；与作业区域连接的设备、管道等未采取有效的隔断措施；个人防护措施不到位等；泄漏等常会引发中毒和窒息事故。</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6</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起重伤害</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提升机设备周围。</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生产过程中存在提升机等设备，存在发生起重伤害的可能。</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7</w:t>
            </w:r>
          </w:p>
        </w:tc>
        <w:tc>
          <w:tcPr>
            <w:tcW w:w="616" w:type="pct"/>
            <w:vAlign w:val="center"/>
          </w:tcPr>
          <w:p w:rsidR="003F13AB" w:rsidRDefault="00EC6E7E">
            <w:pPr>
              <w:spacing w:line="240" w:lineRule="auto"/>
              <w:ind w:firstLineChars="0" w:firstLine="0"/>
              <w:jc w:val="center"/>
              <w:rPr>
                <w:rFonts w:ascii="宋体" w:hAnsi="宋体"/>
                <w:color w:val="auto"/>
                <w:sz w:val="21"/>
                <w:szCs w:val="21"/>
                <w:lang w:eastAsia="zh-Hans"/>
              </w:rPr>
            </w:pPr>
            <w:r>
              <w:rPr>
                <w:rFonts w:ascii="宋体" w:hAnsi="宋体" w:hint="eastAsia"/>
                <w:color w:val="auto"/>
                <w:sz w:val="21"/>
                <w:szCs w:val="21"/>
              </w:rPr>
              <w:t>机械伤害</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z w:val="21"/>
                <w:szCs w:val="21"/>
                <w:lang w:eastAsia="zh-Hans"/>
              </w:rPr>
              <w:t>破碎机、造粒机、搅拌机等设备转（传）动处。</w:t>
            </w:r>
          </w:p>
        </w:tc>
        <w:tc>
          <w:tcPr>
            <w:tcW w:w="2604" w:type="pct"/>
            <w:vAlign w:val="center"/>
          </w:tcPr>
          <w:p w:rsidR="003F13AB" w:rsidRDefault="00EC6E7E">
            <w:pPr>
              <w:pStyle w:val="Default1"/>
              <w:rPr>
                <w:rFonts w:ascii="宋体" w:hAnsi="宋体" w:hint="default"/>
                <w:sz w:val="21"/>
                <w:szCs w:val="21"/>
              </w:rPr>
            </w:pPr>
            <w:r>
              <w:rPr>
                <w:rFonts w:ascii="宋体" w:hAnsi="宋体"/>
                <w:color w:val="auto"/>
                <w:spacing w:val="20"/>
                <w:kern w:val="2"/>
                <w:sz w:val="21"/>
                <w:szCs w:val="21"/>
              </w:rPr>
              <w:t>生产系统中存在较多的机械设备，如破碎机、造粒机、搅拌机等，机械设备的传动轴、皮带轮及其它传动部件均可能对操作人员造成意外伤害。</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8</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触电</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sz w:val="21"/>
                <w:szCs w:val="21"/>
              </w:rPr>
              <w:t>控制间和变、配电间，电气设备、移动电气设备、照明线路及照明器具等周围。</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（1）由于违章作业或线路老化；</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（2）用电设备绝缘失效；</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（3）电气线路、设备超负荷使用；</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（4）未装设漏电保护装置或漏电保护装置失效；</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（5）电气设备保护接地不良等，电气设备漏电造成人体与带电体直接接触或人体接近高压带电体，使人体流过超过承受阈值的电流而造成的伤害。</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9</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高处坠落</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sz w:val="21"/>
                <w:szCs w:val="21"/>
              </w:rPr>
              <w:t>所有2m以上建</w:t>
            </w:r>
            <w:r>
              <w:rPr>
                <w:rFonts w:ascii="宋体" w:hAnsi="宋体"/>
                <w:sz w:val="21"/>
                <w:szCs w:val="21"/>
              </w:rPr>
              <w:t>（构</w:t>
            </w:r>
            <w:r>
              <w:rPr>
                <w:rFonts w:ascii="宋体" w:hAnsi="宋体" w:hint="eastAsia"/>
                <w:sz w:val="21"/>
                <w:szCs w:val="21"/>
              </w:rPr>
              <w:t>）</w:t>
            </w:r>
            <w:r>
              <w:rPr>
                <w:rFonts w:ascii="宋体" w:hAnsi="宋体"/>
                <w:sz w:val="21"/>
                <w:szCs w:val="21"/>
              </w:rPr>
              <w:t>筑物</w:t>
            </w:r>
            <w:r>
              <w:rPr>
                <w:rFonts w:ascii="宋体" w:hAnsi="宋体" w:hint="eastAsia"/>
                <w:sz w:val="21"/>
                <w:szCs w:val="21"/>
              </w:rPr>
              <w:t>；锅炉房、设备、</w:t>
            </w:r>
            <w:proofErr w:type="gramStart"/>
            <w:r>
              <w:rPr>
                <w:rFonts w:ascii="宋体" w:hAnsi="宋体" w:hint="eastAsia"/>
                <w:sz w:val="21"/>
                <w:szCs w:val="21"/>
              </w:rPr>
              <w:t>平台等临空</w:t>
            </w:r>
            <w:proofErr w:type="gramEnd"/>
            <w:r>
              <w:rPr>
                <w:rFonts w:ascii="宋体" w:hAnsi="宋体"/>
                <w:sz w:val="21"/>
                <w:szCs w:val="21"/>
              </w:rPr>
              <w:t>区域。</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生产厂房的设备为多层布置，操作、巡检或维修的人员在高度2m以上空间作业时，未设置安全护栏、操作平台、走梯等，或者这些设施存在缺陷，再加上高处作业时未采取有效的安全防护措施或个人无防范意识，在锅炉房、设备、</w:t>
            </w:r>
            <w:proofErr w:type="gramStart"/>
            <w:r>
              <w:rPr>
                <w:rFonts w:ascii="宋体" w:hAnsi="宋体"/>
                <w:color w:val="auto"/>
                <w:spacing w:val="20"/>
                <w:kern w:val="2"/>
                <w:sz w:val="21"/>
                <w:szCs w:val="21"/>
              </w:rPr>
              <w:t>平台等临空</w:t>
            </w:r>
            <w:proofErr w:type="gramEnd"/>
            <w:r>
              <w:rPr>
                <w:rFonts w:ascii="宋体" w:hAnsi="宋体"/>
                <w:color w:val="auto"/>
                <w:spacing w:val="20"/>
                <w:kern w:val="2"/>
                <w:sz w:val="21"/>
                <w:szCs w:val="21"/>
              </w:rPr>
              <w:t>部位进行操作、巡检或维修的人员有可能发生高处坠落的可能。</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lastRenderedPageBreak/>
              <w:t>10</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车辆伤害</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sz w:val="21"/>
                <w:szCs w:val="21"/>
              </w:rPr>
              <w:t>原辅材料和成品装卸区域、原料仓库、丙类仓库及成品仓库叉车运输通道、厂区</w:t>
            </w:r>
            <w:r>
              <w:rPr>
                <w:rFonts w:ascii="宋体" w:hAnsi="宋体"/>
                <w:sz w:val="21"/>
                <w:szCs w:val="21"/>
              </w:rPr>
              <w:t>道路、</w:t>
            </w:r>
            <w:r>
              <w:rPr>
                <w:rFonts w:ascii="宋体" w:hAnsi="宋体" w:hint="eastAsia"/>
                <w:sz w:val="21"/>
                <w:szCs w:val="21"/>
              </w:rPr>
              <w:t>停车场等。</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厂内设有厂区道路，公司生产期间的叉车在仓库及车间内运行、物资运输车辆出入频繁，大型货运车辆较多，可能导致车辆伤害事故的发生。</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11</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物体打击</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sz w:val="21"/>
                <w:szCs w:val="21"/>
              </w:rPr>
              <w:t>设备需检修时、厂房装卸区、生产装置区平台。</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（1）工具零件、砖瓦、木块等物从高处掉落伤人；</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（2）人为乱扔杂物伤人；</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（3）起重吊装物品掉落伤人；</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（4）设备带病运行伤人；</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（5）设备运行中违章操作；</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12</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淹溺</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sz w:val="21"/>
                <w:szCs w:val="21"/>
              </w:rPr>
              <w:t>地下消防水池、事故池、循环水池</w:t>
            </w:r>
            <w:proofErr w:type="gramStart"/>
            <w:r>
              <w:rPr>
                <w:rFonts w:ascii="宋体" w:hAnsi="宋体" w:hint="eastAsia"/>
                <w:sz w:val="21"/>
                <w:szCs w:val="21"/>
              </w:rPr>
              <w:t>等池类</w:t>
            </w:r>
            <w:proofErr w:type="gramEnd"/>
            <w:r>
              <w:rPr>
                <w:rFonts w:ascii="宋体" w:hAnsi="宋体" w:hint="eastAsia"/>
                <w:sz w:val="21"/>
                <w:szCs w:val="21"/>
              </w:rPr>
              <w:t>。</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厂内有消防水池、循环水池</w:t>
            </w:r>
            <w:proofErr w:type="gramStart"/>
            <w:r>
              <w:rPr>
                <w:rFonts w:ascii="宋体" w:hAnsi="宋体"/>
                <w:color w:val="auto"/>
                <w:spacing w:val="20"/>
                <w:kern w:val="2"/>
                <w:sz w:val="21"/>
                <w:szCs w:val="21"/>
              </w:rPr>
              <w:t>等池类</w:t>
            </w:r>
            <w:proofErr w:type="gramEnd"/>
            <w:r>
              <w:rPr>
                <w:rFonts w:ascii="宋体" w:hAnsi="宋体"/>
                <w:color w:val="auto"/>
                <w:spacing w:val="20"/>
                <w:kern w:val="2"/>
                <w:sz w:val="21"/>
                <w:szCs w:val="21"/>
              </w:rPr>
              <w:t>，若池边盖板、护栏等防护设施不全或失效，可能导致人员不慎跌落发生淹溺事故。</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13</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噪声</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color w:val="auto"/>
                <w:spacing w:val="20"/>
                <w:sz w:val="21"/>
                <w:szCs w:val="21"/>
              </w:rPr>
              <w:t>空压机、斗提机</w:t>
            </w:r>
            <w:r>
              <w:rPr>
                <w:rFonts w:ascii="宋体" w:hAnsi="宋体"/>
                <w:color w:val="auto"/>
                <w:spacing w:val="20"/>
                <w:sz w:val="21"/>
                <w:szCs w:val="21"/>
              </w:rPr>
              <w:t>、破碎机、运输皮带、锅炉、热风炉、风机、各类泵等设备周围。</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项目的噪声主要来源于空压机、斗提机、破碎机、运输皮带、锅炉、热风炉、风机、各类泵等设备运转时产生的噪声。</w:t>
            </w:r>
          </w:p>
        </w:tc>
      </w:tr>
    </w:tbl>
    <w:p w:rsidR="003F13AB" w:rsidRDefault="003F13AB">
      <w:pPr>
        <w:ind w:firstLine="560"/>
        <w:rPr>
          <w:color w:val="auto"/>
        </w:rPr>
      </w:pPr>
    </w:p>
    <w:p w:rsidR="003F13AB" w:rsidRDefault="00EC6E7E">
      <w:pPr>
        <w:pStyle w:val="2"/>
      </w:pPr>
      <w:bookmarkStart w:id="124" w:name="_Toc503269881"/>
      <w:bookmarkStart w:id="125" w:name="_Toc456082313"/>
      <w:bookmarkStart w:id="126" w:name="_Toc187914420"/>
      <w:bookmarkStart w:id="127" w:name="_Toc166857575"/>
      <w:r>
        <w:rPr>
          <w:rFonts w:hint="eastAsia"/>
        </w:rPr>
        <w:t>3.6</w:t>
      </w:r>
      <w:r>
        <w:t xml:space="preserve"> 危险化学品</w:t>
      </w:r>
      <w:r>
        <w:rPr>
          <w:rFonts w:hint="eastAsia"/>
        </w:rPr>
        <w:t>重大危险源辨识</w:t>
      </w:r>
      <w:bookmarkEnd w:id="124"/>
      <w:bookmarkEnd w:id="125"/>
      <w:bookmarkEnd w:id="126"/>
      <w:bookmarkEnd w:id="127"/>
    </w:p>
    <w:p w:rsidR="003F13AB" w:rsidRDefault="00EC6E7E">
      <w:pPr>
        <w:ind w:firstLine="560"/>
        <w:rPr>
          <w:b/>
          <w:color w:val="auto"/>
        </w:rPr>
      </w:pPr>
      <w:r>
        <w:rPr>
          <w:rFonts w:hint="eastAsia"/>
          <w:color w:val="auto"/>
        </w:rPr>
        <w:t>根据《危险化学品重大危险源辨识》（</w:t>
      </w:r>
      <w:r>
        <w:rPr>
          <w:rFonts w:hint="eastAsia"/>
          <w:color w:val="auto"/>
        </w:rPr>
        <w:t>GB 18218-2018</w:t>
      </w:r>
      <w:r>
        <w:rPr>
          <w:rFonts w:hint="eastAsia"/>
          <w:color w:val="auto"/>
        </w:rPr>
        <w:t>）的要求，本项目</w:t>
      </w:r>
      <w:r>
        <w:rPr>
          <w:rFonts w:hint="eastAsia"/>
          <w:b/>
          <w:color w:val="auto"/>
        </w:rPr>
        <w:t>不构成危险化学品重大危险源。</w:t>
      </w:r>
      <w:r>
        <w:rPr>
          <w:rFonts w:hint="eastAsia"/>
          <w:color w:val="auto"/>
        </w:rPr>
        <w:t>具体分析过程</w:t>
      </w:r>
      <w:proofErr w:type="gramStart"/>
      <w:r>
        <w:rPr>
          <w:rFonts w:hint="eastAsia"/>
          <w:color w:val="auto"/>
        </w:rPr>
        <w:t>见报告</w:t>
      </w:r>
      <w:proofErr w:type="gramEnd"/>
      <w:r>
        <w:rPr>
          <w:rFonts w:hint="eastAsia"/>
          <w:color w:val="auto"/>
        </w:rPr>
        <w:t>附件</w:t>
      </w:r>
      <w:r>
        <w:rPr>
          <w:rFonts w:hint="eastAsia"/>
          <w:color w:val="auto"/>
        </w:rPr>
        <w:t>2.12</w:t>
      </w:r>
      <w:r>
        <w:rPr>
          <w:rFonts w:hint="eastAsia"/>
          <w:color w:val="auto"/>
        </w:rPr>
        <w:t>节。</w:t>
      </w:r>
    </w:p>
    <w:p w:rsidR="003F13AB" w:rsidRDefault="00EC6E7E">
      <w:pPr>
        <w:pStyle w:val="2"/>
      </w:pPr>
      <w:bookmarkStart w:id="128" w:name="_Toc187914421"/>
      <w:bookmarkStart w:id="129" w:name="_Toc166857576"/>
      <w:r>
        <w:rPr>
          <w:rFonts w:hint="eastAsia"/>
        </w:rPr>
        <w:t>3.7 剧毒化学品、易制毒品化学品、监控化学品、易制</w:t>
      </w:r>
      <w:proofErr w:type="gramStart"/>
      <w:r>
        <w:rPr>
          <w:rFonts w:hint="eastAsia"/>
        </w:rPr>
        <w:t>爆</w:t>
      </w:r>
      <w:proofErr w:type="gramEnd"/>
      <w:r>
        <w:rPr>
          <w:rFonts w:hint="eastAsia"/>
        </w:rPr>
        <w:t>危险化学品以及重点监管危险化学品辨识结果</w:t>
      </w:r>
      <w:bookmarkEnd w:id="128"/>
      <w:bookmarkEnd w:id="129"/>
    </w:p>
    <w:p w:rsidR="003F13AB" w:rsidRDefault="00EC6E7E">
      <w:pPr>
        <w:spacing w:line="500" w:lineRule="exact"/>
        <w:ind w:firstLine="560"/>
        <w:rPr>
          <w:color w:val="auto"/>
        </w:rPr>
      </w:pPr>
      <w:r>
        <w:rPr>
          <w:rFonts w:hint="eastAsia"/>
          <w:color w:val="auto"/>
        </w:rPr>
        <w:t>根据《危险化学品目录》（</w:t>
      </w:r>
      <w:r>
        <w:rPr>
          <w:rFonts w:hint="eastAsia"/>
          <w:color w:val="auto"/>
        </w:rPr>
        <w:t>2022</w:t>
      </w:r>
      <w:r>
        <w:rPr>
          <w:rFonts w:hint="eastAsia"/>
          <w:color w:val="auto"/>
        </w:rPr>
        <w:t>年调整版），本项目涉及的主要危险化学品为：天然气、柴油。</w:t>
      </w:r>
    </w:p>
    <w:p w:rsidR="003F13AB" w:rsidRDefault="00EC6E7E">
      <w:pPr>
        <w:spacing w:line="500" w:lineRule="exact"/>
        <w:ind w:firstLine="560"/>
        <w:rPr>
          <w:color w:val="auto"/>
        </w:rPr>
      </w:pPr>
      <w:r>
        <w:rPr>
          <w:rFonts w:hint="eastAsia"/>
          <w:color w:val="auto"/>
        </w:rPr>
        <w:t>根据《危险化学品目录》（</w:t>
      </w:r>
      <w:r>
        <w:rPr>
          <w:rFonts w:hint="eastAsia"/>
          <w:color w:val="auto"/>
        </w:rPr>
        <w:t>2022</w:t>
      </w:r>
      <w:r>
        <w:rPr>
          <w:rFonts w:hint="eastAsia"/>
          <w:color w:val="auto"/>
        </w:rPr>
        <w:t>年调整版）的相关规定，本项目不涉及剧毒化学品。</w:t>
      </w:r>
    </w:p>
    <w:p w:rsidR="003F13AB" w:rsidRDefault="00EC6E7E">
      <w:pPr>
        <w:spacing w:line="500" w:lineRule="exact"/>
        <w:ind w:firstLine="560"/>
        <w:rPr>
          <w:color w:val="auto"/>
        </w:rPr>
      </w:pPr>
      <w:r>
        <w:rPr>
          <w:rFonts w:hint="eastAsia"/>
          <w:color w:val="auto"/>
        </w:rPr>
        <w:t>根据《易制毒化学品管理条例》（中华人民共和国国务院令第</w:t>
      </w:r>
      <w:r>
        <w:rPr>
          <w:rFonts w:hint="eastAsia"/>
          <w:color w:val="auto"/>
        </w:rPr>
        <w:t>445</w:t>
      </w:r>
      <w:r>
        <w:rPr>
          <w:rFonts w:hint="eastAsia"/>
          <w:color w:val="auto"/>
        </w:rPr>
        <w:t>号，第</w:t>
      </w:r>
      <w:r>
        <w:rPr>
          <w:rFonts w:hint="eastAsia"/>
          <w:color w:val="auto"/>
        </w:rPr>
        <w:t>653</w:t>
      </w:r>
      <w:r>
        <w:rPr>
          <w:rFonts w:hint="eastAsia"/>
          <w:color w:val="auto"/>
        </w:rPr>
        <w:t>号第一次修订，第</w:t>
      </w:r>
      <w:r>
        <w:rPr>
          <w:rFonts w:hint="eastAsia"/>
          <w:color w:val="auto"/>
        </w:rPr>
        <w:t>666</w:t>
      </w:r>
      <w:r>
        <w:rPr>
          <w:rFonts w:hint="eastAsia"/>
          <w:color w:val="auto"/>
        </w:rPr>
        <w:t>号第二次修订，第</w:t>
      </w:r>
      <w:r>
        <w:rPr>
          <w:rFonts w:hint="eastAsia"/>
          <w:color w:val="auto"/>
        </w:rPr>
        <w:t>703</w:t>
      </w:r>
      <w:r>
        <w:rPr>
          <w:rFonts w:hint="eastAsia"/>
          <w:color w:val="auto"/>
        </w:rPr>
        <w:t>号第三次修订，</w:t>
      </w:r>
      <w:r>
        <w:rPr>
          <w:rFonts w:hint="eastAsia"/>
          <w:color w:val="auto"/>
        </w:rPr>
        <w:t>2018</w:t>
      </w:r>
      <w:r>
        <w:rPr>
          <w:rFonts w:hint="eastAsia"/>
          <w:color w:val="auto"/>
        </w:rPr>
        <w:t>年</w:t>
      </w:r>
      <w:r>
        <w:rPr>
          <w:rFonts w:hint="eastAsia"/>
          <w:color w:val="auto"/>
        </w:rPr>
        <w:t>9</w:t>
      </w:r>
      <w:r>
        <w:rPr>
          <w:rFonts w:hint="eastAsia"/>
          <w:color w:val="auto"/>
        </w:rPr>
        <w:t>月</w:t>
      </w:r>
      <w:r>
        <w:rPr>
          <w:rFonts w:hint="eastAsia"/>
          <w:color w:val="auto"/>
        </w:rPr>
        <w:t>18</w:t>
      </w:r>
      <w:r>
        <w:rPr>
          <w:rFonts w:hint="eastAsia"/>
          <w:color w:val="auto"/>
        </w:rPr>
        <w:t>日起施行）、《云南省易制毒特殊化学物品管理条例》</w:t>
      </w:r>
      <w:r>
        <w:rPr>
          <w:rFonts w:hint="eastAsia"/>
          <w:color w:val="auto"/>
        </w:rPr>
        <w:t>(</w:t>
      </w:r>
      <w:r>
        <w:rPr>
          <w:rFonts w:hint="eastAsia"/>
          <w:color w:val="auto"/>
        </w:rPr>
        <w:t>云南省人大常委会公告第</w:t>
      </w:r>
      <w:r>
        <w:rPr>
          <w:rFonts w:hint="eastAsia"/>
          <w:color w:val="auto"/>
        </w:rPr>
        <w:t>71</w:t>
      </w:r>
      <w:r>
        <w:rPr>
          <w:rFonts w:hint="eastAsia"/>
          <w:color w:val="auto"/>
        </w:rPr>
        <w:t>号</w:t>
      </w:r>
      <w:r>
        <w:rPr>
          <w:rFonts w:hint="eastAsia"/>
          <w:color w:val="auto"/>
        </w:rPr>
        <w:t>)</w:t>
      </w:r>
      <w:r>
        <w:rPr>
          <w:rFonts w:hint="eastAsia"/>
          <w:color w:val="auto"/>
        </w:rPr>
        <w:t>的相关规定，本项目不涉及易制毒化学品。</w:t>
      </w:r>
    </w:p>
    <w:p w:rsidR="003F13AB" w:rsidRDefault="00EC6E7E">
      <w:pPr>
        <w:spacing w:line="500" w:lineRule="exact"/>
        <w:ind w:firstLine="560"/>
        <w:rPr>
          <w:color w:val="auto"/>
        </w:rPr>
      </w:pPr>
      <w:r>
        <w:rPr>
          <w:rFonts w:hint="eastAsia"/>
          <w:color w:val="auto"/>
        </w:rPr>
        <w:t>根据《各类监控化学品名录》（中华人民共和国工业和信息化部令第</w:t>
      </w:r>
      <w:r>
        <w:rPr>
          <w:rFonts w:hint="eastAsia"/>
          <w:color w:val="auto"/>
        </w:rPr>
        <w:t>52</w:t>
      </w:r>
      <w:r>
        <w:rPr>
          <w:rFonts w:hint="eastAsia"/>
          <w:color w:val="auto"/>
        </w:rPr>
        <w:t>号）有关规定，本项目不涉及监控化学品。</w:t>
      </w:r>
    </w:p>
    <w:p w:rsidR="003F13AB" w:rsidRDefault="00EC6E7E">
      <w:pPr>
        <w:spacing w:line="500" w:lineRule="exact"/>
        <w:ind w:firstLine="560"/>
        <w:rPr>
          <w:color w:val="auto"/>
        </w:rPr>
      </w:pPr>
      <w:r>
        <w:rPr>
          <w:rFonts w:hint="eastAsia"/>
          <w:color w:val="auto"/>
        </w:rPr>
        <w:t>根据《特别管控危险化学品目录（第一版）》（应急管理部</w:t>
      </w:r>
      <w:r>
        <w:rPr>
          <w:rFonts w:hint="eastAsia"/>
          <w:color w:val="auto"/>
        </w:rPr>
        <w:t>2020</w:t>
      </w:r>
      <w:r>
        <w:rPr>
          <w:rFonts w:hint="eastAsia"/>
          <w:color w:val="auto"/>
        </w:rPr>
        <w:t>年第</w:t>
      </w:r>
      <w:r>
        <w:rPr>
          <w:rFonts w:hint="eastAsia"/>
          <w:color w:val="auto"/>
        </w:rPr>
        <w:lastRenderedPageBreak/>
        <w:t>1</w:t>
      </w:r>
      <w:r>
        <w:rPr>
          <w:rFonts w:hint="eastAsia"/>
          <w:color w:val="auto"/>
        </w:rPr>
        <w:t>号）的相关规定，本项目不涉及特别管</w:t>
      </w:r>
      <w:proofErr w:type="gramStart"/>
      <w:r>
        <w:rPr>
          <w:rFonts w:hint="eastAsia"/>
          <w:color w:val="auto"/>
        </w:rPr>
        <w:t>控危险</w:t>
      </w:r>
      <w:proofErr w:type="gramEnd"/>
      <w:r>
        <w:rPr>
          <w:rFonts w:hint="eastAsia"/>
          <w:color w:val="auto"/>
        </w:rPr>
        <w:t>化学品。</w:t>
      </w:r>
    </w:p>
    <w:p w:rsidR="003F13AB" w:rsidRDefault="00EC6E7E">
      <w:pPr>
        <w:spacing w:line="500" w:lineRule="exact"/>
        <w:ind w:firstLine="560"/>
        <w:rPr>
          <w:color w:val="auto"/>
        </w:rPr>
      </w:pPr>
      <w:r>
        <w:rPr>
          <w:rFonts w:hint="eastAsia"/>
          <w:color w:val="auto"/>
        </w:rPr>
        <w:t>根据《国家安全监管总局关于公布首批重点监管的危险化学品名录的通知》（安监总管三〔</w:t>
      </w:r>
      <w:r>
        <w:rPr>
          <w:rFonts w:hint="eastAsia"/>
          <w:color w:val="auto"/>
        </w:rPr>
        <w:t>2011</w:t>
      </w:r>
      <w:r>
        <w:rPr>
          <w:rFonts w:hint="eastAsia"/>
          <w:color w:val="auto"/>
        </w:rPr>
        <w:t>〕</w:t>
      </w:r>
      <w:r>
        <w:rPr>
          <w:rFonts w:hint="eastAsia"/>
          <w:color w:val="auto"/>
        </w:rPr>
        <w:t>95</w:t>
      </w:r>
      <w:r>
        <w:rPr>
          <w:rFonts w:hint="eastAsia"/>
          <w:color w:val="auto"/>
        </w:rPr>
        <w:t>号）和《国家安全监管总局关于公布第二批重点监管危险化学品名录的通知》，项目锅炉使用的燃料天然气被列入了《首批重点监管的危险化学品名录》，应采取相应措施并按照相关要求进行重点监管。</w:t>
      </w:r>
    </w:p>
    <w:p w:rsidR="003F13AB" w:rsidRDefault="00EC6E7E">
      <w:pPr>
        <w:ind w:firstLine="560"/>
        <w:rPr>
          <w:color w:val="auto"/>
        </w:rPr>
      </w:pPr>
      <w:r>
        <w:rPr>
          <w:rFonts w:hint="eastAsia"/>
          <w:color w:val="auto"/>
        </w:rPr>
        <w:t>根据《首批重点监管的危险化工工艺目录》（安监总管三〔</w:t>
      </w:r>
      <w:r>
        <w:rPr>
          <w:rFonts w:hint="eastAsia"/>
          <w:color w:val="auto"/>
        </w:rPr>
        <w:t>2009</w:t>
      </w:r>
      <w:r>
        <w:rPr>
          <w:rFonts w:hint="eastAsia"/>
          <w:color w:val="auto"/>
        </w:rPr>
        <w:t>〕</w:t>
      </w:r>
      <w:r>
        <w:rPr>
          <w:rFonts w:hint="eastAsia"/>
          <w:color w:val="auto"/>
        </w:rPr>
        <w:t>116</w:t>
      </w:r>
      <w:r>
        <w:rPr>
          <w:rFonts w:hint="eastAsia"/>
          <w:color w:val="auto"/>
        </w:rPr>
        <w:t>号）、《第二批重点监管的危险化工工艺目录》（安监总管三〔</w:t>
      </w:r>
      <w:r>
        <w:rPr>
          <w:rFonts w:hint="eastAsia"/>
          <w:color w:val="auto"/>
        </w:rPr>
        <w:t>2013</w:t>
      </w:r>
      <w:r>
        <w:rPr>
          <w:rFonts w:hint="eastAsia"/>
          <w:color w:val="auto"/>
        </w:rPr>
        <w:t>〕</w:t>
      </w:r>
      <w:r>
        <w:rPr>
          <w:rFonts w:hint="eastAsia"/>
          <w:color w:val="auto"/>
        </w:rPr>
        <w:t>3</w:t>
      </w:r>
      <w:r>
        <w:rPr>
          <w:rFonts w:hint="eastAsia"/>
          <w:color w:val="auto"/>
        </w:rPr>
        <w:t>号）的有关规定，本项目不涉及重点监管的危险化工工艺。</w:t>
      </w:r>
    </w:p>
    <w:p w:rsidR="003F13AB" w:rsidRDefault="00EC6E7E">
      <w:pPr>
        <w:ind w:firstLine="560"/>
        <w:rPr>
          <w:color w:val="auto"/>
        </w:rPr>
      </w:pPr>
      <w:r>
        <w:rPr>
          <w:rFonts w:hint="eastAsia"/>
          <w:color w:val="auto"/>
        </w:rPr>
        <w:t>根据中华人民共和国公安部公告《易制爆危险化学品名录》（</w:t>
      </w:r>
      <w:r>
        <w:rPr>
          <w:rFonts w:hint="eastAsia"/>
          <w:color w:val="auto"/>
        </w:rPr>
        <w:t>2017</w:t>
      </w:r>
      <w:r>
        <w:rPr>
          <w:rFonts w:hint="eastAsia"/>
          <w:color w:val="auto"/>
        </w:rPr>
        <w:t>年版）、《易制爆危险化学品治安管理办法》（公安部令</w:t>
      </w:r>
      <w:r>
        <w:rPr>
          <w:rFonts w:hint="eastAsia"/>
          <w:color w:val="auto"/>
        </w:rPr>
        <w:t>154</w:t>
      </w:r>
      <w:r>
        <w:rPr>
          <w:rFonts w:hint="eastAsia"/>
          <w:color w:val="auto"/>
        </w:rPr>
        <w:t>号）的相关规定，本项目不涉及易制</w:t>
      </w:r>
      <w:proofErr w:type="gramStart"/>
      <w:r>
        <w:rPr>
          <w:rFonts w:hint="eastAsia"/>
          <w:color w:val="auto"/>
        </w:rPr>
        <w:t>爆</w:t>
      </w:r>
      <w:proofErr w:type="gramEnd"/>
      <w:r>
        <w:rPr>
          <w:rFonts w:hint="eastAsia"/>
          <w:color w:val="auto"/>
        </w:rPr>
        <w:t>危险化学品。</w:t>
      </w:r>
    </w:p>
    <w:p w:rsidR="003F13AB" w:rsidRDefault="00EC6E7E">
      <w:pPr>
        <w:pStyle w:val="2"/>
      </w:pPr>
      <w:bookmarkStart w:id="130" w:name="_Toc187914422"/>
      <w:bookmarkStart w:id="131" w:name="_Toc166857577"/>
      <w:r>
        <w:t>3.8</w:t>
      </w:r>
      <w:r>
        <w:rPr>
          <w:rFonts w:hint="eastAsia"/>
        </w:rPr>
        <w:t>淘汰落后危险化学品安全生产工艺技术设备辨识结果</w:t>
      </w:r>
      <w:bookmarkEnd w:id="130"/>
      <w:bookmarkEnd w:id="131"/>
    </w:p>
    <w:p w:rsidR="003F13AB" w:rsidRDefault="00EC6E7E">
      <w:pPr>
        <w:ind w:firstLine="560"/>
      </w:pPr>
      <w:r>
        <w:rPr>
          <w:rFonts w:hint="eastAsia"/>
        </w:rPr>
        <w:t>根据《淘汰落后危险化学品安全生产工艺技术设备目录（第一批）》（应急厅〔</w:t>
      </w:r>
      <w:r>
        <w:rPr>
          <w:rFonts w:hint="eastAsia"/>
        </w:rPr>
        <w:t>2020</w:t>
      </w:r>
      <w:r>
        <w:rPr>
          <w:rFonts w:hint="eastAsia"/>
        </w:rPr>
        <w:t>〕</w:t>
      </w:r>
      <w:r>
        <w:rPr>
          <w:rFonts w:hint="eastAsia"/>
        </w:rPr>
        <w:t>38</w:t>
      </w:r>
      <w:r>
        <w:rPr>
          <w:rFonts w:hint="eastAsia"/>
        </w:rPr>
        <w:t>号，</w:t>
      </w:r>
      <w:r>
        <w:rPr>
          <w:rFonts w:hint="eastAsia"/>
        </w:rPr>
        <w:t>2020</w:t>
      </w:r>
      <w:r>
        <w:rPr>
          <w:rFonts w:hint="eastAsia"/>
        </w:rPr>
        <w:t>年</w:t>
      </w:r>
      <w:r>
        <w:rPr>
          <w:rFonts w:hint="eastAsia"/>
        </w:rPr>
        <w:t>10</w:t>
      </w:r>
      <w:r>
        <w:rPr>
          <w:rFonts w:hint="eastAsia"/>
        </w:rPr>
        <w:t>月</w:t>
      </w:r>
      <w:r>
        <w:rPr>
          <w:rFonts w:hint="eastAsia"/>
        </w:rPr>
        <w:t>23</w:t>
      </w:r>
      <w:r>
        <w:rPr>
          <w:rFonts w:hint="eastAsia"/>
        </w:rPr>
        <w:t>日公布）、应急管理部办公厅关于印发《淘汰落后危险化学品安全生产工艺技术设备目录（第二批）》的通知（应急厅〔</w:t>
      </w:r>
      <w:r>
        <w:rPr>
          <w:rFonts w:hint="eastAsia"/>
        </w:rPr>
        <w:t>2024</w:t>
      </w:r>
      <w:r>
        <w:rPr>
          <w:rFonts w:hint="eastAsia"/>
        </w:rPr>
        <w:t>〕</w:t>
      </w:r>
      <w:r>
        <w:rPr>
          <w:rFonts w:hint="eastAsia"/>
        </w:rPr>
        <w:t>86</w:t>
      </w:r>
      <w:r>
        <w:rPr>
          <w:rFonts w:hint="eastAsia"/>
        </w:rPr>
        <w:t>号）有关规定，云南农家乐农业集团有限公司年产</w:t>
      </w:r>
      <w:proofErr w:type="gramStart"/>
      <w:r>
        <w:rPr>
          <w:rFonts w:hint="eastAsia"/>
        </w:rPr>
        <w:t>50</w:t>
      </w:r>
      <w:r>
        <w:rPr>
          <w:rFonts w:hint="eastAsia"/>
        </w:rPr>
        <w:t>万吨缓控释</w:t>
      </w:r>
      <w:proofErr w:type="gramEnd"/>
      <w:r>
        <w:rPr>
          <w:rFonts w:hint="eastAsia"/>
        </w:rPr>
        <w:t>肥料、水溶肥料、专用肥料生产基地建设项目安全生产工艺技术设备不涉及淘汰落后危险化学品安全生产工艺技术设备的内容。具体辨识内容详见附件</w:t>
      </w:r>
      <w:r>
        <w:rPr>
          <w:rFonts w:hint="eastAsia"/>
        </w:rPr>
        <w:t>2.14</w:t>
      </w:r>
      <w:r>
        <w:rPr>
          <w:rFonts w:hint="eastAsia"/>
        </w:rPr>
        <w:t>。</w:t>
      </w:r>
    </w:p>
    <w:p w:rsidR="003F13AB" w:rsidRDefault="00EC6E7E">
      <w:pPr>
        <w:pStyle w:val="1"/>
        <w:keepNext w:val="0"/>
        <w:keepLines w:val="0"/>
        <w:numPr>
          <w:ilvl w:val="0"/>
          <w:numId w:val="1"/>
        </w:numPr>
        <w:ind w:left="0" w:firstLine="0"/>
        <w:textAlignment w:val="center"/>
        <w:rPr>
          <w:rFonts w:ascii="宋体" w:hAnsi="宋体"/>
          <w:b/>
          <w:bCs w:val="0"/>
          <w:color w:val="auto"/>
          <w:szCs w:val="20"/>
        </w:rPr>
      </w:pPr>
      <w:bookmarkStart w:id="132" w:name="_Toc503269885"/>
      <w:r>
        <w:rPr>
          <w:rFonts w:ascii="宋体" w:hAnsi="宋体" w:hint="eastAsia"/>
          <w:b/>
          <w:bCs w:val="0"/>
          <w:color w:val="auto"/>
          <w:szCs w:val="20"/>
        </w:rPr>
        <w:lastRenderedPageBreak/>
        <w:t xml:space="preserve">  </w:t>
      </w:r>
      <w:bookmarkStart w:id="133" w:name="_Toc166857578"/>
      <w:bookmarkStart w:id="134" w:name="_Toc187914423"/>
      <w:r>
        <w:rPr>
          <w:rFonts w:ascii="宋体" w:hAnsi="宋体" w:hint="eastAsia"/>
          <w:b/>
          <w:bCs w:val="0"/>
          <w:color w:val="auto"/>
          <w:szCs w:val="20"/>
        </w:rPr>
        <w:t>评价单元划分及评价方法</w:t>
      </w:r>
      <w:bookmarkEnd w:id="132"/>
      <w:r>
        <w:rPr>
          <w:rFonts w:ascii="宋体" w:hAnsi="宋体" w:hint="eastAsia"/>
          <w:b/>
          <w:bCs w:val="0"/>
          <w:color w:val="auto"/>
          <w:szCs w:val="20"/>
        </w:rPr>
        <w:t>选择</w:t>
      </w:r>
      <w:bookmarkEnd w:id="133"/>
      <w:bookmarkEnd w:id="134"/>
    </w:p>
    <w:p w:rsidR="003F13AB" w:rsidRDefault="00EC6E7E">
      <w:pPr>
        <w:pStyle w:val="2"/>
      </w:pPr>
      <w:bookmarkStart w:id="135" w:name="_Toc472693301"/>
      <w:bookmarkStart w:id="136" w:name="_Toc207003179"/>
      <w:bookmarkStart w:id="137" w:name="_Toc503269886"/>
      <w:bookmarkStart w:id="138" w:name="_Toc247620201"/>
      <w:bookmarkStart w:id="139" w:name="_Toc187914424"/>
      <w:bookmarkStart w:id="140" w:name="_Toc166857579"/>
      <w:r>
        <w:rPr>
          <w:rFonts w:hint="eastAsia"/>
        </w:rPr>
        <w:t>4.1 评价单元的划分</w:t>
      </w:r>
      <w:bookmarkEnd w:id="135"/>
      <w:bookmarkEnd w:id="136"/>
      <w:bookmarkEnd w:id="137"/>
      <w:bookmarkEnd w:id="138"/>
      <w:bookmarkEnd w:id="139"/>
      <w:bookmarkEnd w:id="140"/>
    </w:p>
    <w:p w:rsidR="003F13AB" w:rsidRDefault="00EC6E7E">
      <w:pPr>
        <w:pStyle w:val="3"/>
      </w:pPr>
      <w:bookmarkStart w:id="141" w:name="_Toc503269887"/>
      <w:bookmarkStart w:id="142" w:name="_Toc187914425"/>
      <w:bookmarkStart w:id="143" w:name="_Toc454199067"/>
      <w:bookmarkStart w:id="144" w:name="_Toc472693302"/>
      <w:r>
        <w:rPr>
          <w:rFonts w:hint="eastAsia"/>
        </w:rPr>
        <w:t>4.1.1 评价单元的划分原则</w:t>
      </w:r>
      <w:bookmarkEnd w:id="141"/>
      <w:bookmarkEnd w:id="142"/>
      <w:bookmarkEnd w:id="143"/>
      <w:bookmarkEnd w:id="144"/>
    </w:p>
    <w:p w:rsidR="003F13AB" w:rsidRDefault="00EC6E7E">
      <w:pPr>
        <w:spacing w:line="500" w:lineRule="exact"/>
        <w:ind w:firstLine="560"/>
        <w:rPr>
          <w:color w:val="auto"/>
        </w:rPr>
      </w:pPr>
      <w:r>
        <w:rPr>
          <w:rFonts w:hint="eastAsia"/>
          <w:color w:val="auto"/>
        </w:rPr>
        <w:t>评价单元就是在危险、有害因素识别与分析的基础上，根据评价目标和评价方法的需要，将系统分成有限的、确定范围的评价单元。</w:t>
      </w:r>
    </w:p>
    <w:p w:rsidR="003F13AB" w:rsidRDefault="00EC6E7E">
      <w:pPr>
        <w:spacing w:line="500" w:lineRule="exact"/>
        <w:ind w:firstLine="560"/>
        <w:rPr>
          <w:color w:val="auto"/>
        </w:rPr>
      </w:pPr>
      <w:r>
        <w:rPr>
          <w:rFonts w:hint="eastAsia"/>
          <w:color w:val="auto"/>
        </w:rPr>
        <w:t>为便于评价工作的进行，有利于提高评价工作的准确性，评价单元一般以生产工艺、工艺装置、物料的特点和特征与危险、有害因素的类别、分布有机结合进行划分。</w:t>
      </w:r>
    </w:p>
    <w:p w:rsidR="003F13AB" w:rsidRDefault="00EC6E7E">
      <w:pPr>
        <w:pStyle w:val="3"/>
        <w:spacing w:line="500" w:lineRule="exact"/>
      </w:pPr>
      <w:bookmarkStart w:id="145" w:name="_Toc201697618"/>
      <w:bookmarkStart w:id="146" w:name="_Toc44404719"/>
      <w:bookmarkStart w:id="147" w:name="_Toc187914426"/>
      <w:r>
        <w:t>4.1.2</w:t>
      </w:r>
      <w:r>
        <w:rPr>
          <w:rFonts w:hint="eastAsia"/>
        </w:rPr>
        <w:t xml:space="preserve"> </w:t>
      </w:r>
      <w:r>
        <w:t>评价单元划分方法</w:t>
      </w:r>
      <w:bookmarkEnd w:id="145"/>
      <w:bookmarkEnd w:id="146"/>
      <w:bookmarkEnd w:id="147"/>
    </w:p>
    <w:p w:rsidR="003F13AB" w:rsidRDefault="00EC6E7E">
      <w:pPr>
        <w:spacing w:line="500" w:lineRule="exact"/>
        <w:ind w:firstLine="560"/>
        <w:rPr>
          <w:snapToGrid w:val="0"/>
          <w:color w:val="auto"/>
        </w:rPr>
      </w:pPr>
      <w:r>
        <w:rPr>
          <w:snapToGrid w:val="0"/>
          <w:color w:val="auto"/>
        </w:rPr>
        <w:t>常用的评价单元划分方法有：</w:t>
      </w:r>
    </w:p>
    <w:p w:rsidR="003F13AB" w:rsidRDefault="00EC6E7E">
      <w:pPr>
        <w:spacing w:line="500" w:lineRule="exact"/>
        <w:ind w:firstLine="560"/>
        <w:rPr>
          <w:snapToGrid w:val="0"/>
          <w:color w:val="auto"/>
        </w:rPr>
      </w:pPr>
      <w:r>
        <w:rPr>
          <w:snapToGrid w:val="0"/>
          <w:color w:val="auto"/>
        </w:rPr>
        <w:t>1.</w:t>
      </w:r>
      <w:r>
        <w:rPr>
          <w:snapToGrid w:val="0"/>
          <w:color w:val="auto"/>
        </w:rPr>
        <w:t>以危险、有害因素的类别为主划分评价单元。</w:t>
      </w:r>
    </w:p>
    <w:p w:rsidR="003F13AB" w:rsidRDefault="00EC6E7E">
      <w:pPr>
        <w:spacing w:line="500" w:lineRule="exact"/>
        <w:ind w:firstLine="560"/>
        <w:rPr>
          <w:snapToGrid w:val="0"/>
          <w:color w:val="auto"/>
        </w:rPr>
      </w:pPr>
      <w:r>
        <w:rPr>
          <w:snapToGrid w:val="0"/>
          <w:color w:val="auto"/>
        </w:rPr>
        <w:t>（</w:t>
      </w:r>
      <w:r>
        <w:rPr>
          <w:snapToGrid w:val="0"/>
          <w:color w:val="auto"/>
        </w:rPr>
        <w:t>1</w:t>
      </w:r>
      <w:r>
        <w:rPr>
          <w:snapToGrid w:val="0"/>
          <w:color w:val="auto"/>
        </w:rPr>
        <w:t>）对工艺方案、总体布置及自然条件、环境对系统影响等综合方面的危险、有害因素的分析和评价，可将整个系统作为一个评价单元；</w:t>
      </w:r>
    </w:p>
    <w:p w:rsidR="003F13AB" w:rsidRDefault="00EC6E7E">
      <w:pPr>
        <w:spacing w:line="500" w:lineRule="exact"/>
        <w:ind w:firstLine="560"/>
        <w:rPr>
          <w:snapToGrid w:val="0"/>
          <w:color w:val="auto"/>
        </w:rPr>
      </w:pPr>
      <w:r>
        <w:rPr>
          <w:snapToGrid w:val="0"/>
          <w:color w:val="auto"/>
        </w:rPr>
        <w:t>（</w:t>
      </w:r>
      <w:r>
        <w:rPr>
          <w:snapToGrid w:val="0"/>
          <w:color w:val="auto"/>
        </w:rPr>
        <w:t>2</w:t>
      </w:r>
      <w:r>
        <w:rPr>
          <w:snapToGrid w:val="0"/>
          <w:color w:val="auto"/>
        </w:rPr>
        <w:t>）将具有共性危险因素、有害因素的场所和装置划为一个单元。</w:t>
      </w:r>
    </w:p>
    <w:p w:rsidR="003F13AB" w:rsidRDefault="00EC6E7E">
      <w:pPr>
        <w:spacing w:line="500" w:lineRule="exact"/>
        <w:ind w:firstLine="560"/>
        <w:rPr>
          <w:snapToGrid w:val="0"/>
          <w:color w:val="auto"/>
        </w:rPr>
      </w:pPr>
      <w:r>
        <w:rPr>
          <w:snapToGrid w:val="0"/>
          <w:color w:val="auto"/>
        </w:rPr>
        <w:t>2.</w:t>
      </w:r>
      <w:r>
        <w:rPr>
          <w:snapToGrid w:val="0"/>
          <w:color w:val="auto"/>
        </w:rPr>
        <w:t>以装置和物质特征划分评价单元。</w:t>
      </w:r>
    </w:p>
    <w:p w:rsidR="003F13AB" w:rsidRDefault="00EC6E7E">
      <w:pPr>
        <w:spacing w:line="500" w:lineRule="exact"/>
        <w:ind w:firstLine="560"/>
        <w:rPr>
          <w:snapToGrid w:val="0"/>
          <w:color w:val="auto"/>
        </w:rPr>
      </w:pPr>
      <w:r>
        <w:rPr>
          <w:snapToGrid w:val="0"/>
          <w:color w:val="auto"/>
        </w:rPr>
        <w:t>（</w:t>
      </w:r>
      <w:r>
        <w:rPr>
          <w:snapToGrid w:val="0"/>
          <w:color w:val="auto"/>
        </w:rPr>
        <w:t>1</w:t>
      </w:r>
      <w:r>
        <w:rPr>
          <w:snapToGrid w:val="0"/>
          <w:color w:val="auto"/>
        </w:rPr>
        <w:t>）</w:t>
      </w:r>
      <w:proofErr w:type="gramStart"/>
      <w:r>
        <w:rPr>
          <w:snapToGrid w:val="0"/>
          <w:color w:val="auto"/>
        </w:rPr>
        <w:t>按装</w:t>
      </w:r>
      <w:proofErr w:type="gramEnd"/>
      <w:r>
        <w:rPr>
          <w:snapToGrid w:val="0"/>
          <w:color w:val="auto"/>
        </w:rPr>
        <w:t>置工艺功能划分；</w:t>
      </w:r>
    </w:p>
    <w:p w:rsidR="003F13AB" w:rsidRDefault="00EC6E7E">
      <w:pPr>
        <w:spacing w:line="500" w:lineRule="exact"/>
        <w:ind w:firstLine="560"/>
        <w:rPr>
          <w:snapToGrid w:val="0"/>
          <w:color w:val="auto"/>
        </w:rPr>
      </w:pPr>
      <w:r>
        <w:rPr>
          <w:snapToGrid w:val="0"/>
          <w:color w:val="auto"/>
        </w:rPr>
        <w:t>（</w:t>
      </w:r>
      <w:r>
        <w:rPr>
          <w:snapToGrid w:val="0"/>
          <w:color w:val="auto"/>
        </w:rPr>
        <w:t>2</w:t>
      </w:r>
      <w:r>
        <w:rPr>
          <w:snapToGrid w:val="0"/>
          <w:color w:val="auto"/>
        </w:rPr>
        <w:t>）按布置的相对独立性划分；</w:t>
      </w:r>
    </w:p>
    <w:p w:rsidR="003F13AB" w:rsidRDefault="00EC6E7E">
      <w:pPr>
        <w:spacing w:line="500" w:lineRule="exact"/>
        <w:ind w:firstLine="560"/>
        <w:rPr>
          <w:snapToGrid w:val="0"/>
          <w:color w:val="auto"/>
        </w:rPr>
      </w:pPr>
      <w:r>
        <w:rPr>
          <w:snapToGrid w:val="0"/>
          <w:color w:val="auto"/>
        </w:rPr>
        <w:t>（</w:t>
      </w:r>
      <w:r>
        <w:rPr>
          <w:snapToGrid w:val="0"/>
          <w:color w:val="auto"/>
        </w:rPr>
        <w:t>3</w:t>
      </w:r>
      <w:r>
        <w:rPr>
          <w:snapToGrid w:val="0"/>
          <w:color w:val="auto"/>
        </w:rPr>
        <w:t>）按工艺条件划分评价单元；</w:t>
      </w:r>
    </w:p>
    <w:p w:rsidR="003F13AB" w:rsidRDefault="00EC6E7E">
      <w:pPr>
        <w:spacing w:line="500" w:lineRule="exact"/>
        <w:ind w:firstLine="560"/>
        <w:rPr>
          <w:snapToGrid w:val="0"/>
          <w:color w:val="auto"/>
        </w:rPr>
      </w:pPr>
      <w:r>
        <w:rPr>
          <w:snapToGrid w:val="0"/>
          <w:color w:val="auto"/>
        </w:rPr>
        <w:t>（</w:t>
      </w:r>
      <w:r>
        <w:rPr>
          <w:snapToGrid w:val="0"/>
          <w:color w:val="auto"/>
        </w:rPr>
        <w:t>4</w:t>
      </w:r>
      <w:r>
        <w:rPr>
          <w:snapToGrid w:val="0"/>
          <w:color w:val="auto"/>
        </w:rPr>
        <w:t>）按贮存、处理危险物品的潜在化学能、毒性和危险物品的数量划分评价单元；</w:t>
      </w:r>
    </w:p>
    <w:p w:rsidR="003F13AB" w:rsidRDefault="00EC6E7E">
      <w:pPr>
        <w:spacing w:line="500" w:lineRule="exact"/>
        <w:ind w:firstLine="560"/>
        <w:rPr>
          <w:snapToGrid w:val="0"/>
          <w:color w:val="auto"/>
        </w:rPr>
      </w:pPr>
      <w:r>
        <w:rPr>
          <w:snapToGrid w:val="0"/>
          <w:color w:val="auto"/>
        </w:rPr>
        <w:t>（</w:t>
      </w:r>
      <w:r>
        <w:rPr>
          <w:snapToGrid w:val="0"/>
          <w:color w:val="auto"/>
        </w:rPr>
        <w:t>5</w:t>
      </w:r>
      <w:r>
        <w:rPr>
          <w:snapToGrid w:val="0"/>
          <w:color w:val="auto"/>
        </w:rPr>
        <w:t>）根据以往事故资料，将发生事故能导致停产、波及范围大、造成巨大损失和伤害的关键设备作为一个单元；</w:t>
      </w:r>
    </w:p>
    <w:p w:rsidR="003F13AB" w:rsidRDefault="00EC6E7E">
      <w:pPr>
        <w:spacing w:line="500" w:lineRule="exact"/>
        <w:ind w:firstLine="560"/>
        <w:rPr>
          <w:snapToGrid w:val="0"/>
          <w:color w:val="auto"/>
        </w:rPr>
      </w:pPr>
      <w:r>
        <w:rPr>
          <w:snapToGrid w:val="0"/>
          <w:color w:val="auto"/>
        </w:rPr>
        <w:t>（</w:t>
      </w:r>
      <w:r>
        <w:rPr>
          <w:snapToGrid w:val="0"/>
          <w:color w:val="auto"/>
        </w:rPr>
        <w:t>6</w:t>
      </w:r>
      <w:r>
        <w:rPr>
          <w:snapToGrid w:val="0"/>
          <w:color w:val="auto"/>
        </w:rPr>
        <w:t>）将危险性大且资金密度大的区域作为一个评价单元；</w:t>
      </w:r>
    </w:p>
    <w:p w:rsidR="003F13AB" w:rsidRDefault="00EC6E7E">
      <w:pPr>
        <w:spacing w:line="500" w:lineRule="exact"/>
        <w:ind w:firstLine="560"/>
        <w:rPr>
          <w:snapToGrid w:val="0"/>
          <w:color w:val="auto"/>
        </w:rPr>
      </w:pPr>
      <w:r>
        <w:rPr>
          <w:snapToGrid w:val="0"/>
          <w:color w:val="auto"/>
        </w:rPr>
        <w:t>（</w:t>
      </w:r>
      <w:r>
        <w:rPr>
          <w:snapToGrid w:val="0"/>
          <w:color w:val="auto"/>
        </w:rPr>
        <w:t>7</w:t>
      </w:r>
      <w:r>
        <w:rPr>
          <w:snapToGrid w:val="0"/>
          <w:color w:val="auto"/>
        </w:rPr>
        <w:t>）将危险性特别大的区域、装置作为一个评价单元；</w:t>
      </w:r>
    </w:p>
    <w:p w:rsidR="003F13AB" w:rsidRDefault="00EC6E7E">
      <w:pPr>
        <w:spacing w:line="500" w:lineRule="exact"/>
        <w:ind w:firstLine="560"/>
        <w:rPr>
          <w:snapToGrid w:val="0"/>
          <w:color w:val="auto"/>
        </w:rPr>
      </w:pPr>
      <w:r>
        <w:rPr>
          <w:snapToGrid w:val="0"/>
          <w:color w:val="auto"/>
        </w:rPr>
        <w:t>（</w:t>
      </w:r>
      <w:r>
        <w:rPr>
          <w:snapToGrid w:val="0"/>
          <w:color w:val="auto"/>
        </w:rPr>
        <w:t>8</w:t>
      </w:r>
      <w:r>
        <w:rPr>
          <w:snapToGrid w:val="0"/>
          <w:color w:val="auto"/>
        </w:rPr>
        <w:t>）将具有类似危险性潜能的单元合并为一个大单元。</w:t>
      </w:r>
    </w:p>
    <w:p w:rsidR="003F13AB" w:rsidRDefault="00EC6E7E">
      <w:pPr>
        <w:pStyle w:val="3"/>
        <w:spacing w:line="500" w:lineRule="exact"/>
      </w:pPr>
      <w:bookmarkStart w:id="148" w:name="_Toc472693303"/>
      <w:bookmarkStart w:id="149" w:name="_Toc503269888"/>
      <w:bookmarkStart w:id="150" w:name="_Toc187914427"/>
      <w:r>
        <w:rPr>
          <w:rFonts w:hint="eastAsia"/>
        </w:rPr>
        <w:t>4.1.3 评价单元划分</w:t>
      </w:r>
      <w:bookmarkEnd w:id="148"/>
      <w:bookmarkEnd w:id="149"/>
      <w:r>
        <w:rPr>
          <w:rFonts w:hint="eastAsia"/>
        </w:rPr>
        <w:t>结果</w:t>
      </w:r>
      <w:bookmarkEnd w:id="150"/>
    </w:p>
    <w:p w:rsidR="003F13AB" w:rsidRDefault="00EC6E7E">
      <w:pPr>
        <w:spacing w:line="500" w:lineRule="exact"/>
        <w:ind w:firstLine="560"/>
        <w:rPr>
          <w:color w:val="auto"/>
        </w:rPr>
      </w:pPr>
      <w:r>
        <w:rPr>
          <w:color w:val="auto"/>
        </w:rPr>
        <w:t>根据上述安全评价单元的划分原则和方法，</w:t>
      </w:r>
      <w:r>
        <w:rPr>
          <w:rFonts w:hint="eastAsia"/>
          <w:color w:val="auto"/>
        </w:rPr>
        <w:t>将农家乐公司肥料生产划</w:t>
      </w:r>
      <w:r>
        <w:rPr>
          <w:rFonts w:hint="eastAsia"/>
          <w:color w:val="auto"/>
        </w:rPr>
        <w:lastRenderedPageBreak/>
        <w:t>分为以下</w:t>
      </w:r>
      <w:r>
        <w:rPr>
          <w:color w:val="auto"/>
        </w:rPr>
        <w:t>6</w:t>
      </w:r>
      <w:r>
        <w:rPr>
          <w:rFonts w:hint="eastAsia"/>
          <w:color w:val="auto"/>
        </w:rPr>
        <w:t>个单元进行评价：</w:t>
      </w:r>
    </w:p>
    <w:p w:rsidR="003F13AB" w:rsidRDefault="00EC6E7E">
      <w:pPr>
        <w:spacing w:line="500" w:lineRule="exact"/>
        <w:ind w:firstLine="560"/>
        <w:rPr>
          <w:color w:val="auto"/>
        </w:rPr>
      </w:pPr>
      <w:bookmarkStart w:id="151" w:name="_Hlk68649057"/>
      <w:r>
        <w:rPr>
          <w:rFonts w:hint="eastAsia"/>
          <w:color w:val="auto"/>
        </w:rPr>
        <w:t>（</w:t>
      </w:r>
      <w:r>
        <w:rPr>
          <w:rFonts w:hint="eastAsia"/>
          <w:color w:val="auto"/>
        </w:rPr>
        <w:t>1</w:t>
      </w:r>
      <w:r>
        <w:rPr>
          <w:rFonts w:hint="eastAsia"/>
          <w:color w:val="auto"/>
        </w:rPr>
        <w:t>）“三同时”符合性评价单元；</w:t>
      </w:r>
    </w:p>
    <w:p w:rsidR="003F13AB" w:rsidRDefault="00EC6E7E">
      <w:pPr>
        <w:spacing w:line="500" w:lineRule="exact"/>
        <w:ind w:firstLine="560"/>
        <w:rPr>
          <w:color w:val="auto"/>
        </w:rPr>
      </w:pPr>
      <w:r>
        <w:rPr>
          <w:rFonts w:hint="eastAsia"/>
          <w:color w:val="auto"/>
        </w:rPr>
        <w:t>（</w:t>
      </w:r>
      <w:r>
        <w:rPr>
          <w:rFonts w:hint="eastAsia"/>
          <w:color w:val="auto"/>
        </w:rPr>
        <w:t>2</w:t>
      </w:r>
      <w:r>
        <w:rPr>
          <w:rFonts w:hint="eastAsia"/>
          <w:color w:val="auto"/>
        </w:rPr>
        <w:t>）总平面布置单元；</w:t>
      </w:r>
    </w:p>
    <w:p w:rsidR="003F13AB" w:rsidRDefault="00EC6E7E">
      <w:pPr>
        <w:spacing w:line="500" w:lineRule="exact"/>
        <w:ind w:firstLine="560"/>
        <w:rPr>
          <w:color w:val="auto"/>
        </w:rPr>
      </w:pPr>
      <w:r>
        <w:rPr>
          <w:rFonts w:hint="eastAsia"/>
          <w:color w:val="auto"/>
        </w:rPr>
        <w:t>（</w:t>
      </w:r>
      <w:r>
        <w:rPr>
          <w:color w:val="auto"/>
        </w:rPr>
        <w:t>3</w:t>
      </w:r>
      <w:r>
        <w:rPr>
          <w:rFonts w:hint="eastAsia"/>
          <w:color w:val="auto"/>
        </w:rPr>
        <w:t>）工艺及设备设施单元；</w:t>
      </w:r>
    </w:p>
    <w:p w:rsidR="003F13AB" w:rsidRDefault="00EC6E7E">
      <w:pPr>
        <w:spacing w:line="500" w:lineRule="exact"/>
        <w:ind w:firstLine="560"/>
        <w:rPr>
          <w:color w:val="auto"/>
        </w:rPr>
      </w:pPr>
      <w:r>
        <w:rPr>
          <w:rFonts w:hint="eastAsia"/>
          <w:color w:val="auto"/>
        </w:rPr>
        <w:t>（</w:t>
      </w:r>
      <w:r>
        <w:rPr>
          <w:rFonts w:hint="eastAsia"/>
          <w:color w:val="auto"/>
        </w:rPr>
        <w:t>4</w:t>
      </w:r>
      <w:r>
        <w:rPr>
          <w:rFonts w:hint="eastAsia"/>
          <w:color w:val="auto"/>
        </w:rPr>
        <w:t>）公用工程及辅助设施单元；</w:t>
      </w:r>
    </w:p>
    <w:p w:rsidR="003F13AB" w:rsidRDefault="00EC6E7E">
      <w:pPr>
        <w:spacing w:line="500" w:lineRule="exact"/>
        <w:ind w:firstLine="560"/>
        <w:rPr>
          <w:color w:val="auto"/>
        </w:rPr>
      </w:pPr>
      <w:r>
        <w:rPr>
          <w:rFonts w:hint="eastAsia"/>
          <w:color w:val="auto"/>
        </w:rPr>
        <w:t>（</w:t>
      </w:r>
      <w:r>
        <w:rPr>
          <w:rFonts w:hint="eastAsia"/>
          <w:color w:val="auto"/>
        </w:rPr>
        <w:t>5</w:t>
      </w:r>
      <w:r>
        <w:rPr>
          <w:rFonts w:hint="eastAsia"/>
          <w:color w:val="auto"/>
        </w:rPr>
        <w:t>）安全管理及应急救援单元。</w:t>
      </w:r>
    </w:p>
    <w:p w:rsidR="003F13AB" w:rsidRDefault="00EC6E7E">
      <w:pPr>
        <w:spacing w:line="500" w:lineRule="exact"/>
        <w:ind w:firstLine="560"/>
        <w:rPr>
          <w:color w:val="auto"/>
        </w:rPr>
      </w:pPr>
      <w:r>
        <w:rPr>
          <w:rFonts w:hint="eastAsia"/>
          <w:color w:val="auto"/>
        </w:rPr>
        <w:t>（</w:t>
      </w:r>
      <w:r>
        <w:rPr>
          <w:rFonts w:hint="eastAsia"/>
          <w:color w:val="auto"/>
        </w:rPr>
        <w:t>6</w:t>
      </w:r>
      <w:r>
        <w:rPr>
          <w:rFonts w:hint="eastAsia"/>
          <w:color w:val="auto"/>
        </w:rPr>
        <w:t>）重大安全隐患判定符合性</w:t>
      </w:r>
      <w:r>
        <w:rPr>
          <w:color w:val="auto"/>
        </w:rPr>
        <w:t>分析单元</w:t>
      </w:r>
      <w:r>
        <w:rPr>
          <w:rFonts w:hint="eastAsia"/>
          <w:color w:val="auto"/>
        </w:rPr>
        <w:t>。</w:t>
      </w:r>
      <w:bookmarkEnd w:id="151"/>
    </w:p>
    <w:p w:rsidR="003F13AB" w:rsidRDefault="00EC6E7E">
      <w:pPr>
        <w:pStyle w:val="2"/>
        <w:spacing w:line="500" w:lineRule="exact"/>
      </w:pPr>
      <w:bookmarkStart w:id="152" w:name="_Toc503269889"/>
      <w:bookmarkStart w:id="153" w:name="_Toc207003180"/>
      <w:bookmarkStart w:id="154" w:name="_Toc187914428"/>
      <w:bookmarkStart w:id="155" w:name="_Toc166857580"/>
      <w:bookmarkStart w:id="156" w:name="_Toc247620202"/>
      <w:bookmarkStart w:id="157" w:name="_Toc472693304"/>
      <w:r>
        <w:rPr>
          <w:rFonts w:hint="eastAsia"/>
        </w:rPr>
        <w:t>4.2 评价方法的选择</w:t>
      </w:r>
      <w:bookmarkEnd w:id="152"/>
      <w:bookmarkEnd w:id="153"/>
      <w:bookmarkEnd w:id="154"/>
      <w:bookmarkEnd w:id="155"/>
      <w:bookmarkEnd w:id="156"/>
      <w:bookmarkEnd w:id="157"/>
    </w:p>
    <w:p w:rsidR="003F13AB" w:rsidRDefault="00EC6E7E">
      <w:pPr>
        <w:spacing w:line="500" w:lineRule="exact"/>
        <w:ind w:firstLine="560"/>
        <w:rPr>
          <w:color w:val="auto"/>
        </w:rPr>
      </w:pPr>
      <w:bookmarkStart w:id="158" w:name="_Toc287516384"/>
      <w:bookmarkStart w:id="159" w:name="_Toc297723511"/>
      <w:bookmarkStart w:id="160" w:name="_Toc291600583"/>
      <w:r>
        <w:rPr>
          <w:color w:val="auto"/>
        </w:rPr>
        <w:t>安全评价方法是对系统的各种危险、危害因素进行分析、评价的工具。目前已开发出数十种，每一种评价方法的原理、目标、应用条件、适用对象不尽相同，各有其特点和优缺点。</w:t>
      </w:r>
    </w:p>
    <w:p w:rsidR="003F13AB" w:rsidRDefault="00EC6E7E">
      <w:pPr>
        <w:spacing w:line="500" w:lineRule="exact"/>
        <w:ind w:firstLine="560"/>
        <w:rPr>
          <w:color w:val="auto"/>
        </w:rPr>
      </w:pPr>
      <w:r>
        <w:rPr>
          <w:color w:val="auto"/>
        </w:rPr>
        <w:t>根据有关规定对评价方法的具体要求为：</w:t>
      </w:r>
      <w:r>
        <w:rPr>
          <w:rFonts w:hint="eastAsia"/>
          <w:color w:val="auto"/>
        </w:rPr>
        <w:t>①</w:t>
      </w:r>
      <w:r>
        <w:rPr>
          <w:color w:val="auto"/>
        </w:rPr>
        <w:t>安全生产条件的安全评价，以安全检查表的方法为主，其他方法为辅。</w:t>
      </w:r>
      <w:r>
        <w:rPr>
          <w:rFonts w:hint="eastAsia"/>
          <w:color w:val="auto"/>
        </w:rPr>
        <w:t>②</w:t>
      </w:r>
      <w:r>
        <w:rPr>
          <w:color w:val="auto"/>
        </w:rPr>
        <w:t>其他方面的安全评价，根据生产的实际情况，可选择国际、国内通行的安全评价方法。</w:t>
      </w:r>
    </w:p>
    <w:p w:rsidR="003F13AB" w:rsidRDefault="00EC6E7E">
      <w:pPr>
        <w:spacing w:line="500" w:lineRule="exact"/>
        <w:ind w:firstLine="560"/>
        <w:rPr>
          <w:color w:val="auto"/>
          <w:szCs w:val="28"/>
        </w:rPr>
      </w:pPr>
      <w:r>
        <w:rPr>
          <w:color w:val="auto"/>
        </w:rPr>
        <w:t>据此，本次评价采用安全检查表法、作业条件危险性分析法（格雷厄姆法）评价方法对项目存在的危险有害因素进行定性、定量分析。本项目各单元选择的评价方法及选择</w:t>
      </w:r>
      <w:r>
        <w:rPr>
          <w:color w:val="auto"/>
          <w:szCs w:val="28"/>
        </w:rPr>
        <w:t>理由见下表。</w:t>
      </w:r>
    </w:p>
    <w:p w:rsidR="003F13AB" w:rsidRDefault="00EC6E7E">
      <w:pPr>
        <w:spacing w:line="500" w:lineRule="exact"/>
        <w:ind w:firstLineChars="0" w:firstLine="0"/>
        <w:jc w:val="center"/>
        <w:rPr>
          <w:color w:val="auto"/>
          <w:szCs w:val="28"/>
        </w:rPr>
      </w:pPr>
      <w:r>
        <w:rPr>
          <w:rFonts w:hint="eastAsia"/>
          <w:color w:val="auto"/>
          <w:szCs w:val="28"/>
        </w:rPr>
        <w:t>表</w:t>
      </w:r>
      <w:r>
        <w:rPr>
          <w:rFonts w:hint="eastAsia"/>
          <w:color w:val="auto"/>
          <w:szCs w:val="28"/>
        </w:rPr>
        <w:t xml:space="preserve">4.2-1  </w:t>
      </w:r>
      <w:r>
        <w:rPr>
          <w:color w:val="auto"/>
          <w:szCs w:val="28"/>
        </w:rPr>
        <w:t>评价方法选择一览表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403"/>
        <w:gridCol w:w="4534"/>
      </w:tblGrid>
      <w:tr w:rsidR="003F13AB">
        <w:trPr>
          <w:trHeight w:val="340"/>
          <w:tblHeader/>
          <w:jc w:val="center"/>
        </w:trPr>
        <w:tc>
          <w:tcPr>
            <w:tcW w:w="1135" w:type="dxa"/>
            <w:vAlign w:val="center"/>
          </w:tcPr>
          <w:p w:rsidR="003F13AB" w:rsidRDefault="00EC6E7E">
            <w:pPr>
              <w:spacing w:line="240" w:lineRule="auto"/>
              <w:ind w:firstLineChars="0" w:firstLine="0"/>
              <w:jc w:val="center"/>
              <w:rPr>
                <w:b/>
                <w:color w:val="auto"/>
                <w:sz w:val="21"/>
                <w:szCs w:val="21"/>
              </w:rPr>
            </w:pPr>
            <w:r>
              <w:rPr>
                <w:b/>
                <w:color w:val="auto"/>
                <w:sz w:val="21"/>
                <w:szCs w:val="21"/>
              </w:rPr>
              <w:t>序号</w:t>
            </w:r>
          </w:p>
        </w:tc>
        <w:tc>
          <w:tcPr>
            <w:tcW w:w="3403" w:type="dxa"/>
            <w:vAlign w:val="center"/>
          </w:tcPr>
          <w:p w:rsidR="003F13AB" w:rsidRDefault="00EC6E7E">
            <w:pPr>
              <w:spacing w:line="240" w:lineRule="auto"/>
              <w:ind w:firstLineChars="0" w:firstLine="0"/>
              <w:jc w:val="center"/>
              <w:rPr>
                <w:b/>
                <w:color w:val="auto"/>
                <w:sz w:val="21"/>
                <w:szCs w:val="21"/>
              </w:rPr>
            </w:pPr>
            <w:r>
              <w:rPr>
                <w:b/>
                <w:color w:val="auto"/>
                <w:sz w:val="21"/>
                <w:szCs w:val="21"/>
              </w:rPr>
              <w:t>评价单元划分</w:t>
            </w:r>
          </w:p>
        </w:tc>
        <w:tc>
          <w:tcPr>
            <w:tcW w:w="4534" w:type="dxa"/>
            <w:vAlign w:val="center"/>
          </w:tcPr>
          <w:p w:rsidR="003F13AB" w:rsidRDefault="00EC6E7E">
            <w:pPr>
              <w:spacing w:line="240" w:lineRule="auto"/>
              <w:ind w:firstLineChars="0" w:firstLine="0"/>
              <w:jc w:val="center"/>
              <w:rPr>
                <w:b/>
                <w:color w:val="auto"/>
                <w:sz w:val="21"/>
                <w:szCs w:val="21"/>
              </w:rPr>
            </w:pPr>
            <w:r>
              <w:rPr>
                <w:b/>
                <w:color w:val="auto"/>
                <w:sz w:val="21"/>
                <w:szCs w:val="21"/>
              </w:rPr>
              <w:t>评价方法选择</w:t>
            </w:r>
          </w:p>
        </w:tc>
      </w:tr>
      <w:tr w:rsidR="003F13AB">
        <w:trPr>
          <w:trHeight w:val="340"/>
          <w:jc w:val="center"/>
        </w:trPr>
        <w:tc>
          <w:tcPr>
            <w:tcW w:w="1135" w:type="dxa"/>
            <w:vAlign w:val="center"/>
          </w:tcPr>
          <w:p w:rsidR="003F13AB" w:rsidRDefault="00EC6E7E">
            <w:pPr>
              <w:spacing w:line="240" w:lineRule="auto"/>
              <w:ind w:firstLineChars="0" w:firstLine="0"/>
              <w:jc w:val="center"/>
              <w:rPr>
                <w:color w:val="auto"/>
                <w:sz w:val="21"/>
                <w:szCs w:val="21"/>
              </w:rPr>
            </w:pPr>
            <w:r>
              <w:rPr>
                <w:rFonts w:hint="eastAsia"/>
                <w:color w:val="auto"/>
                <w:sz w:val="21"/>
                <w:szCs w:val="21"/>
              </w:rPr>
              <w:t>1</w:t>
            </w:r>
          </w:p>
        </w:tc>
        <w:tc>
          <w:tcPr>
            <w:tcW w:w="3403" w:type="dxa"/>
            <w:vAlign w:val="center"/>
          </w:tcPr>
          <w:p w:rsidR="003F13AB" w:rsidRDefault="00EC6E7E">
            <w:pPr>
              <w:spacing w:line="240" w:lineRule="auto"/>
              <w:ind w:firstLineChars="0" w:firstLine="0"/>
              <w:rPr>
                <w:color w:val="auto"/>
                <w:sz w:val="21"/>
                <w:szCs w:val="21"/>
              </w:rPr>
            </w:pPr>
            <w:r>
              <w:rPr>
                <w:rFonts w:hint="eastAsia"/>
                <w:color w:val="auto"/>
                <w:sz w:val="21"/>
                <w:szCs w:val="21"/>
              </w:rPr>
              <w:t>“三同时”符合性评价单元</w:t>
            </w:r>
          </w:p>
        </w:tc>
        <w:tc>
          <w:tcPr>
            <w:tcW w:w="4534" w:type="dxa"/>
            <w:vAlign w:val="center"/>
          </w:tcPr>
          <w:p w:rsidR="003F13AB" w:rsidRDefault="00EC6E7E">
            <w:pPr>
              <w:spacing w:line="240" w:lineRule="auto"/>
              <w:ind w:firstLineChars="0" w:firstLine="0"/>
              <w:rPr>
                <w:color w:val="auto"/>
                <w:sz w:val="21"/>
                <w:szCs w:val="21"/>
              </w:rPr>
            </w:pPr>
            <w:r>
              <w:rPr>
                <w:color w:val="auto"/>
                <w:sz w:val="21"/>
                <w:szCs w:val="21"/>
              </w:rPr>
              <w:t>安全检查表法</w:t>
            </w:r>
          </w:p>
        </w:tc>
      </w:tr>
      <w:tr w:rsidR="003F13AB">
        <w:trPr>
          <w:trHeight w:val="340"/>
          <w:jc w:val="center"/>
        </w:trPr>
        <w:tc>
          <w:tcPr>
            <w:tcW w:w="1135" w:type="dxa"/>
            <w:vAlign w:val="center"/>
          </w:tcPr>
          <w:p w:rsidR="003F13AB" w:rsidRDefault="00EC6E7E">
            <w:pPr>
              <w:spacing w:line="240" w:lineRule="auto"/>
              <w:ind w:firstLineChars="0" w:firstLine="0"/>
              <w:jc w:val="center"/>
              <w:rPr>
                <w:color w:val="auto"/>
                <w:sz w:val="21"/>
                <w:szCs w:val="21"/>
              </w:rPr>
            </w:pPr>
            <w:r>
              <w:rPr>
                <w:rFonts w:hint="eastAsia"/>
                <w:color w:val="auto"/>
                <w:sz w:val="21"/>
                <w:szCs w:val="21"/>
              </w:rPr>
              <w:t>2</w:t>
            </w:r>
          </w:p>
        </w:tc>
        <w:tc>
          <w:tcPr>
            <w:tcW w:w="3403" w:type="dxa"/>
            <w:vAlign w:val="center"/>
          </w:tcPr>
          <w:p w:rsidR="003F13AB" w:rsidRDefault="00EC6E7E">
            <w:pPr>
              <w:spacing w:line="240" w:lineRule="auto"/>
              <w:ind w:firstLineChars="0" w:firstLine="0"/>
              <w:rPr>
                <w:color w:val="auto"/>
                <w:sz w:val="21"/>
                <w:szCs w:val="21"/>
              </w:rPr>
            </w:pPr>
            <w:r>
              <w:rPr>
                <w:color w:val="auto"/>
                <w:sz w:val="21"/>
                <w:szCs w:val="21"/>
              </w:rPr>
              <w:t>总平面布置安全评价单元</w:t>
            </w:r>
          </w:p>
        </w:tc>
        <w:tc>
          <w:tcPr>
            <w:tcW w:w="4534" w:type="dxa"/>
            <w:vAlign w:val="center"/>
          </w:tcPr>
          <w:p w:rsidR="003F13AB" w:rsidRDefault="00EC6E7E">
            <w:pPr>
              <w:spacing w:line="240" w:lineRule="auto"/>
              <w:ind w:firstLineChars="0" w:firstLine="0"/>
              <w:rPr>
                <w:color w:val="auto"/>
                <w:sz w:val="21"/>
                <w:szCs w:val="21"/>
              </w:rPr>
            </w:pPr>
            <w:r>
              <w:rPr>
                <w:color w:val="auto"/>
                <w:sz w:val="21"/>
                <w:szCs w:val="21"/>
              </w:rPr>
              <w:t>安全检查表法</w:t>
            </w:r>
          </w:p>
        </w:tc>
      </w:tr>
      <w:tr w:rsidR="003F13AB">
        <w:trPr>
          <w:trHeight w:val="340"/>
          <w:jc w:val="center"/>
        </w:trPr>
        <w:tc>
          <w:tcPr>
            <w:tcW w:w="1135" w:type="dxa"/>
            <w:vAlign w:val="center"/>
          </w:tcPr>
          <w:p w:rsidR="003F13AB" w:rsidRDefault="00EC6E7E">
            <w:pPr>
              <w:spacing w:line="240" w:lineRule="auto"/>
              <w:ind w:firstLineChars="0" w:firstLine="0"/>
              <w:jc w:val="center"/>
              <w:rPr>
                <w:color w:val="auto"/>
                <w:sz w:val="21"/>
                <w:szCs w:val="21"/>
              </w:rPr>
            </w:pPr>
            <w:r>
              <w:rPr>
                <w:color w:val="auto"/>
                <w:sz w:val="21"/>
                <w:szCs w:val="21"/>
              </w:rPr>
              <w:t>3</w:t>
            </w:r>
          </w:p>
        </w:tc>
        <w:tc>
          <w:tcPr>
            <w:tcW w:w="3403" w:type="dxa"/>
            <w:vAlign w:val="center"/>
          </w:tcPr>
          <w:p w:rsidR="003F13AB" w:rsidRDefault="00EC6E7E">
            <w:pPr>
              <w:spacing w:line="240" w:lineRule="auto"/>
              <w:ind w:firstLineChars="0" w:firstLine="0"/>
              <w:rPr>
                <w:color w:val="auto"/>
                <w:sz w:val="21"/>
                <w:szCs w:val="21"/>
              </w:rPr>
            </w:pPr>
            <w:r>
              <w:rPr>
                <w:color w:val="auto"/>
                <w:sz w:val="21"/>
                <w:szCs w:val="21"/>
              </w:rPr>
              <w:t>工艺及设备设施评价单元</w:t>
            </w:r>
          </w:p>
        </w:tc>
        <w:tc>
          <w:tcPr>
            <w:tcW w:w="4534" w:type="dxa"/>
            <w:vAlign w:val="center"/>
          </w:tcPr>
          <w:p w:rsidR="003F13AB" w:rsidRDefault="00EC6E7E">
            <w:pPr>
              <w:spacing w:line="240" w:lineRule="auto"/>
              <w:ind w:firstLineChars="0" w:firstLine="0"/>
              <w:rPr>
                <w:color w:val="auto"/>
                <w:sz w:val="21"/>
                <w:szCs w:val="21"/>
              </w:rPr>
            </w:pPr>
            <w:r>
              <w:rPr>
                <w:color w:val="auto"/>
                <w:sz w:val="21"/>
                <w:szCs w:val="21"/>
              </w:rPr>
              <w:t>安全检查表法</w:t>
            </w:r>
          </w:p>
        </w:tc>
      </w:tr>
      <w:tr w:rsidR="003F13AB">
        <w:trPr>
          <w:trHeight w:val="340"/>
          <w:jc w:val="center"/>
        </w:trPr>
        <w:tc>
          <w:tcPr>
            <w:tcW w:w="1135" w:type="dxa"/>
            <w:vAlign w:val="center"/>
          </w:tcPr>
          <w:p w:rsidR="003F13AB" w:rsidRDefault="00EC6E7E">
            <w:pPr>
              <w:spacing w:line="240" w:lineRule="auto"/>
              <w:ind w:firstLineChars="0" w:firstLine="0"/>
              <w:jc w:val="center"/>
              <w:rPr>
                <w:color w:val="auto"/>
                <w:sz w:val="21"/>
                <w:szCs w:val="21"/>
              </w:rPr>
            </w:pPr>
            <w:r>
              <w:rPr>
                <w:color w:val="auto"/>
                <w:sz w:val="21"/>
                <w:szCs w:val="21"/>
              </w:rPr>
              <w:t>4</w:t>
            </w:r>
          </w:p>
        </w:tc>
        <w:tc>
          <w:tcPr>
            <w:tcW w:w="3403" w:type="dxa"/>
            <w:vAlign w:val="center"/>
          </w:tcPr>
          <w:p w:rsidR="003F13AB" w:rsidRDefault="00EC6E7E">
            <w:pPr>
              <w:spacing w:line="240" w:lineRule="auto"/>
              <w:ind w:firstLineChars="0" w:firstLine="0"/>
              <w:rPr>
                <w:color w:val="auto"/>
                <w:sz w:val="21"/>
                <w:szCs w:val="21"/>
              </w:rPr>
            </w:pPr>
            <w:r>
              <w:rPr>
                <w:rFonts w:hint="eastAsia"/>
                <w:color w:val="auto"/>
                <w:sz w:val="21"/>
                <w:szCs w:val="21"/>
              </w:rPr>
              <w:t>重大安全隐患判定符合性分析单元</w:t>
            </w:r>
          </w:p>
        </w:tc>
        <w:tc>
          <w:tcPr>
            <w:tcW w:w="4534" w:type="dxa"/>
            <w:vAlign w:val="center"/>
          </w:tcPr>
          <w:p w:rsidR="003F13AB" w:rsidRDefault="00EC6E7E">
            <w:pPr>
              <w:spacing w:line="240" w:lineRule="auto"/>
              <w:ind w:firstLineChars="0" w:firstLine="0"/>
              <w:rPr>
                <w:color w:val="auto"/>
                <w:sz w:val="21"/>
                <w:szCs w:val="21"/>
              </w:rPr>
            </w:pPr>
            <w:r>
              <w:rPr>
                <w:color w:val="auto"/>
                <w:sz w:val="21"/>
                <w:szCs w:val="21"/>
              </w:rPr>
              <w:t>安全检查表法</w:t>
            </w:r>
          </w:p>
        </w:tc>
      </w:tr>
      <w:tr w:rsidR="003F13AB">
        <w:trPr>
          <w:trHeight w:val="340"/>
          <w:jc w:val="center"/>
        </w:trPr>
        <w:tc>
          <w:tcPr>
            <w:tcW w:w="1135" w:type="dxa"/>
            <w:vAlign w:val="center"/>
          </w:tcPr>
          <w:p w:rsidR="003F13AB" w:rsidRDefault="00EC6E7E">
            <w:pPr>
              <w:spacing w:line="240" w:lineRule="auto"/>
              <w:ind w:firstLineChars="0" w:firstLine="0"/>
              <w:jc w:val="center"/>
              <w:rPr>
                <w:color w:val="auto"/>
                <w:sz w:val="21"/>
                <w:szCs w:val="21"/>
              </w:rPr>
            </w:pPr>
            <w:r>
              <w:rPr>
                <w:color w:val="auto"/>
                <w:sz w:val="21"/>
                <w:szCs w:val="21"/>
              </w:rPr>
              <w:t>5</w:t>
            </w:r>
          </w:p>
        </w:tc>
        <w:tc>
          <w:tcPr>
            <w:tcW w:w="3403" w:type="dxa"/>
            <w:vAlign w:val="center"/>
          </w:tcPr>
          <w:p w:rsidR="003F13AB" w:rsidRDefault="00EC6E7E">
            <w:pPr>
              <w:spacing w:line="240" w:lineRule="auto"/>
              <w:ind w:firstLineChars="0" w:firstLine="0"/>
              <w:rPr>
                <w:color w:val="auto"/>
                <w:sz w:val="21"/>
                <w:szCs w:val="21"/>
              </w:rPr>
            </w:pPr>
            <w:r>
              <w:rPr>
                <w:rFonts w:hint="eastAsia"/>
                <w:color w:val="auto"/>
                <w:sz w:val="21"/>
                <w:szCs w:val="21"/>
              </w:rPr>
              <w:t>公用工程及辅助设施单元</w:t>
            </w:r>
          </w:p>
        </w:tc>
        <w:tc>
          <w:tcPr>
            <w:tcW w:w="4534" w:type="dxa"/>
            <w:vAlign w:val="center"/>
          </w:tcPr>
          <w:p w:rsidR="003F13AB" w:rsidRDefault="00EC6E7E">
            <w:pPr>
              <w:spacing w:line="240" w:lineRule="auto"/>
              <w:ind w:firstLineChars="0" w:firstLine="0"/>
              <w:rPr>
                <w:color w:val="auto"/>
                <w:sz w:val="21"/>
                <w:szCs w:val="21"/>
              </w:rPr>
            </w:pPr>
            <w:r>
              <w:rPr>
                <w:color w:val="auto"/>
                <w:sz w:val="21"/>
                <w:szCs w:val="21"/>
              </w:rPr>
              <w:t>安全检查表法</w:t>
            </w:r>
          </w:p>
        </w:tc>
      </w:tr>
      <w:tr w:rsidR="003F13AB">
        <w:trPr>
          <w:trHeight w:val="340"/>
          <w:jc w:val="center"/>
        </w:trPr>
        <w:tc>
          <w:tcPr>
            <w:tcW w:w="1135" w:type="dxa"/>
            <w:vAlign w:val="center"/>
          </w:tcPr>
          <w:p w:rsidR="003F13AB" w:rsidRDefault="00EC6E7E">
            <w:pPr>
              <w:spacing w:line="240" w:lineRule="auto"/>
              <w:ind w:firstLineChars="0" w:firstLine="0"/>
              <w:jc w:val="center"/>
              <w:rPr>
                <w:color w:val="auto"/>
                <w:sz w:val="21"/>
                <w:szCs w:val="21"/>
              </w:rPr>
            </w:pPr>
            <w:r>
              <w:rPr>
                <w:rFonts w:hint="eastAsia"/>
                <w:color w:val="auto"/>
                <w:sz w:val="21"/>
                <w:szCs w:val="21"/>
              </w:rPr>
              <w:t>6</w:t>
            </w:r>
          </w:p>
        </w:tc>
        <w:tc>
          <w:tcPr>
            <w:tcW w:w="3403" w:type="dxa"/>
            <w:vAlign w:val="center"/>
          </w:tcPr>
          <w:p w:rsidR="003F13AB" w:rsidRDefault="00EC6E7E">
            <w:pPr>
              <w:spacing w:line="240" w:lineRule="auto"/>
              <w:ind w:firstLineChars="0" w:firstLine="0"/>
              <w:rPr>
                <w:color w:val="auto"/>
                <w:sz w:val="21"/>
                <w:szCs w:val="21"/>
              </w:rPr>
            </w:pPr>
            <w:r>
              <w:rPr>
                <w:rFonts w:hint="eastAsia"/>
                <w:color w:val="auto"/>
                <w:sz w:val="21"/>
                <w:szCs w:val="21"/>
              </w:rPr>
              <w:t>安全管理及应急救援单元</w:t>
            </w:r>
          </w:p>
        </w:tc>
        <w:tc>
          <w:tcPr>
            <w:tcW w:w="4534" w:type="dxa"/>
            <w:vAlign w:val="center"/>
          </w:tcPr>
          <w:p w:rsidR="003F13AB" w:rsidRDefault="00EC6E7E">
            <w:pPr>
              <w:spacing w:line="240" w:lineRule="auto"/>
              <w:ind w:firstLineChars="0" w:firstLine="0"/>
              <w:rPr>
                <w:color w:val="auto"/>
                <w:sz w:val="21"/>
                <w:szCs w:val="21"/>
              </w:rPr>
            </w:pPr>
            <w:r>
              <w:rPr>
                <w:color w:val="auto"/>
                <w:sz w:val="21"/>
                <w:szCs w:val="21"/>
              </w:rPr>
              <w:t>安全检查表法</w:t>
            </w:r>
          </w:p>
        </w:tc>
      </w:tr>
    </w:tbl>
    <w:p w:rsidR="003F13AB" w:rsidRDefault="00EC6E7E">
      <w:pPr>
        <w:pStyle w:val="2"/>
      </w:pPr>
      <w:bookmarkStart w:id="161" w:name="_Toc503269890"/>
      <w:bookmarkStart w:id="162" w:name="_Toc472693305"/>
      <w:bookmarkStart w:id="163" w:name="_Toc454199070"/>
      <w:bookmarkStart w:id="164" w:name="_Toc187914429"/>
      <w:bookmarkStart w:id="165" w:name="_Toc166857581"/>
      <w:bookmarkEnd w:id="158"/>
      <w:bookmarkEnd w:id="159"/>
      <w:bookmarkEnd w:id="160"/>
      <w:r>
        <w:rPr>
          <w:rFonts w:hint="eastAsia"/>
        </w:rPr>
        <w:t>4.3 评价方法简介</w:t>
      </w:r>
      <w:bookmarkEnd w:id="161"/>
      <w:bookmarkEnd w:id="162"/>
      <w:bookmarkEnd w:id="163"/>
      <w:bookmarkEnd w:id="164"/>
      <w:bookmarkEnd w:id="165"/>
    </w:p>
    <w:p w:rsidR="003F13AB" w:rsidRDefault="00EC6E7E">
      <w:pPr>
        <w:ind w:firstLine="560"/>
        <w:rPr>
          <w:color w:val="auto"/>
        </w:rPr>
      </w:pPr>
      <w:r>
        <w:rPr>
          <w:rFonts w:hint="eastAsia"/>
          <w:color w:val="auto"/>
        </w:rPr>
        <w:t>本次评价所采用的评价方法的介绍</w:t>
      </w:r>
      <w:proofErr w:type="gramStart"/>
      <w:r>
        <w:rPr>
          <w:rFonts w:hint="eastAsia"/>
          <w:color w:val="auto"/>
        </w:rPr>
        <w:t>见报告</w:t>
      </w:r>
      <w:proofErr w:type="gramEnd"/>
      <w:r>
        <w:rPr>
          <w:rFonts w:hint="eastAsia"/>
          <w:color w:val="auto"/>
        </w:rPr>
        <w:t>附件</w:t>
      </w:r>
      <w:r>
        <w:rPr>
          <w:rFonts w:hint="eastAsia"/>
          <w:color w:val="auto"/>
        </w:rPr>
        <w:t>3</w:t>
      </w:r>
      <w:r>
        <w:rPr>
          <w:rFonts w:hint="eastAsia"/>
          <w:color w:val="auto"/>
        </w:rPr>
        <w:t>。</w:t>
      </w:r>
    </w:p>
    <w:p w:rsidR="003F13AB" w:rsidRDefault="00EC6E7E">
      <w:pPr>
        <w:pStyle w:val="1"/>
        <w:keepNext w:val="0"/>
        <w:keepLines w:val="0"/>
        <w:numPr>
          <w:ilvl w:val="0"/>
          <w:numId w:val="1"/>
        </w:numPr>
        <w:ind w:left="0" w:firstLine="0"/>
        <w:textAlignment w:val="center"/>
        <w:rPr>
          <w:rFonts w:ascii="宋体" w:hAnsi="宋体"/>
          <w:b/>
          <w:bCs w:val="0"/>
          <w:color w:val="auto"/>
          <w:szCs w:val="20"/>
        </w:rPr>
      </w:pPr>
      <w:r>
        <w:rPr>
          <w:rFonts w:ascii="宋体" w:hAnsi="宋体" w:hint="eastAsia"/>
          <w:b/>
          <w:bCs w:val="0"/>
          <w:color w:val="auto"/>
          <w:szCs w:val="20"/>
        </w:rPr>
        <w:lastRenderedPageBreak/>
        <w:t xml:space="preserve">  </w:t>
      </w:r>
      <w:bookmarkStart w:id="166" w:name="_Toc187914430"/>
      <w:bookmarkStart w:id="167" w:name="_Toc166857582"/>
      <w:r>
        <w:rPr>
          <w:rFonts w:ascii="宋体" w:hAnsi="宋体" w:hint="eastAsia"/>
          <w:b/>
          <w:bCs w:val="0"/>
          <w:color w:val="auto"/>
          <w:szCs w:val="20"/>
        </w:rPr>
        <w:t>“三同时”符合性评价结果</w:t>
      </w:r>
      <w:bookmarkEnd w:id="166"/>
      <w:bookmarkEnd w:id="167"/>
    </w:p>
    <w:p w:rsidR="003F13AB" w:rsidRDefault="00EC6E7E">
      <w:pPr>
        <w:pStyle w:val="2"/>
      </w:pPr>
      <w:bookmarkStart w:id="168" w:name="_Toc166857583"/>
      <w:bookmarkStart w:id="169" w:name="_Toc187914431"/>
      <w:r>
        <w:rPr>
          <w:rFonts w:hint="eastAsia"/>
        </w:rPr>
        <w:t>5.1 建设项目安全设施“三同时”符合性分析评价结果</w:t>
      </w:r>
      <w:bookmarkEnd w:id="168"/>
      <w:bookmarkEnd w:id="169"/>
    </w:p>
    <w:p w:rsidR="003F13AB" w:rsidRDefault="00EC6E7E">
      <w:pPr>
        <w:ind w:firstLine="560"/>
        <w:rPr>
          <w:color w:val="auto"/>
        </w:rPr>
      </w:pPr>
      <w:r>
        <w:rPr>
          <w:rFonts w:hint="eastAsia"/>
          <w:color w:val="auto"/>
        </w:rPr>
        <w:t>根据《中华人民共和国安全生产法（</w:t>
      </w:r>
      <w:r>
        <w:rPr>
          <w:rFonts w:hint="eastAsia"/>
          <w:color w:val="auto"/>
        </w:rPr>
        <w:t>2021</w:t>
      </w:r>
      <w:r>
        <w:rPr>
          <w:rFonts w:hint="eastAsia"/>
          <w:color w:val="auto"/>
        </w:rPr>
        <w:t>年修订）》（中华人民共和国主席令第八十八号修订后公布，</w:t>
      </w:r>
      <w:r>
        <w:rPr>
          <w:rFonts w:hint="eastAsia"/>
          <w:color w:val="auto"/>
        </w:rPr>
        <w:t>2021</w:t>
      </w:r>
      <w:r>
        <w:rPr>
          <w:rFonts w:hint="eastAsia"/>
          <w:color w:val="auto"/>
        </w:rPr>
        <w:t>年</w:t>
      </w:r>
      <w:r>
        <w:rPr>
          <w:rFonts w:hint="eastAsia"/>
          <w:color w:val="auto"/>
        </w:rPr>
        <w:t>9</w:t>
      </w:r>
      <w:r>
        <w:rPr>
          <w:rFonts w:hint="eastAsia"/>
          <w:color w:val="auto"/>
        </w:rPr>
        <w:t>月</w:t>
      </w:r>
      <w:r>
        <w:rPr>
          <w:rFonts w:hint="eastAsia"/>
          <w:color w:val="auto"/>
        </w:rPr>
        <w:t>1</w:t>
      </w:r>
      <w:r>
        <w:rPr>
          <w:rFonts w:hint="eastAsia"/>
          <w:color w:val="auto"/>
        </w:rPr>
        <w:t>日施行）、《建设项目安全设施“三同时”监督管理办法》（原安监总局令第</w:t>
      </w:r>
      <w:r>
        <w:rPr>
          <w:rFonts w:hint="eastAsia"/>
          <w:color w:val="auto"/>
        </w:rPr>
        <w:t>36</w:t>
      </w:r>
      <w:r>
        <w:rPr>
          <w:rFonts w:hint="eastAsia"/>
          <w:color w:val="auto"/>
        </w:rPr>
        <w:t>号，第</w:t>
      </w:r>
      <w:r>
        <w:rPr>
          <w:rFonts w:hint="eastAsia"/>
          <w:color w:val="auto"/>
        </w:rPr>
        <w:t>77</w:t>
      </w:r>
      <w:r>
        <w:rPr>
          <w:rFonts w:hint="eastAsia"/>
          <w:color w:val="auto"/>
        </w:rPr>
        <w:t>号令修改）等法律、规范的要求，对该项目进行“三同时”符合性评价，检查表</w:t>
      </w:r>
      <w:proofErr w:type="gramStart"/>
      <w:r>
        <w:rPr>
          <w:rFonts w:hint="eastAsia"/>
          <w:color w:val="auto"/>
        </w:rPr>
        <w:t>见报告</w:t>
      </w:r>
      <w:proofErr w:type="gramEnd"/>
      <w:r>
        <w:rPr>
          <w:rFonts w:hint="eastAsia"/>
          <w:color w:val="auto"/>
        </w:rPr>
        <w:t>附件第</w:t>
      </w:r>
      <w:r>
        <w:rPr>
          <w:rFonts w:hint="eastAsia"/>
          <w:color w:val="auto"/>
        </w:rPr>
        <w:t>5</w:t>
      </w:r>
      <w:r>
        <w:rPr>
          <w:rFonts w:hint="eastAsia"/>
          <w:color w:val="auto"/>
        </w:rPr>
        <w:t>章</w:t>
      </w:r>
      <w:r>
        <w:rPr>
          <w:rFonts w:hint="eastAsia"/>
          <w:color w:val="auto"/>
        </w:rPr>
        <w:t>5.1</w:t>
      </w:r>
      <w:r>
        <w:rPr>
          <w:rFonts w:hint="eastAsia"/>
          <w:color w:val="auto"/>
        </w:rPr>
        <w:t>节，表</w:t>
      </w:r>
      <w:r>
        <w:rPr>
          <w:rFonts w:hint="eastAsia"/>
          <w:color w:val="auto"/>
        </w:rPr>
        <w:t>5.1-1</w:t>
      </w:r>
      <w:r>
        <w:rPr>
          <w:rFonts w:hint="eastAsia"/>
          <w:color w:val="auto"/>
        </w:rPr>
        <w:t>。</w:t>
      </w:r>
    </w:p>
    <w:p w:rsidR="003F13AB" w:rsidRDefault="00EC6E7E">
      <w:pPr>
        <w:pStyle w:val="2"/>
      </w:pPr>
      <w:bookmarkStart w:id="170" w:name="_Toc187914432"/>
      <w:bookmarkStart w:id="171" w:name="_Toc166857584"/>
      <w:r>
        <w:t>5.2 安全对策措施落实情况分析评价结果</w:t>
      </w:r>
      <w:bookmarkEnd w:id="170"/>
      <w:bookmarkEnd w:id="171"/>
    </w:p>
    <w:p w:rsidR="003F13AB" w:rsidRDefault="00EC6E7E">
      <w:pPr>
        <w:ind w:firstLine="560"/>
        <w:rPr>
          <w:color w:val="auto"/>
        </w:rPr>
      </w:pPr>
      <w:r>
        <w:rPr>
          <w:color w:val="auto"/>
        </w:rPr>
        <w:t>根据《</w:t>
      </w:r>
      <w:r>
        <w:rPr>
          <w:rFonts w:hint="eastAsia"/>
          <w:color w:val="auto"/>
        </w:rPr>
        <w:t>云南农家乐农业集团有限公司年产</w:t>
      </w:r>
      <w:r>
        <w:rPr>
          <w:rFonts w:hint="eastAsia"/>
          <w:color w:val="auto"/>
        </w:rPr>
        <w:t>50</w:t>
      </w:r>
      <w:r>
        <w:rPr>
          <w:rFonts w:hint="eastAsia"/>
          <w:color w:val="auto"/>
        </w:rPr>
        <w:t>万吨缓控释肥料、水溶肥料、专用肥料生产基地建设项目安全设施设计</w:t>
      </w:r>
      <w:r>
        <w:rPr>
          <w:color w:val="auto"/>
        </w:rPr>
        <w:t>》第</w:t>
      </w:r>
      <w:r>
        <w:rPr>
          <w:rFonts w:hint="eastAsia"/>
          <w:color w:val="auto"/>
        </w:rPr>
        <w:t>6</w:t>
      </w:r>
      <w:r>
        <w:rPr>
          <w:color w:val="auto"/>
        </w:rPr>
        <w:t>章，复核项目所采取的安全设施设置情况，</w:t>
      </w:r>
      <w:r>
        <w:rPr>
          <w:rFonts w:hint="eastAsia"/>
          <w:color w:val="auto"/>
        </w:rPr>
        <w:t>得出</w:t>
      </w:r>
      <w:r>
        <w:rPr>
          <w:color w:val="auto"/>
        </w:rPr>
        <w:t>如下结论：</w:t>
      </w:r>
    </w:p>
    <w:p w:rsidR="003F13AB" w:rsidRDefault="00EC6E7E">
      <w:pPr>
        <w:ind w:firstLine="560"/>
        <w:rPr>
          <w:color w:val="auto"/>
        </w:rPr>
      </w:pPr>
      <w:r>
        <w:rPr>
          <w:color w:val="auto"/>
        </w:rPr>
        <w:t>建</w:t>
      </w:r>
      <w:r>
        <w:rPr>
          <w:rFonts w:hint="eastAsia"/>
          <w:color w:val="auto"/>
        </w:rPr>
        <w:t>设项目按照《云南农家乐农业集团有限公司年产</w:t>
      </w:r>
      <w:r>
        <w:rPr>
          <w:rFonts w:hint="eastAsia"/>
          <w:color w:val="auto"/>
        </w:rPr>
        <w:t>50</w:t>
      </w:r>
      <w:r>
        <w:rPr>
          <w:rFonts w:hint="eastAsia"/>
          <w:color w:val="auto"/>
        </w:rPr>
        <w:t>万吨缓控释肥料、水溶肥料、专用肥料生产基地建设项目安全设施设计》提出的安全设施进行设置，与主体设备同时施工，同时投入使用；建设项目采用设备的设计、制造、安装单位具备相应资质</w:t>
      </w:r>
      <w:r>
        <w:rPr>
          <w:color w:val="auto"/>
        </w:rPr>
        <w:t>。</w:t>
      </w:r>
    </w:p>
    <w:p w:rsidR="003F13AB" w:rsidRDefault="003F13AB">
      <w:pPr>
        <w:ind w:firstLine="560"/>
        <w:rPr>
          <w:color w:val="auto"/>
        </w:rPr>
      </w:pPr>
    </w:p>
    <w:p w:rsidR="003F13AB" w:rsidRDefault="00EC6E7E">
      <w:pPr>
        <w:pStyle w:val="1"/>
        <w:keepNext w:val="0"/>
        <w:keepLines w:val="0"/>
        <w:ind w:left="2203"/>
        <w:jc w:val="both"/>
        <w:textAlignment w:val="center"/>
        <w:rPr>
          <w:rFonts w:ascii="宋体" w:hAnsi="宋体"/>
          <w:b/>
          <w:bCs w:val="0"/>
          <w:color w:val="auto"/>
          <w:szCs w:val="20"/>
        </w:rPr>
      </w:pPr>
      <w:bookmarkStart w:id="172" w:name="_Toc166857585"/>
      <w:bookmarkStart w:id="173" w:name="_Toc187914433"/>
      <w:bookmarkStart w:id="174" w:name="_Toc503269891"/>
      <w:r>
        <w:rPr>
          <w:rFonts w:ascii="宋体" w:hAnsi="宋体" w:hint="eastAsia"/>
          <w:b/>
          <w:bCs w:val="0"/>
          <w:color w:val="auto"/>
          <w:szCs w:val="20"/>
        </w:rPr>
        <w:lastRenderedPageBreak/>
        <w:t>6  固有危险程度定量分析评价</w:t>
      </w:r>
      <w:bookmarkEnd w:id="172"/>
      <w:bookmarkEnd w:id="173"/>
    </w:p>
    <w:p w:rsidR="003F13AB" w:rsidRDefault="00EC6E7E">
      <w:pPr>
        <w:pStyle w:val="2"/>
      </w:pPr>
      <w:bookmarkStart w:id="175" w:name="_Toc187914434"/>
      <w:bookmarkStart w:id="176" w:name="_Toc166857586"/>
      <w:r>
        <w:rPr>
          <w:rFonts w:hint="eastAsia"/>
        </w:rPr>
        <w:t>6.1 定量分析评价结果</w:t>
      </w:r>
      <w:bookmarkEnd w:id="175"/>
      <w:bookmarkEnd w:id="176"/>
    </w:p>
    <w:p w:rsidR="003F13AB" w:rsidRDefault="00EC6E7E">
      <w:pPr>
        <w:ind w:firstLine="560"/>
      </w:pPr>
      <w:r>
        <w:rPr>
          <w:rFonts w:hint="eastAsia"/>
        </w:rPr>
        <w:t>当农家乐公司锅炉发生爆炸时，距爆炸中心</w:t>
      </w:r>
      <w:r>
        <w:rPr>
          <w:rFonts w:hint="eastAsia"/>
        </w:rPr>
        <w:t>12.4m</w:t>
      </w:r>
      <w:r>
        <w:rPr>
          <w:rFonts w:hint="eastAsia"/>
        </w:rPr>
        <w:t>以内的人员将大部分死亡，影响半径大于</w:t>
      </w:r>
      <w:r>
        <w:rPr>
          <w:rFonts w:hint="eastAsia"/>
        </w:rPr>
        <w:t>29.5</w:t>
      </w:r>
      <w:r>
        <w:rPr>
          <w:rFonts w:hint="eastAsia"/>
        </w:rPr>
        <w:t>米无损伤。对建筑物的破坏作用为影响半径</w:t>
      </w:r>
      <w:r>
        <w:rPr>
          <w:rFonts w:hint="eastAsia"/>
        </w:rPr>
        <w:t>9.1</w:t>
      </w:r>
      <w:r>
        <w:rPr>
          <w:rFonts w:hint="eastAsia"/>
        </w:rPr>
        <w:t>米范围内大型钢架结构破坏；对影响半径</w:t>
      </w:r>
      <w:r>
        <w:rPr>
          <w:rFonts w:hint="eastAsia"/>
        </w:rPr>
        <w:t>36.5</w:t>
      </w:r>
      <w:r>
        <w:rPr>
          <w:rFonts w:hint="eastAsia"/>
        </w:rPr>
        <w:t>米以远的建构筑物无影响。因此，在项目运行中须加强天然气锅炉日常安全生产管理、检查和定期检测，以确保锅炉的安全运行。计算结果详见附件</w:t>
      </w:r>
      <w:r>
        <w:rPr>
          <w:rFonts w:hint="eastAsia"/>
        </w:rPr>
        <w:t>4</w:t>
      </w:r>
      <w:r>
        <w:rPr>
          <w:rFonts w:hint="eastAsia"/>
        </w:rPr>
        <w:t>。</w:t>
      </w:r>
    </w:p>
    <w:p w:rsidR="003F13AB" w:rsidRDefault="00EC6E7E">
      <w:pPr>
        <w:pStyle w:val="1"/>
        <w:keepNext w:val="0"/>
        <w:keepLines w:val="0"/>
        <w:ind w:left="1843"/>
        <w:textAlignment w:val="center"/>
        <w:rPr>
          <w:rFonts w:ascii="宋体" w:hAnsi="宋体"/>
          <w:b/>
          <w:bCs w:val="0"/>
          <w:color w:val="auto"/>
          <w:szCs w:val="20"/>
        </w:rPr>
      </w:pPr>
      <w:bookmarkStart w:id="177" w:name="_Toc166857587"/>
      <w:bookmarkStart w:id="178" w:name="_Toc187914435"/>
      <w:r>
        <w:rPr>
          <w:rFonts w:ascii="宋体" w:hAnsi="宋体" w:hint="eastAsia"/>
          <w:b/>
          <w:bCs w:val="0"/>
          <w:color w:val="auto"/>
          <w:szCs w:val="20"/>
        </w:rPr>
        <w:lastRenderedPageBreak/>
        <w:t>7  安全条件和安全运行条件分析评价</w:t>
      </w:r>
      <w:bookmarkEnd w:id="174"/>
      <w:r>
        <w:rPr>
          <w:rFonts w:ascii="宋体" w:hAnsi="宋体" w:hint="eastAsia"/>
          <w:b/>
          <w:bCs w:val="0"/>
          <w:color w:val="auto"/>
          <w:szCs w:val="20"/>
        </w:rPr>
        <w:t>结果</w:t>
      </w:r>
      <w:bookmarkEnd w:id="177"/>
      <w:bookmarkEnd w:id="178"/>
    </w:p>
    <w:p w:rsidR="003F13AB" w:rsidRDefault="00EC6E7E">
      <w:pPr>
        <w:pStyle w:val="2"/>
      </w:pPr>
      <w:bookmarkStart w:id="179" w:name="_Toc247620204"/>
      <w:bookmarkStart w:id="180" w:name="_Toc187914436"/>
      <w:bookmarkStart w:id="181" w:name="_Toc166857588"/>
      <w:bookmarkStart w:id="182" w:name="_Toc503269892"/>
      <w:r>
        <w:rPr>
          <w:rFonts w:hint="eastAsia"/>
        </w:rPr>
        <w:t>7.1</w:t>
      </w:r>
      <w:bookmarkEnd w:id="179"/>
      <w:r>
        <w:rPr>
          <w:rFonts w:hint="eastAsia"/>
        </w:rPr>
        <w:t>总平面布置单元评价</w:t>
      </w:r>
      <w:bookmarkEnd w:id="180"/>
      <w:bookmarkEnd w:id="181"/>
      <w:bookmarkEnd w:id="182"/>
    </w:p>
    <w:p w:rsidR="003F13AB" w:rsidRDefault="00EC6E7E">
      <w:pPr>
        <w:pStyle w:val="3"/>
        <w:rPr>
          <w:rFonts w:cs="宋体"/>
        </w:rPr>
      </w:pPr>
      <w:bookmarkStart w:id="183" w:name="_Toc187914437"/>
      <w:bookmarkStart w:id="184" w:name="_Toc503269894"/>
      <w:r>
        <w:rPr>
          <w:rFonts w:hint="eastAsia"/>
        </w:rPr>
        <w:t>7.1.1 总平面布置单元评价结果</w:t>
      </w:r>
      <w:bookmarkEnd w:id="183"/>
    </w:p>
    <w:p w:rsidR="003F13AB" w:rsidRDefault="00EC6E7E">
      <w:pPr>
        <w:ind w:firstLine="560"/>
        <w:rPr>
          <w:color w:val="auto"/>
        </w:rPr>
      </w:pPr>
      <w:r>
        <w:rPr>
          <w:rFonts w:hint="eastAsia"/>
          <w:color w:val="auto"/>
        </w:rPr>
        <w:t>农家乐公司厂址周围无重点生态保护区，厂内按功能分区，布置合理，项目与周边建筑或设施的防火距离符合规范和标准要求；设有通道及装卸车场，能保证物资运输、安全操作及疏散方便。项目总平面布置满足《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）等规范的要求。当厂内发生事故时，对厂外周边建筑不会产生影响。厂区外部的正常生产生活不会对本项目产生影响。</w:t>
      </w:r>
    </w:p>
    <w:p w:rsidR="003F13AB" w:rsidRDefault="00EC6E7E">
      <w:pPr>
        <w:ind w:firstLine="560"/>
        <w:rPr>
          <w:color w:val="auto"/>
        </w:rPr>
      </w:pPr>
      <w:r>
        <w:rPr>
          <w:rFonts w:hint="eastAsia"/>
          <w:color w:val="auto"/>
        </w:rPr>
        <w:t>项目所在地的自然条件对本项目的影响在可接受和</w:t>
      </w:r>
      <w:proofErr w:type="gramStart"/>
      <w:r>
        <w:rPr>
          <w:rFonts w:hint="eastAsia"/>
          <w:color w:val="auto"/>
        </w:rPr>
        <w:t>可</w:t>
      </w:r>
      <w:proofErr w:type="gramEnd"/>
      <w:r>
        <w:rPr>
          <w:rFonts w:hint="eastAsia"/>
          <w:color w:val="auto"/>
        </w:rPr>
        <w:t>控制的范围内，没有发现重大不利安全影响。</w:t>
      </w:r>
    </w:p>
    <w:p w:rsidR="003F13AB" w:rsidRDefault="00EC6E7E">
      <w:pPr>
        <w:pStyle w:val="3"/>
        <w:rPr>
          <w:rFonts w:cs="宋体"/>
        </w:rPr>
      </w:pPr>
      <w:bookmarkStart w:id="185" w:name="_Toc187914438"/>
      <w:r>
        <w:rPr>
          <w:rFonts w:hint="eastAsia"/>
        </w:rPr>
        <w:t>7.1.2 厂内建构筑物与周边建筑物距离检查评价结果</w:t>
      </w:r>
      <w:bookmarkEnd w:id="185"/>
    </w:p>
    <w:p w:rsidR="003F13AB" w:rsidRDefault="00EC6E7E">
      <w:pPr>
        <w:ind w:firstLine="560"/>
        <w:rPr>
          <w:color w:val="auto"/>
        </w:rPr>
      </w:pPr>
      <w:r>
        <w:rPr>
          <w:rFonts w:hint="eastAsia"/>
          <w:color w:val="auto"/>
        </w:rPr>
        <w:t>根据表</w:t>
      </w:r>
      <w:r>
        <w:rPr>
          <w:rFonts w:hint="eastAsia"/>
          <w:color w:val="auto"/>
        </w:rPr>
        <w:t>6.1-2</w:t>
      </w:r>
      <w:r>
        <w:rPr>
          <w:rFonts w:hint="eastAsia"/>
          <w:color w:val="auto"/>
        </w:rPr>
        <w:t>得本项目总平面布置满足《建筑设计防火规范（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）的要求。</w:t>
      </w:r>
    </w:p>
    <w:p w:rsidR="003F13AB" w:rsidRDefault="00EC6E7E">
      <w:pPr>
        <w:pStyle w:val="3"/>
        <w:rPr>
          <w:rFonts w:cs="宋体"/>
        </w:rPr>
      </w:pPr>
      <w:bookmarkStart w:id="186" w:name="_Toc187914439"/>
      <w:r>
        <w:rPr>
          <w:rFonts w:hint="eastAsia"/>
        </w:rPr>
        <w:t>7.1.3 项目所在地的自然条件对项目运行的影响分析评价结果</w:t>
      </w:r>
      <w:bookmarkEnd w:id="184"/>
      <w:bookmarkEnd w:id="186"/>
    </w:p>
    <w:p w:rsidR="003F13AB" w:rsidRDefault="00EC6E7E">
      <w:pPr>
        <w:ind w:firstLine="560"/>
        <w:rPr>
          <w:color w:val="auto"/>
        </w:rPr>
      </w:pPr>
      <w:bookmarkStart w:id="187" w:name="_Toc472693308"/>
      <w:bookmarkStart w:id="188" w:name="_Toc503269895"/>
      <w:r>
        <w:rPr>
          <w:color w:val="auto"/>
          <w:lang w:val="zh-CN"/>
        </w:rPr>
        <w:t>项目所在地的自然条件对该建设项目的影响在可接受和</w:t>
      </w:r>
      <w:proofErr w:type="gramStart"/>
      <w:r>
        <w:rPr>
          <w:color w:val="auto"/>
          <w:lang w:val="zh-CN"/>
        </w:rPr>
        <w:t>可</w:t>
      </w:r>
      <w:proofErr w:type="gramEnd"/>
      <w:r>
        <w:rPr>
          <w:color w:val="auto"/>
          <w:lang w:val="zh-CN"/>
        </w:rPr>
        <w:t>控制的范围内，没有发现重大不利安全影响。</w:t>
      </w:r>
    </w:p>
    <w:p w:rsidR="003F13AB" w:rsidRDefault="00EC6E7E">
      <w:pPr>
        <w:pStyle w:val="2"/>
      </w:pPr>
      <w:bookmarkStart w:id="189" w:name="_Toc166857589"/>
      <w:bookmarkStart w:id="190" w:name="_Toc187914440"/>
      <w:r>
        <w:rPr>
          <w:rFonts w:hint="eastAsia"/>
        </w:rPr>
        <w:t>7.2工艺及设备设施单元评价</w:t>
      </w:r>
      <w:bookmarkEnd w:id="187"/>
      <w:bookmarkEnd w:id="188"/>
      <w:bookmarkEnd w:id="189"/>
      <w:r>
        <w:rPr>
          <w:rFonts w:hint="eastAsia"/>
        </w:rPr>
        <w:t>结果</w:t>
      </w:r>
      <w:bookmarkEnd w:id="190"/>
    </w:p>
    <w:p w:rsidR="003F13AB" w:rsidRDefault="00EC6E7E">
      <w:pPr>
        <w:ind w:firstLine="560"/>
        <w:rPr>
          <w:color w:val="auto"/>
        </w:rPr>
      </w:pPr>
      <w:bookmarkStart w:id="191" w:name="_Hlk68538508"/>
      <w:r>
        <w:rPr>
          <w:rFonts w:hint="eastAsia"/>
          <w:color w:val="auto"/>
        </w:rPr>
        <w:t>项目生产工艺、设备为国内成熟工艺、设备生产，不属于国家明令禁止使用或淘汰的。生产设备为正规厂家生产，生产设施、设备安全维护符合相关要求，工艺过程及作业场所、储存设施、安全设施符合相关安全规范。</w:t>
      </w:r>
      <w:bookmarkEnd w:id="191"/>
    </w:p>
    <w:p w:rsidR="003F13AB" w:rsidRDefault="00EC6E7E">
      <w:pPr>
        <w:pStyle w:val="2"/>
      </w:pPr>
      <w:bookmarkStart w:id="192" w:name="_Toc187914441"/>
      <w:bookmarkStart w:id="193" w:name="_Toc531615485"/>
      <w:bookmarkStart w:id="194" w:name="_Toc166857590"/>
      <w:bookmarkStart w:id="195" w:name="_Toc464803665"/>
      <w:bookmarkStart w:id="196" w:name="_Toc503269901"/>
      <w:bookmarkStart w:id="197" w:name="_Toc247620209"/>
      <w:bookmarkStart w:id="198" w:name="_Hlk68539068"/>
      <w:r>
        <w:rPr>
          <w:rFonts w:hint="eastAsia"/>
        </w:rPr>
        <w:t>7.3 公用工程及辅助设施单元评价</w:t>
      </w:r>
      <w:bookmarkEnd w:id="192"/>
      <w:bookmarkEnd w:id="193"/>
      <w:bookmarkEnd w:id="194"/>
      <w:bookmarkEnd w:id="195"/>
      <w:bookmarkEnd w:id="196"/>
      <w:bookmarkEnd w:id="197"/>
    </w:p>
    <w:p w:rsidR="003F13AB" w:rsidRDefault="00EC6E7E">
      <w:pPr>
        <w:ind w:firstLine="560"/>
        <w:rPr>
          <w:color w:val="auto"/>
        </w:rPr>
      </w:pPr>
      <w:r>
        <w:rPr>
          <w:rFonts w:hint="eastAsia"/>
          <w:color w:val="auto"/>
        </w:rPr>
        <w:t>本节通过采用安全检查表评价，对公</w:t>
      </w:r>
      <w:proofErr w:type="gramStart"/>
      <w:r>
        <w:rPr>
          <w:rFonts w:hint="eastAsia"/>
          <w:color w:val="auto"/>
        </w:rPr>
        <w:t>辅设施</w:t>
      </w:r>
      <w:proofErr w:type="gramEnd"/>
      <w:r>
        <w:rPr>
          <w:rFonts w:hint="eastAsia"/>
          <w:color w:val="auto"/>
        </w:rPr>
        <w:t>进行安全检查评价检查表详见附表</w:t>
      </w:r>
      <w:r>
        <w:rPr>
          <w:rFonts w:hint="eastAsia"/>
          <w:color w:val="auto"/>
        </w:rPr>
        <w:t>6.3-1</w:t>
      </w:r>
      <w:r>
        <w:rPr>
          <w:rFonts w:hint="eastAsia"/>
          <w:color w:val="auto"/>
        </w:rPr>
        <w:t>。项目供电、消防设施有保障。</w:t>
      </w:r>
    </w:p>
    <w:p w:rsidR="003F13AB" w:rsidRDefault="00EC6E7E">
      <w:pPr>
        <w:pStyle w:val="2"/>
      </w:pPr>
      <w:bookmarkStart w:id="199" w:name="_Toc503269906"/>
      <w:bookmarkStart w:id="200" w:name="_Toc166857591"/>
      <w:bookmarkStart w:id="201" w:name="_Toc187914442"/>
      <w:bookmarkStart w:id="202" w:name="_Toc503269908"/>
      <w:bookmarkStart w:id="203" w:name="_Toc496104985"/>
      <w:r>
        <w:rPr>
          <w:rFonts w:hint="eastAsia"/>
        </w:rPr>
        <w:lastRenderedPageBreak/>
        <w:t>7.4 安全管理及应急救援单元</w:t>
      </w:r>
      <w:bookmarkEnd w:id="199"/>
      <w:r>
        <w:rPr>
          <w:rFonts w:hint="eastAsia"/>
        </w:rPr>
        <w:t>结果</w:t>
      </w:r>
      <w:bookmarkEnd w:id="200"/>
      <w:bookmarkEnd w:id="201"/>
    </w:p>
    <w:p w:rsidR="003F13AB" w:rsidRDefault="00EC6E7E">
      <w:pPr>
        <w:ind w:firstLine="560"/>
        <w:rPr>
          <w:color w:val="auto"/>
        </w:rPr>
      </w:pPr>
      <w:bookmarkStart w:id="204" w:name="_Toc503269907"/>
      <w:bookmarkStart w:id="205" w:name="_Toc496104984"/>
      <w:r>
        <w:rPr>
          <w:rFonts w:hint="eastAsia"/>
          <w:color w:val="auto"/>
        </w:rPr>
        <w:t>根据</w:t>
      </w:r>
      <w:r>
        <w:rPr>
          <w:rFonts w:hint="eastAsia"/>
          <w:color w:val="auto"/>
          <w:szCs w:val="28"/>
        </w:rPr>
        <w:t>《中华人民共和国安全生产法》（主席令第</w:t>
      </w:r>
      <w:r>
        <w:rPr>
          <w:rFonts w:hint="eastAsia"/>
          <w:color w:val="auto"/>
          <w:szCs w:val="28"/>
        </w:rPr>
        <w:t>88</w:t>
      </w:r>
      <w:r>
        <w:rPr>
          <w:rFonts w:hint="eastAsia"/>
          <w:color w:val="auto"/>
          <w:szCs w:val="28"/>
        </w:rPr>
        <w:t>号）、</w:t>
      </w:r>
      <w:r>
        <w:rPr>
          <w:rFonts w:hint="eastAsia"/>
          <w:color w:val="auto"/>
        </w:rPr>
        <w:t>《生产安全事故应急条例》（国务院令第</w:t>
      </w:r>
      <w:r>
        <w:rPr>
          <w:rFonts w:hint="eastAsia"/>
          <w:color w:val="auto"/>
        </w:rPr>
        <w:t>708</w:t>
      </w:r>
      <w:r>
        <w:rPr>
          <w:rFonts w:hint="eastAsia"/>
          <w:color w:val="auto"/>
        </w:rPr>
        <w:t>号）、《生产安全事故应急预案管理办法》（</w:t>
      </w:r>
      <w:r>
        <w:rPr>
          <w:rFonts w:hint="eastAsia"/>
          <w:color w:val="auto"/>
        </w:rPr>
        <w:t>2019</w:t>
      </w:r>
      <w:r>
        <w:rPr>
          <w:rFonts w:hint="eastAsia"/>
          <w:color w:val="auto"/>
        </w:rPr>
        <w:t>年</w:t>
      </w:r>
      <w:r>
        <w:rPr>
          <w:rFonts w:hint="eastAsia"/>
          <w:color w:val="auto"/>
        </w:rPr>
        <w:t>7</w:t>
      </w:r>
      <w:r>
        <w:rPr>
          <w:rFonts w:hint="eastAsia"/>
          <w:color w:val="auto"/>
        </w:rPr>
        <w:t>月</w:t>
      </w:r>
      <w:r>
        <w:rPr>
          <w:rFonts w:hint="eastAsia"/>
          <w:color w:val="auto"/>
        </w:rPr>
        <w:t>11</w:t>
      </w:r>
      <w:r>
        <w:rPr>
          <w:rFonts w:hint="eastAsia"/>
          <w:color w:val="auto"/>
        </w:rPr>
        <w:t>日应急管理部令第</w:t>
      </w:r>
      <w:r>
        <w:rPr>
          <w:rFonts w:hint="eastAsia"/>
          <w:color w:val="auto"/>
        </w:rPr>
        <w:t>2</w:t>
      </w:r>
      <w:r>
        <w:rPr>
          <w:rFonts w:hint="eastAsia"/>
          <w:color w:val="auto"/>
        </w:rPr>
        <w:t>号令修订）、《生产经营单位生产安全事故应急预案编制导则》（</w:t>
      </w:r>
      <w:r>
        <w:rPr>
          <w:rFonts w:hint="eastAsia"/>
          <w:color w:val="auto"/>
        </w:rPr>
        <w:t>GB/T 29639-2020</w:t>
      </w:r>
      <w:r>
        <w:rPr>
          <w:rFonts w:hint="eastAsia"/>
          <w:color w:val="auto"/>
        </w:rPr>
        <w:t>）等标准、规范的要求，对企业安全管理和应急救援预案进行分析评价，具体评价内容详见附件</w:t>
      </w:r>
      <w:r>
        <w:rPr>
          <w:rFonts w:hint="eastAsia"/>
          <w:color w:val="auto"/>
        </w:rPr>
        <w:t>6</w:t>
      </w:r>
      <w:r>
        <w:rPr>
          <w:rFonts w:hint="eastAsia"/>
          <w:color w:val="auto"/>
        </w:rPr>
        <w:t>第</w:t>
      </w:r>
      <w:r>
        <w:rPr>
          <w:rFonts w:hint="eastAsia"/>
          <w:color w:val="auto"/>
        </w:rPr>
        <w:t>6.4</w:t>
      </w:r>
      <w:r>
        <w:rPr>
          <w:rFonts w:hint="eastAsia"/>
          <w:color w:val="auto"/>
        </w:rPr>
        <w:t>节。农家乐公司主要负责人、安全管理人员经过培训取得相关资格证，持证上岗；为从业人员配备有劳动防护用品；建立了安全生产责任制、安全管理制度、安全操作规程，编制了安全生产应急预案并到应急管局备案；配备了相应急器材及设施，并定期组织演练。</w:t>
      </w:r>
    </w:p>
    <w:p w:rsidR="003F13AB" w:rsidRDefault="00EC6E7E">
      <w:pPr>
        <w:pStyle w:val="2"/>
      </w:pPr>
      <w:bookmarkStart w:id="206" w:name="_Toc166857592"/>
      <w:bookmarkStart w:id="207" w:name="_Toc187914443"/>
      <w:r>
        <w:rPr>
          <w:rFonts w:hint="eastAsia"/>
        </w:rPr>
        <w:t>7.5 重大安全隐患判定符合性分析结果</w:t>
      </w:r>
      <w:bookmarkEnd w:id="206"/>
      <w:bookmarkEnd w:id="207"/>
    </w:p>
    <w:p w:rsidR="003F13AB" w:rsidRDefault="00EC6E7E">
      <w:pPr>
        <w:ind w:firstLine="560"/>
        <w:rPr>
          <w:color w:val="auto"/>
        </w:rPr>
      </w:pPr>
      <w:r>
        <w:rPr>
          <w:rFonts w:hint="eastAsia"/>
          <w:color w:val="auto"/>
        </w:rPr>
        <w:t>由附件</w:t>
      </w:r>
      <w:r>
        <w:rPr>
          <w:rFonts w:hint="eastAsia"/>
          <w:color w:val="auto"/>
        </w:rPr>
        <w:t>6</w:t>
      </w:r>
      <w:r>
        <w:rPr>
          <w:rFonts w:hint="eastAsia"/>
          <w:color w:val="auto"/>
        </w:rPr>
        <w:t>第</w:t>
      </w:r>
      <w:r>
        <w:rPr>
          <w:rFonts w:hint="eastAsia"/>
          <w:color w:val="auto"/>
        </w:rPr>
        <w:t>6.5</w:t>
      </w:r>
      <w:r>
        <w:rPr>
          <w:rFonts w:hint="eastAsia"/>
          <w:color w:val="auto"/>
        </w:rPr>
        <w:t>节检查表可知，本项目均不涉及《工贸企业重大事故隐患判定标准》（中华人民共和国应急管理部令第</w:t>
      </w:r>
      <w:r>
        <w:rPr>
          <w:rFonts w:hint="eastAsia"/>
          <w:color w:val="auto"/>
        </w:rPr>
        <w:t>10</w:t>
      </w:r>
      <w:r>
        <w:rPr>
          <w:rFonts w:hint="eastAsia"/>
          <w:color w:val="auto"/>
        </w:rPr>
        <w:t>号）、《特种设备重大事故隐患判定准则》（</w:t>
      </w:r>
      <w:r>
        <w:rPr>
          <w:rFonts w:hint="eastAsia"/>
          <w:color w:val="auto"/>
        </w:rPr>
        <w:t>GB45067-2024</w:t>
      </w:r>
      <w:r>
        <w:rPr>
          <w:rFonts w:hint="eastAsia"/>
          <w:color w:val="auto"/>
        </w:rPr>
        <w:t>）、《重大火灾隐患判定方法》（</w:t>
      </w:r>
      <w:r>
        <w:rPr>
          <w:rFonts w:hint="eastAsia"/>
          <w:color w:val="auto"/>
        </w:rPr>
        <w:t>GB35181-2017</w:t>
      </w:r>
      <w:r>
        <w:rPr>
          <w:rFonts w:hint="eastAsia"/>
          <w:color w:val="auto"/>
        </w:rPr>
        <w:t>中的重大隐患。</w:t>
      </w:r>
    </w:p>
    <w:p w:rsidR="003F13AB" w:rsidRDefault="003F13AB">
      <w:pPr>
        <w:pStyle w:val="Default1"/>
        <w:rPr>
          <w:rFonts w:hint="default"/>
          <w:color w:val="auto"/>
        </w:rPr>
        <w:sectPr w:rsidR="003F13AB">
          <w:headerReference w:type="default" r:id="rId45"/>
          <w:footerReference w:type="default" r:id="rId46"/>
          <w:pgSz w:w="11906" w:h="16838"/>
          <w:pgMar w:top="1418" w:right="1418" w:bottom="1588" w:left="1418" w:header="851" w:footer="992" w:gutter="0"/>
          <w:pgNumType w:start="1"/>
          <w:cols w:space="425"/>
          <w:docGrid w:linePitch="312"/>
        </w:sectPr>
      </w:pPr>
    </w:p>
    <w:p w:rsidR="003F13AB" w:rsidRDefault="00EC6E7E">
      <w:pPr>
        <w:pStyle w:val="1"/>
        <w:keepNext w:val="0"/>
        <w:keepLines w:val="0"/>
        <w:ind w:left="2694"/>
        <w:jc w:val="both"/>
        <w:textAlignment w:val="center"/>
        <w:rPr>
          <w:rFonts w:ascii="宋体" w:hAnsi="宋体"/>
          <w:b/>
          <w:bCs w:val="0"/>
          <w:color w:val="auto"/>
          <w:szCs w:val="20"/>
        </w:rPr>
      </w:pPr>
      <w:bookmarkStart w:id="208" w:name="_Toc187914444"/>
      <w:bookmarkStart w:id="209" w:name="_Hlk71636233"/>
      <w:bookmarkStart w:id="210" w:name="_Toc166857593"/>
      <w:r>
        <w:rPr>
          <w:rFonts w:ascii="宋体" w:hAnsi="宋体" w:hint="eastAsia"/>
          <w:b/>
          <w:bCs w:val="0"/>
          <w:color w:val="auto"/>
          <w:szCs w:val="20"/>
        </w:rPr>
        <w:lastRenderedPageBreak/>
        <w:t>8  存在问题及整改措施</w:t>
      </w:r>
      <w:bookmarkEnd w:id="208"/>
      <w:bookmarkEnd w:id="209"/>
      <w:bookmarkEnd w:id="210"/>
    </w:p>
    <w:p w:rsidR="003F13AB" w:rsidRDefault="00EC6E7E">
      <w:pPr>
        <w:pStyle w:val="2"/>
      </w:pPr>
      <w:bookmarkStart w:id="211" w:name="_Toc166857594"/>
      <w:bookmarkStart w:id="212" w:name="_Toc187914445"/>
      <w:bookmarkStart w:id="213" w:name="_Toc464803681"/>
      <w:bookmarkStart w:id="214" w:name="_Toc503269910"/>
      <w:r>
        <w:rPr>
          <w:rFonts w:hint="eastAsia"/>
        </w:rPr>
        <w:t>8.1 存在的问题</w:t>
      </w:r>
      <w:bookmarkEnd w:id="211"/>
      <w:bookmarkEnd w:id="212"/>
    </w:p>
    <w:p w:rsidR="003F13AB" w:rsidRDefault="00EC6E7E">
      <w:pPr>
        <w:ind w:firstLine="560"/>
        <w:rPr>
          <w:color w:val="auto"/>
        </w:rPr>
      </w:pPr>
      <w:r>
        <w:rPr>
          <w:rFonts w:hint="eastAsia"/>
          <w:color w:val="auto"/>
        </w:rPr>
        <w:t>昭通市</w:t>
      </w:r>
      <w:proofErr w:type="gramStart"/>
      <w:r>
        <w:rPr>
          <w:rFonts w:hint="eastAsia"/>
          <w:color w:val="auto"/>
        </w:rPr>
        <w:t>鼎安科技</w:t>
      </w:r>
      <w:proofErr w:type="gramEnd"/>
      <w:r>
        <w:rPr>
          <w:rFonts w:hint="eastAsia"/>
          <w:color w:val="auto"/>
        </w:rPr>
        <w:t>有限公司</w:t>
      </w:r>
      <w:r>
        <w:rPr>
          <w:color w:val="auto"/>
        </w:rPr>
        <w:t>项目组到进行现场检查时以及在该报告编写过程中，发现该项目存在以下问题见下表</w:t>
      </w:r>
      <w:r>
        <w:rPr>
          <w:rFonts w:hint="eastAsia"/>
          <w:color w:val="auto"/>
        </w:rPr>
        <w:t>8.1-1</w:t>
      </w:r>
      <w:r>
        <w:rPr>
          <w:color w:val="auto"/>
        </w:rPr>
        <w:t>：</w:t>
      </w:r>
    </w:p>
    <w:p w:rsidR="003F13AB" w:rsidRDefault="00EC6E7E">
      <w:pPr>
        <w:ind w:firstLineChars="0" w:firstLine="0"/>
        <w:jc w:val="center"/>
        <w:rPr>
          <w:color w:val="auto"/>
        </w:rPr>
      </w:pPr>
      <w:r>
        <w:rPr>
          <w:color w:val="auto"/>
        </w:rPr>
        <w:t>表</w:t>
      </w:r>
      <w:r>
        <w:rPr>
          <w:rFonts w:hint="eastAsia"/>
          <w:color w:val="auto"/>
        </w:rPr>
        <w:t>8</w:t>
      </w:r>
      <w:r>
        <w:rPr>
          <w:color w:val="auto"/>
        </w:rPr>
        <w:t xml:space="preserve">.1-1  </w:t>
      </w:r>
      <w:r>
        <w:rPr>
          <w:color w:val="auto"/>
        </w:rPr>
        <w:t>现场存在问题</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095"/>
        <w:gridCol w:w="2267"/>
      </w:tblGrid>
      <w:tr w:rsidR="003F13AB">
        <w:trPr>
          <w:cantSplit/>
          <w:trHeight w:val="340"/>
          <w:jc w:val="center"/>
        </w:trPr>
        <w:tc>
          <w:tcPr>
            <w:tcW w:w="710" w:type="dxa"/>
            <w:vAlign w:val="center"/>
          </w:tcPr>
          <w:p w:rsidR="003F13AB" w:rsidRDefault="00EC6E7E">
            <w:pPr>
              <w:adjustRightInd/>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序号</w:t>
            </w:r>
          </w:p>
        </w:tc>
        <w:tc>
          <w:tcPr>
            <w:tcW w:w="6095" w:type="dxa"/>
            <w:vAlign w:val="center"/>
          </w:tcPr>
          <w:p w:rsidR="003F13AB" w:rsidRDefault="00EC6E7E">
            <w:pPr>
              <w:adjustRightInd/>
              <w:spacing w:line="240" w:lineRule="auto"/>
              <w:ind w:firstLineChars="0" w:firstLine="0"/>
              <w:jc w:val="center"/>
              <w:rPr>
                <w:rFonts w:ascii="宋体" w:hAnsi="宋体"/>
                <w:b/>
                <w:color w:val="auto"/>
                <w:sz w:val="21"/>
                <w:szCs w:val="21"/>
              </w:rPr>
            </w:pPr>
            <w:r>
              <w:rPr>
                <w:rFonts w:ascii="宋体" w:hAnsi="宋体"/>
                <w:b/>
                <w:color w:val="auto"/>
                <w:sz w:val="21"/>
                <w:szCs w:val="21"/>
              </w:rPr>
              <w:t>存在问题</w:t>
            </w:r>
          </w:p>
        </w:tc>
        <w:tc>
          <w:tcPr>
            <w:tcW w:w="2267" w:type="dxa"/>
            <w:vAlign w:val="center"/>
          </w:tcPr>
          <w:p w:rsidR="003F13AB" w:rsidRDefault="00EC6E7E">
            <w:pPr>
              <w:adjustRightInd/>
              <w:spacing w:line="240" w:lineRule="auto"/>
              <w:ind w:firstLineChars="0" w:firstLine="0"/>
              <w:jc w:val="center"/>
              <w:rPr>
                <w:rFonts w:ascii="宋体" w:hAnsi="宋体"/>
                <w:b/>
                <w:color w:val="auto"/>
                <w:sz w:val="21"/>
                <w:szCs w:val="21"/>
              </w:rPr>
            </w:pPr>
            <w:r>
              <w:rPr>
                <w:rFonts w:ascii="宋体" w:hAnsi="宋体"/>
                <w:b/>
                <w:color w:val="auto"/>
                <w:sz w:val="21"/>
                <w:szCs w:val="21"/>
              </w:rPr>
              <w:t>备注</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发电机房排烟口未设置阻火器。</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发电机房内未设置安全标识。</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厂区内各厂房未设置名称或功能标识。</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未设置有限空间标识及有限空间安全警示标识。</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锅炉房内天然气、蒸汽管道未进行介质标识。</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高噪声设备的操作人员未配备耳塞。</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现场安全警示标识不足（如有限空间、小心碰头、小心坠落等）。</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项目一期、二期配电室均未设置挡鼠板，项目一期配电室地面未设置绝缘垫、未设置“配电室”标识及“有电危险、闲人勿入、小心触电”等安全标识，二期配电</w:t>
            </w:r>
            <w:proofErr w:type="gramStart"/>
            <w:r>
              <w:rPr>
                <w:rFonts w:ascii="宋体" w:hAnsi="宋体" w:hint="eastAsia"/>
                <w:color w:val="auto"/>
                <w:sz w:val="21"/>
                <w:szCs w:val="21"/>
              </w:rPr>
              <w:t>室工具</w:t>
            </w:r>
            <w:proofErr w:type="gramEnd"/>
            <w:r>
              <w:rPr>
                <w:rFonts w:ascii="宋体" w:hAnsi="宋体" w:hint="eastAsia"/>
                <w:color w:val="auto"/>
                <w:sz w:val="21"/>
                <w:szCs w:val="21"/>
              </w:rPr>
              <w:t>柜内绝缘手套、</w:t>
            </w:r>
            <w:proofErr w:type="gramStart"/>
            <w:r>
              <w:rPr>
                <w:rFonts w:ascii="宋体" w:hAnsi="宋体" w:hint="eastAsia"/>
                <w:color w:val="auto"/>
                <w:sz w:val="21"/>
                <w:szCs w:val="21"/>
              </w:rPr>
              <w:t>验电设备</w:t>
            </w:r>
            <w:proofErr w:type="gramEnd"/>
            <w:r>
              <w:rPr>
                <w:rFonts w:ascii="宋体" w:hAnsi="宋体" w:hint="eastAsia"/>
                <w:color w:val="auto"/>
                <w:sz w:val="21"/>
                <w:szCs w:val="21"/>
              </w:rPr>
              <w:t>已过期。</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锅炉房、配电室、控制室等功能间或设备操作岗位未设置安全操作规程。</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柴油发电机间柴油储存间未设置防止柴油泄漏溢流措施。</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r w:rsidR="003F13AB">
        <w:trPr>
          <w:cantSplit/>
          <w:trHeight w:val="340"/>
          <w:jc w:val="center"/>
        </w:trPr>
        <w:tc>
          <w:tcPr>
            <w:tcW w:w="710" w:type="dxa"/>
            <w:vAlign w:val="center"/>
          </w:tcPr>
          <w:p w:rsidR="003F13AB" w:rsidRDefault="003F13AB">
            <w:pPr>
              <w:pStyle w:val="afa"/>
              <w:numPr>
                <w:ilvl w:val="0"/>
                <w:numId w:val="10"/>
              </w:numPr>
              <w:adjustRightInd/>
              <w:spacing w:line="240" w:lineRule="auto"/>
              <w:ind w:left="0" w:firstLineChars="0" w:firstLine="0"/>
              <w:jc w:val="center"/>
              <w:rPr>
                <w:rFonts w:ascii="宋体" w:hAnsi="宋体"/>
                <w:color w:val="auto"/>
                <w:sz w:val="21"/>
                <w:szCs w:val="21"/>
              </w:rPr>
            </w:pPr>
          </w:p>
        </w:tc>
        <w:tc>
          <w:tcPr>
            <w:tcW w:w="6095" w:type="dxa"/>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原设计丙类仓库现为杂物堆放、机修，应按原设计整改。</w:t>
            </w:r>
          </w:p>
        </w:tc>
        <w:tc>
          <w:tcPr>
            <w:tcW w:w="2267" w:type="dxa"/>
            <w:vAlign w:val="center"/>
          </w:tcPr>
          <w:p w:rsidR="003F13AB" w:rsidRDefault="00EC6E7E">
            <w:pPr>
              <w:adjustRightInd/>
              <w:spacing w:line="240" w:lineRule="auto"/>
              <w:ind w:firstLineChars="0" w:firstLine="0"/>
              <w:jc w:val="center"/>
              <w:rPr>
                <w:rFonts w:ascii="宋体" w:hAnsi="宋体"/>
                <w:color w:val="auto"/>
                <w:sz w:val="21"/>
                <w:szCs w:val="21"/>
              </w:rPr>
            </w:pPr>
            <w:r>
              <w:rPr>
                <w:rFonts w:ascii="宋体" w:hAnsi="宋体" w:hint="eastAsia"/>
                <w:color w:val="auto"/>
                <w:sz w:val="21"/>
                <w:szCs w:val="21"/>
              </w:rPr>
              <w:t>已完成整改</w:t>
            </w:r>
          </w:p>
        </w:tc>
      </w:tr>
    </w:tbl>
    <w:p w:rsidR="003F13AB" w:rsidRDefault="003F13AB">
      <w:pPr>
        <w:tabs>
          <w:tab w:val="center" w:pos="4252"/>
        </w:tabs>
        <w:adjustRightInd/>
        <w:snapToGrid/>
        <w:spacing w:line="500" w:lineRule="exact"/>
        <w:ind w:firstLine="560"/>
        <w:rPr>
          <w:color w:val="auto"/>
        </w:rPr>
      </w:pPr>
    </w:p>
    <w:p w:rsidR="003F13AB" w:rsidRDefault="00EC6E7E">
      <w:pPr>
        <w:pStyle w:val="2"/>
      </w:pPr>
      <w:bookmarkStart w:id="215" w:name="_Toc166857595"/>
      <w:bookmarkStart w:id="216" w:name="_Toc187914446"/>
      <w:r>
        <w:rPr>
          <w:rFonts w:hint="eastAsia"/>
        </w:rPr>
        <w:t>8.2 整改情况</w:t>
      </w:r>
      <w:bookmarkEnd w:id="213"/>
      <w:bookmarkEnd w:id="214"/>
      <w:bookmarkEnd w:id="215"/>
      <w:bookmarkEnd w:id="216"/>
    </w:p>
    <w:p w:rsidR="003F13AB" w:rsidRDefault="00EC6E7E">
      <w:pPr>
        <w:ind w:firstLine="560"/>
        <w:rPr>
          <w:color w:val="auto"/>
        </w:rPr>
        <w:sectPr w:rsidR="003F13AB">
          <w:pgSz w:w="11906" w:h="16838"/>
          <w:pgMar w:top="1418" w:right="1418" w:bottom="1588" w:left="1418" w:header="851" w:footer="992" w:gutter="0"/>
          <w:cols w:space="425"/>
          <w:docGrid w:linePitch="312"/>
        </w:sectPr>
      </w:pPr>
      <w:r>
        <w:rPr>
          <w:rFonts w:hint="eastAsia"/>
          <w:color w:val="auto"/>
        </w:rPr>
        <w:t>农家乐公司</w:t>
      </w:r>
      <w:r>
        <w:rPr>
          <w:color w:val="auto"/>
        </w:rPr>
        <w:t>与项目组进行交流，针对项目组提出的</w:t>
      </w:r>
      <w:r>
        <w:rPr>
          <w:rFonts w:hint="eastAsia"/>
          <w:color w:val="auto"/>
        </w:rPr>
        <w:t>11</w:t>
      </w:r>
      <w:r>
        <w:rPr>
          <w:rFonts w:hint="eastAsia"/>
          <w:color w:val="auto"/>
        </w:rPr>
        <w:t>条整改</w:t>
      </w:r>
      <w:r>
        <w:rPr>
          <w:color w:val="auto"/>
        </w:rPr>
        <w:t>问题，已全部进行了认真的整改，并提供了整改落实情况回复，详见附件</w:t>
      </w:r>
      <w:r>
        <w:rPr>
          <w:rFonts w:hint="eastAsia"/>
          <w:color w:val="auto"/>
        </w:rPr>
        <w:t>8.37</w:t>
      </w:r>
      <w:r>
        <w:rPr>
          <w:rFonts w:hint="eastAsia"/>
          <w:color w:val="auto"/>
        </w:rPr>
        <w:t>整改情况说明。</w:t>
      </w:r>
    </w:p>
    <w:p w:rsidR="003F13AB" w:rsidRDefault="00EC6E7E">
      <w:pPr>
        <w:pStyle w:val="1"/>
        <w:keepNext w:val="0"/>
        <w:keepLines w:val="0"/>
        <w:ind w:left="2694"/>
        <w:jc w:val="both"/>
        <w:textAlignment w:val="center"/>
        <w:rPr>
          <w:rFonts w:ascii="宋体" w:hAnsi="宋体"/>
          <w:b/>
          <w:bCs w:val="0"/>
          <w:color w:val="auto"/>
          <w:szCs w:val="20"/>
        </w:rPr>
      </w:pPr>
      <w:bookmarkStart w:id="217" w:name="_Toc187914447"/>
      <w:bookmarkStart w:id="218" w:name="_Toc166857596"/>
      <w:r>
        <w:rPr>
          <w:rFonts w:ascii="宋体" w:hAnsi="宋体" w:hint="eastAsia"/>
          <w:b/>
          <w:bCs w:val="0"/>
          <w:color w:val="auto"/>
          <w:szCs w:val="20"/>
        </w:rPr>
        <w:lastRenderedPageBreak/>
        <w:t>9  安全对策措施及建议</w:t>
      </w:r>
      <w:bookmarkEnd w:id="198"/>
      <w:bookmarkEnd w:id="202"/>
      <w:bookmarkEnd w:id="203"/>
      <w:bookmarkEnd w:id="204"/>
      <w:bookmarkEnd w:id="205"/>
      <w:bookmarkEnd w:id="217"/>
      <w:bookmarkEnd w:id="218"/>
    </w:p>
    <w:p w:rsidR="003F13AB" w:rsidRDefault="00EC6E7E">
      <w:pPr>
        <w:pStyle w:val="2"/>
      </w:pPr>
      <w:bookmarkStart w:id="219" w:name="_Toc515540397"/>
      <w:bookmarkStart w:id="220" w:name="_Toc166857597"/>
      <w:bookmarkStart w:id="221" w:name="_Toc520297563"/>
      <w:bookmarkStart w:id="222" w:name="_Toc187914448"/>
      <w:r>
        <w:rPr>
          <w:rFonts w:hint="eastAsia"/>
        </w:rPr>
        <w:t xml:space="preserve">9.1 </w:t>
      </w:r>
      <w:bookmarkStart w:id="223" w:name="_Toc520297564"/>
      <w:bookmarkStart w:id="224" w:name="_Toc515540398"/>
      <w:bookmarkEnd w:id="219"/>
      <w:bookmarkEnd w:id="220"/>
      <w:bookmarkEnd w:id="221"/>
      <w:r>
        <w:rPr>
          <w:rFonts w:hint="eastAsia"/>
        </w:rPr>
        <w:t>安全运行条件对策措施及建议</w:t>
      </w:r>
      <w:bookmarkEnd w:id="222"/>
      <w:bookmarkEnd w:id="223"/>
      <w:bookmarkEnd w:id="224"/>
    </w:p>
    <w:p w:rsidR="003F13AB" w:rsidRPr="00F9729A" w:rsidRDefault="00EC6E7E">
      <w:pPr>
        <w:pStyle w:val="12"/>
        <w:numPr>
          <w:ilvl w:val="0"/>
          <w:numId w:val="11"/>
        </w:numPr>
        <w:topLinePunct/>
        <w:ind w:left="0" w:firstLine="560"/>
        <w:rPr>
          <w:color w:val="auto"/>
        </w:rPr>
      </w:pPr>
      <w:r>
        <w:rPr>
          <w:rFonts w:hint="eastAsia"/>
          <w:color w:val="auto"/>
        </w:rPr>
        <w:t>企业应保障安全经费的投入，不断完善安全运行条件，并定期对安全设施进行巡检，保证其有效。</w:t>
      </w:r>
    </w:p>
    <w:p w:rsidR="003F13AB" w:rsidRPr="00F9729A" w:rsidRDefault="00EC6E7E">
      <w:pPr>
        <w:pStyle w:val="12"/>
        <w:numPr>
          <w:ilvl w:val="0"/>
          <w:numId w:val="11"/>
        </w:numPr>
        <w:topLinePunct/>
        <w:ind w:left="0" w:firstLine="560"/>
        <w:rPr>
          <w:color w:val="auto"/>
        </w:rPr>
      </w:pPr>
      <w:r w:rsidRPr="00F9729A">
        <w:rPr>
          <w:rFonts w:hint="eastAsia"/>
          <w:color w:val="auto"/>
        </w:rPr>
        <w:t>企业应按相关规定编制危险化学品周知卡，明确涉及的危险化学品及其理化性质、急救措施等，将其拴挂于生产岗位及作业场所显著位置；安全周知卡的</w:t>
      </w:r>
      <w:proofErr w:type="gramStart"/>
      <w:r w:rsidRPr="00F9729A">
        <w:rPr>
          <w:rFonts w:hint="eastAsia"/>
          <w:color w:val="auto"/>
        </w:rPr>
        <w:t>栓挂要</w:t>
      </w:r>
      <w:proofErr w:type="gramEnd"/>
      <w:r w:rsidRPr="00F9729A">
        <w:rPr>
          <w:rFonts w:hint="eastAsia"/>
          <w:color w:val="auto"/>
        </w:rPr>
        <w:t>牢固、结实，保证在使用过程中不脱落。</w:t>
      </w:r>
    </w:p>
    <w:p w:rsidR="003F13AB" w:rsidRDefault="00EC6E7E">
      <w:pPr>
        <w:pStyle w:val="12"/>
        <w:numPr>
          <w:ilvl w:val="0"/>
          <w:numId w:val="11"/>
        </w:numPr>
        <w:topLinePunct/>
        <w:ind w:left="0" w:firstLine="560"/>
        <w:rPr>
          <w:color w:val="auto"/>
        </w:rPr>
      </w:pPr>
      <w:r w:rsidRPr="00F9729A">
        <w:rPr>
          <w:rFonts w:hint="eastAsia"/>
          <w:color w:val="auto"/>
        </w:rPr>
        <w:t>应完善安全警示标识的设置，安全标志牌应至少每</w:t>
      </w:r>
      <w:r>
        <w:rPr>
          <w:rFonts w:hint="eastAsia"/>
          <w:color w:val="auto"/>
        </w:rPr>
        <w:t>半年检查一次，如发现有破损、变形、褪色等不符合要求时，应及时修正或更换。</w:t>
      </w:r>
    </w:p>
    <w:p w:rsidR="003F13AB" w:rsidRDefault="00EC6E7E">
      <w:pPr>
        <w:pStyle w:val="12"/>
        <w:numPr>
          <w:ilvl w:val="0"/>
          <w:numId w:val="11"/>
        </w:numPr>
        <w:topLinePunct/>
        <w:ind w:left="0" w:firstLine="560"/>
        <w:rPr>
          <w:color w:val="auto"/>
        </w:rPr>
      </w:pPr>
      <w:r>
        <w:rPr>
          <w:rFonts w:hint="eastAsia"/>
          <w:color w:val="auto"/>
        </w:rPr>
        <w:t>作业现场应杜绝堵塞消防通道，灭火栓、灭火器应杜绝遮挡，灭火器的设置应满足《建筑灭火器配置设计规范》（</w:t>
      </w:r>
      <w:r>
        <w:rPr>
          <w:rFonts w:hint="eastAsia"/>
          <w:color w:val="auto"/>
        </w:rPr>
        <w:t>GB50140-2005</w:t>
      </w:r>
      <w:r>
        <w:rPr>
          <w:rFonts w:hint="eastAsia"/>
          <w:color w:val="auto"/>
        </w:rPr>
        <w:t>）的要求：</w:t>
      </w:r>
    </w:p>
    <w:p w:rsidR="003F13AB" w:rsidRDefault="00EC6E7E">
      <w:pPr>
        <w:pStyle w:val="12"/>
        <w:topLinePunct/>
        <w:ind w:firstLine="560"/>
        <w:rPr>
          <w:color w:val="auto"/>
        </w:rPr>
      </w:pPr>
      <w:r>
        <w:rPr>
          <w:rFonts w:hint="eastAsia"/>
          <w:color w:val="auto"/>
        </w:rPr>
        <w:t>1</w:t>
      </w:r>
      <w:r>
        <w:rPr>
          <w:rFonts w:hint="eastAsia"/>
          <w:color w:val="auto"/>
        </w:rPr>
        <w:t>）灭火器应设置在位置明显和便于取用的地点，且不得影响安全疏散，摆放应稳固，其铭牌应朝外；</w:t>
      </w:r>
    </w:p>
    <w:p w:rsidR="003F13AB" w:rsidRDefault="00EC6E7E">
      <w:pPr>
        <w:pStyle w:val="12"/>
        <w:topLinePunct/>
        <w:ind w:firstLine="560"/>
        <w:rPr>
          <w:color w:val="auto"/>
        </w:rPr>
      </w:pPr>
      <w:r>
        <w:rPr>
          <w:rFonts w:hint="eastAsia"/>
          <w:color w:val="auto"/>
        </w:rPr>
        <w:t>2</w:t>
      </w:r>
      <w:r>
        <w:rPr>
          <w:rFonts w:hint="eastAsia"/>
          <w:color w:val="auto"/>
        </w:rPr>
        <w:t>）手提式灭火器</w:t>
      </w:r>
      <w:proofErr w:type="gramStart"/>
      <w:r>
        <w:rPr>
          <w:rFonts w:hint="eastAsia"/>
          <w:color w:val="auto"/>
        </w:rPr>
        <w:t>宜设置</w:t>
      </w:r>
      <w:proofErr w:type="gramEnd"/>
      <w:r>
        <w:rPr>
          <w:rFonts w:hint="eastAsia"/>
          <w:color w:val="auto"/>
        </w:rPr>
        <w:t>在灭火器箱内或挂钩、托架上，其顶部离地面高度不应大于</w:t>
      </w:r>
      <w:r>
        <w:rPr>
          <w:rFonts w:hint="eastAsia"/>
          <w:color w:val="auto"/>
        </w:rPr>
        <w:t>1.50m</w:t>
      </w:r>
      <w:r>
        <w:rPr>
          <w:rFonts w:hint="eastAsia"/>
          <w:color w:val="auto"/>
        </w:rPr>
        <w:t>；底部离地面高度不宜小于</w:t>
      </w:r>
      <w:r>
        <w:rPr>
          <w:rFonts w:hint="eastAsia"/>
          <w:color w:val="auto"/>
        </w:rPr>
        <w:t>0.08m</w:t>
      </w:r>
      <w:r>
        <w:rPr>
          <w:rFonts w:hint="eastAsia"/>
          <w:color w:val="auto"/>
        </w:rPr>
        <w:t>；</w:t>
      </w:r>
    </w:p>
    <w:p w:rsidR="003F13AB" w:rsidRDefault="00EC6E7E">
      <w:pPr>
        <w:pStyle w:val="12"/>
        <w:topLinePunct/>
        <w:ind w:firstLine="560"/>
        <w:rPr>
          <w:color w:val="auto"/>
        </w:rPr>
      </w:pPr>
      <w:r>
        <w:rPr>
          <w:rFonts w:hint="eastAsia"/>
          <w:color w:val="auto"/>
        </w:rPr>
        <w:t>3</w:t>
      </w:r>
      <w:r>
        <w:rPr>
          <w:rFonts w:hint="eastAsia"/>
          <w:color w:val="auto"/>
        </w:rPr>
        <w:t>）灭火器</w:t>
      </w:r>
      <w:proofErr w:type="gramStart"/>
      <w:r>
        <w:rPr>
          <w:rFonts w:hint="eastAsia"/>
          <w:color w:val="auto"/>
        </w:rPr>
        <w:t>箱不得</w:t>
      </w:r>
      <w:proofErr w:type="gramEnd"/>
      <w:r>
        <w:rPr>
          <w:rFonts w:hint="eastAsia"/>
          <w:color w:val="auto"/>
        </w:rPr>
        <w:t>上锁，灭火器不宜设置在潮湿或强腐蚀性的地点。</w:t>
      </w:r>
      <w:proofErr w:type="gramStart"/>
      <w:r>
        <w:rPr>
          <w:rFonts w:hint="eastAsia"/>
          <w:color w:val="auto"/>
        </w:rPr>
        <w:t>当必须</w:t>
      </w:r>
      <w:proofErr w:type="gramEnd"/>
      <w:r>
        <w:rPr>
          <w:rFonts w:hint="eastAsia"/>
          <w:color w:val="auto"/>
        </w:rPr>
        <w:t>设置时，应有相应的保护措施；</w:t>
      </w:r>
    </w:p>
    <w:p w:rsidR="003F13AB" w:rsidRDefault="00EC6E7E">
      <w:pPr>
        <w:pStyle w:val="12"/>
        <w:topLinePunct/>
        <w:ind w:firstLine="560"/>
        <w:rPr>
          <w:color w:val="auto"/>
        </w:rPr>
      </w:pPr>
      <w:r>
        <w:rPr>
          <w:rFonts w:hint="eastAsia"/>
          <w:color w:val="auto"/>
        </w:rPr>
        <w:t>4</w:t>
      </w:r>
      <w:r>
        <w:rPr>
          <w:rFonts w:hint="eastAsia"/>
          <w:color w:val="auto"/>
        </w:rPr>
        <w:t>）灭火器设置在室外时，应有相应的保护措施；</w:t>
      </w:r>
    </w:p>
    <w:p w:rsidR="003F13AB" w:rsidRDefault="00EC6E7E">
      <w:pPr>
        <w:pStyle w:val="12"/>
        <w:topLinePunct/>
        <w:ind w:firstLine="560"/>
        <w:rPr>
          <w:color w:val="auto"/>
        </w:rPr>
      </w:pPr>
      <w:r>
        <w:rPr>
          <w:rFonts w:hint="eastAsia"/>
          <w:color w:val="auto"/>
        </w:rPr>
        <w:t>5</w:t>
      </w:r>
      <w:r>
        <w:rPr>
          <w:rFonts w:hint="eastAsia"/>
          <w:color w:val="auto"/>
        </w:rPr>
        <w:t>）一个计算单元内配置的灭火器数量不得少于</w:t>
      </w:r>
      <w:r>
        <w:rPr>
          <w:rFonts w:hint="eastAsia"/>
          <w:color w:val="auto"/>
        </w:rPr>
        <w:t>2</w:t>
      </w:r>
      <w:r>
        <w:rPr>
          <w:rFonts w:hint="eastAsia"/>
          <w:color w:val="auto"/>
        </w:rPr>
        <w:t>具；每个设置点的灭火器数量不宜多于</w:t>
      </w:r>
      <w:r>
        <w:rPr>
          <w:rFonts w:hint="eastAsia"/>
          <w:color w:val="auto"/>
        </w:rPr>
        <w:t>5</w:t>
      </w:r>
      <w:r>
        <w:rPr>
          <w:rFonts w:hint="eastAsia"/>
          <w:color w:val="auto"/>
        </w:rPr>
        <w:t>具。</w:t>
      </w:r>
    </w:p>
    <w:p w:rsidR="003F13AB" w:rsidRDefault="00EC6E7E">
      <w:pPr>
        <w:pStyle w:val="12"/>
        <w:numPr>
          <w:ilvl w:val="0"/>
          <w:numId w:val="11"/>
        </w:numPr>
        <w:topLinePunct/>
        <w:ind w:left="0" w:firstLine="560"/>
        <w:rPr>
          <w:color w:val="auto"/>
        </w:rPr>
      </w:pPr>
      <w:r>
        <w:rPr>
          <w:rFonts w:hint="eastAsia"/>
          <w:color w:val="auto"/>
        </w:rPr>
        <w:t>作业现场应定置管理，杜绝电气线路裸露及私拉乱接，定期检查电气线路及设备并保留检查记录，按照规范设置作业现场的临时用电；作业现场的照明用电应按照规范使用安全电压。</w:t>
      </w:r>
    </w:p>
    <w:p w:rsidR="003F13AB" w:rsidRDefault="00EC6E7E">
      <w:pPr>
        <w:pStyle w:val="12"/>
        <w:numPr>
          <w:ilvl w:val="0"/>
          <w:numId w:val="11"/>
        </w:numPr>
        <w:topLinePunct/>
        <w:ind w:left="0" w:firstLine="560"/>
        <w:rPr>
          <w:color w:val="auto"/>
        </w:rPr>
      </w:pPr>
      <w:r>
        <w:rPr>
          <w:rFonts w:hint="eastAsia"/>
          <w:color w:val="auto"/>
        </w:rPr>
        <w:t>应按要求定期进行防雷检测和维护，保证厂区防雷防静电装置、静电跨接设施安全有效。</w:t>
      </w:r>
    </w:p>
    <w:p w:rsidR="003F13AB" w:rsidRDefault="00EC6E7E">
      <w:pPr>
        <w:pStyle w:val="12"/>
        <w:numPr>
          <w:ilvl w:val="0"/>
          <w:numId w:val="11"/>
        </w:numPr>
        <w:topLinePunct/>
        <w:ind w:left="0" w:firstLine="560"/>
        <w:rPr>
          <w:color w:val="auto"/>
        </w:rPr>
      </w:pPr>
      <w:r>
        <w:rPr>
          <w:rFonts w:hint="eastAsia"/>
          <w:color w:val="auto"/>
        </w:rPr>
        <w:lastRenderedPageBreak/>
        <w:t>应按国家规范要求进行职业危害的评价；对现场作业人员配发相应的劳动防护用品（如防静电服、防静电鞋、防护手套等）并督促使用。</w:t>
      </w:r>
    </w:p>
    <w:p w:rsidR="003F13AB" w:rsidRDefault="00EC6E7E">
      <w:pPr>
        <w:pStyle w:val="12"/>
        <w:numPr>
          <w:ilvl w:val="0"/>
          <w:numId w:val="11"/>
        </w:numPr>
        <w:topLinePunct/>
        <w:ind w:left="0" w:firstLine="560"/>
        <w:rPr>
          <w:color w:val="auto"/>
        </w:rPr>
      </w:pPr>
      <w:r>
        <w:rPr>
          <w:rFonts w:hint="eastAsia"/>
          <w:color w:val="auto"/>
        </w:rPr>
        <w:t>设备检修、清理工作，应进行安全交底，严格执行工作票制、安全确认制度、挂牌制、监护制、锁具制，做好现场的安全措施和现场的安全交底等。</w:t>
      </w:r>
    </w:p>
    <w:p w:rsidR="003F13AB" w:rsidRDefault="00EC6E7E">
      <w:pPr>
        <w:pStyle w:val="12"/>
        <w:numPr>
          <w:ilvl w:val="0"/>
          <w:numId w:val="11"/>
        </w:numPr>
        <w:topLinePunct/>
        <w:ind w:left="0" w:firstLine="560"/>
        <w:rPr>
          <w:color w:val="auto"/>
        </w:rPr>
      </w:pPr>
      <w:r>
        <w:rPr>
          <w:rFonts w:hint="eastAsia"/>
          <w:color w:val="auto"/>
        </w:rPr>
        <w:t>检修、清理中拆除的安全装置，检修、清理完毕应及时恢复。</w:t>
      </w:r>
    </w:p>
    <w:p w:rsidR="003F13AB" w:rsidRDefault="00EC6E7E">
      <w:pPr>
        <w:pStyle w:val="12"/>
        <w:numPr>
          <w:ilvl w:val="0"/>
          <w:numId w:val="11"/>
        </w:numPr>
        <w:topLinePunct/>
        <w:ind w:left="0" w:firstLine="560"/>
        <w:rPr>
          <w:color w:val="auto"/>
        </w:rPr>
      </w:pPr>
      <w:r>
        <w:rPr>
          <w:rFonts w:hint="eastAsia"/>
          <w:color w:val="auto"/>
        </w:rPr>
        <w:t>应加强检修等高处作业的管理，采取有效的防坠落措施（配备安全帽、五点安全带），并督促执行。</w:t>
      </w:r>
    </w:p>
    <w:p w:rsidR="003F13AB" w:rsidRPr="00F9729A" w:rsidRDefault="00EC6E7E">
      <w:pPr>
        <w:pStyle w:val="12"/>
        <w:numPr>
          <w:ilvl w:val="0"/>
          <w:numId w:val="11"/>
        </w:numPr>
        <w:topLinePunct/>
        <w:ind w:left="0" w:firstLine="560"/>
        <w:rPr>
          <w:color w:val="auto"/>
        </w:rPr>
      </w:pPr>
      <w:r>
        <w:rPr>
          <w:rFonts w:hint="eastAsia"/>
          <w:color w:val="auto"/>
        </w:rPr>
        <w:t>有限空间作业前，应根据有限空间盛装的物料的特性，对有限空间进行清洗或置换，并达到下列要求：氧含量一般为</w:t>
      </w:r>
      <w:r>
        <w:rPr>
          <w:rFonts w:hint="eastAsia"/>
          <w:color w:val="00B050"/>
        </w:rPr>
        <w:t>19.5</w:t>
      </w:r>
      <w:r>
        <w:rPr>
          <w:rFonts w:hint="eastAsia"/>
          <w:color w:val="auto"/>
        </w:rPr>
        <w:t>~23.5%</w:t>
      </w:r>
      <w:r>
        <w:rPr>
          <w:rFonts w:hint="eastAsia"/>
          <w:color w:val="auto"/>
        </w:rPr>
        <w:t>，在富氧环境下不得大于</w:t>
      </w:r>
      <w:r>
        <w:rPr>
          <w:rFonts w:hint="eastAsia"/>
          <w:color w:val="auto"/>
        </w:rPr>
        <w:t>23.5%</w:t>
      </w:r>
      <w:r>
        <w:rPr>
          <w:rFonts w:hint="eastAsia"/>
          <w:color w:val="auto"/>
        </w:rPr>
        <w:t>。</w:t>
      </w:r>
      <w:r w:rsidRPr="00F9729A">
        <w:rPr>
          <w:rFonts w:hint="eastAsia"/>
          <w:color w:val="auto"/>
        </w:rPr>
        <w:t>可燃气体（物质）浓度应符合</w:t>
      </w:r>
      <w:r w:rsidRPr="00F9729A">
        <w:rPr>
          <w:rFonts w:hint="eastAsia"/>
          <w:color w:val="auto"/>
        </w:rPr>
        <w:t>GB30871-2022</w:t>
      </w:r>
      <w:r w:rsidRPr="00F9729A">
        <w:rPr>
          <w:rFonts w:hint="eastAsia"/>
          <w:color w:val="auto"/>
        </w:rPr>
        <w:t>的要求；有毒物质浓度应符合</w:t>
      </w:r>
      <w:r w:rsidRPr="00F9729A">
        <w:rPr>
          <w:rFonts w:hint="eastAsia"/>
          <w:color w:val="auto"/>
        </w:rPr>
        <w:t>GBZ2.1-2019</w:t>
      </w:r>
      <w:r w:rsidRPr="00F9729A">
        <w:rPr>
          <w:rFonts w:hint="eastAsia"/>
          <w:color w:val="auto"/>
        </w:rPr>
        <w:t>要求。</w:t>
      </w:r>
    </w:p>
    <w:p w:rsidR="003F13AB" w:rsidRPr="00F9729A" w:rsidRDefault="00EC6E7E">
      <w:pPr>
        <w:pStyle w:val="2"/>
      </w:pPr>
      <w:bookmarkStart w:id="225" w:name="_Toc515540399"/>
      <w:bookmarkStart w:id="226" w:name="_Toc187914449"/>
      <w:bookmarkStart w:id="227" w:name="_Toc520297565"/>
      <w:r w:rsidRPr="00F9729A">
        <w:rPr>
          <w:rFonts w:hint="eastAsia"/>
        </w:rPr>
        <w:t>9.2 安全管理对策措施及建议</w:t>
      </w:r>
      <w:bookmarkEnd w:id="225"/>
      <w:bookmarkEnd w:id="226"/>
      <w:bookmarkEnd w:id="227"/>
    </w:p>
    <w:p w:rsidR="003F13AB" w:rsidRDefault="00EC6E7E">
      <w:pPr>
        <w:pStyle w:val="12"/>
        <w:numPr>
          <w:ilvl w:val="0"/>
          <w:numId w:val="12"/>
        </w:numPr>
        <w:topLinePunct/>
        <w:ind w:left="0" w:firstLine="560"/>
        <w:rPr>
          <w:color w:val="auto"/>
        </w:rPr>
      </w:pPr>
      <w:r>
        <w:rPr>
          <w:color w:val="auto"/>
        </w:rPr>
        <w:t>主要负责人、安全管理人员安全管理资格证应定期复审，特种作业人员证书、特种设备操作人员证书应定期复审</w:t>
      </w:r>
      <w:r>
        <w:rPr>
          <w:rFonts w:hint="eastAsia"/>
          <w:color w:val="auto"/>
        </w:rPr>
        <w:t>。</w:t>
      </w:r>
    </w:p>
    <w:p w:rsidR="003F13AB" w:rsidRDefault="00EC6E7E">
      <w:pPr>
        <w:pStyle w:val="12"/>
        <w:numPr>
          <w:ilvl w:val="0"/>
          <w:numId w:val="12"/>
        </w:numPr>
        <w:topLinePunct/>
        <w:ind w:left="0" w:firstLine="560"/>
        <w:rPr>
          <w:color w:val="auto"/>
        </w:rPr>
      </w:pPr>
      <w:r>
        <w:rPr>
          <w:color w:val="auto"/>
        </w:rPr>
        <w:t>定期委托有检测资质的单位对全厂进行防雷防静电检测</w:t>
      </w:r>
      <w:r>
        <w:rPr>
          <w:rFonts w:hint="eastAsia"/>
          <w:color w:val="auto"/>
        </w:rPr>
        <w:t>，</w:t>
      </w:r>
      <w:r>
        <w:rPr>
          <w:color w:val="auto"/>
        </w:rPr>
        <w:t>若有不符合项应及时整改</w:t>
      </w:r>
      <w:r>
        <w:rPr>
          <w:rFonts w:hint="eastAsia"/>
          <w:color w:val="auto"/>
        </w:rPr>
        <w:t>。</w:t>
      </w:r>
    </w:p>
    <w:p w:rsidR="003F13AB" w:rsidRDefault="00EC6E7E">
      <w:pPr>
        <w:pStyle w:val="12"/>
        <w:numPr>
          <w:ilvl w:val="0"/>
          <w:numId w:val="12"/>
        </w:numPr>
        <w:topLinePunct/>
        <w:ind w:left="0" w:firstLine="560"/>
        <w:rPr>
          <w:color w:val="auto"/>
        </w:rPr>
      </w:pPr>
      <w:r>
        <w:rPr>
          <w:color w:val="auto"/>
        </w:rPr>
        <w:t>定期对设施设备进行维护，保证安全防护设施有效，并定期检查厂内灭火器等消防设施，及时更换过期、失效的消防器材</w:t>
      </w:r>
      <w:r>
        <w:rPr>
          <w:rFonts w:hint="eastAsia"/>
          <w:color w:val="auto"/>
        </w:rPr>
        <w:t>。</w:t>
      </w:r>
    </w:p>
    <w:p w:rsidR="003F13AB" w:rsidRDefault="00EC6E7E">
      <w:pPr>
        <w:pStyle w:val="12"/>
        <w:numPr>
          <w:ilvl w:val="0"/>
          <w:numId w:val="12"/>
        </w:numPr>
        <w:topLinePunct/>
        <w:ind w:left="0" w:firstLine="560"/>
        <w:rPr>
          <w:color w:val="auto"/>
        </w:rPr>
      </w:pPr>
      <w:r>
        <w:rPr>
          <w:color w:val="auto"/>
        </w:rPr>
        <w:t>公司安全管理人员应不断提高自身的综合安全管理水平，加强对职工及新进人员的安全教育工作，提高全体员工的安全意识和自我保护能力；并做好日常的安全教育培训记录；严禁违章作业、违章指挥；安全管理人员及特种作业人员应全员参加培训，经考核合格后，持证上岗</w:t>
      </w:r>
      <w:r>
        <w:rPr>
          <w:rFonts w:hint="eastAsia"/>
          <w:color w:val="auto"/>
        </w:rPr>
        <w:t>。</w:t>
      </w:r>
    </w:p>
    <w:p w:rsidR="003F13AB" w:rsidRDefault="00EC6E7E">
      <w:pPr>
        <w:pStyle w:val="12"/>
        <w:numPr>
          <w:ilvl w:val="0"/>
          <w:numId w:val="12"/>
        </w:numPr>
        <w:topLinePunct/>
        <w:ind w:left="0" w:firstLine="560"/>
        <w:rPr>
          <w:color w:val="auto"/>
        </w:rPr>
      </w:pPr>
      <w:r>
        <w:rPr>
          <w:color w:val="auto"/>
        </w:rPr>
        <w:t>根据企业的实际情况，不断完善安全生产管理规章制度</w:t>
      </w:r>
      <w:r>
        <w:rPr>
          <w:rFonts w:hint="eastAsia"/>
          <w:color w:val="auto"/>
        </w:rPr>
        <w:t>，</w:t>
      </w:r>
      <w:r>
        <w:rPr>
          <w:color w:val="auto"/>
        </w:rPr>
        <w:t>补充应急值班制度；完善生产、检修等作业的安全操作规程</w:t>
      </w:r>
      <w:r>
        <w:rPr>
          <w:rFonts w:hint="eastAsia"/>
          <w:color w:val="auto"/>
        </w:rPr>
        <w:t>，</w:t>
      </w:r>
      <w:r>
        <w:rPr>
          <w:color w:val="auto"/>
        </w:rPr>
        <w:t>运行过程中不断完</w:t>
      </w:r>
      <w:r>
        <w:rPr>
          <w:color w:val="auto"/>
        </w:rPr>
        <w:lastRenderedPageBreak/>
        <w:t>善更新操作规程</w:t>
      </w:r>
      <w:r>
        <w:rPr>
          <w:rFonts w:hint="eastAsia"/>
          <w:color w:val="auto"/>
        </w:rPr>
        <w:t>，</w:t>
      </w:r>
      <w:r>
        <w:rPr>
          <w:color w:val="auto"/>
        </w:rPr>
        <w:t>规范操作；加强作业现场检维修管理</w:t>
      </w:r>
      <w:r>
        <w:rPr>
          <w:rFonts w:hint="eastAsia"/>
          <w:color w:val="auto"/>
        </w:rPr>
        <w:t>，</w:t>
      </w:r>
      <w:r>
        <w:rPr>
          <w:color w:val="auto"/>
        </w:rPr>
        <w:t>做好安全管理台帐</w:t>
      </w:r>
      <w:r>
        <w:rPr>
          <w:rFonts w:hint="eastAsia"/>
          <w:color w:val="auto"/>
        </w:rPr>
        <w:t>（</w:t>
      </w:r>
      <w:r>
        <w:rPr>
          <w:color w:val="auto"/>
        </w:rPr>
        <w:t>作业票票证管理</w:t>
      </w:r>
      <w:r>
        <w:rPr>
          <w:rFonts w:hint="eastAsia"/>
          <w:color w:val="auto"/>
        </w:rPr>
        <w:t>）</w:t>
      </w:r>
      <w:r>
        <w:rPr>
          <w:color w:val="auto"/>
        </w:rPr>
        <w:t>的记录</w:t>
      </w:r>
      <w:r>
        <w:rPr>
          <w:rFonts w:hint="eastAsia"/>
          <w:color w:val="auto"/>
        </w:rPr>
        <w:t>。操作规程完善后应实施规程在对应操作岗位上墙制度。</w:t>
      </w:r>
    </w:p>
    <w:p w:rsidR="003F13AB" w:rsidRDefault="00EC6E7E">
      <w:pPr>
        <w:pStyle w:val="12"/>
        <w:numPr>
          <w:ilvl w:val="0"/>
          <w:numId w:val="12"/>
        </w:numPr>
        <w:topLinePunct/>
        <w:ind w:left="0" w:firstLine="560"/>
        <w:rPr>
          <w:color w:val="auto"/>
        </w:rPr>
      </w:pPr>
      <w:r>
        <w:rPr>
          <w:color w:val="auto"/>
        </w:rPr>
        <w:t>企业保证每年安全生产所需要的资金投入，使公司具备安全生产条件，安全设施投资应当纳入建设项目概算。安全资金主要用在以下方面</w:t>
      </w:r>
      <w:r>
        <w:rPr>
          <w:rFonts w:hint="eastAsia"/>
          <w:color w:val="auto"/>
        </w:rPr>
        <w:t>：</w:t>
      </w:r>
    </w:p>
    <w:p w:rsidR="003F13AB" w:rsidRDefault="00EC6E7E">
      <w:pPr>
        <w:pStyle w:val="12"/>
        <w:numPr>
          <w:ilvl w:val="0"/>
          <w:numId w:val="13"/>
        </w:numPr>
        <w:topLinePunct/>
        <w:ind w:left="0" w:firstLine="560"/>
        <w:rPr>
          <w:color w:val="auto"/>
        </w:rPr>
      </w:pPr>
      <w:r>
        <w:rPr>
          <w:rFonts w:hint="eastAsia"/>
          <w:color w:val="auto"/>
        </w:rPr>
        <w:t>购置购建、更新改造、检测检验、检定校准、运行维护安全防护和紧急避险设施、设备支出</w:t>
      </w:r>
      <w:r>
        <w:rPr>
          <w:rFonts w:hint="eastAsia"/>
          <w:color w:val="auto"/>
        </w:rPr>
        <w:t>[</w:t>
      </w:r>
      <w:r>
        <w:rPr>
          <w:rFonts w:hint="eastAsia"/>
          <w:color w:val="auto"/>
        </w:rPr>
        <w:t>不含按照“建设项目安全设施必须与主体工程同时设计、同时施工、同时投入生产和使用”（以下简称“三同时”）规定投入的安全设施、设备</w:t>
      </w:r>
      <w:r>
        <w:rPr>
          <w:rFonts w:hint="eastAsia"/>
          <w:color w:val="auto"/>
        </w:rPr>
        <w:t>]</w:t>
      </w:r>
      <w:r>
        <w:rPr>
          <w:rFonts w:hint="eastAsia"/>
          <w:color w:val="auto"/>
        </w:rPr>
        <w:t>；</w:t>
      </w:r>
    </w:p>
    <w:p w:rsidR="003F13AB" w:rsidRDefault="00EC6E7E">
      <w:pPr>
        <w:pStyle w:val="12"/>
        <w:numPr>
          <w:ilvl w:val="0"/>
          <w:numId w:val="13"/>
        </w:numPr>
        <w:topLinePunct/>
        <w:ind w:left="0" w:firstLine="560"/>
        <w:rPr>
          <w:color w:val="auto"/>
        </w:rPr>
      </w:pPr>
      <w:r>
        <w:rPr>
          <w:rFonts w:hint="eastAsia"/>
          <w:color w:val="auto"/>
        </w:rPr>
        <w:t>购置、开发、推广应用、更新升级、运行维护安全生产信息系统、软件、网络安全、技术支出；</w:t>
      </w:r>
    </w:p>
    <w:p w:rsidR="003F13AB" w:rsidRDefault="00EC6E7E">
      <w:pPr>
        <w:pStyle w:val="12"/>
        <w:numPr>
          <w:ilvl w:val="0"/>
          <w:numId w:val="13"/>
        </w:numPr>
        <w:topLinePunct/>
        <w:ind w:left="0" w:firstLine="560"/>
        <w:rPr>
          <w:color w:val="auto"/>
        </w:rPr>
      </w:pPr>
      <w:r>
        <w:rPr>
          <w:rFonts w:hint="eastAsia"/>
          <w:color w:val="auto"/>
        </w:rPr>
        <w:t>配备、更新、维护、保养安全防护用品和应急救援器材、设备支出；</w:t>
      </w:r>
    </w:p>
    <w:p w:rsidR="003F13AB" w:rsidRDefault="00EC6E7E">
      <w:pPr>
        <w:pStyle w:val="12"/>
        <w:numPr>
          <w:ilvl w:val="0"/>
          <w:numId w:val="13"/>
        </w:numPr>
        <w:topLinePunct/>
        <w:ind w:left="0" w:firstLine="560"/>
        <w:rPr>
          <w:color w:val="auto"/>
        </w:rPr>
      </w:pPr>
      <w:r>
        <w:rPr>
          <w:rFonts w:hint="eastAsia"/>
          <w:color w:val="auto"/>
        </w:rPr>
        <w:t>企业应急救援队伍建设（含建设应急救援队伍所需应急救援物资储备、人员培训等方面）、安全生产宣传教育培训、从业人员发现报告事故隐患的奖励支出；</w:t>
      </w:r>
    </w:p>
    <w:p w:rsidR="003F13AB" w:rsidRDefault="00EC6E7E">
      <w:pPr>
        <w:pStyle w:val="12"/>
        <w:numPr>
          <w:ilvl w:val="0"/>
          <w:numId w:val="13"/>
        </w:numPr>
        <w:topLinePunct/>
        <w:ind w:left="0" w:firstLine="560"/>
        <w:rPr>
          <w:color w:val="auto"/>
        </w:rPr>
      </w:pPr>
      <w:r>
        <w:rPr>
          <w:rFonts w:hint="eastAsia"/>
          <w:color w:val="auto"/>
        </w:rPr>
        <w:t>安全生产责任保险、承运人责任险等与安全生产直接相关的法定保险支出；</w:t>
      </w:r>
    </w:p>
    <w:p w:rsidR="003F13AB" w:rsidRDefault="00EC6E7E">
      <w:pPr>
        <w:pStyle w:val="12"/>
        <w:numPr>
          <w:ilvl w:val="0"/>
          <w:numId w:val="13"/>
        </w:numPr>
        <w:topLinePunct/>
        <w:ind w:left="0" w:firstLine="560"/>
        <w:rPr>
          <w:color w:val="auto"/>
        </w:rPr>
      </w:pPr>
      <w:r>
        <w:rPr>
          <w:rFonts w:hint="eastAsia"/>
          <w:color w:val="auto"/>
        </w:rPr>
        <w:t>安全生产检查检测、评估评价（不含新建、改建、扩建项目安全评价）、评审、咨询、标准化建设、应急预案制修订、应急演练支出；</w:t>
      </w:r>
    </w:p>
    <w:p w:rsidR="003F13AB" w:rsidRDefault="00EC6E7E">
      <w:pPr>
        <w:pStyle w:val="12"/>
        <w:numPr>
          <w:ilvl w:val="0"/>
          <w:numId w:val="13"/>
        </w:numPr>
        <w:topLinePunct/>
        <w:ind w:left="0" w:firstLine="560"/>
        <w:rPr>
          <w:color w:val="auto"/>
        </w:rPr>
      </w:pPr>
      <w:r>
        <w:rPr>
          <w:rFonts w:hint="eastAsia"/>
          <w:color w:val="auto"/>
        </w:rPr>
        <w:t>与安全生产直接相关的其他支出。</w:t>
      </w:r>
    </w:p>
    <w:p w:rsidR="003F13AB" w:rsidRDefault="00EC6E7E">
      <w:pPr>
        <w:pStyle w:val="12"/>
        <w:numPr>
          <w:ilvl w:val="0"/>
          <w:numId w:val="12"/>
        </w:numPr>
        <w:topLinePunct/>
        <w:ind w:left="0" w:firstLine="560"/>
        <w:rPr>
          <w:color w:val="auto"/>
        </w:rPr>
      </w:pPr>
      <w:r>
        <w:rPr>
          <w:color w:val="auto"/>
        </w:rPr>
        <w:t>应按《中华人民共和国安全生产法》第</w:t>
      </w:r>
      <w:r>
        <w:rPr>
          <w:rFonts w:hint="eastAsia"/>
          <w:color w:val="auto"/>
        </w:rPr>
        <w:t>五十一</w:t>
      </w:r>
      <w:r>
        <w:rPr>
          <w:color w:val="auto"/>
        </w:rPr>
        <w:t>条</w:t>
      </w:r>
      <w:r>
        <w:rPr>
          <w:rFonts w:hint="eastAsia"/>
          <w:color w:val="auto"/>
        </w:rPr>
        <w:t>“</w:t>
      </w:r>
      <w:r>
        <w:rPr>
          <w:color w:val="auto"/>
        </w:rPr>
        <w:t>生产经营单位必须依法参加工伤社会保险，为从业人员缴纳保险费</w:t>
      </w:r>
      <w:r>
        <w:rPr>
          <w:rFonts w:hint="eastAsia"/>
          <w:color w:val="auto"/>
        </w:rPr>
        <w:t>”</w:t>
      </w:r>
      <w:r>
        <w:rPr>
          <w:color w:val="auto"/>
        </w:rPr>
        <w:t>的规定依法为从业人员缴纳工伤保险。</w:t>
      </w:r>
    </w:p>
    <w:p w:rsidR="003F13AB" w:rsidRDefault="00EC6E7E">
      <w:pPr>
        <w:pStyle w:val="12"/>
        <w:numPr>
          <w:ilvl w:val="0"/>
          <w:numId w:val="12"/>
        </w:numPr>
        <w:topLinePunct/>
        <w:ind w:left="0" w:firstLine="560"/>
        <w:rPr>
          <w:color w:val="auto"/>
        </w:rPr>
      </w:pPr>
      <w:r>
        <w:rPr>
          <w:color w:val="auto"/>
        </w:rPr>
        <w:t>定期为作业人员配发合格的劳动防护用品，并严格监督作业人员的劳动防护用品佩戴情况，及时更换失效的劳动防护用品。</w:t>
      </w:r>
    </w:p>
    <w:p w:rsidR="003F13AB" w:rsidRDefault="00EC6E7E">
      <w:pPr>
        <w:pStyle w:val="12"/>
        <w:numPr>
          <w:ilvl w:val="0"/>
          <w:numId w:val="12"/>
        </w:numPr>
        <w:topLinePunct/>
        <w:ind w:left="0" w:firstLine="560"/>
        <w:rPr>
          <w:color w:val="auto"/>
        </w:rPr>
      </w:pPr>
      <w:r>
        <w:rPr>
          <w:color w:val="auto"/>
        </w:rPr>
        <w:lastRenderedPageBreak/>
        <w:t>加强人员安全培训教育，定期组织安全培训教育活动，提高职工安全意识，掌握紧急事故处理、救援知识和实际操作方法</w:t>
      </w:r>
      <w:r>
        <w:rPr>
          <w:rFonts w:hint="eastAsia"/>
          <w:color w:val="auto"/>
        </w:rPr>
        <w:t>。</w:t>
      </w:r>
    </w:p>
    <w:p w:rsidR="003F13AB" w:rsidRDefault="00EC6E7E">
      <w:pPr>
        <w:pStyle w:val="12"/>
        <w:numPr>
          <w:ilvl w:val="0"/>
          <w:numId w:val="12"/>
        </w:numPr>
        <w:topLinePunct/>
        <w:ind w:left="0" w:firstLine="560"/>
        <w:rPr>
          <w:color w:val="auto"/>
        </w:rPr>
      </w:pPr>
      <w:r>
        <w:rPr>
          <w:color w:val="auto"/>
        </w:rPr>
        <w:t>企业应根据</w:t>
      </w:r>
      <w:r>
        <w:rPr>
          <w:rFonts w:hint="eastAsia"/>
          <w:color w:val="auto"/>
        </w:rPr>
        <w:t>《安全生产法》</w:t>
      </w:r>
      <w:r>
        <w:rPr>
          <w:color w:val="auto"/>
        </w:rPr>
        <w:t>的有关内容，不断加强企业内部安全管理，规范化管理；补充完善和制定相应的安全管理制度和操作规程</w:t>
      </w:r>
      <w:r>
        <w:rPr>
          <w:rFonts w:hint="eastAsia"/>
          <w:color w:val="auto"/>
        </w:rPr>
        <w:t>；组织建立并落实安全风险分级管控和隐患排查治理双重预防工作机制，督促、检查本单位的安全生产工作，及时消除生产安全事故隐患。</w:t>
      </w:r>
    </w:p>
    <w:p w:rsidR="003F13AB" w:rsidRDefault="00EC6E7E">
      <w:pPr>
        <w:pStyle w:val="12"/>
        <w:numPr>
          <w:ilvl w:val="0"/>
          <w:numId w:val="12"/>
        </w:numPr>
        <w:topLinePunct/>
        <w:ind w:left="0" w:firstLine="560"/>
        <w:rPr>
          <w:color w:val="auto"/>
        </w:rPr>
      </w:pPr>
      <w:r>
        <w:rPr>
          <w:rFonts w:hint="eastAsia"/>
          <w:color w:val="auto"/>
        </w:rPr>
        <w:t>应按照《危险化学品企业特殊作业安全规范》（</w:t>
      </w:r>
      <w:r>
        <w:rPr>
          <w:rFonts w:hint="eastAsia"/>
          <w:color w:val="auto"/>
        </w:rPr>
        <w:t>GB 30871-2022</w:t>
      </w:r>
      <w:r>
        <w:rPr>
          <w:rFonts w:hint="eastAsia"/>
          <w:color w:val="auto"/>
        </w:rPr>
        <w:t>）制定特殊作业安全管理制度，并进行培训后严格按制度执行。</w:t>
      </w:r>
    </w:p>
    <w:p w:rsidR="003F13AB" w:rsidRDefault="00EC6E7E">
      <w:pPr>
        <w:pStyle w:val="2"/>
      </w:pPr>
      <w:bookmarkStart w:id="228" w:name="_Toc187914450"/>
      <w:r>
        <w:rPr>
          <w:rFonts w:hint="eastAsia"/>
        </w:rPr>
        <w:t>9.3 应急救援对策措施及建议</w:t>
      </w:r>
      <w:bookmarkEnd w:id="228"/>
    </w:p>
    <w:p w:rsidR="003F13AB" w:rsidRDefault="00EC6E7E">
      <w:pPr>
        <w:pStyle w:val="12"/>
        <w:numPr>
          <w:ilvl w:val="0"/>
          <w:numId w:val="14"/>
        </w:numPr>
        <w:topLinePunct/>
        <w:ind w:left="0" w:firstLine="560"/>
        <w:rPr>
          <w:color w:val="auto"/>
        </w:rPr>
      </w:pPr>
      <w:r>
        <w:rPr>
          <w:color w:val="auto"/>
        </w:rPr>
        <w:t>企业应健全事故应急救援体系。依据国家相关法律法规及标准要求，建立、健全应急组织和专（兼）职应急队伍，明确职责，并定期进行事故应急演练。</w:t>
      </w:r>
    </w:p>
    <w:p w:rsidR="003F13AB" w:rsidRDefault="00EC6E7E">
      <w:pPr>
        <w:pStyle w:val="12"/>
        <w:numPr>
          <w:ilvl w:val="0"/>
          <w:numId w:val="14"/>
        </w:numPr>
        <w:topLinePunct/>
        <w:ind w:left="0" w:firstLine="560"/>
        <w:rPr>
          <w:color w:val="auto"/>
        </w:rPr>
      </w:pPr>
      <w:r>
        <w:rPr>
          <w:color w:val="auto"/>
        </w:rPr>
        <w:t>企业应配置与抵御企业风险要求相适应的应急装备、物资，做好应急装备、物资的日常管理维护，配备必要的应急药品和急救器材。</w:t>
      </w:r>
    </w:p>
    <w:p w:rsidR="003F13AB" w:rsidRDefault="00EC6E7E">
      <w:pPr>
        <w:pStyle w:val="12"/>
        <w:numPr>
          <w:ilvl w:val="0"/>
          <w:numId w:val="14"/>
        </w:numPr>
        <w:topLinePunct/>
        <w:ind w:left="0" w:firstLine="560"/>
        <w:rPr>
          <w:color w:val="auto"/>
        </w:rPr>
      </w:pPr>
      <w:r>
        <w:rPr>
          <w:color w:val="auto"/>
        </w:rPr>
        <w:t>企业应当在编制应急预案的基础上，针对工作场所、岗位的特点，编制简明、实用、有效的应急处置卡。应急</w:t>
      </w:r>
      <w:proofErr w:type="gramStart"/>
      <w:r>
        <w:rPr>
          <w:color w:val="auto"/>
        </w:rPr>
        <w:t>处置卡</w:t>
      </w:r>
      <w:proofErr w:type="gramEnd"/>
      <w:r>
        <w:rPr>
          <w:color w:val="auto"/>
        </w:rPr>
        <w:t>应当规定重点岗位、人员的应急处置程序和措施，以及相关联络人员和联系方式，便于从业人员携带。</w:t>
      </w:r>
    </w:p>
    <w:p w:rsidR="003F13AB" w:rsidRDefault="00EC6E7E">
      <w:pPr>
        <w:pStyle w:val="12"/>
        <w:numPr>
          <w:ilvl w:val="0"/>
          <w:numId w:val="14"/>
        </w:numPr>
        <w:topLinePunct/>
        <w:ind w:left="0" w:firstLine="560"/>
        <w:rPr>
          <w:color w:val="auto"/>
        </w:rPr>
      </w:pPr>
      <w:r>
        <w:rPr>
          <w:color w:val="auto"/>
        </w:rPr>
        <w:t>企业应当组织开展本单位的应急预案、应急知识、自救互救和避险逃生技能的培训活动，使有关人员了解应急预案内容，熟悉应急职责、应急处置程序和措施。</w:t>
      </w:r>
    </w:p>
    <w:p w:rsidR="003F13AB" w:rsidRDefault="00EC6E7E">
      <w:pPr>
        <w:pStyle w:val="12"/>
        <w:numPr>
          <w:ilvl w:val="0"/>
          <w:numId w:val="14"/>
        </w:numPr>
        <w:topLinePunct/>
        <w:ind w:left="0" w:firstLine="560"/>
        <w:rPr>
          <w:color w:val="auto"/>
        </w:rPr>
      </w:pPr>
      <w:r>
        <w:rPr>
          <w:color w:val="auto"/>
        </w:rPr>
        <w:t>企业应当按照应急预案的规定，落实应急指挥体系、应急救援队伍、应急物资及装备，建立应急物资、装备配备及其使用档案，并对应急物资、装备进行定期检测和维护，使其处于适用状态。</w:t>
      </w:r>
    </w:p>
    <w:p w:rsidR="003F13AB" w:rsidRDefault="00EC6E7E">
      <w:pPr>
        <w:pStyle w:val="12"/>
        <w:numPr>
          <w:ilvl w:val="0"/>
          <w:numId w:val="14"/>
        </w:numPr>
        <w:topLinePunct/>
        <w:ind w:left="0" w:firstLine="560"/>
        <w:rPr>
          <w:color w:val="auto"/>
        </w:rPr>
      </w:pPr>
      <w:r>
        <w:rPr>
          <w:rFonts w:hint="eastAsia"/>
          <w:color w:val="auto"/>
        </w:rPr>
        <w:t>每年至少组织一次综合应急预案演练或者专项应急预案演练，每</w:t>
      </w:r>
      <w:r>
        <w:rPr>
          <w:rFonts w:hint="eastAsia"/>
          <w:color w:val="auto"/>
        </w:rPr>
        <w:lastRenderedPageBreak/>
        <w:t>半年至少组织一次现场处置方案演练。并对演练过程、效果、经验、存在问题、改进措施进行总结。</w:t>
      </w:r>
    </w:p>
    <w:p w:rsidR="003F13AB" w:rsidRDefault="00EC6E7E">
      <w:pPr>
        <w:pStyle w:val="12"/>
        <w:numPr>
          <w:ilvl w:val="0"/>
          <w:numId w:val="14"/>
        </w:numPr>
        <w:topLinePunct/>
        <w:ind w:left="0" w:firstLine="560"/>
        <w:rPr>
          <w:color w:val="auto"/>
        </w:rPr>
      </w:pPr>
      <w:r>
        <w:rPr>
          <w:rFonts w:ascii="宋体" w:hAnsi="宋体" w:hint="eastAsia"/>
          <w:color w:val="auto"/>
        </w:rPr>
        <w:t>按</w:t>
      </w:r>
      <w:r>
        <w:rPr>
          <w:rFonts w:hint="eastAsia"/>
          <w:color w:val="auto"/>
        </w:rPr>
        <w:t>《生产经营单位生产安全事故应急预案评估指南》</w:t>
      </w:r>
      <w:r>
        <w:rPr>
          <w:rFonts w:ascii="宋体" w:hAnsi="宋体" w:hint="eastAsia"/>
          <w:color w:val="auto"/>
        </w:rPr>
        <w:t>（AQ/T 9011-2019）</w:t>
      </w:r>
      <w:r>
        <w:rPr>
          <w:rFonts w:hint="eastAsia"/>
          <w:color w:val="auto"/>
        </w:rPr>
        <w:t>的规定，对应急演练的效果进行评估，根据评估结果，修订、完善应急预案，改进应急管理工作。</w:t>
      </w:r>
    </w:p>
    <w:p w:rsidR="003F13AB" w:rsidRDefault="00EC6E7E">
      <w:pPr>
        <w:pStyle w:val="12"/>
        <w:numPr>
          <w:ilvl w:val="0"/>
          <w:numId w:val="14"/>
        </w:numPr>
        <w:topLinePunct/>
        <w:ind w:left="0" w:firstLine="560"/>
        <w:rPr>
          <w:rFonts w:ascii="宋体" w:hAnsi="宋体" w:cs="宋体"/>
          <w:color w:val="auto"/>
          <w:kern w:val="0"/>
          <w:szCs w:val="28"/>
        </w:rPr>
      </w:pPr>
      <w:r>
        <w:rPr>
          <w:rFonts w:hint="eastAsia"/>
          <w:color w:val="auto"/>
        </w:rPr>
        <w:t>企业应对预案每三年修订</w:t>
      </w:r>
      <w:r>
        <w:rPr>
          <w:rFonts w:ascii="宋体" w:hAnsi="宋体" w:cs="宋体" w:hint="eastAsia"/>
          <w:color w:val="auto"/>
          <w:kern w:val="0"/>
          <w:szCs w:val="28"/>
        </w:rPr>
        <w:t>一次；有下列情形之一时，应急预案及时修订：</w:t>
      </w:r>
    </w:p>
    <w:p w:rsidR="003F13AB" w:rsidRDefault="00EC6E7E">
      <w:pPr>
        <w:widowControl/>
        <w:numPr>
          <w:ilvl w:val="0"/>
          <w:numId w:val="15"/>
        </w:numPr>
        <w:tabs>
          <w:tab w:val="left" w:pos="840"/>
        </w:tabs>
        <w:adjustRightInd/>
        <w:snapToGrid/>
        <w:ind w:left="0" w:firstLine="560"/>
        <w:jc w:val="left"/>
        <w:rPr>
          <w:rFonts w:ascii="宋体" w:hAnsi="宋体" w:cs="宋体"/>
          <w:color w:val="auto"/>
          <w:kern w:val="0"/>
          <w:szCs w:val="28"/>
        </w:rPr>
      </w:pPr>
      <w:r>
        <w:rPr>
          <w:rFonts w:ascii="宋体" w:hAnsi="宋体" w:cs="宋体" w:hint="eastAsia"/>
          <w:color w:val="auto"/>
          <w:kern w:val="0"/>
          <w:szCs w:val="28"/>
        </w:rPr>
        <w:t>依据的法律、法规、规章、标准及有关规定发生重大变化的；</w:t>
      </w:r>
    </w:p>
    <w:p w:rsidR="003F13AB" w:rsidRDefault="00EC6E7E">
      <w:pPr>
        <w:widowControl/>
        <w:numPr>
          <w:ilvl w:val="0"/>
          <w:numId w:val="15"/>
        </w:numPr>
        <w:tabs>
          <w:tab w:val="left" w:pos="840"/>
        </w:tabs>
        <w:adjustRightInd/>
        <w:snapToGrid/>
        <w:ind w:left="0" w:firstLine="560"/>
        <w:jc w:val="left"/>
        <w:rPr>
          <w:rFonts w:ascii="宋体" w:hAnsi="宋体" w:cs="宋体"/>
          <w:color w:val="auto"/>
          <w:kern w:val="0"/>
          <w:szCs w:val="28"/>
        </w:rPr>
      </w:pPr>
      <w:r>
        <w:rPr>
          <w:rFonts w:ascii="宋体" w:hAnsi="宋体" w:cs="宋体" w:hint="eastAsia"/>
          <w:color w:val="auto"/>
          <w:kern w:val="0"/>
          <w:szCs w:val="28"/>
        </w:rPr>
        <w:t>应急指挥机构及其职责发生调整的；</w:t>
      </w:r>
    </w:p>
    <w:p w:rsidR="003F13AB" w:rsidRDefault="00EC6E7E">
      <w:pPr>
        <w:widowControl/>
        <w:numPr>
          <w:ilvl w:val="0"/>
          <w:numId w:val="15"/>
        </w:numPr>
        <w:tabs>
          <w:tab w:val="left" w:pos="840"/>
        </w:tabs>
        <w:adjustRightInd/>
        <w:snapToGrid/>
        <w:ind w:left="0" w:firstLine="560"/>
        <w:jc w:val="left"/>
        <w:rPr>
          <w:rFonts w:ascii="宋体" w:hAnsi="宋体" w:cs="宋体"/>
          <w:color w:val="auto"/>
          <w:kern w:val="0"/>
          <w:szCs w:val="28"/>
        </w:rPr>
      </w:pPr>
      <w:r>
        <w:rPr>
          <w:rFonts w:ascii="宋体" w:hAnsi="宋体" w:cs="宋体" w:hint="eastAsia"/>
          <w:color w:val="auto"/>
          <w:kern w:val="0"/>
          <w:szCs w:val="28"/>
        </w:rPr>
        <w:t>面临的事故风险发生重大变化的；</w:t>
      </w:r>
    </w:p>
    <w:p w:rsidR="003F13AB" w:rsidRDefault="00EC6E7E">
      <w:pPr>
        <w:widowControl/>
        <w:numPr>
          <w:ilvl w:val="0"/>
          <w:numId w:val="15"/>
        </w:numPr>
        <w:tabs>
          <w:tab w:val="left" w:pos="840"/>
        </w:tabs>
        <w:adjustRightInd/>
        <w:snapToGrid/>
        <w:ind w:left="0" w:firstLine="560"/>
        <w:jc w:val="left"/>
        <w:rPr>
          <w:rFonts w:ascii="宋体" w:hAnsi="宋体" w:cs="宋体"/>
          <w:color w:val="auto"/>
          <w:kern w:val="0"/>
          <w:szCs w:val="28"/>
        </w:rPr>
      </w:pPr>
      <w:r>
        <w:rPr>
          <w:rFonts w:ascii="宋体" w:hAnsi="宋体" w:cs="宋体" w:hint="eastAsia"/>
          <w:color w:val="auto"/>
          <w:kern w:val="0"/>
          <w:szCs w:val="28"/>
        </w:rPr>
        <w:t>重要应急资源发生重大变化的；</w:t>
      </w:r>
    </w:p>
    <w:p w:rsidR="003F13AB" w:rsidRDefault="00EC6E7E">
      <w:pPr>
        <w:widowControl/>
        <w:numPr>
          <w:ilvl w:val="0"/>
          <w:numId w:val="15"/>
        </w:numPr>
        <w:tabs>
          <w:tab w:val="left" w:pos="840"/>
        </w:tabs>
        <w:adjustRightInd/>
        <w:snapToGrid/>
        <w:ind w:left="0" w:firstLine="560"/>
        <w:jc w:val="left"/>
        <w:rPr>
          <w:rFonts w:ascii="宋体" w:hAnsi="宋体" w:cs="宋体"/>
          <w:color w:val="auto"/>
          <w:kern w:val="0"/>
          <w:szCs w:val="28"/>
        </w:rPr>
      </w:pPr>
      <w:r>
        <w:rPr>
          <w:rFonts w:ascii="宋体" w:hAnsi="宋体" w:cs="宋体" w:hint="eastAsia"/>
          <w:color w:val="auto"/>
          <w:kern w:val="0"/>
          <w:szCs w:val="28"/>
        </w:rPr>
        <w:t>预案中的其他重要信息发生变化的；</w:t>
      </w:r>
    </w:p>
    <w:p w:rsidR="003F13AB" w:rsidRDefault="00EC6E7E">
      <w:pPr>
        <w:widowControl/>
        <w:numPr>
          <w:ilvl w:val="0"/>
          <w:numId w:val="15"/>
        </w:numPr>
        <w:tabs>
          <w:tab w:val="left" w:pos="840"/>
        </w:tabs>
        <w:adjustRightInd/>
        <w:snapToGrid/>
        <w:ind w:left="0" w:firstLine="560"/>
        <w:jc w:val="left"/>
        <w:rPr>
          <w:rFonts w:ascii="宋体" w:hAnsi="宋体" w:cs="宋体"/>
          <w:color w:val="auto"/>
          <w:kern w:val="0"/>
          <w:szCs w:val="28"/>
        </w:rPr>
      </w:pPr>
      <w:r>
        <w:rPr>
          <w:rFonts w:ascii="宋体" w:hAnsi="宋体" w:cs="宋体" w:hint="eastAsia"/>
          <w:color w:val="auto"/>
          <w:kern w:val="0"/>
          <w:szCs w:val="28"/>
        </w:rPr>
        <w:t>在应急演练和事故应急救援中发现问题需要修订的；</w:t>
      </w:r>
    </w:p>
    <w:p w:rsidR="003F13AB" w:rsidRDefault="00EC6E7E">
      <w:pPr>
        <w:pStyle w:val="12"/>
        <w:numPr>
          <w:ilvl w:val="0"/>
          <w:numId w:val="14"/>
        </w:numPr>
        <w:topLinePunct/>
        <w:ind w:left="0" w:firstLine="560"/>
        <w:rPr>
          <w:rFonts w:ascii="宋体" w:hAnsi="宋体" w:cs="宋体"/>
          <w:color w:val="auto"/>
          <w:kern w:val="0"/>
          <w:szCs w:val="28"/>
        </w:rPr>
      </w:pPr>
      <w:r>
        <w:rPr>
          <w:rFonts w:hint="eastAsia"/>
          <w:color w:val="auto"/>
        </w:rPr>
        <w:t>发生事故后，应立即启动相关应急预案，积极开展事故救援；应急结束后，应编制应急救援报告。</w:t>
      </w:r>
    </w:p>
    <w:p w:rsidR="003F13AB" w:rsidRDefault="00EC6E7E">
      <w:pPr>
        <w:pStyle w:val="2"/>
      </w:pPr>
      <w:bookmarkStart w:id="229" w:name="_Toc187914451"/>
      <w:bookmarkStart w:id="230" w:name="_Toc515540404"/>
      <w:bookmarkStart w:id="231" w:name="_Toc520297572"/>
      <w:r>
        <w:rPr>
          <w:rFonts w:hint="eastAsia"/>
        </w:rPr>
        <w:t>9.4 其他方面</w:t>
      </w:r>
      <w:bookmarkEnd w:id="229"/>
      <w:bookmarkEnd w:id="230"/>
      <w:bookmarkEnd w:id="231"/>
    </w:p>
    <w:p w:rsidR="003F13AB" w:rsidRDefault="00EC6E7E">
      <w:pPr>
        <w:pStyle w:val="12"/>
        <w:numPr>
          <w:ilvl w:val="2"/>
          <w:numId w:val="16"/>
        </w:numPr>
        <w:topLinePunct/>
        <w:ind w:left="0" w:firstLine="560"/>
        <w:rPr>
          <w:color w:val="auto"/>
        </w:rPr>
      </w:pPr>
      <w:r>
        <w:rPr>
          <w:rFonts w:hint="eastAsia"/>
          <w:color w:val="auto"/>
        </w:rPr>
        <w:t>不得将生产项目、场所、设备发包或者出租给不具备安全生产条件或者相应资质的单位或者个人。</w:t>
      </w:r>
    </w:p>
    <w:p w:rsidR="003F13AB" w:rsidRDefault="00EC6E7E">
      <w:pPr>
        <w:pStyle w:val="12"/>
        <w:numPr>
          <w:ilvl w:val="2"/>
          <w:numId w:val="16"/>
        </w:numPr>
        <w:topLinePunct/>
        <w:ind w:left="0" w:firstLine="560"/>
        <w:rPr>
          <w:color w:val="auto"/>
        </w:rPr>
      </w:pPr>
      <w:r>
        <w:rPr>
          <w:rFonts w:hint="eastAsia"/>
          <w:color w:val="auto"/>
        </w:rPr>
        <w:t>与从业人员订立劳动合同。订立的劳动合同，应当载明有关保障从业人员劳动安全、防止职业危害的事项，以及依法为从业人员办理工伤社会保险的事项。生产单位不得以任何形式与从业人员订立协议，免除或者减轻其对从业人员因生产安全事故伤亡依法应承担的责任。</w:t>
      </w:r>
    </w:p>
    <w:p w:rsidR="003F13AB" w:rsidRDefault="00EC6E7E">
      <w:pPr>
        <w:pStyle w:val="12"/>
        <w:numPr>
          <w:ilvl w:val="2"/>
          <w:numId w:val="16"/>
        </w:numPr>
        <w:topLinePunct/>
        <w:ind w:left="0" w:firstLine="560"/>
        <w:rPr>
          <w:color w:val="auto"/>
        </w:rPr>
      </w:pPr>
      <w:r>
        <w:rPr>
          <w:rFonts w:hint="eastAsia"/>
          <w:color w:val="auto"/>
        </w:rPr>
        <w:t>厂区动火作业时应严格按照公司“动火作业”执行。</w:t>
      </w:r>
    </w:p>
    <w:p w:rsidR="003F13AB" w:rsidRDefault="00EC6E7E">
      <w:pPr>
        <w:pStyle w:val="12"/>
        <w:numPr>
          <w:ilvl w:val="2"/>
          <w:numId w:val="16"/>
        </w:numPr>
        <w:topLinePunct/>
        <w:ind w:left="0" w:firstLine="560"/>
        <w:rPr>
          <w:color w:val="auto"/>
        </w:rPr>
      </w:pPr>
      <w:r>
        <w:rPr>
          <w:rFonts w:hint="eastAsia"/>
          <w:color w:val="auto"/>
        </w:rPr>
        <w:t>企业应建立和完善上岗、在岗期间和离岗的职业健康检查，完善和规范“两档”管理。为劳动者建立职业健康监护档案，并按照规定的期</w:t>
      </w:r>
      <w:r>
        <w:rPr>
          <w:rFonts w:hint="eastAsia"/>
          <w:color w:val="auto"/>
        </w:rPr>
        <w:lastRenderedPageBreak/>
        <w:t>限妥善保存。</w:t>
      </w:r>
    </w:p>
    <w:p w:rsidR="003F13AB" w:rsidRDefault="00EC6E7E">
      <w:pPr>
        <w:pStyle w:val="12"/>
        <w:numPr>
          <w:ilvl w:val="2"/>
          <w:numId w:val="16"/>
        </w:numPr>
        <w:topLinePunct/>
        <w:spacing w:line="500" w:lineRule="exact"/>
        <w:ind w:left="0" w:firstLine="560"/>
        <w:rPr>
          <w:color w:val="auto"/>
        </w:rPr>
      </w:pPr>
      <w:r>
        <w:rPr>
          <w:rFonts w:hint="eastAsia"/>
          <w:color w:val="auto"/>
        </w:rPr>
        <w:t>生产单位应当健全事故隐患排查治理和建档监控等管理制度，逐级建立并落实从主要负责人到每个从业人员的隐患排查治理和监控责任制。</w:t>
      </w:r>
    </w:p>
    <w:p w:rsidR="003F13AB" w:rsidRDefault="00EC6E7E">
      <w:pPr>
        <w:pStyle w:val="12"/>
        <w:numPr>
          <w:ilvl w:val="2"/>
          <w:numId w:val="16"/>
        </w:numPr>
        <w:topLinePunct/>
        <w:spacing w:line="500" w:lineRule="exact"/>
        <w:ind w:left="0" w:firstLine="560"/>
        <w:rPr>
          <w:color w:val="auto"/>
        </w:rPr>
      </w:pPr>
      <w:r>
        <w:rPr>
          <w:rFonts w:hint="eastAsia"/>
          <w:color w:val="auto"/>
        </w:rPr>
        <w:t>生产单位应当保证事故隐患排查治理所需的资金，建立资金使用专项制度。生产单位对排查出的事故隐患，应当按照事故隐患的等级进行登记，建立事故隐患信息档案，并按照职责分工实施监控治理。</w:t>
      </w:r>
    </w:p>
    <w:p w:rsidR="003F13AB" w:rsidRDefault="00EC6E7E">
      <w:pPr>
        <w:pStyle w:val="12"/>
        <w:numPr>
          <w:ilvl w:val="2"/>
          <w:numId w:val="16"/>
        </w:numPr>
        <w:topLinePunct/>
        <w:spacing w:line="500" w:lineRule="exact"/>
        <w:ind w:left="0" w:firstLine="560"/>
        <w:rPr>
          <w:color w:val="auto"/>
        </w:rPr>
      </w:pPr>
      <w:r>
        <w:rPr>
          <w:rFonts w:hint="eastAsia"/>
          <w:color w:val="auto"/>
        </w:rPr>
        <w:t>对于一般事故隐患，由生产单位负责人或者有关人员立即组织整改；对于重大事故隐患，由生产单位主要负责人组织制定并实施事故隐患治理方案。</w:t>
      </w:r>
    </w:p>
    <w:p w:rsidR="003F13AB" w:rsidRDefault="00EC6E7E">
      <w:pPr>
        <w:pStyle w:val="12"/>
        <w:numPr>
          <w:ilvl w:val="2"/>
          <w:numId w:val="16"/>
        </w:numPr>
        <w:topLinePunct/>
        <w:spacing w:line="500" w:lineRule="exact"/>
        <w:ind w:left="0" w:firstLine="560"/>
        <w:rPr>
          <w:color w:val="auto"/>
        </w:rPr>
      </w:pPr>
      <w:r>
        <w:rPr>
          <w:rFonts w:hint="eastAsia"/>
          <w:color w:val="auto"/>
        </w:rPr>
        <w:t>生产单位在事故隐患治理过程中，应当采取相应的安全防范措施，防止事故发生。事故隐患排除前或者排除过程中无法保证安全的，应当从危险区域内撤出作业人员，并疏散可能危及的其他人员，设置警戒标志，暂时停产停业或者停止使用；对暂时难以停产或者停止使用的相关生产储存装置、设施、设备，应当加强维护和保养，防止事故发生。</w:t>
      </w:r>
    </w:p>
    <w:p w:rsidR="003F13AB" w:rsidRDefault="00EC6E7E">
      <w:pPr>
        <w:pStyle w:val="12"/>
        <w:numPr>
          <w:ilvl w:val="2"/>
          <w:numId w:val="16"/>
        </w:numPr>
        <w:topLinePunct/>
        <w:spacing w:line="500" w:lineRule="exact"/>
        <w:ind w:left="0" w:firstLine="560"/>
        <w:rPr>
          <w:color w:val="auto"/>
        </w:rPr>
      </w:pPr>
      <w:r>
        <w:rPr>
          <w:rFonts w:hint="eastAsia"/>
          <w:color w:val="auto"/>
        </w:rPr>
        <w:t>制定综合检维修计划，加强日常检维修和定期检维修管理，落实“五定”原则，即定检维修方案、定检维修人员、定安全措施、定检维修质量、定检维修进度，并做好记录。</w:t>
      </w:r>
    </w:p>
    <w:p w:rsidR="003F13AB" w:rsidRDefault="00EC6E7E">
      <w:pPr>
        <w:pStyle w:val="12"/>
        <w:numPr>
          <w:ilvl w:val="2"/>
          <w:numId w:val="16"/>
        </w:numPr>
        <w:topLinePunct/>
        <w:spacing w:line="500" w:lineRule="exact"/>
        <w:ind w:left="0" w:firstLine="560"/>
        <w:rPr>
          <w:color w:val="auto"/>
        </w:rPr>
      </w:pPr>
      <w:r>
        <w:rPr>
          <w:rFonts w:hint="eastAsia"/>
          <w:color w:val="auto"/>
        </w:rPr>
        <w:t>检维修方案包含作业安全风险分析、控制措施、应急处置措施及安全验收标准。检维修过程中执行安全控制措施，隔离能量和危险物质，并进行监督检查，检维修后应进行安全确认。</w:t>
      </w:r>
    </w:p>
    <w:p w:rsidR="003F13AB" w:rsidRDefault="00EC6E7E">
      <w:pPr>
        <w:pStyle w:val="12"/>
        <w:numPr>
          <w:ilvl w:val="2"/>
          <w:numId w:val="16"/>
        </w:numPr>
        <w:topLinePunct/>
        <w:spacing w:line="500" w:lineRule="exact"/>
        <w:ind w:left="0" w:firstLine="560"/>
        <w:rPr>
          <w:color w:val="auto"/>
        </w:rPr>
      </w:pPr>
      <w:r>
        <w:rPr>
          <w:rFonts w:hint="eastAsia"/>
          <w:color w:val="auto"/>
        </w:rPr>
        <w:t>危险性较大的作业活动，实施作业许可管理，严格履行作业许可审批手续。作业许可包含安全风险分析、安全及职业病危害防护措施、应急处置等内容。作业许可实行闭环管理。</w:t>
      </w:r>
    </w:p>
    <w:p w:rsidR="003F13AB" w:rsidRDefault="00EC6E7E">
      <w:pPr>
        <w:pStyle w:val="12"/>
        <w:numPr>
          <w:ilvl w:val="2"/>
          <w:numId w:val="16"/>
        </w:numPr>
        <w:topLinePunct/>
        <w:spacing w:line="500" w:lineRule="exact"/>
        <w:ind w:left="0" w:firstLine="560"/>
        <w:rPr>
          <w:color w:val="auto"/>
        </w:rPr>
      </w:pPr>
      <w:r>
        <w:rPr>
          <w:rFonts w:hint="eastAsia"/>
          <w:color w:val="auto"/>
        </w:rPr>
        <w:t>两个以上作业队伍在同一作业区域内进行作业活动时，不同作业队伍相互之间签订管理协议，明确各自的安全生产、职业卫生管理职责和采取的有效措施，并指定专人进行检</w:t>
      </w:r>
      <w:proofErr w:type="gramStart"/>
      <w:r>
        <w:rPr>
          <w:rFonts w:hint="eastAsia"/>
          <w:color w:val="auto"/>
        </w:rPr>
        <w:t>査</w:t>
      </w:r>
      <w:proofErr w:type="gramEnd"/>
      <w:r>
        <w:rPr>
          <w:rFonts w:hint="eastAsia"/>
          <w:color w:val="auto"/>
        </w:rPr>
        <w:t>与协调。</w:t>
      </w:r>
    </w:p>
    <w:p w:rsidR="003F13AB" w:rsidRDefault="00EC6E7E">
      <w:pPr>
        <w:pStyle w:val="12"/>
        <w:numPr>
          <w:ilvl w:val="2"/>
          <w:numId w:val="16"/>
        </w:numPr>
        <w:topLinePunct/>
        <w:spacing w:line="500" w:lineRule="exact"/>
        <w:ind w:left="0" w:firstLine="560"/>
        <w:rPr>
          <w:color w:val="auto"/>
        </w:rPr>
      </w:pPr>
      <w:r>
        <w:rPr>
          <w:rFonts w:hint="eastAsia"/>
          <w:color w:val="auto"/>
        </w:rPr>
        <w:t>安全设备设施不得随意拆除、挪用或弃置不用；确因检维修拆</w:t>
      </w:r>
      <w:r>
        <w:rPr>
          <w:rFonts w:hint="eastAsia"/>
          <w:color w:val="auto"/>
        </w:rPr>
        <w:lastRenderedPageBreak/>
        <w:t>除的，采取临时安全措施，检维修完毕后立即复原。</w:t>
      </w:r>
      <w:bookmarkStart w:id="232" w:name="_Toc503269940"/>
    </w:p>
    <w:p w:rsidR="003F13AB" w:rsidRDefault="00EC6E7E">
      <w:pPr>
        <w:pStyle w:val="1"/>
        <w:keepNext w:val="0"/>
        <w:keepLines w:val="0"/>
        <w:ind w:left="420"/>
        <w:textAlignment w:val="center"/>
        <w:rPr>
          <w:rFonts w:ascii="宋体" w:hAnsi="宋体"/>
          <w:b/>
          <w:bCs w:val="0"/>
          <w:color w:val="auto"/>
          <w:szCs w:val="20"/>
        </w:rPr>
      </w:pPr>
      <w:bookmarkStart w:id="233" w:name="_Toc187914452"/>
      <w:bookmarkStart w:id="234" w:name="_Toc166857598"/>
      <w:r>
        <w:rPr>
          <w:rFonts w:ascii="宋体" w:hAnsi="宋体" w:hint="eastAsia"/>
          <w:b/>
          <w:bCs w:val="0"/>
          <w:color w:val="auto"/>
          <w:szCs w:val="20"/>
        </w:rPr>
        <w:lastRenderedPageBreak/>
        <w:t>10  安全评价结论</w:t>
      </w:r>
      <w:bookmarkEnd w:id="56"/>
      <w:bookmarkEnd w:id="232"/>
      <w:bookmarkEnd w:id="233"/>
      <w:bookmarkEnd w:id="234"/>
    </w:p>
    <w:p w:rsidR="003F13AB" w:rsidRDefault="00EC6E7E">
      <w:pPr>
        <w:ind w:firstLine="560"/>
        <w:rPr>
          <w:color w:val="auto"/>
        </w:rPr>
      </w:pPr>
      <w:bookmarkStart w:id="235" w:name="_Toc31755_WPSOffice_Level1"/>
      <w:bookmarkStart w:id="236" w:name="_Toc27498_WPSOffice_Level1"/>
      <w:r>
        <w:rPr>
          <w:rFonts w:hint="eastAsia"/>
          <w:color w:val="auto"/>
        </w:rPr>
        <w:t>通过现场核查，核对农家乐公司提供的相关资料并根据国家相关法律、法规及技术标准的要求，对农家乐公司的外部安全条件与厂址及总平面布置、工艺及装置、公用工程及辅助设施等进行对比分析得出以下结论：</w:t>
      </w:r>
    </w:p>
    <w:p w:rsidR="003F13AB" w:rsidRDefault="00EC6E7E">
      <w:pPr>
        <w:ind w:firstLine="560"/>
        <w:rPr>
          <w:color w:val="auto"/>
        </w:rPr>
      </w:pPr>
      <w:r>
        <w:rPr>
          <w:rFonts w:hint="eastAsia"/>
          <w:color w:val="auto"/>
        </w:rPr>
        <w:t>（</w:t>
      </w:r>
      <w:r>
        <w:rPr>
          <w:rFonts w:hint="eastAsia"/>
          <w:color w:val="auto"/>
        </w:rPr>
        <w:t>1</w:t>
      </w:r>
      <w:bookmarkStart w:id="237" w:name="_Hlk68141953"/>
      <w:r>
        <w:rPr>
          <w:color w:val="auto"/>
        </w:rPr>
        <w:t>）</w:t>
      </w:r>
      <w:bookmarkEnd w:id="237"/>
      <w:r>
        <w:rPr>
          <w:rFonts w:hint="eastAsia"/>
          <w:color w:val="auto"/>
        </w:rPr>
        <w:t>本项目的建设程序符合国家安全生产法律、规范的要求；安全设施做到了与主体工程同时设计、同时施工、同时投入生产和使用，符合“三同时”要求。</w:t>
      </w:r>
    </w:p>
    <w:p w:rsidR="003F13AB" w:rsidRDefault="00EC6E7E">
      <w:pPr>
        <w:ind w:firstLine="560"/>
        <w:rPr>
          <w:color w:val="auto"/>
        </w:rPr>
      </w:pPr>
      <w:r>
        <w:rPr>
          <w:rFonts w:hint="eastAsia"/>
          <w:color w:val="auto"/>
        </w:rPr>
        <w:t>（</w:t>
      </w:r>
      <w:r>
        <w:rPr>
          <w:rFonts w:hint="eastAsia"/>
          <w:color w:val="auto"/>
        </w:rPr>
        <w:t>2</w:t>
      </w:r>
      <w:r>
        <w:rPr>
          <w:rFonts w:hint="eastAsia"/>
          <w:color w:val="auto"/>
        </w:rPr>
        <w:t>）本项目</w:t>
      </w:r>
      <w:r>
        <w:rPr>
          <w:color w:val="auto"/>
        </w:rPr>
        <w:t>厂内设施与厂外建构筑物的防火距离及厂内设施之间的防火距离均符合</w:t>
      </w:r>
      <w:r>
        <w:rPr>
          <w:rFonts w:hint="eastAsia"/>
          <w:color w:val="auto"/>
        </w:rPr>
        <w:t>《建筑设计防火规范（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）等规范的要求。</w:t>
      </w:r>
    </w:p>
    <w:p w:rsidR="003F13AB" w:rsidRDefault="00EC6E7E">
      <w:pPr>
        <w:ind w:firstLine="560"/>
        <w:rPr>
          <w:color w:val="auto"/>
        </w:rPr>
      </w:pPr>
      <w:r>
        <w:rPr>
          <w:rFonts w:hint="eastAsia"/>
          <w:color w:val="auto"/>
        </w:rPr>
        <w:t>（</w:t>
      </w:r>
      <w:r>
        <w:rPr>
          <w:rFonts w:hint="eastAsia"/>
          <w:color w:val="auto"/>
        </w:rPr>
        <w:t>3</w:t>
      </w:r>
      <w:r>
        <w:rPr>
          <w:rFonts w:hint="eastAsia"/>
          <w:color w:val="auto"/>
        </w:rPr>
        <w:t>）总平面布置、工艺及设施、消防设施、供排水和电气装置等符合《建筑设计防火规范（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）等规范的相关规定，防雷接地装置经云南双翔建设检测技术有限公司检测合格，并出具了雷电防护装置检测报告，结论为：通过对建筑物共</w:t>
      </w:r>
      <w:r>
        <w:rPr>
          <w:rFonts w:hint="eastAsia"/>
          <w:color w:val="auto"/>
        </w:rPr>
        <w:t>6</w:t>
      </w:r>
      <w:r>
        <w:rPr>
          <w:rFonts w:hint="eastAsia"/>
          <w:color w:val="auto"/>
        </w:rPr>
        <w:t>点防雷接地引下线接地电阻的检测，检测数据表明，该建筑物防雷接地引下线接地电阻实测值均小于设计值，符合国家《建筑电气工程施工质量验收规范》</w:t>
      </w:r>
      <w:r>
        <w:rPr>
          <w:rFonts w:hint="eastAsia"/>
          <w:color w:val="auto"/>
        </w:rPr>
        <w:t>GB50303-2015</w:t>
      </w:r>
      <w:r>
        <w:rPr>
          <w:rFonts w:hint="eastAsia"/>
          <w:color w:val="auto"/>
        </w:rPr>
        <w:t>的要求。</w:t>
      </w:r>
    </w:p>
    <w:p w:rsidR="003F13AB" w:rsidRDefault="00EC6E7E">
      <w:pPr>
        <w:ind w:firstLine="560"/>
        <w:rPr>
          <w:color w:val="auto"/>
        </w:rPr>
      </w:pPr>
      <w:r>
        <w:rPr>
          <w:rFonts w:hint="eastAsia"/>
          <w:color w:val="auto"/>
        </w:rPr>
        <w:t>（</w:t>
      </w:r>
      <w:r>
        <w:rPr>
          <w:rFonts w:hint="eastAsia"/>
          <w:color w:val="auto"/>
        </w:rPr>
        <w:t>4</w:t>
      </w:r>
      <w:r>
        <w:rPr>
          <w:rFonts w:hint="eastAsia"/>
          <w:color w:val="auto"/>
        </w:rPr>
        <w:t>）根据定量分析评价结果可知：当农家乐公司锅炉发生爆炸时，距爆炸中心</w:t>
      </w:r>
      <w:r>
        <w:rPr>
          <w:rFonts w:hint="eastAsia"/>
          <w:color w:val="auto"/>
        </w:rPr>
        <w:t>10.8m</w:t>
      </w:r>
      <w:r>
        <w:rPr>
          <w:rFonts w:hint="eastAsia"/>
          <w:color w:val="auto"/>
        </w:rPr>
        <w:t>以内的人员将大部分死亡，影响半径大于</w:t>
      </w:r>
      <w:r>
        <w:rPr>
          <w:rFonts w:hint="eastAsia"/>
          <w:color w:val="auto"/>
        </w:rPr>
        <w:t>25.8</w:t>
      </w:r>
      <w:r>
        <w:rPr>
          <w:rFonts w:hint="eastAsia"/>
          <w:color w:val="auto"/>
        </w:rPr>
        <w:t>米无损伤。对建筑物的破坏作用为影响半径</w:t>
      </w:r>
      <w:r>
        <w:rPr>
          <w:rFonts w:hint="eastAsia"/>
          <w:color w:val="auto"/>
        </w:rPr>
        <w:t>8</w:t>
      </w:r>
      <w:r>
        <w:rPr>
          <w:rFonts w:hint="eastAsia"/>
          <w:color w:val="auto"/>
        </w:rPr>
        <w:t>米范围内大型钢架结构破坏；对影响半径</w:t>
      </w:r>
      <w:r>
        <w:rPr>
          <w:rFonts w:hint="eastAsia"/>
          <w:color w:val="auto"/>
        </w:rPr>
        <w:t>31.9</w:t>
      </w:r>
      <w:r>
        <w:rPr>
          <w:rFonts w:hint="eastAsia"/>
          <w:color w:val="auto"/>
        </w:rPr>
        <w:t>米以外的建构筑物无影响。</w:t>
      </w:r>
    </w:p>
    <w:p w:rsidR="003F13AB" w:rsidRDefault="00EC6E7E">
      <w:pPr>
        <w:ind w:firstLine="560"/>
        <w:rPr>
          <w:color w:val="auto"/>
        </w:rPr>
      </w:pPr>
      <w:r>
        <w:rPr>
          <w:rFonts w:hint="eastAsia"/>
          <w:color w:val="auto"/>
        </w:rPr>
        <w:t>（</w:t>
      </w:r>
      <w:r>
        <w:rPr>
          <w:rFonts w:hint="eastAsia"/>
          <w:color w:val="auto"/>
        </w:rPr>
        <w:t>5</w:t>
      </w:r>
      <w:r>
        <w:rPr>
          <w:rFonts w:hint="eastAsia"/>
          <w:color w:val="auto"/>
        </w:rPr>
        <w:t>）根据《危险化学品重大危险源辨识》（</w:t>
      </w:r>
      <w:r>
        <w:rPr>
          <w:rFonts w:hint="eastAsia"/>
          <w:color w:val="auto"/>
        </w:rPr>
        <w:t>GB 18218-2018</w:t>
      </w:r>
      <w:r>
        <w:rPr>
          <w:rFonts w:hint="eastAsia"/>
          <w:color w:val="auto"/>
        </w:rPr>
        <w:t>）有关规定，云南农家乐农业集团有限公司年产</w:t>
      </w:r>
      <w:proofErr w:type="gramStart"/>
      <w:r>
        <w:rPr>
          <w:rFonts w:hint="eastAsia"/>
          <w:color w:val="auto"/>
        </w:rPr>
        <w:t>50</w:t>
      </w:r>
      <w:r>
        <w:rPr>
          <w:rFonts w:hint="eastAsia"/>
          <w:color w:val="auto"/>
        </w:rPr>
        <w:t>万吨缓控释</w:t>
      </w:r>
      <w:proofErr w:type="gramEnd"/>
      <w:r>
        <w:rPr>
          <w:rFonts w:hint="eastAsia"/>
          <w:color w:val="auto"/>
        </w:rPr>
        <w:t>肥料、水溶肥料、专用肥料生产基地建设项目不构成危险化学品重大危险源。</w:t>
      </w:r>
    </w:p>
    <w:p w:rsidR="003F13AB" w:rsidRDefault="00EC6E7E">
      <w:pPr>
        <w:ind w:firstLine="560"/>
        <w:rPr>
          <w:color w:val="auto"/>
        </w:rPr>
      </w:pPr>
      <w:r>
        <w:rPr>
          <w:rFonts w:hint="eastAsia"/>
          <w:color w:val="auto"/>
        </w:rPr>
        <w:t>（</w:t>
      </w:r>
      <w:r>
        <w:rPr>
          <w:rFonts w:hint="eastAsia"/>
          <w:color w:val="auto"/>
        </w:rPr>
        <w:t>6</w:t>
      </w:r>
      <w:r>
        <w:rPr>
          <w:rFonts w:hint="eastAsia"/>
          <w:color w:val="auto"/>
        </w:rPr>
        <w:t>）根据《工贸企业重大事故隐患判定标准》（中华人民共和国应急</w:t>
      </w:r>
      <w:r>
        <w:rPr>
          <w:rFonts w:hint="eastAsia"/>
          <w:color w:val="auto"/>
        </w:rPr>
        <w:lastRenderedPageBreak/>
        <w:t>管理部令第</w:t>
      </w:r>
      <w:r>
        <w:rPr>
          <w:rFonts w:hint="eastAsia"/>
          <w:color w:val="auto"/>
        </w:rPr>
        <w:t>10</w:t>
      </w:r>
      <w:r>
        <w:rPr>
          <w:rFonts w:hint="eastAsia"/>
          <w:color w:val="auto"/>
        </w:rPr>
        <w:t>号）有关内容，云南农家乐农业集团有限公司无重大生产安全事故隐患。</w:t>
      </w:r>
    </w:p>
    <w:p w:rsidR="003F13AB" w:rsidRDefault="00EC6E7E">
      <w:pPr>
        <w:ind w:firstLine="560"/>
        <w:rPr>
          <w:color w:val="auto"/>
        </w:rPr>
      </w:pPr>
      <w:r>
        <w:rPr>
          <w:rFonts w:hint="eastAsia"/>
          <w:color w:val="auto"/>
        </w:rPr>
        <w:t>（</w:t>
      </w:r>
      <w:r>
        <w:rPr>
          <w:rFonts w:hint="eastAsia"/>
          <w:color w:val="auto"/>
        </w:rPr>
        <w:t>7</w:t>
      </w:r>
      <w:r>
        <w:rPr>
          <w:rFonts w:hint="eastAsia"/>
          <w:color w:val="auto"/>
        </w:rPr>
        <w:t>）云南农家乐农业集团有限公司建立了较完善安全管理制度、安全生产责任制和岗位安全操作规程。</w:t>
      </w:r>
    </w:p>
    <w:p w:rsidR="003F13AB" w:rsidRDefault="00EC6E7E">
      <w:pPr>
        <w:ind w:firstLine="560"/>
        <w:rPr>
          <w:color w:val="auto"/>
        </w:rPr>
      </w:pPr>
      <w:r>
        <w:rPr>
          <w:rFonts w:hint="eastAsia"/>
          <w:color w:val="auto"/>
        </w:rPr>
        <w:t>（</w:t>
      </w:r>
      <w:r>
        <w:rPr>
          <w:rFonts w:hint="eastAsia"/>
          <w:color w:val="auto"/>
        </w:rPr>
        <w:t>8</w:t>
      </w:r>
      <w:r>
        <w:rPr>
          <w:rFonts w:hint="eastAsia"/>
          <w:color w:val="auto"/>
        </w:rPr>
        <w:t>）云南农家乐农业集团有限公司依法为从业人员缴纳工伤保险费，有保险缴费依据，符合要求。</w:t>
      </w:r>
    </w:p>
    <w:p w:rsidR="003F13AB" w:rsidRDefault="00EC6E7E" w:rsidP="00EC6E7E">
      <w:pPr>
        <w:ind w:firstLine="562"/>
        <w:rPr>
          <w:color w:val="auto"/>
        </w:rPr>
      </w:pPr>
      <w:r>
        <w:rPr>
          <w:rFonts w:hint="eastAsia"/>
          <w:b/>
          <w:noProof/>
          <w:color w:val="auto"/>
        </w:rPr>
        <w:drawing>
          <wp:anchor distT="0" distB="0" distL="114300" distR="114300" simplePos="0" relativeHeight="251659264" behindDoc="1" locked="0" layoutInCell="1" allowOverlap="1">
            <wp:simplePos x="0" y="0"/>
            <wp:positionH relativeFrom="column">
              <wp:posOffset>1599565</wp:posOffset>
            </wp:positionH>
            <wp:positionV relativeFrom="paragraph">
              <wp:posOffset>1010920</wp:posOffset>
            </wp:positionV>
            <wp:extent cx="1633855" cy="1633855"/>
            <wp:effectExtent l="0" t="0" r="4445" b="4445"/>
            <wp:wrapNone/>
            <wp:docPr id="12" name="图片 12" descr="电子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电子章"/>
                    <pic:cNvPicPr>
                      <a:picLocks noChangeAspect="1"/>
                    </pic:cNvPicPr>
                  </pic:nvPicPr>
                  <pic:blipFill>
                    <a:blip r:embed="rId47"/>
                    <a:stretch>
                      <a:fillRect/>
                    </a:stretch>
                  </pic:blipFill>
                  <pic:spPr>
                    <a:xfrm>
                      <a:off x="0" y="0"/>
                      <a:ext cx="1633855" cy="1633855"/>
                    </a:xfrm>
                    <a:prstGeom prst="rect">
                      <a:avLst/>
                    </a:prstGeom>
                  </pic:spPr>
                </pic:pic>
              </a:graphicData>
            </a:graphic>
          </wp:anchor>
        </w:drawing>
      </w:r>
      <w:r>
        <w:rPr>
          <w:rFonts w:hint="eastAsia"/>
          <w:color w:val="auto"/>
        </w:rPr>
        <w:t>（</w:t>
      </w:r>
      <w:r>
        <w:rPr>
          <w:rFonts w:hint="eastAsia"/>
          <w:color w:val="auto"/>
        </w:rPr>
        <w:t>9</w:t>
      </w:r>
      <w:r>
        <w:rPr>
          <w:rFonts w:hint="eastAsia"/>
          <w:color w:val="auto"/>
        </w:rPr>
        <w:t>）云南农家乐农业集团有限公司</w:t>
      </w:r>
      <w:r>
        <w:rPr>
          <w:color w:val="auto"/>
        </w:rPr>
        <w:t>成立了安全管理机构，</w:t>
      </w:r>
      <w:r>
        <w:rPr>
          <w:rFonts w:hint="eastAsia"/>
          <w:color w:val="auto"/>
        </w:rPr>
        <w:t>制定了《生产安全事故应急预案》，并定期组织员工进行演练，并报晋宁区应急管理局备案。</w:t>
      </w:r>
    </w:p>
    <w:p w:rsidR="003F13AB" w:rsidRDefault="00EC6E7E">
      <w:pPr>
        <w:ind w:firstLine="562"/>
        <w:rPr>
          <w:b/>
          <w:bCs/>
          <w:color w:val="auto"/>
        </w:rPr>
      </w:pPr>
      <w:r>
        <w:rPr>
          <w:rFonts w:hint="eastAsia"/>
          <w:b/>
          <w:bCs/>
          <w:color w:val="auto"/>
        </w:rPr>
        <w:t>综上所述，云南农家乐农业集团有限公司总平面布置符合</w:t>
      </w:r>
      <w:r>
        <w:rPr>
          <w:rFonts w:hint="eastAsia"/>
          <w:b/>
          <w:color w:val="auto"/>
        </w:rPr>
        <w:t>《建筑设计防火规范（</w:t>
      </w:r>
      <w:r>
        <w:rPr>
          <w:rFonts w:hint="eastAsia"/>
          <w:b/>
          <w:color w:val="auto"/>
        </w:rPr>
        <w:t>2018</w:t>
      </w:r>
      <w:r>
        <w:rPr>
          <w:rFonts w:hint="eastAsia"/>
          <w:b/>
          <w:color w:val="auto"/>
        </w:rPr>
        <w:t>年版）》（</w:t>
      </w:r>
      <w:r>
        <w:rPr>
          <w:rFonts w:hint="eastAsia"/>
          <w:b/>
          <w:color w:val="auto"/>
        </w:rPr>
        <w:t>GB50016-2014</w:t>
      </w:r>
      <w:r>
        <w:rPr>
          <w:rFonts w:hint="eastAsia"/>
          <w:b/>
          <w:color w:val="auto"/>
        </w:rPr>
        <w:t>）</w:t>
      </w:r>
      <w:r>
        <w:rPr>
          <w:rFonts w:hint="eastAsia"/>
          <w:b/>
          <w:bCs/>
          <w:color w:val="auto"/>
        </w:rPr>
        <w:t>及国家现行相关法规标准要求；项目已按《云南农家乐农业集团有限公司年产</w:t>
      </w:r>
      <w:r>
        <w:rPr>
          <w:rFonts w:hint="eastAsia"/>
          <w:b/>
          <w:bCs/>
          <w:color w:val="auto"/>
        </w:rPr>
        <w:t>50</w:t>
      </w:r>
      <w:r>
        <w:rPr>
          <w:rFonts w:hint="eastAsia"/>
          <w:b/>
          <w:bCs/>
          <w:color w:val="auto"/>
        </w:rPr>
        <w:t>万吨缓控释肥料、水溶肥料、专用肥料生产基地建设项目安全设施设计》进行建设，设备装置安全设施有效，安全对策措施得到落实，安全管理制度齐全，从业人员经过培训持证上岗，具备安全设施验收条件。</w:t>
      </w:r>
    </w:p>
    <w:p w:rsidR="003F13AB" w:rsidRDefault="003F13AB">
      <w:pPr>
        <w:pStyle w:val="af7"/>
        <w:topLinePunct/>
        <w:ind w:firstLine="562"/>
        <w:rPr>
          <w:rFonts w:ascii="宋体" w:hAnsi="宋体"/>
          <w:b/>
          <w:bCs/>
          <w:color w:val="auto"/>
          <w:sz w:val="28"/>
        </w:rPr>
      </w:pPr>
    </w:p>
    <w:p w:rsidR="003F13AB" w:rsidRDefault="003F13AB">
      <w:pPr>
        <w:pStyle w:val="af7"/>
        <w:topLinePunct/>
        <w:ind w:firstLine="562"/>
        <w:rPr>
          <w:rFonts w:ascii="宋体" w:hAnsi="宋体"/>
          <w:b/>
          <w:bCs/>
          <w:color w:val="auto"/>
          <w:sz w:val="28"/>
        </w:rPr>
        <w:sectPr w:rsidR="003F13AB">
          <w:pgSz w:w="11906" w:h="16838"/>
          <w:pgMar w:top="1418" w:right="1418" w:bottom="1588" w:left="1418" w:header="851" w:footer="992" w:gutter="0"/>
          <w:cols w:space="425"/>
          <w:docGrid w:linePitch="312"/>
        </w:sectPr>
      </w:pPr>
    </w:p>
    <w:p w:rsidR="003F13AB" w:rsidRDefault="00EC6E7E">
      <w:pPr>
        <w:pStyle w:val="1"/>
        <w:keepNext w:val="0"/>
        <w:keepLines w:val="0"/>
        <w:ind w:left="420"/>
        <w:textAlignment w:val="center"/>
        <w:rPr>
          <w:rFonts w:ascii="宋体" w:hAnsi="宋体"/>
          <w:b/>
          <w:bCs w:val="0"/>
          <w:color w:val="auto"/>
          <w:szCs w:val="20"/>
        </w:rPr>
      </w:pPr>
      <w:bookmarkStart w:id="238" w:name="_Toc166857599"/>
      <w:bookmarkStart w:id="239" w:name="_Toc187914453"/>
      <w:r>
        <w:rPr>
          <w:rFonts w:ascii="宋体" w:hAnsi="宋体" w:hint="eastAsia"/>
          <w:b/>
          <w:bCs w:val="0"/>
          <w:color w:val="auto"/>
          <w:szCs w:val="20"/>
        </w:rPr>
        <w:lastRenderedPageBreak/>
        <w:t>11  与建设单位交换意见</w:t>
      </w:r>
      <w:bookmarkEnd w:id="238"/>
      <w:bookmarkEnd w:id="239"/>
    </w:p>
    <w:p w:rsidR="003F13AB" w:rsidRDefault="00EC6E7E">
      <w:pPr>
        <w:ind w:firstLine="560"/>
        <w:rPr>
          <w:b/>
          <w:bCs/>
          <w:color w:val="auto"/>
        </w:rPr>
      </w:pPr>
      <w:r>
        <w:rPr>
          <w:rFonts w:hint="eastAsia"/>
          <w:color w:val="auto"/>
        </w:rPr>
        <w:t>通过</w:t>
      </w:r>
      <w:proofErr w:type="gramStart"/>
      <w:r>
        <w:rPr>
          <w:rFonts w:hint="eastAsia"/>
          <w:color w:val="auto"/>
        </w:rPr>
        <w:t>评价组</w:t>
      </w:r>
      <w:proofErr w:type="gramEnd"/>
      <w:r>
        <w:rPr>
          <w:rFonts w:hint="eastAsia"/>
          <w:color w:val="auto"/>
        </w:rPr>
        <w:t>成员对本项目现场实地勘查，按照相关规范要求，经与甲方交流后，甲方同意形成评价结论。农家乐公司应逐条落实本评价报告中提出的安全对策措施及建议，通过对项目的安全验收评价，</w:t>
      </w:r>
      <w:proofErr w:type="gramStart"/>
      <w:r>
        <w:rPr>
          <w:rFonts w:hint="eastAsia"/>
          <w:color w:val="auto"/>
        </w:rPr>
        <w:t>评价组</w:t>
      </w:r>
      <w:proofErr w:type="gramEnd"/>
      <w:r>
        <w:rPr>
          <w:rFonts w:hint="eastAsia"/>
          <w:color w:val="auto"/>
        </w:rPr>
        <w:t>提出了相应的建议措施，农家乐公司接受</w:t>
      </w:r>
      <w:proofErr w:type="gramStart"/>
      <w:r>
        <w:rPr>
          <w:rFonts w:hint="eastAsia"/>
          <w:color w:val="auto"/>
        </w:rPr>
        <w:t>评价组</w:t>
      </w:r>
      <w:proofErr w:type="gramEnd"/>
      <w:r>
        <w:rPr>
          <w:rFonts w:hint="eastAsia"/>
          <w:color w:val="auto"/>
        </w:rPr>
        <w:t>提出的意见。</w:t>
      </w:r>
    </w:p>
    <w:p w:rsidR="003F13AB" w:rsidRDefault="003F13AB">
      <w:pPr>
        <w:pStyle w:val="af7"/>
        <w:topLinePunct/>
        <w:ind w:firstLine="562"/>
        <w:rPr>
          <w:rFonts w:ascii="宋体" w:hAnsi="宋体"/>
          <w:b/>
          <w:bCs/>
          <w:color w:val="auto"/>
          <w:sz w:val="28"/>
        </w:rPr>
      </w:pPr>
    </w:p>
    <w:p w:rsidR="003F13AB" w:rsidRDefault="003F13AB">
      <w:pPr>
        <w:pStyle w:val="af7"/>
        <w:topLinePunct/>
        <w:ind w:firstLine="562"/>
        <w:rPr>
          <w:rFonts w:ascii="宋体" w:hAnsi="宋体"/>
          <w:b/>
          <w:bCs/>
          <w:color w:val="auto"/>
          <w:sz w:val="28"/>
        </w:rPr>
        <w:sectPr w:rsidR="003F13AB">
          <w:pgSz w:w="11906" w:h="16838"/>
          <w:pgMar w:top="1418" w:right="1418" w:bottom="1588" w:left="1418" w:header="851" w:footer="992" w:gutter="0"/>
          <w:cols w:space="425"/>
          <w:docGrid w:linePitch="312"/>
        </w:sectPr>
      </w:pPr>
    </w:p>
    <w:p w:rsidR="003F13AB" w:rsidRDefault="00EC6E7E">
      <w:pPr>
        <w:pStyle w:val="1"/>
        <w:keepNext w:val="0"/>
        <w:keepLines w:val="0"/>
        <w:textAlignment w:val="center"/>
        <w:rPr>
          <w:rFonts w:ascii="宋体" w:hAnsi="宋体"/>
          <w:b/>
          <w:bCs w:val="0"/>
          <w:color w:val="auto"/>
          <w:szCs w:val="20"/>
        </w:rPr>
      </w:pPr>
      <w:bookmarkStart w:id="240" w:name="_Toc187914454"/>
      <w:bookmarkStart w:id="241" w:name="_Toc166857600"/>
      <w:r>
        <w:rPr>
          <w:rFonts w:ascii="宋体" w:hAnsi="宋体" w:hint="eastAsia"/>
          <w:b/>
          <w:bCs w:val="0"/>
          <w:color w:val="auto"/>
          <w:szCs w:val="20"/>
        </w:rPr>
        <w:lastRenderedPageBreak/>
        <w:t>附件1  建设项目相关图纸</w:t>
      </w:r>
      <w:bookmarkEnd w:id="240"/>
      <w:bookmarkEnd w:id="241"/>
    </w:p>
    <w:p w:rsidR="003F13AB" w:rsidRDefault="003F13AB">
      <w:pPr>
        <w:ind w:firstLine="560"/>
        <w:rPr>
          <w:color w:val="auto"/>
        </w:rPr>
      </w:pPr>
    </w:p>
    <w:p w:rsidR="003F13AB" w:rsidRDefault="00EC6E7E">
      <w:pPr>
        <w:pStyle w:val="2"/>
      </w:pPr>
      <w:bookmarkStart w:id="242" w:name="_Toc166857601"/>
      <w:bookmarkStart w:id="243" w:name="_Toc187914455"/>
      <w:r>
        <w:rPr>
          <w:rFonts w:hint="eastAsia"/>
        </w:rPr>
        <w:t>1.1总平面布置图</w:t>
      </w:r>
      <w:bookmarkEnd w:id="242"/>
      <w:bookmarkEnd w:id="243"/>
    </w:p>
    <w:p w:rsidR="003F13AB" w:rsidRDefault="00EC6E7E">
      <w:pPr>
        <w:ind w:firstLine="560"/>
      </w:pPr>
      <w:r>
        <w:t>详见附件</w:t>
      </w:r>
      <w:r>
        <w:rPr>
          <w:rFonts w:hint="eastAsia"/>
        </w:rPr>
        <w:t>8.35</w:t>
      </w:r>
      <w:r>
        <w:rPr>
          <w:rFonts w:hint="eastAsia"/>
        </w:rPr>
        <w:t>。</w:t>
      </w:r>
    </w:p>
    <w:p w:rsidR="003F13AB" w:rsidRDefault="003F13AB">
      <w:pPr>
        <w:pStyle w:val="af7"/>
        <w:tabs>
          <w:tab w:val="center" w:pos="4885"/>
          <w:tab w:val="left" w:pos="8041"/>
        </w:tabs>
        <w:topLinePunct/>
        <w:ind w:firstLineChars="250" w:firstLine="700"/>
        <w:jc w:val="center"/>
        <w:rPr>
          <w:rFonts w:ascii="宋体" w:hAnsi="宋体"/>
          <w:color w:val="auto"/>
          <w:sz w:val="28"/>
        </w:rPr>
      </w:pPr>
    </w:p>
    <w:p w:rsidR="003F13AB" w:rsidRDefault="003F13AB">
      <w:pPr>
        <w:pStyle w:val="Default1"/>
        <w:rPr>
          <w:rFonts w:hint="default"/>
          <w:color w:val="auto"/>
        </w:rPr>
        <w:sectPr w:rsidR="003F13AB">
          <w:pgSz w:w="11906" w:h="16838"/>
          <w:pgMar w:top="1418" w:right="1418" w:bottom="1588" w:left="1418" w:header="851" w:footer="992" w:gutter="0"/>
          <w:cols w:space="425"/>
          <w:docGrid w:linePitch="312"/>
        </w:sectPr>
      </w:pPr>
    </w:p>
    <w:p w:rsidR="003F13AB" w:rsidRDefault="00EC6E7E">
      <w:pPr>
        <w:pStyle w:val="1"/>
        <w:keepNext w:val="0"/>
        <w:keepLines w:val="0"/>
        <w:textAlignment w:val="center"/>
        <w:rPr>
          <w:rFonts w:ascii="宋体" w:hAnsi="宋体"/>
          <w:b/>
          <w:bCs w:val="0"/>
          <w:color w:val="auto"/>
          <w:szCs w:val="20"/>
        </w:rPr>
      </w:pPr>
      <w:bookmarkStart w:id="244" w:name="_Toc187914456"/>
      <w:bookmarkStart w:id="245" w:name="_Toc166857603"/>
      <w:r>
        <w:rPr>
          <w:rFonts w:ascii="宋体" w:hAnsi="宋体" w:hint="eastAsia"/>
          <w:b/>
          <w:bCs w:val="0"/>
          <w:color w:val="auto"/>
          <w:szCs w:val="20"/>
        </w:rPr>
        <w:lastRenderedPageBreak/>
        <w:t>附件2  危险和有害因素分析</w:t>
      </w:r>
      <w:bookmarkEnd w:id="244"/>
      <w:bookmarkEnd w:id="245"/>
    </w:p>
    <w:p w:rsidR="003F13AB" w:rsidRDefault="00EC6E7E">
      <w:pPr>
        <w:pStyle w:val="2"/>
      </w:pPr>
      <w:bookmarkStart w:id="246" w:name="_Toc187914457"/>
      <w:bookmarkStart w:id="247" w:name="_Toc166857604"/>
      <w:r>
        <w:rPr>
          <w:rFonts w:hint="eastAsia"/>
        </w:rPr>
        <w:t>2.1 主要危险、有害物质的理化特性</w:t>
      </w:r>
      <w:bookmarkEnd w:id="246"/>
      <w:bookmarkEnd w:id="247"/>
    </w:p>
    <w:p w:rsidR="003F13AB" w:rsidRDefault="00EC6E7E">
      <w:pPr>
        <w:ind w:firstLineChars="0" w:firstLine="0"/>
        <w:jc w:val="center"/>
        <w:rPr>
          <w:rFonts w:ascii="宋体" w:hAnsi="宋体" w:cs="宋体"/>
          <w:color w:val="auto"/>
          <w:szCs w:val="21"/>
        </w:rPr>
      </w:pPr>
      <w:r>
        <w:rPr>
          <w:rFonts w:ascii="宋体" w:hAnsi="宋体" w:cs="宋体" w:hint="eastAsia"/>
          <w:color w:val="auto"/>
          <w:szCs w:val="21"/>
        </w:rPr>
        <w:t>附表2.1-1</w:t>
      </w:r>
      <w:r>
        <w:rPr>
          <w:rFonts w:ascii="宋体" w:hAnsi="宋体" w:hint="eastAsia"/>
          <w:szCs w:val="28"/>
        </w:rPr>
        <w:t>天然气</w:t>
      </w:r>
      <w:r>
        <w:rPr>
          <w:rFonts w:ascii="宋体" w:hAnsi="宋体" w:cs="宋体" w:hint="eastAsia"/>
          <w:color w:val="auto"/>
          <w:szCs w:val="21"/>
        </w:rPr>
        <w:t>的理化特性表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728"/>
        <w:gridCol w:w="1303"/>
        <w:gridCol w:w="1193"/>
        <w:gridCol w:w="2122"/>
      </w:tblGrid>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标识</w:t>
            </w: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中文名：</w:t>
            </w:r>
            <w:r>
              <w:rPr>
                <w:rFonts w:ascii="Calibri" w:hAnsi="Calibri" w:hint="eastAsia"/>
                <w:snapToGrid w:val="0"/>
                <w:color w:val="auto"/>
                <w:kern w:val="0"/>
                <w:sz w:val="21"/>
                <w:szCs w:val="22"/>
                <w:u w:color="000000"/>
              </w:rPr>
              <w:t>甲烷（天然气）</w:t>
            </w:r>
          </w:p>
        </w:tc>
        <w:tc>
          <w:tcPr>
            <w:tcW w:w="4618"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英文名：</w:t>
            </w:r>
            <w:r>
              <w:rPr>
                <w:rFonts w:ascii="Calibri" w:hAnsi="Calibri" w:hint="eastAsia"/>
                <w:snapToGrid w:val="0"/>
                <w:color w:val="auto"/>
                <w:kern w:val="0"/>
                <w:sz w:val="21"/>
                <w:szCs w:val="22"/>
                <w:u w:color="000000"/>
              </w:rPr>
              <w:t>methane</w:t>
            </w:r>
          </w:p>
        </w:tc>
      </w:tr>
      <w:tr w:rsidR="003F13AB">
        <w:trPr>
          <w:cantSplit/>
          <w:trHeight w:val="452"/>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分子式：</w:t>
            </w:r>
            <w:r>
              <w:rPr>
                <w:rFonts w:ascii="Calibri" w:hAnsi="Calibri"/>
                <w:color w:val="auto"/>
                <w:sz w:val="21"/>
                <w:szCs w:val="21"/>
              </w:rPr>
              <w:t>CH</w:t>
            </w:r>
            <w:r>
              <w:rPr>
                <w:rFonts w:ascii="Calibri" w:hAnsi="Calibri"/>
                <w:color w:val="auto"/>
                <w:sz w:val="21"/>
                <w:szCs w:val="21"/>
                <w:vertAlign w:val="subscript"/>
              </w:rPr>
              <w:t>4</w:t>
            </w:r>
          </w:p>
        </w:tc>
        <w:tc>
          <w:tcPr>
            <w:tcW w:w="2496"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相对分子质量：</w:t>
            </w:r>
            <w:r>
              <w:rPr>
                <w:rFonts w:ascii="Calibri" w:hAnsi="Calibri"/>
                <w:snapToGrid w:val="0"/>
                <w:color w:val="auto"/>
                <w:kern w:val="0"/>
                <w:sz w:val="21"/>
                <w:szCs w:val="22"/>
                <w:u w:color="000000"/>
              </w:rPr>
              <w:t>16.04</w:t>
            </w:r>
          </w:p>
        </w:tc>
        <w:tc>
          <w:tcPr>
            <w:tcW w:w="21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UN</w:t>
            </w:r>
            <w:r>
              <w:rPr>
                <w:rFonts w:ascii="Calibri" w:hAnsi="Calibri"/>
                <w:snapToGrid w:val="0"/>
                <w:color w:val="auto"/>
                <w:kern w:val="0"/>
                <w:sz w:val="21"/>
                <w:szCs w:val="22"/>
                <w:u w:color="000000"/>
              </w:rPr>
              <w:t>编号：</w:t>
            </w:r>
            <w:r>
              <w:rPr>
                <w:rFonts w:ascii="Calibri" w:hAnsi="Calibri"/>
                <w:snapToGrid w:val="0"/>
                <w:color w:val="auto"/>
                <w:kern w:val="0"/>
                <w:sz w:val="21"/>
                <w:szCs w:val="22"/>
                <w:u w:color="000000"/>
              </w:rPr>
              <w:t>1971</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CAS</w:t>
            </w:r>
            <w:r>
              <w:rPr>
                <w:rFonts w:ascii="Calibri" w:hAnsi="Calibri" w:hint="eastAsia"/>
                <w:snapToGrid w:val="0"/>
                <w:color w:val="auto"/>
                <w:kern w:val="0"/>
                <w:sz w:val="21"/>
                <w:szCs w:val="22"/>
                <w:u w:color="000000"/>
              </w:rPr>
              <w:t>登录号</w:t>
            </w:r>
            <w:r>
              <w:rPr>
                <w:rFonts w:ascii="Calibri" w:hAnsi="Calibri"/>
                <w:snapToGrid w:val="0"/>
                <w:color w:val="auto"/>
                <w:kern w:val="0"/>
                <w:sz w:val="21"/>
                <w:szCs w:val="22"/>
                <w:u w:color="000000"/>
              </w:rPr>
              <w:t>：</w:t>
            </w:r>
            <w:r>
              <w:rPr>
                <w:rFonts w:ascii="Calibri" w:hAnsi="Calibri"/>
                <w:snapToGrid w:val="0"/>
                <w:color w:val="auto"/>
                <w:kern w:val="0"/>
                <w:sz w:val="21"/>
                <w:szCs w:val="22"/>
                <w:u w:color="000000"/>
              </w:rPr>
              <w:t>74-82-8</w:t>
            </w:r>
          </w:p>
        </w:tc>
        <w:tc>
          <w:tcPr>
            <w:tcW w:w="1303"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危险性分类</w:t>
            </w:r>
          </w:p>
        </w:tc>
        <w:tc>
          <w:tcPr>
            <w:tcW w:w="3315"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易燃气体</w:t>
            </w:r>
            <w:r>
              <w:rPr>
                <w:rFonts w:ascii="Calibri" w:hAnsi="Calibri" w:hint="eastAsia"/>
                <w:snapToGrid w:val="0"/>
                <w:color w:val="auto"/>
                <w:kern w:val="0"/>
                <w:sz w:val="21"/>
                <w:szCs w:val="22"/>
                <w:u w:color="000000"/>
              </w:rPr>
              <w:t xml:space="preserve"> </w:t>
            </w:r>
            <w:r>
              <w:rPr>
                <w:rFonts w:ascii="Calibri" w:hAnsi="Calibri"/>
                <w:snapToGrid w:val="0"/>
                <w:color w:val="auto"/>
                <w:kern w:val="0"/>
                <w:sz w:val="21"/>
                <w:szCs w:val="22"/>
                <w:u w:color="000000"/>
              </w:rPr>
              <w:t>类别</w:t>
            </w:r>
            <w:r>
              <w:rPr>
                <w:rFonts w:ascii="Calibri" w:hAnsi="Calibri"/>
                <w:snapToGrid w:val="0"/>
                <w:color w:val="auto"/>
                <w:kern w:val="0"/>
                <w:sz w:val="21"/>
                <w:szCs w:val="22"/>
                <w:u w:color="000000"/>
              </w:rPr>
              <w:t>1</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4"/>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火灾危险性：甲</w:t>
            </w:r>
            <w:r>
              <w:rPr>
                <w:rFonts w:ascii="Calibri" w:hAnsi="Calibri"/>
                <w:snapToGrid w:val="0"/>
                <w:color w:val="auto"/>
                <w:kern w:val="0"/>
                <w:sz w:val="21"/>
                <w:szCs w:val="22"/>
                <w:u w:color="000000"/>
              </w:rPr>
              <w:t>类</w:t>
            </w:r>
          </w:p>
        </w:tc>
      </w:tr>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理化性质</w:t>
            </w:r>
          </w:p>
        </w:tc>
        <w:tc>
          <w:tcPr>
            <w:tcW w:w="8346" w:type="dxa"/>
            <w:gridSpan w:val="4"/>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性状：</w:t>
            </w:r>
            <w:r>
              <w:rPr>
                <w:rFonts w:ascii="Calibri" w:hAnsi="Calibri" w:hint="eastAsia"/>
                <w:snapToGrid w:val="0"/>
                <w:color w:val="auto"/>
                <w:kern w:val="0"/>
                <w:sz w:val="21"/>
                <w:szCs w:val="22"/>
                <w:u w:color="000000"/>
              </w:rPr>
              <w:t>无色无味气体</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熔点（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snapToGrid w:val="0"/>
                <w:color w:val="auto"/>
                <w:kern w:val="0"/>
                <w:sz w:val="21"/>
                <w:szCs w:val="22"/>
                <w:u w:color="000000"/>
              </w:rPr>
              <w:t>-182.6</w:t>
            </w:r>
          </w:p>
        </w:tc>
        <w:tc>
          <w:tcPr>
            <w:tcW w:w="4618"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相对密度（水</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snapToGrid w:val="0"/>
                <w:color w:val="auto"/>
                <w:kern w:val="0"/>
                <w:sz w:val="21"/>
                <w:szCs w:val="22"/>
                <w:u w:color="000000"/>
              </w:rPr>
              <w:t>0.42</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snapToGrid w:val="0"/>
                <w:color w:val="auto"/>
                <w:kern w:val="0"/>
                <w:sz w:val="21"/>
                <w:szCs w:val="22"/>
                <w:u w:color="000000"/>
              </w:rPr>
              <w:t>164</w:t>
            </w:r>
            <w:r>
              <w:rPr>
                <w:rFonts w:ascii="宋体" w:hAnsi="宋体" w:cs="宋体" w:hint="eastAsia"/>
                <w:snapToGrid w:val="0"/>
                <w:color w:val="auto"/>
                <w:kern w:val="0"/>
                <w:sz w:val="21"/>
                <w:szCs w:val="22"/>
                <w:u w:color="000000"/>
              </w:rPr>
              <w:t>℃</w:t>
            </w:r>
            <w:r>
              <w:rPr>
                <w:rFonts w:ascii="Calibri" w:hAnsi="Calibri" w:hint="eastAsia"/>
                <w:snapToGrid w:val="0"/>
                <w:color w:val="auto"/>
                <w:kern w:val="0"/>
                <w:sz w:val="21"/>
                <w:szCs w:val="22"/>
                <w:u w:color="000000"/>
              </w:rPr>
              <w:t>）</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沸点（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snapToGrid w:val="0"/>
                <w:color w:val="auto"/>
                <w:kern w:val="0"/>
                <w:sz w:val="21"/>
                <w:szCs w:val="22"/>
                <w:u w:color="000000"/>
              </w:rPr>
              <w:t>-161.4</w:t>
            </w:r>
          </w:p>
        </w:tc>
        <w:tc>
          <w:tcPr>
            <w:tcW w:w="4618"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相对密度（空气</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0</w:t>
            </w:r>
            <w:r>
              <w:rPr>
                <w:rFonts w:ascii="Calibri" w:hAnsi="Calibri"/>
                <w:snapToGrid w:val="0"/>
                <w:color w:val="auto"/>
                <w:kern w:val="0"/>
                <w:sz w:val="21"/>
                <w:szCs w:val="22"/>
                <w:u w:color="000000"/>
              </w:rPr>
              <w:t>.6</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4"/>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溶解性：</w:t>
            </w:r>
            <w:r>
              <w:rPr>
                <w:rFonts w:ascii="Calibri" w:hAnsi="Calibri" w:hint="eastAsia"/>
                <w:snapToGrid w:val="0"/>
                <w:color w:val="auto"/>
                <w:kern w:val="0"/>
                <w:sz w:val="21"/>
                <w:szCs w:val="22"/>
                <w:u w:color="000000"/>
              </w:rPr>
              <w:t>微溶于水，</w:t>
            </w:r>
            <w:r>
              <w:rPr>
                <w:rFonts w:ascii="Calibri" w:hAnsi="Calibri"/>
                <w:snapToGrid w:val="0"/>
                <w:color w:val="auto"/>
                <w:kern w:val="0"/>
                <w:sz w:val="21"/>
                <w:szCs w:val="22"/>
                <w:u w:color="000000"/>
              </w:rPr>
              <w:t>溶于乙醇</w:t>
            </w:r>
            <w:r>
              <w:rPr>
                <w:rFonts w:ascii="Calibri" w:hAnsi="Calibri" w:hint="eastAsia"/>
                <w:snapToGrid w:val="0"/>
                <w:color w:val="auto"/>
                <w:kern w:val="0"/>
                <w:sz w:val="21"/>
                <w:szCs w:val="22"/>
                <w:u w:color="000000"/>
              </w:rPr>
              <w:t>、</w:t>
            </w:r>
            <w:r>
              <w:rPr>
                <w:rFonts w:ascii="Calibri" w:hAnsi="Calibri"/>
                <w:snapToGrid w:val="0"/>
                <w:color w:val="auto"/>
                <w:kern w:val="0"/>
                <w:sz w:val="21"/>
                <w:szCs w:val="22"/>
                <w:u w:color="000000"/>
              </w:rPr>
              <w:t>乙醚</w:t>
            </w:r>
            <w:r>
              <w:rPr>
                <w:rFonts w:ascii="Calibri" w:hAnsi="Calibri" w:hint="eastAsia"/>
                <w:snapToGrid w:val="0"/>
                <w:color w:val="auto"/>
                <w:kern w:val="0"/>
                <w:sz w:val="21"/>
                <w:szCs w:val="22"/>
                <w:u w:color="000000"/>
              </w:rPr>
              <w:t>、</w:t>
            </w:r>
            <w:r>
              <w:rPr>
                <w:rFonts w:ascii="Calibri" w:hAnsi="Calibri"/>
                <w:snapToGrid w:val="0"/>
                <w:color w:val="auto"/>
                <w:kern w:val="0"/>
                <w:sz w:val="21"/>
                <w:szCs w:val="22"/>
                <w:u w:color="000000"/>
              </w:rPr>
              <w:t>苯</w:t>
            </w:r>
            <w:r>
              <w:rPr>
                <w:rFonts w:ascii="Calibri" w:hAnsi="Calibri" w:hint="eastAsia"/>
                <w:snapToGrid w:val="0"/>
                <w:color w:val="auto"/>
                <w:kern w:val="0"/>
                <w:sz w:val="21"/>
                <w:szCs w:val="22"/>
                <w:u w:color="000000"/>
              </w:rPr>
              <w:t>、</w:t>
            </w:r>
            <w:r>
              <w:rPr>
                <w:rFonts w:ascii="Calibri" w:hAnsi="Calibri"/>
                <w:snapToGrid w:val="0"/>
                <w:color w:val="auto"/>
                <w:kern w:val="0"/>
                <w:sz w:val="21"/>
                <w:szCs w:val="22"/>
                <w:u w:color="000000"/>
              </w:rPr>
              <w:t>甲苯等</w:t>
            </w:r>
            <w:r>
              <w:rPr>
                <w:rFonts w:ascii="Calibri" w:hAnsi="Calibri" w:hint="eastAsia"/>
                <w:snapToGrid w:val="0"/>
                <w:color w:val="auto"/>
                <w:kern w:val="0"/>
                <w:sz w:val="21"/>
                <w:szCs w:val="22"/>
                <w:u w:color="000000"/>
              </w:rPr>
              <w:t>。</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自燃</w:t>
            </w:r>
            <w:r>
              <w:rPr>
                <w:rFonts w:ascii="Calibri" w:hAnsi="Calibri"/>
                <w:snapToGrid w:val="0"/>
                <w:color w:val="auto"/>
                <w:kern w:val="0"/>
                <w:sz w:val="21"/>
                <w:szCs w:val="22"/>
                <w:u w:color="000000"/>
              </w:rPr>
              <w:t>温度（</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5</w:t>
            </w:r>
            <w:r>
              <w:rPr>
                <w:rFonts w:ascii="Calibri" w:hAnsi="Calibri"/>
                <w:snapToGrid w:val="0"/>
                <w:color w:val="auto"/>
                <w:kern w:val="0"/>
                <w:sz w:val="21"/>
                <w:szCs w:val="22"/>
                <w:u w:color="000000"/>
              </w:rPr>
              <w:t>38</w:t>
            </w:r>
          </w:p>
        </w:tc>
        <w:tc>
          <w:tcPr>
            <w:tcW w:w="4618"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禁忌物：</w:t>
            </w:r>
            <w:r>
              <w:rPr>
                <w:rFonts w:ascii="Calibri" w:hAnsi="Calibri" w:cs="宋体" w:hint="eastAsia"/>
                <w:snapToGrid w:val="0"/>
                <w:color w:val="auto"/>
                <w:kern w:val="0"/>
                <w:sz w:val="21"/>
                <w:szCs w:val="20"/>
                <w:u w:color="000000"/>
              </w:rPr>
              <w:t>强氧化剂、强酸、强碱、卤素。</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饱和蒸气压</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k</w:t>
            </w:r>
            <w:r>
              <w:rPr>
                <w:rFonts w:ascii="Calibri" w:hAnsi="Calibri"/>
                <w:snapToGrid w:val="0"/>
                <w:color w:val="auto"/>
                <w:kern w:val="0"/>
                <w:sz w:val="21"/>
                <w:szCs w:val="22"/>
                <w:u w:color="000000"/>
              </w:rPr>
              <w:t>Pa</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5</w:t>
            </w:r>
            <w:r>
              <w:rPr>
                <w:rFonts w:ascii="Calibri" w:hAnsi="Calibri"/>
                <w:snapToGrid w:val="0"/>
                <w:color w:val="auto"/>
                <w:kern w:val="0"/>
                <w:sz w:val="21"/>
                <w:szCs w:val="22"/>
                <w:u w:color="000000"/>
              </w:rPr>
              <w:t>3.32</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snapToGrid w:val="0"/>
                <w:color w:val="auto"/>
                <w:kern w:val="0"/>
                <w:sz w:val="21"/>
                <w:szCs w:val="22"/>
                <w:u w:color="000000"/>
              </w:rPr>
              <w:t>168.8</w:t>
            </w:r>
            <w:r>
              <w:rPr>
                <w:rFonts w:ascii="宋体" w:hAnsi="宋体" w:cs="宋体" w:hint="eastAsia"/>
                <w:snapToGrid w:val="0"/>
                <w:color w:val="auto"/>
                <w:kern w:val="0"/>
                <w:sz w:val="21"/>
                <w:szCs w:val="22"/>
                <w:u w:color="000000"/>
              </w:rPr>
              <w:t>℃</w:t>
            </w:r>
            <w:r>
              <w:rPr>
                <w:rFonts w:ascii="Calibri" w:hAnsi="Calibri" w:hint="eastAsia"/>
                <w:snapToGrid w:val="0"/>
                <w:color w:val="auto"/>
                <w:kern w:val="0"/>
                <w:sz w:val="21"/>
                <w:szCs w:val="22"/>
                <w:u w:color="000000"/>
              </w:rPr>
              <w:t>）</w:t>
            </w:r>
          </w:p>
        </w:tc>
        <w:tc>
          <w:tcPr>
            <w:tcW w:w="4618"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燃烧热</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k</w:t>
            </w:r>
            <w:r>
              <w:rPr>
                <w:rFonts w:ascii="Calibri" w:hAnsi="Calibri" w:cs="宋体"/>
                <w:snapToGrid w:val="0"/>
                <w:color w:val="auto"/>
                <w:kern w:val="0"/>
                <w:sz w:val="21"/>
                <w:szCs w:val="20"/>
                <w:u w:color="000000"/>
              </w:rPr>
              <w:t>J/mol</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8</w:t>
            </w:r>
            <w:r>
              <w:rPr>
                <w:rFonts w:ascii="Calibri" w:hAnsi="Calibri" w:cs="宋体"/>
                <w:snapToGrid w:val="0"/>
                <w:color w:val="auto"/>
                <w:kern w:val="0"/>
                <w:sz w:val="21"/>
                <w:szCs w:val="20"/>
                <w:u w:color="000000"/>
              </w:rPr>
              <w:t>90.8</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临界温度</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snapToGrid w:val="0"/>
                <w:color w:val="auto"/>
                <w:kern w:val="0"/>
                <w:sz w:val="21"/>
                <w:szCs w:val="22"/>
                <w:u w:color="000000"/>
              </w:rPr>
              <w:t>82.25</w:t>
            </w:r>
          </w:p>
        </w:tc>
        <w:tc>
          <w:tcPr>
            <w:tcW w:w="4618"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临界压力</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M</w:t>
            </w:r>
            <w:r>
              <w:rPr>
                <w:rFonts w:ascii="Calibri" w:hAnsi="Calibri" w:cs="宋体"/>
                <w:snapToGrid w:val="0"/>
                <w:color w:val="auto"/>
                <w:kern w:val="0"/>
                <w:sz w:val="21"/>
                <w:szCs w:val="20"/>
                <w:u w:color="000000"/>
              </w:rPr>
              <w:t>Pa</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4</w:t>
            </w:r>
            <w:r>
              <w:rPr>
                <w:rFonts w:ascii="Calibri" w:hAnsi="Calibri" w:cs="宋体"/>
                <w:snapToGrid w:val="0"/>
                <w:color w:val="auto"/>
                <w:kern w:val="0"/>
                <w:sz w:val="21"/>
                <w:szCs w:val="20"/>
                <w:u w:color="000000"/>
              </w:rPr>
              <w:t>.59</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辛醇</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水分配系数（</w:t>
            </w:r>
            <w:r>
              <w:rPr>
                <w:rFonts w:ascii="Calibri" w:hAnsi="Calibri" w:hint="eastAsia"/>
                <w:snapToGrid w:val="0"/>
                <w:color w:val="auto"/>
                <w:kern w:val="0"/>
                <w:sz w:val="21"/>
                <w:szCs w:val="22"/>
                <w:u w:color="000000"/>
              </w:rPr>
              <w:t>LogKow</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1</w:t>
            </w:r>
            <w:r>
              <w:rPr>
                <w:rFonts w:ascii="Calibri" w:hAnsi="Calibri"/>
                <w:snapToGrid w:val="0"/>
                <w:color w:val="auto"/>
                <w:kern w:val="0"/>
                <w:sz w:val="21"/>
                <w:szCs w:val="22"/>
                <w:u w:color="000000"/>
              </w:rPr>
              <w:t>.09</w:t>
            </w:r>
          </w:p>
        </w:tc>
        <w:tc>
          <w:tcPr>
            <w:tcW w:w="4618"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闪点</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218</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爆炸上限</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1</w:t>
            </w:r>
            <w:r>
              <w:rPr>
                <w:rFonts w:ascii="Calibri" w:hAnsi="Calibri"/>
                <w:snapToGrid w:val="0"/>
                <w:color w:val="auto"/>
                <w:kern w:val="0"/>
                <w:sz w:val="21"/>
                <w:szCs w:val="22"/>
                <w:u w:color="000000"/>
              </w:rPr>
              <w:t>5</w:t>
            </w:r>
          </w:p>
        </w:tc>
        <w:tc>
          <w:tcPr>
            <w:tcW w:w="4618"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爆炸下限</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5</w:t>
            </w:r>
          </w:p>
        </w:tc>
      </w:tr>
      <w:tr w:rsidR="003F13AB">
        <w:trPr>
          <w:cantSplit/>
          <w:trHeight w:val="1881"/>
          <w:jc w:val="center"/>
        </w:trPr>
        <w:tc>
          <w:tcPr>
            <w:tcW w:w="726" w:type="dxa"/>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hint="eastAsia"/>
                <w:b/>
                <w:snapToGrid w:val="0"/>
                <w:color w:val="auto"/>
                <w:kern w:val="0"/>
                <w:sz w:val="21"/>
                <w:szCs w:val="22"/>
                <w:u w:color="000000"/>
              </w:rPr>
              <w:t>危害信息</w:t>
            </w:r>
          </w:p>
        </w:tc>
        <w:tc>
          <w:tcPr>
            <w:tcW w:w="8346" w:type="dxa"/>
            <w:gridSpan w:val="4"/>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hint="eastAsia"/>
                <w:snapToGrid w:val="0"/>
                <w:color w:val="auto"/>
                <w:kern w:val="0"/>
                <w:sz w:val="21"/>
                <w:szCs w:val="20"/>
                <w:u w:color="000000"/>
              </w:rPr>
              <w:t>燃烧与爆炸危险性：</w:t>
            </w:r>
            <w:r>
              <w:rPr>
                <w:rFonts w:ascii="Calibri" w:hAnsi="Calibri" w:cs="宋体"/>
                <w:snapToGrid w:val="0"/>
                <w:color w:val="auto"/>
                <w:kern w:val="0"/>
                <w:sz w:val="21"/>
                <w:szCs w:val="20"/>
                <w:u w:color="000000"/>
              </w:rPr>
              <w:t>极易燃</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与空气混合能形成爆炸性混合物</w:t>
            </w:r>
            <w:r>
              <w:rPr>
                <w:rFonts w:ascii="Calibri" w:hAnsi="Calibri" w:cs="宋体" w:hint="eastAsia"/>
                <w:snapToGrid w:val="0"/>
                <w:color w:val="auto"/>
                <w:kern w:val="0"/>
                <w:sz w:val="21"/>
                <w:szCs w:val="20"/>
                <w:u w:color="000000"/>
              </w:rPr>
              <w:t>。</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活性反应</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与强氧化剂等禁忌物接触</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有发生火灾和爆炸的危险</w:t>
            </w:r>
            <w:r>
              <w:rPr>
                <w:rFonts w:ascii="Calibri" w:hAnsi="Calibri" w:cs="宋体" w:hint="eastAsia"/>
                <w:snapToGrid w:val="0"/>
                <w:color w:val="auto"/>
                <w:kern w:val="0"/>
                <w:sz w:val="21"/>
                <w:szCs w:val="20"/>
                <w:u w:color="000000"/>
              </w:rPr>
              <w:t>。</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毒性</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L</w:t>
            </w:r>
            <w:r>
              <w:rPr>
                <w:rFonts w:ascii="Calibri" w:hAnsi="Calibri" w:cs="宋体"/>
                <w:snapToGrid w:val="0"/>
                <w:color w:val="auto"/>
                <w:kern w:val="0"/>
                <w:sz w:val="21"/>
                <w:szCs w:val="20"/>
                <w:u w:color="000000"/>
              </w:rPr>
              <w:t>C</w:t>
            </w:r>
            <w:r>
              <w:rPr>
                <w:rFonts w:ascii="Calibri" w:hAnsi="Calibri" w:cs="宋体"/>
                <w:snapToGrid w:val="0"/>
                <w:color w:val="auto"/>
                <w:kern w:val="0"/>
                <w:sz w:val="21"/>
                <w:szCs w:val="20"/>
                <w:u w:color="000000"/>
                <w:vertAlign w:val="subscript"/>
              </w:rPr>
              <w:t>50</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5</w:t>
            </w:r>
            <w:r>
              <w:rPr>
                <w:rFonts w:ascii="Calibri" w:hAnsi="Calibri" w:cs="宋体"/>
                <w:snapToGrid w:val="0"/>
                <w:color w:val="auto"/>
                <w:kern w:val="0"/>
                <w:sz w:val="21"/>
                <w:szCs w:val="20"/>
                <w:u w:color="000000"/>
              </w:rPr>
              <w:t>0%</w:t>
            </w:r>
            <w:r>
              <w:rPr>
                <w:rFonts w:ascii="Calibri" w:hAnsi="Calibri" w:cs="宋体" w:hint="eastAsia"/>
                <w:snapToGrid w:val="0"/>
                <w:color w:val="auto"/>
                <w:kern w:val="0"/>
                <w:sz w:val="21"/>
                <w:szCs w:val="20"/>
                <w:u w:color="000000"/>
              </w:rPr>
              <w:t>（小鼠吸入，</w:t>
            </w:r>
            <w:r>
              <w:rPr>
                <w:rFonts w:ascii="Calibri" w:hAnsi="Calibri" w:cs="宋体" w:hint="eastAsia"/>
                <w:snapToGrid w:val="0"/>
                <w:color w:val="auto"/>
                <w:kern w:val="0"/>
                <w:sz w:val="21"/>
                <w:szCs w:val="20"/>
                <w:u w:color="000000"/>
              </w:rPr>
              <w:t>2h</w:t>
            </w:r>
            <w:r>
              <w:rPr>
                <w:rFonts w:ascii="Calibri" w:hAnsi="Calibri" w:cs="宋体" w:hint="eastAsia"/>
                <w:snapToGrid w:val="0"/>
                <w:color w:val="auto"/>
                <w:kern w:val="0"/>
                <w:sz w:val="21"/>
                <w:szCs w:val="20"/>
                <w:u w:color="000000"/>
              </w:rPr>
              <w:t>）</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中毒表现</w:t>
            </w:r>
            <w:r>
              <w:rPr>
                <w:rFonts w:ascii="Calibri" w:hAnsi="Calibri" w:cs="宋体" w:hint="eastAsia"/>
                <w:snapToGrid w:val="0"/>
                <w:color w:val="auto"/>
                <w:kern w:val="0"/>
                <w:sz w:val="21"/>
                <w:szCs w:val="20"/>
                <w:u w:color="000000"/>
              </w:rPr>
              <w:t>：空气中甲烷浓度过高，能使人室息。当空气中甲烷达</w:t>
            </w:r>
            <w:r>
              <w:rPr>
                <w:rFonts w:ascii="Calibri" w:hAnsi="Calibri" w:cs="宋体" w:hint="eastAsia"/>
                <w:snapToGrid w:val="0"/>
                <w:color w:val="auto"/>
                <w:kern w:val="0"/>
                <w:sz w:val="21"/>
                <w:szCs w:val="20"/>
                <w:u w:color="000000"/>
              </w:rPr>
              <w:t>25%~30%</w:t>
            </w:r>
            <w:r>
              <w:rPr>
                <w:rFonts w:ascii="Calibri" w:hAnsi="Calibri" w:cs="宋体" w:hint="eastAsia"/>
                <w:snapToGrid w:val="0"/>
                <w:color w:val="auto"/>
                <w:kern w:val="0"/>
                <w:sz w:val="21"/>
                <w:szCs w:val="20"/>
                <w:u w:color="000000"/>
              </w:rPr>
              <w:t>时，可引起头痛、头晕、乏力、注意力不集中、呼吸和心跳加速、共济失调。若不及时脱离，可致窒息死亡。</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职业接触限值</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中国</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未制定标准</w:t>
            </w:r>
            <w:r>
              <w:rPr>
                <w:rFonts w:ascii="Calibri" w:hAnsi="Calibri" w:cs="宋体" w:hint="eastAsia"/>
                <w:snapToGrid w:val="0"/>
                <w:color w:val="auto"/>
                <w:kern w:val="0"/>
                <w:sz w:val="21"/>
                <w:szCs w:val="20"/>
                <w:u w:color="000000"/>
              </w:rPr>
              <w:t xml:space="preserve"> </w:t>
            </w:r>
            <w:r>
              <w:rPr>
                <w:rFonts w:ascii="Calibri" w:hAnsi="Calibri" w:cs="宋体"/>
                <w:snapToGrid w:val="0"/>
                <w:color w:val="auto"/>
                <w:kern w:val="0"/>
                <w:sz w:val="21"/>
                <w:szCs w:val="20"/>
                <w:u w:color="000000"/>
              </w:rPr>
              <w:t xml:space="preserve"> </w:t>
            </w:r>
            <w:r>
              <w:rPr>
                <w:rFonts w:ascii="Calibri" w:hAnsi="Calibri" w:cs="宋体"/>
                <w:snapToGrid w:val="0"/>
                <w:color w:val="auto"/>
                <w:kern w:val="0"/>
                <w:sz w:val="21"/>
                <w:szCs w:val="20"/>
                <w:u w:color="000000"/>
              </w:rPr>
              <w:t>美国</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A</w:t>
            </w:r>
            <w:r>
              <w:rPr>
                <w:rFonts w:ascii="Calibri" w:hAnsi="Calibri" w:cs="宋体"/>
                <w:snapToGrid w:val="0"/>
                <w:color w:val="auto"/>
                <w:kern w:val="0"/>
                <w:sz w:val="21"/>
                <w:szCs w:val="20"/>
                <w:u w:color="000000"/>
              </w:rPr>
              <w:t>CGIH</w:t>
            </w:r>
            <w:r>
              <w:rPr>
                <w:rFonts w:ascii="Calibri" w:hAnsi="Calibri" w:cs="宋体" w:hint="eastAsia"/>
                <w:snapToGrid w:val="0"/>
                <w:color w:val="auto"/>
                <w:kern w:val="0"/>
                <w:sz w:val="21"/>
                <w:szCs w:val="20"/>
                <w:u w:color="000000"/>
              </w:rPr>
              <w:t>）：未制定标准</w:t>
            </w:r>
          </w:p>
        </w:tc>
      </w:tr>
    </w:tbl>
    <w:p w:rsidR="003F13AB" w:rsidRDefault="003F13AB">
      <w:pPr>
        <w:topLinePunct/>
        <w:ind w:firstLineChars="0" w:firstLine="0"/>
        <w:jc w:val="center"/>
        <w:rPr>
          <w:rFonts w:ascii="宋体" w:hAnsi="宋体"/>
          <w:color w:val="auto"/>
        </w:rPr>
      </w:pPr>
    </w:p>
    <w:p w:rsidR="003F13AB" w:rsidRDefault="00EC6E7E">
      <w:pPr>
        <w:topLinePunct/>
        <w:ind w:firstLineChars="0" w:firstLine="0"/>
        <w:jc w:val="center"/>
        <w:rPr>
          <w:rFonts w:ascii="宋体" w:hAnsi="宋体"/>
          <w:szCs w:val="28"/>
        </w:rPr>
      </w:pPr>
      <w:r>
        <w:rPr>
          <w:rFonts w:ascii="宋体" w:hAnsi="宋体"/>
          <w:color w:val="auto"/>
        </w:rPr>
        <w:t>附表</w:t>
      </w:r>
      <w:r>
        <w:rPr>
          <w:rFonts w:ascii="宋体" w:hAnsi="宋体" w:hint="eastAsia"/>
          <w:color w:val="auto"/>
        </w:rPr>
        <w:t>2.1-2</w:t>
      </w:r>
      <w:r>
        <w:rPr>
          <w:rFonts w:ascii="宋体" w:hAnsi="宋体" w:hint="eastAsia"/>
          <w:szCs w:val="28"/>
        </w:rPr>
        <w:t>尿素的理化性质及危险特性</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728"/>
        <w:gridCol w:w="2496"/>
        <w:gridCol w:w="2122"/>
      </w:tblGrid>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标识</w:t>
            </w:r>
          </w:p>
        </w:tc>
        <w:tc>
          <w:tcPr>
            <w:tcW w:w="3728" w:type="dxa"/>
            <w:vAlign w:val="center"/>
          </w:tcPr>
          <w:p w:rsidR="003F13AB" w:rsidRDefault="00EC6E7E">
            <w:pPr>
              <w:topLinePunct/>
              <w:adjustRightInd/>
              <w:snapToGrid/>
              <w:spacing w:line="240" w:lineRule="auto"/>
              <w:ind w:firstLineChars="0" w:firstLine="42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中文名：</w:t>
            </w:r>
            <w:r>
              <w:rPr>
                <w:rFonts w:ascii="Calibri" w:hAnsi="Calibri" w:hint="eastAsia"/>
                <w:snapToGrid w:val="0"/>
                <w:color w:val="auto"/>
                <w:kern w:val="0"/>
                <w:sz w:val="21"/>
                <w:szCs w:val="22"/>
                <w:u w:color="000000"/>
              </w:rPr>
              <w:t>尿素；</w:t>
            </w:r>
            <w:proofErr w:type="gramStart"/>
            <w:r>
              <w:rPr>
                <w:rFonts w:ascii="Calibri" w:hAnsi="Calibri" w:hint="eastAsia"/>
                <w:snapToGrid w:val="0"/>
                <w:color w:val="auto"/>
                <w:kern w:val="0"/>
                <w:sz w:val="21"/>
                <w:szCs w:val="22"/>
                <w:u w:color="000000"/>
              </w:rPr>
              <w:t>脲</w:t>
            </w:r>
            <w:proofErr w:type="gramEnd"/>
          </w:p>
        </w:tc>
        <w:tc>
          <w:tcPr>
            <w:tcW w:w="4618"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英文名：</w:t>
            </w:r>
            <w:r>
              <w:rPr>
                <w:rFonts w:ascii="Calibri" w:hAnsi="Calibri" w:hint="eastAsia"/>
                <w:snapToGrid w:val="0"/>
                <w:color w:val="auto"/>
                <w:kern w:val="0"/>
                <w:sz w:val="21"/>
                <w:szCs w:val="22"/>
                <w:u w:color="000000"/>
              </w:rPr>
              <w:t>urea</w:t>
            </w:r>
          </w:p>
        </w:tc>
      </w:tr>
      <w:tr w:rsidR="003F13AB">
        <w:trPr>
          <w:cantSplit/>
          <w:trHeight w:val="452"/>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分子式：</w:t>
            </w:r>
            <w:r>
              <w:rPr>
                <w:rFonts w:ascii="Helvetica" w:eastAsia="Helvetica" w:hAnsi="Helvetica" w:cs="Helvetica"/>
                <w:color w:val="333333"/>
                <w:sz w:val="21"/>
                <w:szCs w:val="21"/>
                <w:shd w:val="clear" w:color="auto" w:fill="FFFFFF"/>
              </w:rPr>
              <w:t>CO(NH</w:t>
            </w:r>
            <w:r>
              <w:rPr>
                <w:rFonts w:ascii="Helvetica" w:eastAsia="Helvetica" w:hAnsi="Helvetica" w:cs="Helvetica"/>
                <w:color w:val="333333"/>
                <w:sz w:val="18"/>
                <w:szCs w:val="18"/>
                <w:shd w:val="clear" w:color="auto" w:fill="FFFFFF"/>
                <w:vertAlign w:val="subscript"/>
              </w:rPr>
              <w:t>2</w:t>
            </w:r>
            <w:r>
              <w:rPr>
                <w:rFonts w:ascii="Helvetica" w:eastAsia="Helvetica" w:hAnsi="Helvetica" w:cs="Helvetica"/>
                <w:color w:val="333333"/>
                <w:sz w:val="21"/>
                <w:szCs w:val="21"/>
                <w:shd w:val="clear" w:color="auto" w:fill="FFFFFF"/>
              </w:rPr>
              <w:t>)</w:t>
            </w:r>
            <w:r>
              <w:rPr>
                <w:rFonts w:ascii="Helvetica" w:eastAsia="Helvetica" w:hAnsi="Helvetica" w:cs="Helvetica"/>
                <w:color w:val="333333"/>
                <w:sz w:val="18"/>
                <w:szCs w:val="18"/>
                <w:shd w:val="clear" w:color="auto" w:fill="FFFFFF"/>
                <w:vertAlign w:val="subscript"/>
              </w:rPr>
              <w:t>2</w:t>
            </w:r>
          </w:p>
        </w:tc>
        <w:tc>
          <w:tcPr>
            <w:tcW w:w="2496"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相对分子质量：</w:t>
            </w:r>
            <w:r>
              <w:rPr>
                <w:rFonts w:ascii="Calibri" w:hAnsi="Calibri" w:hint="eastAsia"/>
                <w:snapToGrid w:val="0"/>
                <w:color w:val="auto"/>
                <w:kern w:val="0"/>
                <w:sz w:val="21"/>
                <w:szCs w:val="22"/>
                <w:u w:color="000000"/>
              </w:rPr>
              <w:t>60.06</w:t>
            </w:r>
          </w:p>
        </w:tc>
        <w:tc>
          <w:tcPr>
            <w:tcW w:w="21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CAS</w:t>
            </w:r>
            <w:r>
              <w:rPr>
                <w:rFonts w:ascii="Calibri" w:hAnsi="Calibri" w:hint="eastAsia"/>
                <w:snapToGrid w:val="0"/>
                <w:color w:val="auto"/>
                <w:kern w:val="0"/>
                <w:sz w:val="21"/>
                <w:szCs w:val="22"/>
                <w:u w:color="000000"/>
              </w:rPr>
              <w:t>登录号</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57-13-6</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危险性分类</w:t>
            </w:r>
          </w:p>
        </w:tc>
        <w:tc>
          <w:tcPr>
            <w:tcW w:w="4618"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皮肤腐蚀刺激</w:t>
            </w:r>
            <w:r>
              <w:rPr>
                <w:rFonts w:ascii="Calibri" w:hAnsi="Calibri" w:hint="eastAsia"/>
                <w:snapToGrid w:val="0"/>
                <w:color w:val="auto"/>
                <w:kern w:val="0"/>
                <w:sz w:val="21"/>
                <w:szCs w:val="22"/>
                <w:u w:color="000000"/>
              </w:rPr>
              <w:t xml:space="preserve"> </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2</w:t>
            </w:r>
            <w:r>
              <w:rPr>
                <w:rFonts w:ascii="Calibri" w:hAnsi="Calibri" w:hint="eastAsia"/>
                <w:snapToGrid w:val="0"/>
                <w:color w:val="auto"/>
                <w:kern w:val="0"/>
                <w:sz w:val="21"/>
                <w:szCs w:val="22"/>
                <w:u w:color="000000"/>
              </w:rPr>
              <w:t>，严重眼损伤</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眼刺激</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2A</w:t>
            </w:r>
            <w:r>
              <w:rPr>
                <w:rFonts w:ascii="Calibri" w:hAnsi="Calibri" w:hint="eastAsia"/>
                <w:snapToGrid w:val="0"/>
                <w:color w:val="auto"/>
                <w:kern w:val="0"/>
                <w:sz w:val="21"/>
                <w:szCs w:val="22"/>
                <w:u w:color="000000"/>
              </w:rPr>
              <w:t>，特异性靶器官毒性</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一次接触</w:t>
            </w:r>
            <w:r>
              <w:rPr>
                <w:rFonts w:ascii="Calibri" w:hAnsi="Calibri" w:hint="eastAsia"/>
                <w:snapToGrid w:val="0"/>
                <w:color w:val="auto"/>
                <w:kern w:val="0"/>
                <w:sz w:val="21"/>
                <w:szCs w:val="22"/>
                <w:u w:color="000000"/>
              </w:rPr>
              <w:t xml:space="preserve"> -</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2</w:t>
            </w:r>
            <w:r>
              <w:rPr>
                <w:rFonts w:ascii="Calibri" w:hAnsi="Calibri" w:hint="eastAsia"/>
                <w:snapToGrid w:val="0"/>
                <w:color w:val="auto"/>
                <w:kern w:val="0"/>
                <w:sz w:val="21"/>
                <w:szCs w:val="22"/>
                <w:u w:color="000000"/>
              </w:rPr>
              <w:t>，特异性靶器官毒性</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一次接触</w:t>
            </w:r>
            <w:r>
              <w:rPr>
                <w:rFonts w:ascii="Calibri" w:hAnsi="Calibri" w:hint="eastAsia"/>
                <w:snapToGrid w:val="0"/>
                <w:color w:val="auto"/>
                <w:kern w:val="0"/>
                <w:sz w:val="21"/>
                <w:szCs w:val="22"/>
                <w:u w:color="000000"/>
              </w:rPr>
              <w:t xml:space="preserve"> </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3</w:t>
            </w:r>
            <w:r>
              <w:rPr>
                <w:rFonts w:ascii="Calibri" w:hAnsi="Calibri" w:hint="eastAsia"/>
                <w:snapToGrid w:val="0"/>
                <w:color w:val="auto"/>
                <w:kern w:val="0"/>
                <w:sz w:val="21"/>
                <w:szCs w:val="22"/>
                <w:u w:color="000000"/>
              </w:rPr>
              <w:t>（呼吸道刺激）</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火灾危险性：丙</w:t>
            </w:r>
            <w:r>
              <w:rPr>
                <w:rFonts w:ascii="Calibri" w:hAnsi="Calibri"/>
                <w:snapToGrid w:val="0"/>
                <w:color w:val="auto"/>
                <w:kern w:val="0"/>
                <w:sz w:val="21"/>
                <w:szCs w:val="22"/>
                <w:u w:color="000000"/>
              </w:rPr>
              <w:t>类</w:t>
            </w:r>
          </w:p>
        </w:tc>
      </w:tr>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理化</w:t>
            </w:r>
            <w:r>
              <w:rPr>
                <w:rFonts w:ascii="Calibri" w:hAnsi="Calibri"/>
                <w:b/>
                <w:snapToGrid w:val="0"/>
                <w:color w:val="auto"/>
                <w:kern w:val="0"/>
                <w:sz w:val="21"/>
                <w:szCs w:val="22"/>
                <w:u w:color="000000"/>
              </w:rPr>
              <w:lastRenderedPageBreak/>
              <w:t>性质</w:t>
            </w: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lastRenderedPageBreak/>
              <w:t>性状：</w:t>
            </w:r>
            <w:r>
              <w:rPr>
                <w:rFonts w:ascii="Calibri" w:hAnsi="Calibri" w:hint="eastAsia"/>
                <w:snapToGrid w:val="0"/>
                <w:color w:val="auto"/>
                <w:kern w:val="0"/>
                <w:sz w:val="21"/>
                <w:szCs w:val="22"/>
                <w:u w:color="000000"/>
              </w:rPr>
              <w:t>白色结晶或粉末，有氨的气味。</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熔点（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132.7</w:t>
            </w:r>
          </w:p>
        </w:tc>
        <w:tc>
          <w:tcPr>
            <w:tcW w:w="4618"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相对密度（水</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1.335</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沸点（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无资料</w:t>
            </w:r>
          </w:p>
        </w:tc>
        <w:tc>
          <w:tcPr>
            <w:tcW w:w="4618"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相对密度（空气</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溶解性：</w:t>
            </w:r>
            <w:r>
              <w:rPr>
                <w:rFonts w:ascii="Calibri" w:hAnsi="Calibri" w:hint="eastAsia"/>
                <w:snapToGrid w:val="0"/>
                <w:color w:val="auto"/>
                <w:kern w:val="0"/>
                <w:sz w:val="21"/>
                <w:szCs w:val="22"/>
                <w:u w:color="000000"/>
              </w:rPr>
              <w:t>溶于水、甲醇、乙醇</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微溶于乙醚、氯仿、苯。</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自燃</w:t>
            </w:r>
            <w:r>
              <w:rPr>
                <w:rFonts w:ascii="Calibri" w:hAnsi="Calibri"/>
                <w:snapToGrid w:val="0"/>
                <w:color w:val="auto"/>
                <w:kern w:val="0"/>
                <w:sz w:val="21"/>
                <w:szCs w:val="22"/>
                <w:u w:color="000000"/>
              </w:rPr>
              <w:t>温度（</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18"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禁忌物：</w:t>
            </w:r>
            <w:r>
              <w:rPr>
                <w:rFonts w:ascii="Calibri" w:hAnsi="Calibri" w:cs="宋体" w:hint="eastAsia"/>
                <w:snapToGrid w:val="0"/>
                <w:color w:val="auto"/>
                <w:kern w:val="0"/>
                <w:sz w:val="21"/>
                <w:szCs w:val="20"/>
                <w:u w:color="000000"/>
              </w:rPr>
              <w:t>强氧化剂、强酸、亚硝酸钠、干粉、次氯酸钠、次氯酸钙。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饱和蒸气压</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k</w:t>
            </w:r>
            <w:r>
              <w:rPr>
                <w:rFonts w:ascii="Calibri" w:hAnsi="Calibri"/>
                <w:snapToGrid w:val="0"/>
                <w:color w:val="auto"/>
                <w:kern w:val="0"/>
                <w:sz w:val="21"/>
                <w:szCs w:val="22"/>
                <w:u w:color="000000"/>
              </w:rPr>
              <w:t>Pa</w:t>
            </w:r>
            <w:r>
              <w:rPr>
                <w:rFonts w:ascii="Calibri" w:hAnsi="Calibri" w:hint="eastAsia"/>
                <w:snapToGrid w:val="0"/>
                <w:color w:val="auto"/>
                <w:kern w:val="0"/>
                <w:sz w:val="21"/>
                <w:szCs w:val="22"/>
                <w:u w:color="000000"/>
              </w:rPr>
              <w:t>）：无资料</w:t>
            </w:r>
          </w:p>
        </w:tc>
        <w:tc>
          <w:tcPr>
            <w:tcW w:w="4618"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燃烧热</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k</w:t>
            </w:r>
            <w:r>
              <w:rPr>
                <w:rFonts w:ascii="Calibri" w:hAnsi="Calibri" w:cs="宋体"/>
                <w:snapToGrid w:val="0"/>
                <w:color w:val="auto"/>
                <w:kern w:val="0"/>
                <w:sz w:val="21"/>
                <w:szCs w:val="20"/>
                <w:u w:color="000000"/>
              </w:rPr>
              <w:t>J/mol</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临界温度</w:t>
            </w:r>
            <w:r>
              <w:rPr>
                <w:rFonts w:ascii="Calibri" w:hAnsi="Calibri" w:hint="eastAsia"/>
                <w:snapToGrid w:val="0"/>
                <w:color w:val="auto"/>
                <w:kern w:val="0"/>
                <w:sz w:val="21"/>
                <w:szCs w:val="22"/>
                <w:u w:color="000000"/>
              </w:rPr>
              <w:t>（℃）：无资料</w:t>
            </w:r>
          </w:p>
        </w:tc>
        <w:tc>
          <w:tcPr>
            <w:tcW w:w="4618"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临界压力</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M</w:t>
            </w:r>
            <w:r>
              <w:rPr>
                <w:rFonts w:ascii="Calibri" w:hAnsi="Calibri" w:cs="宋体"/>
                <w:snapToGrid w:val="0"/>
                <w:color w:val="auto"/>
                <w:kern w:val="0"/>
                <w:sz w:val="21"/>
                <w:szCs w:val="20"/>
                <w:u w:color="000000"/>
              </w:rPr>
              <w:t>Pa</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7.39</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辛醇</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水分配系数（</w:t>
            </w:r>
            <w:r>
              <w:rPr>
                <w:rFonts w:ascii="Calibri" w:hAnsi="Calibri" w:hint="eastAsia"/>
                <w:snapToGrid w:val="0"/>
                <w:color w:val="auto"/>
                <w:kern w:val="0"/>
                <w:sz w:val="21"/>
                <w:szCs w:val="22"/>
                <w:u w:color="000000"/>
              </w:rPr>
              <w:t>LogKow</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-2.97~-2.26</w:t>
            </w:r>
          </w:p>
        </w:tc>
        <w:tc>
          <w:tcPr>
            <w:tcW w:w="4618"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闪点</w:t>
            </w:r>
            <w:r>
              <w:rPr>
                <w:rFonts w:ascii="Calibri" w:hAnsi="Calibri" w:cs="宋体" w:hint="eastAsia"/>
                <w:snapToGrid w:val="0"/>
                <w:color w:val="auto"/>
                <w:kern w:val="0"/>
                <w:sz w:val="21"/>
                <w:szCs w:val="20"/>
                <w:u w:color="000000"/>
              </w:rPr>
              <w:t>（℃）：无意义</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28"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爆炸上限</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18"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爆炸下限</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hint="eastAsia"/>
                <w:snapToGrid w:val="0"/>
                <w:color w:val="auto"/>
                <w:kern w:val="0"/>
                <w:sz w:val="21"/>
                <w:szCs w:val="22"/>
                <w:u w:color="000000"/>
              </w:rPr>
              <w:t>无意义</w:t>
            </w:r>
          </w:p>
        </w:tc>
      </w:tr>
      <w:tr w:rsidR="003F13AB">
        <w:trPr>
          <w:cantSplit/>
          <w:trHeight w:val="1555"/>
          <w:jc w:val="center"/>
        </w:trPr>
        <w:tc>
          <w:tcPr>
            <w:tcW w:w="726" w:type="dxa"/>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hint="eastAsia"/>
                <w:b/>
                <w:snapToGrid w:val="0"/>
                <w:color w:val="auto"/>
                <w:kern w:val="0"/>
                <w:sz w:val="21"/>
                <w:szCs w:val="22"/>
                <w:u w:color="000000"/>
              </w:rPr>
              <w:t>危害信息</w:t>
            </w:r>
          </w:p>
        </w:tc>
        <w:tc>
          <w:tcPr>
            <w:tcW w:w="8346"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hint="eastAsia"/>
                <w:snapToGrid w:val="0"/>
                <w:color w:val="auto"/>
                <w:kern w:val="0"/>
                <w:sz w:val="21"/>
                <w:szCs w:val="20"/>
                <w:u w:color="000000"/>
              </w:rPr>
              <w:t>燃烧与爆炸危险性：遇明火、高热可燃，燃烧分解产生氨气。</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活性反应</w:t>
            </w:r>
            <w:r>
              <w:rPr>
                <w:rFonts w:ascii="Calibri" w:hAnsi="Calibri" w:cs="宋体" w:hint="eastAsia"/>
                <w:snapToGrid w:val="0"/>
                <w:color w:val="auto"/>
                <w:kern w:val="0"/>
                <w:sz w:val="21"/>
                <w:szCs w:val="20"/>
                <w:u w:color="000000"/>
              </w:rPr>
              <w:t>：不聚合。</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毒性</w:t>
            </w:r>
            <w:r>
              <w:rPr>
                <w:rFonts w:ascii="Calibri" w:hAnsi="Calibri" w:cs="宋体" w:hint="eastAsia"/>
                <w:snapToGrid w:val="0"/>
                <w:color w:val="auto"/>
                <w:kern w:val="0"/>
                <w:sz w:val="21"/>
                <w:szCs w:val="20"/>
                <w:u w:color="000000"/>
              </w:rPr>
              <w:t>：无资料</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中毒表现</w:t>
            </w:r>
            <w:r>
              <w:rPr>
                <w:rFonts w:ascii="Calibri" w:hAnsi="Calibri" w:cs="宋体" w:hint="eastAsia"/>
                <w:snapToGrid w:val="0"/>
                <w:color w:val="auto"/>
                <w:kern w:val="0"/>
                <w:sz w:val="21"/>
                <w:szCs w:val="20"/>
                <w:u w:color="000000"/>
              </w:rPr>
              <w:t>：本品属微毒类。对眼睛、皮肤和粘膜有刺激作用。</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职业接触限值</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中国</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P</w:t>
            </w:r>
            <w:r>
              <w:rPr>
                <w:rFonts w:ascii="Calibri" w:hAnsi="Calibri" w:cs="宋体"/>
                <w:snapToGrid w:val="0"/>
                <w:color w:val="auto"/>
                <w:kern w:val="0"/>
                <w:sz w:val="21"/>
                <w:szCs w:val="20"/>
                <w:u w:color="000000"/>
              </w:rPr>
              <w:t>C-TWA</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5</w:t>
            </w:r>
            <w:r>
              <w:rPr>
                <w:rFonts w:ascii="Calibri" w:hAnsi="Calibri" w:cs="宋体"/>
                <w:snapToGrid w:val="0"/>
                <w:color w:val="auto"/>
                <w:kern w:val="0"/>
                <w:sz w:val="21"/>
                <w:szCs w:val="20"/>
                <w:u w:color="000000"/>
              </w:rPr>
              <w:t>mg/m</w:t>
            </w:r>
            <w:r>
              <w:rPr>
                <w:rFonts w:ascii="Calibri" w:hAnsi="Calibri" w:cs="宋体"/>
                <w:snapToGrid w:val="0"/>
                <w:color w:val="auto"/>
                <w:kern w:val="0"/>
                <w:sz w:val="21"/>
                <w:szCs w:val="20"/>
                <w:u w:color="000000"/>
                <w:vertAlign w:val="superscript"/>
              </w:rPr>
              <w:t>3</w:t>
            </w:r>
            <w:r>
              <w:rPr>
                <w:rFonts w:ascii="Calibri" w:hAnsi="Calibri" w:cs="宋体" w:hint="eastAsia"/>
                <w:snapToGrid w:val="0"/>
                <w:color w:val="auto"/>
                <w:kern w:val="0"/>
                <w:sz w:val="21"/>
                <w:szCs w:val="20"/>
                <w:u w:color="000000"/>
                <w:vertAlign w:val="superscript"/>
              </w:rPr>
              <w:t xml:space="preserve"> </w:t>
            </w:r>
            <w:r>
              <w:rPr>
                <w:rFonts w:ascii="Calibri" w:hAnsi="Calibri" w:cs="宋体"/>
                <w:snapToGrid w:val="0"/>
                <w:color w:val="auto"/>
                <w:kern w:val="0"/>
                <w:sz w:val="21"/>
                <w:szCs w:val="20"/>
                <w:u w:color="000000"/>
              </w:rPr>
              <w:t xml:space="preserve"> PC-STEL</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10</w:t>
            </w:r>
            <w:r>
              <w:rPr>
                <w:rFonts w:ascii="Calibri" w:hAnsi="Calibri" w:cs="宋体"/>
                <w:snapToGrid w:val="0"/>
                <w:color w:val="auto"/>
                <w:kern w:val="0"/>
                <w:sz w:val="21"/>
                <w:szCs w:val="20"/>
                <w:u w:color="000000"/>
              </w:rPr>
              <w:t>mg/m</w:t>
            </w:r>
            <w:r>
              <w:rPr>
                <w:rFonts w:ascii="Calibri" w:hAnsi="Calibri" w:cs="宋体"/>
                <w:snapToGrid w:val="0"/>
                <w:color w:val="auto"/>
                <w:kern w:val="0"/>
                <w:sz w:val="21"/>
                <w:szCs w:val="20"/>
                <w:u w:color="000000"/>
                <w:vertAlign w:val="superscript"/>
              </w:rPr>
              <w:t>3</w:t>
            </w:r>
            <w:r>
              <w:rPr>
                <w:rFonts w:ascii="Calibri" w:hAnsi="Calibri" w:cs="宋体" w:hint="eastAsia"/>
                <w:snapToGrid w:val="0"/>
                <w:color w:val="auto"/>
                <w:kern w:val="0"/>
                <w:sz w:val="21"/>
                <w:szCs w:val="20"/>
                <w:u w:color="000000"/>
              </w:rPr>
              <w:t xml:space="preserve"> </w:t>
            </w:r>
          </w:p>
        </w:tc>
      </w:tr>
    </w:tbl>
    <w:p w:rsidR="003F13AB" w:rsidRDefault="003F13AB">
      <w:pPr>
        <w:pStyle w:val="Default1"/>
        <w:jc w:val="center"/>
        <w:rPr>
          <w:rFonts w:ascii="宋体" w:hAnsi="宋体" w:hint="default"/>
          <w:sz w:val="28"/>
          <w:szCs w:val="28"/>
        </w:rPr>
      </w:pPr>
    </w:p>
    <w:p w:rsidR="003F13AB" w:rsidRDefault="00EC6E7E">
      <w:pPr>
        <w:pStyle w:val="Default1"/>
        <w:jc w:val="center"/>
        <w:rPr>
          <w:rFonts w:ascii="宋体" w:hAnsi="宋体" w:hint="default"/>
          <w:sz w:val="28"/>
          <w:szCs w:val="28"/>
        </w:rPr>
      </w:pPr>
      <w:r>
        <w:rPr>
          <w:rFonts w:ascii="宋体" w:hAnsi="宋体"/>
          <w:sz w:val="28"/>
          <w:szCs w:val="28"/>
        </w:rPr>
        <w:t>附表2.1-3 氯化铵的理化性质及危险特性</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702"/>
        <w:gridCol w:w="2522"/>
        <w:gridCol w:w="2122"/>
      </w:tblGrid>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标识</w:t>
            </w:r>
          </w:p>
        </w:tc>
        <w:tc>
          <w:tcPr>
            <w:tcW w:w="3702" w:type="dxa"/>
            <w:vAlign w:val="center"/>
          </w:tcPr>
          <w:p w:rsidR="003F13AB" w:rsidRDefault="00EC6E7E">
            <w:pPr>
              <w:topLinePunct/>
              <w:adjustRightInd/>
              <w:snapToGrid/>
              <w:spacing w:line="240" w:lineRule="auto"/>
              <w:ind w:firstLineChars="0" w:firstLine="42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中文名：</w:t>
            </w:r>
            <w:r>
              <w:rPr>
                <w:rFonts w:ascii="Calibri" w:hAnsi="Calibri" w:hint="eastAsia"/>
                <w:snapToGrid w:val="0"/>
                <w:color w:val="auto"/>
                <w:kern w:val="0"/>
                <w:sz w:val="21"/>
                <w:szCs w:val="22"/>
                <w:u w:color="000000"/>
              </w:rPr>
              <w:t>氯化铵；硇砂</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英文名：</w:t>
            </w:r>
            <w:r>
              <w:rPr>
                <w:rFonts w:ascii="Calibri" w:hAnsi="Calibri" w:hint="eastAsia"/>
                <w:snapToGrid w:val="0"/>
                <w:color w:val="auto"/>
                <w:kern w:val="0"/>
                <w:sz w:val="21"/>
                <w:szCs w:val="22"/>
                <w:u w:color="000000"/>
              </w:rPr>
              <w:t>ammonium chloride</w:t>
            </w:r>
          </w:p>
        </w:tc>
      </w:tr>
      <w:tr w:rsidR="003F13AB">
        <w:trPr>
          <w:cantSplit/>
          <w:trHeight w:val="452"/>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分子式：</w:t>
            </w:r>
            <w:r>
              <w:rPr>
                <w:rFonts w:ascii="Helvetica" w:eastAsia="Helvetica" w:hAnsi="Helvetica" w:cs="Helvetica" w:hint="eastAsia"/>
                <w:color w:val="333333"/>
                <w:sz w:val="21"/>
                <w:szCs w:val="21"/>
                <w:shd w:val="clear" w:color="auto" w:fill="FFFFFF"/>
              </w:rPr>
              <w:t>ClH</w:t>
            </w:r>
            <w:r>
              <w:rPr>
                <w:rFonts w:ascii="Helvetica" w:eastAsia="Helvetica" w:hAnsi="Helvetica" w:cs="Helvetica" w:hint="eastAsia"/>
                <w:color w:val="333333"/>
                <w:sz w:val="21"/>
                <w:szCs w:val="21"/>
                <w:shd w:val="clear" w:color="auto" w:fill="FFFFFF"/>
                <w:vertAlign w:val="subscript"/>
              </w:rPr>
              <w:t>4</w:t>
            </w:r>
            <w:r>
              <w:rPr>
                <w:rFonts w:ascii="Helvetica" w:eastAsia="Helvetica" w:hAnsi="Helvetica" w:cs="Helvetica" w:hint="eastAsia"/>
                <w:color w:val="333333"/>
                <w:sz w:val="21"/>
                <w:szCs w:val="21"/>
                <w:shd w:val="clear" w:color="auto" w:fill="FFFFFF"/>
              </w:rPr>
              <w:t>N</w:t>
            </w:r>
          </w:p>
        </w:tc>
        <w:tc>
          <w:tcPr>
            <w:tcW w:w="25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相对分子质量：</w:t>
            </w:r>
            <w:r>
              <w:rPr>
                <w:rFonts w:ascii="Helvetica" w:eastAsia="Helvetica" w:hAnsi="Helvetica" w:cs="Helvetica"/>
                <w:color w:val="333333"/>
                <w:sz w:val="21"/>
                <w:szCs w:val="21"/>
                <w:shd w:val="clear" w:color="auto" w:fill="FFFFFF"/>
              </w:rPr>
              <w:t>53.4915</w:t>
            </w:r>
          </w:p>
        </w:tc>
        <w:tc>
          <w:tcPr>
            <w:tcW w:w="21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CAS</w:t>
            </w:r>
            <w:r>
              <w:rPr>
                <w:rFonts w:ascii="Calibri" w:hAnsi="Calibri" w:hint="eastAsia"/>
                <w:snapToGrid w:val="0"/>
                <w:color w:val="auto"/>
                <w:kern w:val="0"/>
                <w:sz w:val="21"/>
                <w:szCs w:val="22"/>
                <w:u w:color="000000"/>
              </w:rPr>
              <w:t>登录号</w:t>
            </w:r>
            <w:r>
              <w:rPr>
                <w:rFonts w:ascii="Calibri" w:hAnsi="Calibri"/>
                <w:snapToGrid w:val="0"/>
                <w:color w:val="auto"/>
                <w:kern w:val="0"/>
                <w:sz w:val="21"/>
                <w:szCs w:val="22"/>
                <w:u w:color="000000"/>
              </w:rPr>
              <w:t>：</w:t>
            </w:r>
            <w:hyperlink r:id="rId48" w:tgtFrame="https://www.chemsrc.com/cas/_blank" w:history="1">
              <w:r>
                <w:rPr>
                  <w:rFonts w:ascii="Helvetica" w:eastAsia="Helvetica" w:hAnsi="Helvetica" w:cs="Helvetica"/>
                  <w:color w:val="363636"/>
                  <w:sz w:val="21"/>
                  <w:szCs w:val="21"/>
                </w:rPr>
                <w:t>12125-02-9</w:t>
              </w:r>
            </w:hyperlink>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危险性分类</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急性毒性</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经口</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4*</w:t>
            </w:r>
            <w:r>
              <w:rPr>
                <w:rFonts w:ascii="Calibri" w:hAnsi="Calibri" w:hint="eastAsia"/>
                <w:snapToGrid w:val="0"/>
                <w:color w:val="auto"/>
                <w:kern w:val="0"/>
                <w:sz w:val="21"/>
                <w:szCs w:val="22"/>
                <w:u w:color="000000"/>
              </w:rPr>
              <w:t>，严重眼损伤</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眼刺激</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2A</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火灾危险性：</w:t>
            </w:r>
            <w:proofErr w:type="gramStart"/>
            <w:r>
              <w:rPr>
                <w:rFonts w:ascii="Calibri" w:hAnsi="Calibri" w:hint="eastAsia"/>
                <w:snapToGrid w:val="0"/>
                <w:color w:val="auto"/>
                <w:kern w:val="0"/>
                <w:sz w:val="21"/>
                <w:szCs w:val="22"/>
                <w:u w:color="000000"/>
              </w:rPr>
              <w:t>戊类</w:t>
            </w:r>
            <w:proofErr w:type="gramEnd"/>
          </w:p>
        </w:tc>
      </w:tr>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理化性质</w:t>
            </w: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性状：</w:t>
            </w:r>
            <w:r>
              <w:rPr>
                <w:rFonts w:ascii="Calibri" w:hAnsi="Calibri" w:hint="eastAsia"/>
                <w:snapToGrid w:val="0"/>
                <w:color w:val="auto"/>
                <w:kern w:val="0"/>
                <w:sz w:val="21"/>
                <w:szCs w:val="22"/>
                <w:u w:color="000000"/>
              </w:rPr>
              <w:t>无臭、味咸、容易吸潮的白色粉末或结晶颗粒。</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熔点（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340</w:t>
            </w:r>
            <w:r>
              <w:rPr>
                <w:rFonts w:ascii="Calibri" w:hAnsi="Calibri" w:hint="eastAsia"/>
                <w:snapToGrid w:val="0"/>
                <w:color w:val="auto"/>
                <w:kern w:val="0"/>
                <w:sz w:val="21"/>
                <w:szCs w:val="22"/>
                <w:u w:color="000000"/>
              </w:rPr>
              <w:t>（升华）</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相对密度（水</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1.53</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沸点（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520</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相对密度（空气</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溶解性：</w:t>
            </w:r>
            <w:r>
              <w:rPr>
                <w:rFonts w:ascii="Calibri" w:hAnsi="Calibri" w:hint="eastAsia"/>
                <w:snapToGrid w:val="0"/>
                <w:color w:val="auto"/>
                <w:kern w:val="0"/>
                <w:sz w:val="21"/>
                <w:szCs w:val="22"/>
                <w:u w:color="000000"/>
              </w:rPr>
              <w:t>微溶于乙醇，溶于水、甘油。</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自燃</w:t>
            </w:r>
            <w:r>
              <w:rPr>
                <w:rFonts w:ascii="Calibri" w:hAnsi="Calibri"/>
                <w:snapToGrid w:val="0"/>
                <w:color w:val="auto"/>
                <w:kern w:val="0"/>
                <w:sz w:val="21"/>
                <w:szCs w:val="22"/>
                <w:u w:color="000000"/>
              </w:rPr>
              <w:t>温度（</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禁忌物：</w:t>
            </w:r>
            <w:r>
              <w:rPr>
                <w:rFonts w:ascii="Calibri" w:hAnsi="Calibri" w:cs="宋体" w:hint="eastAsia"/>
                <w:snapToGrid w:val="0"/>
                <w:color w:val="auto"/>
                <w:kern w:val="0"/>
                <w:sz w:val="21"/>
                <w:szCs w:val="20"/>
                <w:u w:color="000000"/>
              </w:rPr>
              <w:t>强酸、强碱、铅、银。</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饱和蒸气压</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k</w:t>
            </w:r>
            <w:r>
              <w:rPr>
                <w:rFonts w:ascii="Calibri" w:hAnsi="Calibri"/>
                <w:snapToGrid w:val="0"/>
                <w:color w:val="auto"/>
                <w:kern w:val="0"/>
                <w:sz w:val="21"/>
                <w:szCs w:val="22"/>
                <w:u w:color="000000"/>
              </w:rPr>
              <w:t>Pa</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0.133</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燃烧热</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k</w:t>
            </w:r>
            <w:r>
              <w:rPr>
                <w:rFonts w:ascii="Calibri" w:hAnsi="Calibri" w:cs="宋体"/>
                <w:snapToGrid w:val="0"/>
                <w:color w:val="auto"/>
                <w:kern w:val="0"/>
                <w:sz w:val="21"/>
                <w:szCs w:val="20"/>
                <w:u w:color="000000"/>
              </w:rPr>
              <w:t>J/mol</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临界温度</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临界压力</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M</w:t>
            </w:r>
            <w:r>
              <w:rPr>
                <w:rFonts w:ascii="Calibri" w:hAnsi="Calibri" w:cs="宋体"/>
                <w:snapToGrid w:val="0"/>
                <w:color w:val="auto"/>
                <w:kern w:val="0"/>
                <w:sz w:val="21"/>
                <w:szCs w:val="20"/>
                <w:u w:color="000000"/>
              </w:rPr>
              <w:t>Pa</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辛醇</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水分配系数（</w:t>
            </w:r>
            <w:r>
              <w:rPr>
                <w:rFonts w:ascii="Calibri" w:hAnsi="Calibri" w:hint="eastAsia"/>
                <w:snapToGrid w:val="0"/>
                <w:color w:val="auto"/>
                <w:kern w:val="0"/>
                <w:sz w:val="21"/>
                <w:szCs w:val="22"/>
                <w:u w:color="000000"/>
              </w:rPr>
              <w:t>LogKow</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闪点</w:t>
            </w:r>
            <w:r>
              <w:rPr>
                <w:rFonts w:ascii="Calibri" w:hAnsi="Calibri" w:cs="宋体" w:hint="eastAsia"/>
                <w:snapToGrid w:val="0"/>
                <w:color w:val="auto"/>
                <w:kern w:val="0"/>
                <w:sz w:val="21"/>
                <w:szCs w:val="20"/>
                <w:u w:color="000000"/>
              </w:rPr>
              <w:t>（℃）：无意义</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爆炸上限</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爆炸下限</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hint="eastAsia"/>
                <w:snapToGrid w:val="0"/>
                <w:color w:val="auto"/>
                <w:kern w:val="0"/>
                <w:sz w:val="21"/>
                <w:szCs w:val="22"/>
                <w:u w:color="000000"/>
              </w:rPr>
              <w:t>无意义</w:t>
            </w:r>
          </w:p>
        </w:tc>
      </w:tr>
      <w:tr w:rsidR="003F13AB">
        <w:trPr>
          <w:cantSplit/>
          <w:trHeight w:val="2643"/>
          <w:jc w:val="center"/>
        </w:trPr>
        <w:tc>
          <w:tcPr>
            <w:tcW w:w="726" w:type="dxa"/>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hint="eastAsia"/>
                <w:b/>
                <w:snapToGrid w:val="0"/>
                <w:color w:val="auto"/>
                <w:kern w:val="0"/>
                <w:sz w:val="21"/>
                <w:szCs w:val="22"/>
                <w:u w:color="000000"/>
              </w:rPr>
              <w:lastRenderedPageBreak/>
              <w:t>危害信息</w:t>
            </w:r>
          </w:p>
        </w:tc>
        <w:tc>
          <w:tcPr>
            <w:tcW w:w="8346"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hint="eastAsia"/>
                <w:snapToGrid w:val="0"/>
                <w:color w:val="auto"/>
                <w:kern w:val="0"/>
                <w:sz w:val="21"/>
                <w:szCs w:val="20"/>
                <w:u w:color="000000"/>
              </w:rPr>
              <w:t>燃烧与爆炸危险性：不燃，无特殊燃爆特性。受高热分解，放出有毒的烟气。</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活性反应</w:t>
            </w:r>
            <w:r>
              <w:rPr>
                <w:rFonts w:ascii="Calibri" w:hAnsi="Calibri" w:cs="宋体" w:hint="eastAsia"/>
                <w:snapToGrid w:val="0"/>
                <w:color w:val="auto"/>
                <w:kern w:val="0"/>
                <w:sz w:val="21"/>
                <w:szCs w:val="20"/>
                <w:u w:color="000000"/>
              </w:rPr>
              <w:t>：不聚合。</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毒性</w:t>
            </w:r>
            <w:r>
              <w:rPr>
                <w:rFonts w:ascii="Calibri" w:hAnsi="Calibri" w:cs="宋体" w:hint="eastAsia"/>
                <w:snapToGrid w:val="0"/>
                <w:color w:val="auto"/>
                <w:kern w:val="0"/>
                <w:sz w:val="21"/>
                <w:szCs w:val="20"/>
                <w:u w:color="000000"/>
              </w:rPr>
              <w:t>：无资料</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中毒表现</w:t>
            </w:r>
            <w:r>
              <w:rPr>
                <w:rFonts w:ascii="Calibri" w:hAnsi="Calibri" w:cs="宋体" w:hint="eastAsia"/>
                <w:snapToGrid w:val="0"/>
                <w:color w:val="auto"/>
                <w:kern w:val="0"/>
                <w:sz w:val="21"/>
                <w:szCs w:val="20"/>
                <w:u w:color="000000"/>
              </w:rPr>
              <w:t>：本品对皮肤、粘膜有刺激性，可引起肝肾功能损害，诱发肝昏迷，造成氮质血症和代谢性酸中毒等。健康人应用</w:t>
            </w:r>
            <w:r>
              <w:rPr>
                <w:rFonts w:ascii="Calibri" w:hAnsi="Calibri" w:cs="宋体" w:hint="eastAsia"/>
                <w:snapToGrid w:val="0"/>
                <w:color w:val="auto"/>
                <w:kern w:val="0"/>
                <w:sz w:val="21"/>
                <w:szCs w:val="20"/>
                <w:u w:color="000000"/>
              </w:rPr>
              <w:t>50g</w:t>
            </w:r>
            <w:r>
              <w:rPr>
                <w:rFonts w:ascii="Calibri" w:hAnsi="Calibri" w:cs="宋体" w:hint="eastAsia"/>
                <w:snapToGrid w:val="0"/>
                <w:color w:val="auto"/>
                <w:kern w:val="0"/>
                <w:sz w:val="21"/>
                <w:szCs w:val="20"/>
                <w:u w:color="000000"/>
              </w:rPr>
              <w:t>氯化铵可致重度中毒，有肝病、肾病、慢性心脏病的患者，</w:t>
            </w:r>
            <w:r>
              <w:rPr>
                <w:rFonts w:ascii="Calibri" w:hAnsi="Calibri" w:cs="宋体" w:hint="eastAsia"/>
                <w:snapToGrid w:val="0"/>
                <w:color w:val="auto"/>
                <w:kern w:val="0"/>
                <w:sz w:val="21"/>
                <w:szCs w:val="20"/>
                <w:u w:color="000000"/>
              </w:rPr>
              <w:t>5g</w:t>
            </w:r>
            <w:r>
              <w:rPr>
                <w:rFonts w:ascii="Calibri" w:hAnsi="Calibri" w:cs="宋体" w:hint="eastAsia"/>
                <w:snapToGrid w:val="0"/>
                <w:color w:val="auto"/>
                <w:kern w:val="0"/>
                <w:sz w:val="21"/>
                <w:szCs w:val="20"/>
                <w:u w:color="000000"/>
              </w:rPr>
              <w:t>即可引起严重中毒。口服中毒引起化学性胃炎，严重者由于血</w:t>
            </w:r>
            <w:proofErr w:type="gramStart"/>
            <w:r>
              <w:rPr>
                <w:rFonts w:ascii="Calibri" w:hAnsi="Calibri" w:cs="宋体" w:hint="eastAsia"/>
                <w:snapToGrid w:val="0"/>
                <w:color w:val="auto"/>
                <w:kern w:val="0"/>
                <w:sz w:val="21"/>
                <w:szCs w:val="20"/>
                <w:u w:color="000000"/>
              </w:rPr>
              <w:t>氨显著</w:t>
            </w:r>
            <w:proofErr w:type="gramEnd"/>
            <w:r>
              <w:rPr>
                <w:rFonts w:ascii="Calibri" w:hAnsi="Calibri" w:cs="宋体" w:hint="eastAsia"/>
                <w:snapToGrid w:val="0"/>
                <w:color w:val="auto"/>
                <w:kern w:val="0"/>
                <w:sz w:val="21"/>
                <w:szCs w:val="20"/>
                <w:u w:color="000000"/>
              </w:rPr>
              <w:t>增高，诱发肝昏迷。严重中毒时造成肝、肾损害，出现代谢性酸中毒，同时支气管分泌物大量增加。职业性接触，可引起呼吸道粘膜的刺激和灼伤。慢性影响</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经常性接触氯化铵，可引起眼结膜及呼吸道粘膜慢性炎症。</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职业接触限值</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中国</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P</w:t>
            </w:r>
            <w:r>
              <w:rPr>
                <w:rFonts w:ascii="Calibri" w:hAnsi="Calibri" w:cs="宋体"/>
                <w:snapToGrid w:val="0"/>
                <w:color w:val="auto"/>
                <w:kern w:val="0"/>
                <w:sz w:val="21"/>
                <w:szCs w:val="20"/>
                <w:u w:color="000000"/>
              </w:rPr>
              <w:t>C-TWA</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10</w:t>
            </w:r>
            <w:r>
              <w:rPr>
                <w:rFonts w:ascii="Calibri" w:hAnsi="Calibri" w:cs="宋体"/>
                <w:snapToGrid w:val="0"/>
                <w:color w:val="auto"/>
                <w:kern w:val="0"/>
                <w:sz w:val="21"/>
                <w:szCs w:val="20"/>
                <w:u w:color="000000"/>
              </w:rPr>
              <w:t>mg/m</w:t>
            </w:r>
            <w:r>
              <w:rPr>
                <w:rFonts w:ascii="Calibri" w:hAnsi="Calibri" w:cs="宋体"/>
                <w:snapToGrid w:val="0"/>
                <w:color w:val="auto"/>
                <w:kern w:val="0"/>
                <w:sz w:val="21"/>
                <w:szCs w:val="20"/>
                <w:u w:color="000000"/>
                <w:vertAlign w:val="superscript"/>
              </w:rPr>
              <w:t>3</w:t>
            </w:r>
            <w:r>
              <w:rPr>
                <w:rFonts w:ascii="Calibri" w:hAnsi="Calibri" w:cs="宋体" w:hint="eastAsia"/>
                <w:snapToGrid w:val="0"/>
                <w:color w:val="auto"/>
                <w:kern w:val="0"/>
                <w:sz w:val="21"/>
                <w:szCs w:val="20"/>
                <w:u w:color="000000"/>
                <w:vertAlign w:val="superscript"/>
              </w:rPr>
              <w:t xml:space="preserve"> </w:t>
            </w:r>
            <w:r>
              <w:rPr>
                <w:rFonts w:ascii="Calibri" w:hAnsi="Calibri" w:cs="宋体"/>
                <w:snapToGrid w:val="0"/>
                <w:color w:val="auto"/>
                <w:kern w:val="0"/>
                <w:sz w:val="21"/>
                <w:szCs w:val="20"/>
                <w:u w:color="000000"/>
              </w:rPr>
              <w:t xml:space="preserve"> PC-STEL</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20</w:t>
            </w:r>
            <w:r>
              <w:rPr>
                <w:rFonts w:ascii="Calibri" w:hAnsi="Calibri" w:cs="宋体"/>
                <w:snapToGrid w:val="0"/>
                <w:color w:val="auto"/>
                <w:kern w:val="0"/>
                <w:sz w:val="21"/>
                <w:szCs w:val="20"/>
                <w:u w:color="000000"/>
              </w:rPr>
              <w:t>mg/m</w:t>
            </w:r>
            <w:r>
              <w:rPr>
                <w:rFonts w:ascii="Calibri" w:hAnsi="Calibri" w:cs="宋体"/>
                <w:snapToGrid w:val="0"/>
                <w:color w:val="auto"/>
                <w:kern w:val="0"/>
                <w:sz w:val="21"/>
                <w:szCs w:val="20"/>
                <w:u w:color="000000"/>
                <w:vertAlign w:val="superscript"/>
              </w:rPr>
              <w:t>3</w:t>
            </w:r>
            <w:r>
              <w:rPr>
                <w:rFonts w:ascii="Calibri" w:hAnsi="Calibri" w:cs="宋体" w:hint="eastAsia"/>
                <w:snapToGrid w:val="0"/>
                <w:color w:val="auto"/>
                <w:kern w:val="0"/>
                <w:sz w:val="21"/>
                <w:szCs w:val="20"/>
                <w:u w:color="000000"/>
              </w:rPr>
              <w:t xml:space="preserve"> </w:t>
            </w:r>
          </w:p>
        </w:tc>
      </w:tr>
    </w:tbl>
    <w:p w:rsidR="003F13AB" w:rsidRDefault="003F13AB">
      <w:pPr>
        <w:pStyle w:val="Default1"/>
        <w:jc w:val="center"/>
        <w:rPr>
          <w:rFonts w:ascii="宋体" w:hAnsi="宋体" w:hint="default"/>
          <w:sz w:val="28"/>
          <w:szCs w:val="28"/>
        </w:rPr>
      </w:pPr>
    </w:p>
    <w:p w:rsidR="003F13AB" w:rsidRDefault="00EC6E7E">
      <w:pPr>
        <w:spacing w:line="500" w:lineRule="exact"/>
        <w:ind w:firstLine="560"/>
        <w:jc w:val="center"/>
        <w:textAlignment w:val="center"/>
        <w:rPr>
          <w:rFonts w:ascii="宋体" w:hAnsi="宋体"/>
          <w:color w:val="auto"/>
          <w:szCs w:val="28"/>
        </w:rPr>
      </w:pPr>
      <w:r>
        <w:rPr>
          <w:rFonts w:ascii="宋体" w:hAnsi="宋体" w:hint="eastAsia"/>
          <w:color w:val="auto"/>
          <w:szCs w:val="28"/>
        </w:rPr>
        <w:t>表2</w:t>
      </w:r>
      <w:r>
        <w:rPr>
          <w:rFonts w:ascii="宋体" w:hAnsi="宋体"/>
          <w:color w:val="auto"/>
          <w:szCs w:val="28"/>
        </w:rPr>
        <w:t>.1</w:t>
      </w:r>
      <w:r>
        <w:rPr>
          <w:rFonts w:ascii="宋体" w:hAnsi="宋体" w:hint="eastAsia"/>
          <w:color w:val="auto"/>
          <w:szCs w:val="28"/>
        </w:rPr>
        <w:t>-4 硫酸铵的理化性质及危险特性</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702"/>
        <w:gridCol w:w="2522"/>
        <w:gridCol w:w="2122"/>
      </w:tblGrid>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标识</w:t>
            </w:r>
          </w:p>
        </w:tc>
        <w:tc>
          <w:tcPr>
            <w:tcW w:w="3702" w:type="dxa"/>
            <w:vAlign w:val="center"/>
          </w:tcPr>
          <w:p w:rsidR="003F13AB" w:rsidRDefault="00EC6E7E">
            <w:pPr>
              <w:topLinePunct/>
              <w:adjustRightInd/>
              <w:snapToGrid/>
              <w:spacing w:line="240" w:lineRule="auto"/>
              <w:ind w:firstLineChars="0" w:firstLine="42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中文名：</w:t>
            </w:r>
            <w:r>
              <w:rPr>
                <w:rFonts w:ascii="Calibri" w:hAnsi="Calibri" w:hint="eastAsia"/>
                <w:snapToGrid w:val="0"/>
                <w:color w:val="auto"/>
                <w:kern w:val="0"/>
                <w:sz w:val="21"/>
                <w:szCs w:val="22"/>
                <w:u w:color="000000"/>
              </w:rPr>
              <w:t>硫酸铵</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英文名：</w:t>
            </w:r>
            <w:r>
              <w:rPr>
                <w:rFonts w:ascii="Calibri" w:hAnsi="Calibri" w:hint="eastAsia"/>
                <w:snapToGrid w:val="0"/>
                <w:color w:val="auto"/>
                <w:kern w:val="0"/>
                <w:sz w:val="21"/>
                <w:szCs w:val="22"/>
                <w:u w:color="000000"/>
              </w:rPr>
              <w:t>ammonium sulfate</w:t>
            </w:r>
          </w:p>
        </w:tc>
      </w:tr>
      <w:tr w:rsidR="003F13AB">
        <w:trPr>
          <w:cantSplit/>
          <w:trHeight w:val="452"/>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分子式：</w:t>
            </w:r>
            <w:r>
              <w:rPr>
                <w:rFonts w:ascii="Helvetica" w:eastAsia="Helvetica" w:hAnsi="Helvetica" w:cs="Helvetica"/>
                <w:color w:val="333333"/>
                <w:sz w:val="21"/>
                <w:szCs w:val="21"/>
                <w:shd w:val="clear" w:color="auto" w:fill="FFFFFF"/>
              </w:rPr>
              <w:t>(NH</w:t>
            </w:r>
            <w:r>
              <w:rPr>
                <w:rFonts w:ascii="Helvetica" w:eastAsia="Helvetica" w:hAnsi="Helvetica" w:cs="Helvetica"/>
                <w:color w:val="333333"/>
                <w:sz w:val="21"/>
                <w:szCs w:val="21"/>
                <w:shd w:val="clear" w:color="auto" w:fill="FFFFFF"/>
                <w:vertAlign w:val="subscript"/>
              </w:rPr>
              <w:t>4</w:t>
            </w:r>
            <w:r>
              <w:rPr>
                <w:rFonts w:ascii="Helvetica" w:eastAsia="Helvetica" w:hAnsi="Helvetica" w:cs="Helvetica"/>
                <w:color w:val="333333"/>
                <w:sz w:val="21"/>
                <w:szCs w:val="21"/>
                <w:shd w:val="clear" w:color="auto" w:fill="FFFFFF"/>
              </w:rPr>
              <w:t>)</w:t>
            </w:r>
            <w:r>
              <w:rPr>
                <w:rFonts w:ascii="Helvetica" w:eastAsia="Helvetica" w:hAnsi="Helvetica" w:cs="Helvetica"/>
                <w:color w:val="333333"/>
                <w:sz w:val="21"/>
                <w:szCs w:val="21"/>
                <w:shd w:val="clear" w:color="auto" w:fill="FFFFFF"/>
                <w:vertAlign w:val="subscript"/>
              </w:rPr>
              <w:t>2</w:t>
            </w:r>
            <w:r>
              <w:rPr>
                <w:rFonts w:ascii="Helvetica" w:eastAsia="Helvetica" w:hAnsi="Helvetica" w:cs="Helvetica"/>
                <w:color w:val="333333"/>
                <w:sz w:val="21"/>
                <w:szCs w:val="21"/>
                <w:shd w:val="clear" w:color="auto" w:fill="FFFFFF"/>
              </w:rPr>
              <w:t>SO</w:t>
            </w:r>
            <w:r>
              <w:rPr>
                <w:rFonts w:ascii="Helvetica" w:eastAsia="Helvetica" w:hAnsi="Helvetica" w:cs="Helvetica"/>
                <w:color w:val="333333"/>
                <w:sz w:val="21"/>
                <w:szCs w:val="21"/>
                <w:shd w:val="clear" w:color="auto" w:fill="FFFFFF"/>
                <w:vertAlign w:val="subscript"/>
              </w:rPr>
              <w:t>4</w:t>
            </w:r>
          </w:p>
        </w:tc>
        <w:tc>
          <w:tcPr>
            <w:tcW w:w="25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相对分子质量：</w:t>
            </w:r>
            <w:r>
              <w:rPr>
                <w:rFonts w:ascii="Helvetica" w:eastAsia="Helvetica" w:hAnsi="Helvetica" w:cs="Helvetica" w:hint="eastAsia"/>
                <w:color w:val="333333"/>
                <w:sz w:val="21"/>
                <w:szCs w:val="21"/>
                <w:shd w:val="clear" w:color="auto" w:fill="FFFFFF"/>
              </w:rPr>
              <w:t>132.139</w:t>
            </w:r>
          </w:p>
        </w:tc>
        <w:tc>
          <w:tcPr>
            <w:tcW w:w="21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CAS</w:t>
            </w:r>
            <w:r>
              <w:rPr>
                <w:rFonts w:ascii="Calibri" w:hAnsi="Calibri" w:hint="eastAsia"/>
                <w:snapToGrid w:val="0"/>
                <w:color w:val="auto"/>
                <w:kern w:val="0"/>
                <w:sz w:val="21"/>
                <w:szCs w:val="22"/>
                <w:u w:color="000000"/>
              </w:rPr>
              <w:t>登录号</w:t>
            </w:r>
            <w:r>
              <w:rPr>
                <w:rFonts w:ascii="Calibri" w:hAnsi="Calibri"/>
                <w:snapToGrid w:val="0"/>
                <w:color w:val="auto"/>
                <w:kern w:val="0"/>
                <w:sz w:val="21"/>
                <w:szCs w:val="22"/>
                <w:u w:color="000000"/>
              </w:rPr>
              <w:t>：</w:t>
            </w:r>
            <w:r>
              <w:rPr>
                <w:rFonts w:ascii="Helvetica" w:eastAsia="Helvetica" w:hAnsi="Helvetica" w:cs="Helvetica" w:hint="eastAsia"/>
                <w:color w:val="363636"/>
                <w:sz w:val="21"/>
                <w:szCs w:val="21"/>
              </w:rPr>
              <w:t>7783-20-2</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危险性分类</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急性毒性</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经口</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4</w:t>
            </w:r>
            <w:r>
              <w:rPr>
                <w:rFonts w:ascii="Calibri" w:hAnsi="Calibri" w:hint="eastAsia"/>
                <w:snapToGrid w:val="0"/>
                <w:color w:val="auto"/>
                <w:kern w:val="0"/>
                <w:sz w:val="21"/>
                <w:szCs w:val="22"/>
                <w:u w:color="000000"/>
              </w:rPr>
              <w:t>，皮肤腐蚀刺激</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2</w:t>
            </w:r>
            <w:r>
              <w:rPr>
                <w:rFonts w:ascii="Calibri" w:hAnsi="Calibri" w:hint="eastAsia"/>
                <w:snapToGrid w:val="0"/>
                <w:color w:val="auto"/>
                <w:kern w:val="0"/>
                <w:sz w:val="21"/>
                <w:szCs w:val="22"/>
                <w:u w:color="000000"/>
              </w:rPr>
              <w:t>，严重眼损伤</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眼刺激</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2</w:t>
            </w:r>
            <w:r>
              <w:rPr>
                <w:rFonts w:ascii="Calibri" w:hAnsi="Calibri" w:hint="eastAsia"/>
                <w:snapToGrid w:val="0"/>
                <w:color w:val="auto"/>
                <w:kern w:val="0"/>
                <w:sz w:val="21"/>
                <w:szCs w:val="22"/>
                <w:u w:color="000000"/>
              </w:rPr>
              <w:t>，特异性靶器官毒性</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一次接触</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3</w:t>
            </w:r>
            <w:r>
              <w:rPr>
                <w:rFonts w:ascii="Calibri" w:hAnsi="Calibri" w:hint="eastAsia"/>
                <w:snapToGrid w:val="0"/>
                <w:color w:val="auto"/>
                <w:kern w:val="0"/>
                <w:sz w:val="21"/>
                <w:szCs w:val="22"/>
                <w:u w:color="000000"/>
              </w:rPr>
              <w:t>（呼吸道刺激）</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火灾危险性：</w:t>
            </w:r>
            <w:proofErr w:type="gramStart"/>
            <w:r>
              <w:rPr>
                <w:rFonts w:ascii="Calibri" w:hAnsi="Calibri" w:hint="eastAsia"/>
                <w:snapToGrid w:val="0"/>
                <w:color w:val="auto"/>
                <w:kern w:val="0"/>
                <w:sz w:val="21"/>
                <w:szCs w:val="22"/>
                <w:u w:color="000000"/>
              </w:rPr>
              <w:t>戊</w:t>
            </w:r>
            <w:r>
              <w:rPr>
                <w:rFonts w:ascii="Calibri" w:hAnsi="Calibri"/>
                <w:snapToGrid w:val="0"/>
                <w:color w:val="auto"/>
                <w:kern w:val="0"/>
                <w:sz w:val="21"/>
                <w:szCs w:val="22"/>
                <w:u w:color="000000"/>
              </w:rPr>
              <w:t>类</w:t>
            </w:r>
            <w:proofErr w:type="gramEnd"/>
          </w:p>
        </w:tc>
      </w:tr>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理化性质</w:t>
            </w: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性状：</w:t>
            </w:r>
            <w:r>
              <w:rPr>
                <w:rFonts w:ascii="Calibri" w:hAnsi="Calibri" w:hint="eastAsia"/>
                <w:snapToGrid w:val="0"/>
                <w:color w:val="auto"/>
                <w:kern w:val="0"/>
                <w:sz w:val="21"/>
                <w:szCs w:val="22"/>
                <w:u w:color="000000"/>
              </w:rPr>
              <w:t>纯品为无色斜方晶体，工业品为白色至淡黄色结晶体。</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熔点（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235-280</w:t>
            </w:r>
            <w:r>
              <w:rPr>
                <w:rFonts w:ascii="Calibri" w:hAnsi="Calibri" w:hint="eastAsia"/>
                <w:snapToGrid w:val="0"/>
                <w:color w:val="auto"/>
                <w:kern w:val="0"/>
                <w:sz w:val="21"/>
                <w:szCs w:val="22"/>
                <w:u w:color="000000"/>
              </w:rPr>
              <w:t>（分解）</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相对密度（水</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1.77</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沸点（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相对密度（空气</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溶解性：</w:t>
            </w:r>
            <w:r>
              <w:rPr>
                <w:rFonts w:ascii="Calibri" w:hAnsi="Calibri" w:hint="eastAsia"/>
                <w:snapToGrid w:val="0"/>
                <w:color w:val="auto"/>
                <w:kern w:val="0"/>
                <w:sz w:val="21"/>
                <w:szCs w:val="22"/>
                <w:u w:color="000000"/>
              </w:rPr>
              <w:t>溶于水，不溶于乙醇和丙酮。</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自燃</w:t>
            </w:r>
            <w:r>
              <w:rPr>
                <w:rFonts w:ascii="Calibri" w:hAnsi="Calibri"/>
                <w:snapToGrid w:val="0"/>
                <w:color w:val="auto"/>
                <w:kern w:val="0"/>
                <w:sz w:val="21"/>
                <w:szCs w:val="22"/>
                <w:u w:color="000000"/>
              </w:rPr>
              <w:t>温度（</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禁忌物：</w:t>
            </w:r>
            <w:r>
              <w:rPr>
                <w:rFonts w:ascii="Calibri" w:hAnsi="Calibri" w:cs="宋体" w:hint="eastAsia"/>
                <w:snapToGrid w:val="0"/>
                <w:color w:val="auto"/>
                <w:kern w:val="0"/>
                <w:sz w:val="21"/>
                <w:szCs w:val="20"/>
                <w:u w:color="000000"/>
              </w:rPr>
              <w:t>强酸、强碱、亚硝酸钾、次氯酸盐。</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饱和蒸气压</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k</w:t>
            </w:r>
            <w:r>
              <w:rPr>
                <w:rFonts w:ascii="Calibri" w:hAnsi="Calibri"/>
                <w:snapToGrid w:val="0"/>
                <w:color w:val="auto"/>
                <w:kern w:val="0"/>
                <w:sz w:val="21"/>
                <w:szCs w:val="22"/>
                <w:u w:color="000000"/>
              </w:rPr>
              <w:t>Pa</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燃烧热</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k</w:t>
            </w:r>
            <w:r>
              <w:rPr>
                <w:rFonts w:ascii="Calibri" w:hAnsi="Calibri" w:cs="宋体"/>
                <w:snapToGrid w:val="0"/>
                <w:color w:val="auto"/>
                <w:kern w:val="0"/>
                <w:sz w:val="21"/>
                <w:szCs w:val="20"/>
                <w:u w:color="000000"/>
              </w:rPr>
              <w:t>J/mol</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临界温度</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临界压力</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M</w:t>
            </w:r>
            <w:r>
              <w:rPr>
                <w:rFonts w:ascii="Calibri" w:hAnsi="Calibri" w:cs="宋体"/>
                <w:snapToGrid w:val="0"/>
                <w:color w:val="auto"/>
                <w:kern w:val="0"/>
                <w:sz w:val="21"/>
                <w:szCs w:val="20"/>
                <w:u w:color="000000"/>
              </w:rPr>
              <w:t>Pa</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辛醇</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水分配系数（</w:t>
            </w:r>
            <w:r>
              <w:rPr>
                <w:rFonts w:ascii="Calibri" w:hAnsi="Calibri" w:hint="eastAsia"/>
                <w:snapToGrid w:val="0"/>
                <w:color w:val="auto"/>
                <w:kern w:val="0"/>
                <w:sz w:val="21"/>
                <w:szCs w:val="22"/>
                <w:u w:color="000000"/>
              </w:rPr>
              <w:t>LogKow</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闪点</w:t>
            </w:r>
            <w:r>
              <w:rPr>
                <w:rFonts w:ascii="Calibri" w:hAnsi="Calibri" w:cs="宋体" w:hint="eastAsia"/>
                <w:snapToGrid w:val="0"/>
                <w:color w:val="auto"/>
                <w:kern w:val="0"/>
                <w:sz w:val="21"/>
                <w:szCs w:val="20"/>
                <w:u w:color="000000"/>
              </w:rPr>
              <w:t>（℃）：无意义</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爆炸上限</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爆炸下限</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hint="eastAsia"/>
                <w:snapToGrid w:val="0"/>
                <w:color w:val="auto"/>
                <w:kern w:val="0"/>
                <w:sz w:val="21"/>
                <w:szCs w:val="22"/>
                <w:u w:color="000000"/>
              </w:rPr>
              <w:t>无意义</w:t>
            </w:r>
          </w:p>
        </w:tc>
      </w:tr>
      <w:tr w:rsidR="003F13AB">
        <w:trPr>
          <w:cantSplit/>
          <w:trHeight w:val="1495"/>
          <w:jc w:val="center"/>
        </w:trPr>
        <w:tc>
          <w:tcPr>
            <w:tcW w:w="726" w:type="dxa"/>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hint="eastAsia"/>
                <w:b/>
                <w:snapToGrid w:val="0"/>
                <w:color w:val="auto"/>
                <w:kern w:val="0"/>
                <w:sz w:val="21"/>
                <w:szCs w:val="22"/>
                <w:u w:color="000000"/>
              </w:rPr>
              <w:t>危害信息</w:t>
            </w:r>
          </w:p>
        </w:tc>
        <w:tc>
          <w:tcPr>
            <w:tcW w:w="8346"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hint="eastAsia"/>
                <w:snapToGrid w:val="0"/>
                <w:color w:val="auto"/>
                <w:kern w:val="0"/>
                <w:sz w:val="21"/>
                <w:szCs w:val="20"/>
                <w:u w:color="000000"/>
              </w:rPr>
              <w:t>燃烧与爆炸危险性：不燃，无特殊燃爆特性。受高热分解，放出有毒的烟气。</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活性反应</w:t>
            </w:r>
            <w:r>
              <w:rPr>
                <w:rFonts w:ascii="Calibri" w:hAnsi="Calibri" w:cs="宋体" w:hint="eastAsia"/>
                <w:snapToGrid w:val="0"/>
                <w:color w:val="auto"/>
                <w:kern w:val="0"/>
                <w:sz w:val="21"/>
                <w:szCs w:val="20"/>
                <w:u w:color="000000"/>
              </w:rPr>
              <w:t>：不聚合。</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毒性</w:t>
            </w:r>
            <w:r>
              <w:rPr>
                <w:rFonts w:ascii="Calibri" w:hAnsi="Calibri" w:cs="宋体" w:hint="eastAsia"/>
                <w:snapToGrid w:val="0"/>
                <w:color w:val="auto"/>
                <w:kern w:val="0"/>
                <w:sz w:val="21"/>
                <w:szCs w:val="20"/>
                <w:u w:color="000000"/>
              </w:rPr>
              <w:t>：无资料</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中毒表现</w:t>
            </w:r>
            <w:r>
              <w:rPr>
                <w:rFonts w:ascii="Calibri" w:hAnsi="Calibri" w:cs="宋体" w:hint="eastAsia"/>
                <w:snapToGrid w:val="0"/>
                <w:color w:val="auto"/>
                <w:kern w:val="0"/>
                <w:sz w:val="21"/>
                <w:szCs w:val="20"/>
                <w:u w:color="000000"/>
              </w:rPr>
              <w:t>：本品对皮肤、眼睛、粘膜有刺激性。</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职业接触限值</w:t>
            </w:r>
            <w:r>
              <w:rPr>
                <w:rFonts w:ascii="Calibri" w:hAnsi="Calibri" w:cs="宋体" w:hint="eastAsia"/>
                <w:snapToGrid w:val="0"/>
                <w:color w:val="auto"/>
                <w:kern w:val="0"/>
                <w:sz w:val="21"/>
                <w:szCs w:val="20"/>
                <w:u w:color="000000"/>
              </w:rPr>
              <w:t>：无资料</w:t>
            </w:r>
          </w:p>
        </w:tc>
      </w:tr>
    </w:tbl>
    <w:p w:rsidR="003F13AB" w:rsidRDefault="003F13AB">
      <w:pPr>
        <w:pStyle w:val="Default1"/>
        <w:jc w:val="center"/>
        <w:rPr>
          <w:rFonts w:ascii="宋体" w:hAnsi="宋体" w:hint="default"/>
          <w:sz w:val="28"/>
          <w:szCs w:val="28"/>
        </w:rPr>
      </w:pPr>
    </w:p>
    <w:p w:rsidR="003F13AB" w:rsidRDefault="00EC6E7E">
      <w:pPr>
        <w:spacing w:line="500" w:lineRule="exact"/>
        <w:ind w:firstLine="560"/>
        <w:jc w:val="center"/>
        <w:textAlignment w:val="center"/>
        <w:rPr>
          <w:rFonts w:ascii="宋体" w:hAnsi="宋体"/>
          <w:color w:val="auto"/>
          <w:szCs w:val="28"/>
        </w:rPr>
      </w:pPr>
      <w:r>
        <w:rPr>
          <w:rFonts w:ascii="宋体" w:hAnsi="宋体" w:hint="eastAsia"/>
          <w:color w:val="auto"/>
          <w:szCs w:val="28"/>
        </w:rPr>
        <w:t>表2</w:t>
      </w:r>
      <w:r>
        <w:rPr>
          <w:rFonts w:ascii="宋体" w:hAnsi="宋体"/>
          <w:color w:val="auto"/>
          <w:szCs w:val="28"/>
        </w:rPr>
        <w:t>.1</w:t>
      </w:r>
      <w:r>
        <w:rPr>
          <w:rFonts w:ascii="宋体" w:hAnsi="宋体" w:hint="eastAsia"/>
          <w:color w:val="auto"/>
          <w:szCs w:val="28"/>
        </w:rPr>
        <w:t>-5 磷酸</w:t>
      </w:r>
      <w:proofErr w:type="gramStart"/>
      <w:r>
        <w:rPr>
          <w:rFonts w:ascii="宋体" w:hAnsi="宋体" w:hint="eastAsia"/>
          <w:color w:val="auto"/>
          <w:szCs w:val="28"/>
        </w:rPr>
        <w:t>一</w:t>
      </w:r>
      <w:proofErr w:type="gramEnd"/>
      <w:r>
        <w:rPr>
          <w:rFonts w:ascii="宋体" w:hAnsi="宋体" w:hint="eastAsia"/>
          <w:color w:val="auto"/>
          <w:szCs w:val="28"/>
        </w:rPr>
        <w:t>铵的理化性质及危险特性</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702"/>
        <w:gridCol w:w="2522"/>
        <w:gridCol w:w="2122"/>
      </w:tblGrid>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标识</w:t>
            </w:r>
          </w:p>
        </w:tc>
        <w:tc>
          <w:tcPr>
            <w:tcW w:w="3702" w:type="dxa"/>
            <w:vAlign w:val="center"/>
          </w:tcPr>
          <w:p w:rsidR="003F13AB" w:rsidRDefault="00EC6E7E">
            <w:pPr>
              <w:topLinePunct/>
              <w:adjustRightInd/>
              <w:snapToGrid/>
              <w:spacing w:line="240" w:lineRule="auto"/>
              <w:ind w:firstLineChars="0" w:firstLine="42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中文名：</w:t>
            </w:r>
            <w:r>
              <w:rPr>
                <w:rFonts w:ascii="Calibri" w:hAnsi="Calibri" w:hint="eastAsia"/>
                <w:snapToGrid w:val="0"/>
                <w:color w:val="auto"/>
                <w:kern w:val="0"/>
                <w:sz w:val="21"/>
                <w:szCs w:val="22"/>
                <w:u w:color="000000"/>
              </w:rPr>
              <w:t>硫酸</w:t>
            </w:r>
            <w:proofErr w:type="gramStart"/>
            <w:r>
              <w:rPr>
                <w:rFonts w:ascii="Calibri" w:hAnsi="Calibri" w:hint="eastAsia"/>
                <w:snapToGrid w:val="0"/>
                <w:color w:val="auto"/>
                <w:kern w:val="0"/>
                <w:sz w:val="21"/>
                <w:szCs w:val="22"/>
                <w:u w:color="000000"/>
              </w:rPr>
              <w:t>一</w:t>
            </w:r>
            <w:proofErr w:type="gramEnd"/>
            <w:r>
              <w:rPr>
                <w:rFonts w:ascii="Calibri" w:hAnsi="Calibri" w:hint="eastAsia"/>
                <w:snapToGrid w:val="0"/>
                <w:color w:val="auto"/>
                <w:kern w:val="0"/>
                <w:sz w:val="21"/>
                <w:szCs w:val="22"/>
                <w:u w:color="000000"/>
              </w:rPr>
              <w:t>铵、磷酸二氢铵</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英文名：</w:t>
            </w:r>
            <w:r>
              <w:rPr>
                <w:rFonts w:ascii="Calibri" w:hAnsi="Calibri" w:hint="eastAsia"/>
                <w:snapToGrid w:val="0"/>
                <w:color w:val="auto"/>
                <w:kern w:val="0"/>
                <w:sz w:val="21"/>
                <w:szCs w:val="22"/>
                <w:u w:color="000000"/>
              </w:rPr>
              <w:t>Ammonium dihydrogen phosphate</w:t>
            </w:r>
          </w:p>
        </w:tc>
      </w:tr>
      <w:tr w:rsidR="003F13AB">
        <w:trPr>
          <w:cantSplit/>
          <w:trHeight w:val="452"/>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分子式：</w:t>
            </w:r>
            <w:r>
              <w:rPr>
                <w:rFonts w:ascii="Helvetica" w:eastAsia="Helvetica" w:hAnsi="Helvetica" w:cs="Helvetica" w:hint="eastAsia"/>
                <w:color w:val="333333"/>
                <w:sz w:val="21"/>
                <w:szCs w:val="21"/>
                <w:shd w:val="clear" w:color="auto" w:fill="FFFFFF"/>
              </w:rPr>
              <w:t>NH</w:t>
            </w:r>
            <w:r>
              <w:rPr>
                <w:rFonts w:ascii="Helvetica" w:eastAsia="Helvetica" w:hAnsi="Helvetica" w:cs="Helvetica" w:hint="eastAsia"/>
                <w:color w:val="333333"/>
                <w:sz w:val="21"/>
                <w:szCs w:val="21"/>
                <w:shd w:val="clear" w:color="auto" w:fill="FFFFFF"/>
                <w:vertAlign w:val="subscript"/>
              </w:rPr>
              <w:t>4</w:t>
            </w:r>
            <w:r>
              <w:rPr>
                <w:rFonts w:ascii="Helvetica" w:eastAsia="Helvetica" w:hAnsi="Helvetica" w:cs="Helvetica" w:hint="eastAsia"/>
                <w:color w:val="333333"/>
                <w:sz w:val="21"/>
                <w:szCs w:val="21"/>
                <w:shd w:val="clear" w:color="auto" w:fill="FFFFFF"/>
              </w:rPr>
              <w:t>H</w:t>
            </w:r>
            <w:r>
              <w:rPr>
                <w:rFonts w:ascii="Helvetica" w:eastAsia="Helvetica" w:hAnsi="Helvetica" w:cs="Helvetica" w:hint="eastAsia"/>
                <w:color w:val="333333"/>
                <w:sz w:val="21"/>
                <w:szCs w:val="21"/>
                <w:shd w:val="clear" w:color="auto" w:fill="FFFFFF"/>
                <w:vertAlign w:val="subscript"/>
              </w:rPr>
              <w:t>2</w:t>
            </w:r>
            <w:r>
              <w:rPr>
                <w:rFonts w:ascii="Helvetica" w:eastAsia="Helvetica" w:hAnsi="Helvetica" w:cs="Helvetica" w:hint="eastAsia"/>
                <w:color w:val="333333"/>
                <w:sz w:val="21"/>
                <w:szCs w:val="21"/>
                <w:shd w:val="clear" w:color="auto" w:fill="FFFFFF"/>
              </w:rPr>
              <w:t>PO</w:t>
            </w:r>
            <w:r>
              <w:rPr>
                <w:rFonts w:ascii="Helvetica" w:eastAsia="Helvetica" w:hAnsi="Helvetica" w:cs="Helvetica" w:hint="eastAsia"/>
                <w:color w:val="333333"/>
                <w:sz w:val="21"/>
                <w:szCs w:val="21"/>
                <w:shd w:val="clear" w:color="auto" w:fill="FFFFFF"/>
                <w:vertAlign w:val="subscript"/>
              </w:rPr>
              <w:t>4</w:t>
            </w:r>
          </w:p>
        </w:tc>
        <w:tc>
          <w:tcPr>
            <w:tcW w:w="25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相对分子质量：</w:t>
            </w:r>
            <w:r>
              <w:rPr>
                <w:rFonts w:ascii="Helvetica" w:eastAsia="Helvetica" w:hAnsi="Helvetica" w:cs="Helvetica" w:hint="eastAsia"/>
                <w:color w:val="333333"/>
                <w:sz w:val="21"/>
                <w:szCs w:val="21"/>
                <w:shd w:val="clear" w:color="auto" w:fill="FFFFFF"/>
              </w:rPr>
              <w:t>115.026</w:t>
            </w:r>
          </w:p>
        </w:tc>
        <w:tc>
          <w:tcPr>
            <w:tcW w:w="21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CAS</w:t>
            </w:r>
            <w:r>
              <w:rPr>
                <w:rFonts w:ascii="Calibri" w:hAnsi="Calibri" w:hint="eastAsia"/>
                <w:snapToGrid w:val="0"/>
                <w:color w:val="auto"/>
                <w:kern w:val="0"/>
                <w:sz w:val="21"/>
                <w:szCs w:val="22"/>
                <w:u w:color="000000"/>
              </w:rPr>
              <w:t>登录号</w:t>
            </w:r>
            <w:r>
              <w:rPr>
                <w:rFonts w:ascii="Calibri" w:hAnsi="Calibri"/>
                <w:snapToGrid w:val="0"/>
                <w:color w:val="auto"/>
                <w:kern w:val="0"/>
                <w:sz w:val="21"/>
                <w:szCs w:val="22"/>
                <w:u w:color="000000"/>
              </w:rPr>
              <w:t>：</w:t>
            </w:r>
            <w:r>
              <w:rPr>
                <w:rFonts w:ascii="Helvetica" w:eastAsia="Helvetica" w:hAnsi="Helvetica" w:cs="Helvetica" w:hint="eastAsia"/>
                <w:color w:val="363636"/>
                <w:sz w:val="21"/>
                <w:szCs w:val="21"/>
              </w:rPr>
              <w:t>7722-76-1</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危险性分类</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皮肤腐蚀刺激</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3</w:t>
            </w:r>
            <w:r>
              <w:rPr>
                <w:rFonts w:ascii="Calibri" w:hAnsi="Calibri" w:hint="eastAsia"/>
                <w:snapToGrid w:val="0"/>
                <w:color w:val="auto"/>
                <w:kern w:val="0"/>
                <w:sz w:val="21"/>
                <w:szCs w:val="22"/>
                <w:u w:color="000000"/>
              </w:rPr>
              <w:t>，严重眼损伤</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眼刺激</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2B</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火灾危险性：</w:t>
            </w:r>
            <w:proofErr w:type="gramStart"/>
            <w:r>
              <w:rPr>
                <w:rFonts w:ascii="Calibri" w:hAnsi="Calibri" w:hint="eastAsia"/>
                <w:snapToGrid w:val="0"/>
                <w:color w:val="auto"/>
                <w:kern w:val="0"/>
                <w:sz w:val="21"/>
                <w:szCs w:val="22"/>
                <w:u w:color="000000"/>
              </w:rPr>
              <w:t>戊</w:t>
            </w:r>
            <w:r>
              <w:rPr>
                <w:rFonts w:ascii="Calibri" w:hAnsi="Calibri"/>
                <w:snapToGrid w:val="0"/>
                <w:color w:val="auto"/>
                <w:kern w:val="0"/>
                <w:sz w:val="21"/>
                <w:szCs w:val="22"/>
                <w:u w:color="000000"/>
              </w:rPr>
              <w:t>类</w:t>
            </w:r>
            <w:proofErr w:type="gramEnd"/>
          </w:p>
        </w:tc>
      </w:tr>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理化性质</w:t>
            </w: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性状：</w:t>
            </w:r>
            <w:r>
              <w:rPr>
                <w:rFonts w:ascii="Calibri" w:hAnsi="Calibri" w:hint="eastAsia"/>
                <w:snapToGrid w:val="0"/>
                <w:color w:val="auto"/>
                <w:kern w:val="0"/>
                <w:sz w:val="21"/>
                <w:szCs w:val="22"/>
                <w:u w:color="000000"/>
              </w:rPr>
              <w:t>白色结晶粉末。</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熔点（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190</w:t>
            </w:r>
            <w:r>
              <w:rPr>
                <w:rFonts w:ascii="Calibri" w:hAnsi="Calibri" w:hint="eastAsia"/>
                <w:snapToGrid w:val="0"/>
                <w:color w:val="auto"/>
                <w:kern w:val="0"/>
                <w:sz w:val="21"/>
                <w:szCs w:val="22"/>
                <w:u w:color="000000"/>
              </w:rPr>
              <w:t>（分解）</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相对密度（水</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1.02</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沸点（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相对密度（空气</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溶解性：</w:t>
            </w:r>
            <w:r>
              <w:rPr>
                <w:rFonts w:ascii="Calibri" w:hAnsi="Calibri" w:hint="eastAsia"/>
                <w:snapToGrid w:val="0"/>
                <w:color w:val="auto"/>
                <w:kern w:val="0"/>
                <w:sz w:val="21"/>
                <w:szCs w:val="22"/>
                <w:u w:color="000000"/>
              </w:rPr>
              <w:t>易溶于水，微溶于醇，不溶于丙酮。</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自燃</w:t>
            </w:r>
            <w:r>
              <w:rPr>
                <w:rFonts w:ascii="Calibri" w:hAnsi="Calibri"/>
                <w:snapToGrid w:val="0"/>
                <w:color w:val="auto"/>
                <w:kern w:val="0"/>
                <w:sz w:val="21"/>
                <w:szCs w:val="22"/>
                <w:u w:color="000000"/>
              </w:rPr>
              <w:t>温度（</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禁忌物：</w:t>
            </w:r>
            <w:r>
              <w:rPr>
                <w:rFonts w:ascii="Calibri" w:hAnsi="Calibri" w:cs="宋体" w:hint="eastAsia"/>
                <w:snapToGrid w:val="0"/>
                <w:color w:val="auto"/>
                <w:kern w:val="0"/>
                <w:sz w:val="21"/>
                <w:szCs w:val="20"/>
                <w:u w:color="000000"/>
              </w:rPr>
              <w:t>强氧化剂、强酸、次氯酸钠。</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饱和蒸气压</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k</w:t>
            </w:r>
            <w:r>
              <w:rPr>
                <w:rFonts w:ascii="Calibri" w:hAnsi="Calibri"/>
                <w:snapToGrid w:val="0"/>
                <w:color w:val="auto"/>
                <w:kern w:val="0"/>
                <w:sz w:val="21"/>
                <w:szCs w:val="22"/>
                <w:u w:color="000000"/>
              </w:rPr>
              <w:t>Pa</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燃烧热</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k</w:t>
            </w:r>
            <w:r>
              <w:rPr>
                <w:rFonts w:ascii="Calibri" w:hAnsi="Calibri" w:cs="宋体"/>
                <w:snapToGrid w:val="0"/>
                <w:color w:val="auto"/>
                <w:kern w:val="0"/>
                <w:sz w:val="21"/>
                <w:szCs w:val="20"/>
                <w:u w:color="000000"/>
              </w:rPr>
              <w:t>J/mol</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临界温度</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临界压力</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M</w:t>
            </w:r>
            <w:r>
              <w:rPr>
                <w:rFonts w:ascii="Calibri" w:hAnsi="Calibri" w:cs="宋体"/>
                <w:snapToGrid w:val="0"/>
                <w:color w:val="auto"/>
                <w:kern w:val="0"/>
                <w:sz w:val="21"/>
                <w:szCs w:val="20"/>
                <w:u w:color="000000"/>
              </w:rPr>
              <w:t>Pa</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辛醇</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水分配系数（</w:t>
            </w:r>
            <w:r>
              <w:rPr>
                <w:rFonts w:ascii="Calibri" w:hAnsi="Calibri" w:hint="eastAsia"/>
                <w:snapToGrid w:val="0"/>
                <w:color w:val="auto"/>
                <w:kern w:val="0"/>
                <w:sz w:val="21"/>
                <w:szCs w:val="22"/>
                <w:u w:color="000000"/>
              </w:rPr>
              <w:t>LogKow</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闪点</w:t>
            </w:r>
            <w:r>
              <w:rPr>
                <w:rFonts w:ascii="Calibri" w:hAnsi="Calibri" w:cs="宋体" w:hint="eastAsia"/>
                <w:snapToGrid w:val="0"/>
                <w:color w:val="auto"/>
                <w:kern w:val="0"/>
                <w:sz w:val="21"/>
                <w:szCs w:val="20"/>
                <w:u w:color="000000"/>
              </w:rPr>
              <w:t>（℃）：无意义</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爆炸上限</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爆炸下限</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hint="eastAsia"/>
                <w:snapToGrid w:val="0"/>
                <w:color w:val="auto"/>
                <w:kern w:val="0"/>
                <w:sz w:val="21"/>
                <w:szCs w:val="22"/>
                <w:u w:color="000000"/>
              </w:rPr>
              <w:t>无意义</w:t>
            </w:r>
          </w:p>
        </w:tc>
      </w:tr>
      <w:tr w:rsidR="003F13AB">
        <w:trPr>
          <w:cantSplit/>
          <w:trHeight w:val="1617"/>
          <w:jc w:val="center"/>
        </w:trPr>
        <w:tc>
          <w:tcPr>
            <w:tcW w:w="726" w:type="dxa"/>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hint="eastAsia"/>
                <w:b/>
                <w:snapToGrid w:val="0"/>
                <w:color w:val="auto"/>
                <w:kern w:val="0"/>
                <w:sz w:val="21"/>
                <w:szCs w:val="22"/>
                <w:u w:color="000000"/>
              </w:rPr>
              <w:t>危害信息</w:t>
            </w:r>
          </w:p>
        </w:tc>
        <w:tc>
          <w:tcPr>
            <w:tcW w:w="8346"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hint="eastAsia"/>
                <w:snapToGrid w:val="0"/>
                <w:color w:val="auto"/>
                <w:kern w:val="0"/>
                <w:sz w:val="21"/>
                <w:szCs w:val="20"/>
                <w:u w:color="000000"/>
              </w:rPr>
              <w:t>燃烧与爆炸危险性：不燃，无特殊燃爆特性。受高热分解，放出氨气。</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活性反应</w:t>
            </w:r>
            <w:r>
              <w:rPr>
                <w:rFonts w:ascii="Calibri" w:hAnsi="Calibri" w:cs="宋体" w:hint="eastAsia"/>
                <w:snapToGrid w:val="0"/>
                <w:color w:val="auto"/>
                <w:kern w:val="0"/>
                <w:sz w:val="21"/>
                <w:szCs w:val="20"/>
                <w:u w:color="000000"/>
              </w:rPr>
              <w:t>：无资料。</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毒性</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LD50</w:t>
            </w:r>
            <w:r>
              <w:rPr>
                <w:rFonts w:ascii="Calibri" w:hAnsi="Calibri" w:cs="宋体" w:hint="eastAsia"/>
                <w:snapToGrid w:val="0"/>
                <w:color w:val="auto"/>
                <w:kern w:val="0"/>
                <w:sz w:val="21"/>
                <w:szCs w:val="20"/>
                <w:u w:color="000000"/>
              </w:rPr>
              <w:t>，大鼠经口</w:t>
            </w:r>
            <w:r>
              <w:rPr>
                <w:rFonts w:ascii="Calibri" w:hAnsi="Calibri" w:cs="宋体" w:hint="eastAsia"/>
                <w:snapToGrid w:val="0"/>
                <w:color w:val="auto"/>
                <w:kern w:val="0"/>
                <w:sz w:val="21"/>
                <w:szCs w:val="20"/>
                <w:u w:color="000000"/>
              </w:rPr>
              <w:t>2000mg/kg</w:t>
            </w:r>
          </w:p>
          <w:p w:rsidR="003F13AB" w:rsidRDefault="00EC6E7E">
            <w:pPr>
              <w:topLinePunct/>
              <w:adjustRightInd/>
              <w:snapToGrid/>
              <w:spacing w:line="240" w:lineRule="auto"/>
              <w:ind w:firstLineChars="400" w:firstLine="840"/>
              <w:jc w:val="left"/>
              <w:rPr>
                <w:rFonts w:ascii="Calibri" w:hAnsi="Calibri" w:cs="宋体"/>
                <w:snapToGrid w:val="0"/>
                <w:color w:val="auto"/>
                <w:kern w:val="0"/>
                <w:sz w:val="21"/>
                <w:szCs w:val="20"/>
                <w:u w:color="000000"/>
              </w:rPr>
            </w:pPr>
            <w:r>
              <w:rPr>
                <w:rFonts w:ascii="Calibri" w:hAnsi="Calibri" w:cs="宋体" w:hint="eastAsia"/>
                <w:snapToGrid w:val="0"/>
                <w:color w:val="auto"/>
                <w:kern w:val="0"/>
                <w:sz w:val="21"/>
                <w:szCs w:val="20"/>
                <w:u w:color="000000"/>
              </w:rPr>
              <w:t>LD50</w:t>
            </w:r>
            <w:r>
              <w:rPr>
                <w:rFonts w:ascii="Calibri" w:hAnsi="Calibri" w:cs="宋体" w:hint="eastAsia"/>
                <w:snapToGrid w:val="0"/>
                <w:color w:val="auto"/>
                <w:kern w:val="0"/>
                <w:sz w:val="21"/>
                <w:szCs w:val="20"/>
                <w:u w:color="000000"/>
              </w:rPr>
              <w:t>，</w:t>
            </w:r>
            <w:proofErr w:type="gramStart"/>
            <w:r>
              <w:rPr>
                <w:rFonts w:ascii="Calibri" w:hAnsi="Calibri" w:cs="宋体" w:hint="eastAsia"/>
                <w:snapToGrid w:val="0"/>
                <w:color w:val="auto"/>
                <w:kern w:val="0"/>
                <w:sz w:val="21"/>
                <w:szCs w:val="20"/>
                <w:u w:color="000000"/>
              </w:rPr>
              <w:t>大鼠经皮</w:t>
            </w:r>
            <w:proofErr w:type="gramEnd"/>
            <w:r>
              <w:rPr>
                <w:rFonts w:ascii="Calibri" w:hAnsi="Calibri" w:cs="宋体" w:hint="eastAsia"/>
                <w:snapToGrid w:val="0"/>
                <w:color w:val="auto"/>
                <w:kern w:val="0"/>
                <w:sz w:val="21"/>
                <w:szCs w:val="20"/>
                <w:u w:color="000000"/>
              </w:rPr>
              <w:t>5000mg/kg</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中毒表现</w:t>
            </w:r>
            <w:r>
              <w:rPr>
                <w:rFonts w:ascii="Calibri" w:hAnsi="Calibri" w:cs="宋体" w:hint="eastAsia"/>
                <w:snapToGrid w:val="0"/>
                <w:color w:val="auto"/>
                <w:kern w:val="0"/>
                <w:sz w:val="21"/>
                <w:szCs w:val="20"/>
                <w:u w:color="000000"/>
              </w:rPr>
              <w:t>：本品对皮肤、眼睛、粘膜有刺激性。</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职业接触限值</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PC-TWA 8mg/m</w:t>
            </w:r>
            <w:r>
              <w:rPr>
                <w:rFonts w:ascii="Calibri" w:hAnsi="Calibri" w:cs="宋体"/>
                <w:snapToGrid w:val="0"/>
                <w:color w:val="auto"/>
                <w:kern w:val="0"/>
                <w:sz w:val="21"/>
                <w:szCs w:val="20"/>
                <w:u w:color="000000"/>
                <w:vertAlign w:val="superscript"/>
              </w:rPr>
              <w:t>3</w:t>
            </w:r>
          </w:p>
        </w:tc>
      </w:tr>
    </w:tbl>
    <w:p w:rsidR="003F13AB" w:rsidRDefault="003F13AB">
      <w:pPr>
        <w:pStyle w:val="Default1"/>
        <w:jc w:val="center"/>
        <w:rPr>
          <w:rFonts w:ascii="宋体" w:hAnsi="宋体" w:hint="default"/>
          <w:sz w:val="28"/>
          <w:szCs w:val="28"/>
        </w:rPr>
      </w:pPr>
    </w:p>
    <w:p w:rsidR="003F13AB" w:rsidRDefault="00EC6E7E">
      <w:pPr>
        <w:spacing w:line="500" w:lineRule="exact"/>
        <w:ind w:firstLine="560"/>
        <w:jc w:val="center"/>
        <w:textAlignment w:val="center"/>
        <w:rPr>
          <w:rFonts w:ascii="宋体" w:hAnsi="宋体"/>
          <w:color w:val="auto"/>
          <w:szCs w:val="28"/>
        </w:rPr>
      </w:pPr>
      <w:r>
        <w:rPr>
          <w:rFonts w:ascii="宋体" w:hAnsi="宋体" w:hint="eastAsia"/>
          <w:color w:val="auto"/>
          <w:szCs w:val="28"/>
        </w:rPr>
        <w:t>表2</w:t>
      </w:r>
      <w:r>
        <w:rPr>
          <w:rFonts w:ascii="宋体" w:hAnsi="宋体"/>
          <w:color w:val="auto"/>
          <w:szCs w:val="28"/>
        </w:rPr>
        <w:t>.1</w:t>
      </w:r>
      <w:r>
        <w:rPr>
          <w:rFonts w:ascii="宋体" w:hAnsi="宋体" w:hint="eastAsia"/>
          <w:color w:val="auto"/>
          <w:szCs w:val="28"/>
        </w:rPr>
        <w:t>-6 氯化钾的理化性质及危险特性</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702"/>
        <w:gridCol w:w="2522"/>
        <w:gridCol w:w="2122"/>
      </w:tblGrid>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标识</w:t>
            </w:r>
          </w:p>
        </w:tc>
        <w:tc>
          <w:tcPr>
            <w:tcW w:w="3702" w:type="dxa"/>
            <w:vAlign w:val="center"/>
          </w:tcPr>
          <w:p w:rsidR="003F13AB" w:rsidRDefault="00EC6E7E">
            <w:pPr>
              <w:topLinePunct/>
              <w:adjustRightInd/>
              <w:snapToGrid/>
              <w:spacing w:line="240" w:lineRule="auto"/>
              <w:ind w:firstLineChars="0" w:firstLine="42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中文名：</w:t>
            </w:r>
            <w:r>
              <w:rPr>
                <w:rFonts w:ascii="Calibri" w:hAnsi="Calibri" w:hint="eastAsia"/>
                <w:snapToGrid w:val="0"/>
                <w:color w:val="auto"/>
                <w:kern w:val="0"/>
                <w:sz w:val="21"/>
                <w:szCs w:val="22"/>
                <w:u w:color="000000"/>
              </w:rPr>
              <w:t>氯化钾</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英文名：</w:t>
            </w:r>
            <w:r>
              <w:rPr>
                <w:rFonts w:ascii="Calibri" w:hAnsi="Calibri" w:hint="eastAsia"/>
                <w:snapToGrid w:val="0"/>
                <w:color w:val="auto"/>
                <w:kern w:val="0"/>
                <w:sz w:val="21"/>
                <w:szCs w:val="22"/>
                <w:u w:color="000000"/>
              </w:rPr>
              <w:t>Potassium chloride</w:t>
            </w:r>
          </w:p>
        </w:tc>
      </w:tr>
      <w:tr w:rsidR="003F13AB">
        <w:trPr>
          <w:cantSplit/>
          <w:trHeight w:val="452"/>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分子式：</w:t>
            </w:r>
            <w:r>
              <w:rPr>
                <w:rFonts w:ascii="Helvetica" w:hAnsi="Helvetica" w:cs="Helvetica" w:hint="eastAsia"/>
                <w:color w:val="333333"/>
                <w:sz w:val="21"/>
                <w:szCs w:val="21"/>
                <w:shd w:val="clear" w:color="auto" w:fill="FFFFFF"/>
              </w:rPr>
              <w:t>KCl</w:t>
            </w:r>
          </w:p>
        </w:tc>
        <w:tc>
          <w:tcPr>
            <w:tcW w:w="25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相对分子质量：</w:t>
            </w:r>
            <w:r>
              <w:rPr>
                <w:rFonts w:ascii="Helvetica" w:hAnsi="Helvetica" w:cs="Helvetica" w:hint="eastAsia"/>
                <w:color w:val="333333"/>
                <w:sz w:val="21"/>
                <w:szCs w:val="21"/>
                <w:shd w:val="clear" w:color="auto" w:fill="FFFFFF"/>
              </w:rPr>
              <w:t>74.55</w:t>
            </w:r>
          </w:p>
        </w:tc>
        <w:tc>
          <w:tcPr>
            <w:tcW w:w="21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CAS</w:t>
            </w:r>
            <w:r>
              <w:rPr>
                <w:rFonts w:ascii="Calibri" w:hAnsi="Calibri" w:hint="eastAsia"/>
                <w:snapToGrid w:val="0"/>
                <w:color w:val="auto"/>
                <w:kern w:val="0"/>
                <w:sz w:val="21"/>
                <w:szCs w:val="22"/>
                <w:u w:color="000000"/>
              </w:rPr>
              <w:t>登录号</w:t>
            </w:r>
            <w:r>
              <w:rPr>
                <w:rFonts w:ascii="Calibri" w:hAnsi="Calibri"/>
                <w:snapToGrid w:val="0"/>
                <w:color w:val="auto"/>
                <w:kern w:val="0"/>
                <w:sz w:val="21"/>
                <w:szCs w:val="22"/>
                <w:u w:color="000000"/>
              </w:rPr>
              <w:t>：</w:t>
            </w:r>
            <w:r>
              <w:rPr>
                <w:rFonts w:ascii="Helvetica" w:eastAsia="Helvetica" w:hAnsi="Helvetica" w:cs="Helvetica" w:hint="eastAsia"/>
                <w:color w:val="363636"/>
                <w:sz w:val="21"/>
                <w:szCs w:val="21"/>
              </w:rPr>
              <w:t>7447-40-7</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危险性分类</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急性毒性</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经口</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5</w:t>
            </w:r>
            <w:r>
              <w:rPr>
                <w:rFonts w:ascii="Calibri" w:hAnsi="Calibri" w:hint="eastAsia"/>
                <w:snapToGrid w:val="0"/>
                <w:color w:val="auto"/>
                <w:kern w:val="0"/>
                <w:sz w:val="21"/>
                <w:szCs w:val="22"/>
                <w:u w:color="000000"/>
              </w:rPr>
              <w:t>，急性水生毒性</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3</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火灾危险性：</w:t>
            </w:r>
            <w:proofErr w:type="gramStart"/>
            <w:r>
              <w:rPr>
                <w:rFonts w:ascii="Calibri" w:hAnsi="Calibri" w:hint="eastAsia"/>
                <w:snapToGrid w:val="0"/>
                <w:color w:val="auto"/>
                <w:kern w:val="0"/>
                <w:sz w:val="21"/>
                <w:szCs w:val="22"/>
                <w:u w:color="000000"/>
              </w:rPr>
              <w:t>戊</w:t>
            </w:r>
            <w:r>
              <w:rPr>
                <w:rFonts w:ascii="Calibri" w:hAnsi="Calibri"/>
                <w:snapToGrid w:val="0"/>
                <w:color w:val="auto"/>
                <w:kern w:val="0"/>
                <w:sz w:val="21"/>
                <w:szCs w:val="22"/>
                <w:u w:color="000000"/>
              </w:rPr>
              <w:t>类</w:t>
            </w:r>
            <w:proofErr w:type="gramEnd"/>
          </w:p>
        </w:tc>
      </w:tr>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理化性质</w:t>
            </w: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性状：</w:t>
            </w:r>
            <w:r>
              <w:rPr>
                <w:rFonts w:ascii="Calibri" w:hAnsi="Calibri" w:hint="eastAsia"/>
                <w:snapToGrid w:val="0"/>
                <w:color w:val="auto"/>
                <w:kern w:val="0"/>
                <w:sz w:val="21"/>
                <w:szCs w:val="22"/>
                <w:u w:color="000000"/>
              </w:rPr>
              <w:t>白色结晶或结晶粉末。</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熔点（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770</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相对密度（水</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1.984</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沸点（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1500</w:t>
            </w:r>
            <w:r>
              <w:rPr>
                <w:rFonts w:ascii="Calibri" w:hAnsi="Calibri" w:hint="eastAsia"/>
                <w:snapToGrid w:val="0"/>
                <w:color w:val="auto"/>
                <w:kern w:val="0"/>
                <w:sz w:val="21"/>
                <w:szCs w:val="22"/>
                <w:u w:color="000000"/>
              </w:rPr>
              <w:t>（升华）</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相对密度（空气</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溶解性：</w:t>
            </w:r>
            <w:r>
              <w:rPr>
                <w:rFonts w:ascii="Calibri" w:hAnsi="Calibri" w:hint="eastAsia"/>
                <w:snapToGrid w:val="0"/>
                <w:color w:val="auto"/>
                <w:kern w:val="0"/>
                <w:sz w:val="21"/>
                <w:szCs w:val="22"/>
                <w:u w:color="000000"/>
              </w:rPr>
              <w:t>易溶于水和甘油，微溶于醇，纯品</w:t>
            </w:r>
            <w:proofErr w:type="gramStart"/>
            <w:r>
              <w:rPr>
                <w:rFonts w:ascii="Calibri" w:hAnsi="Calibri" w:hint="eastAsia"/>
                <w:snapToGrid w:val="0"/>
                <w:color w:val="auto"/>
                <w:kern w:val="0"/>
                <w:sz w:val="21"/>
                <w:szCs w:val="22"/>
                <w:u w:color="000000"/>
              </w:rPr>
              <w:t>不</w:t>
            </w:r>
            <w:proofErr w:type="gramEnd"/>
            <w:r>
              <w:rPr>
                <w:rFonts w:ascii="Calibri" w:hAnsi="Calibri" w:hint="eastAsia"/>
                <w:snapToGrid w:val="0"/>
                <w:color w:val="auto"/>
                <w:kern w:val="0"/>
                <w:sz w:val="21"/>
                <w:szCs w:val="22"/>
                <w:u w:color="000000"/>
              </w:rPr>
              <w:t>潮解，几乎不溶于醇和醚。</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自燃</w:t>
            </w:r>
            <w:r>
              <w:rPr>
                <w:rFonts w:ascii="Calibri" w:hAnsi="Calibri"/>
                <w:snapToGrid w:val="0"/>
                <w:color w:val="auto"/>
                <w:kern w:val="0"/>
                <w:sz w:val="21"/>
                <w:szCs w:val="22"/>
                <w:u w:color="000000"/>
              </w:rPr>
              <w:t>温度（</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禁忌物：</w:t>
            </w:r>
            <w:r>
              <w:rPr>
                <w:rFonts w:ascii="Calibri" w:hAnsi="Calibri" w:cs="宋体" w:hint="eastAsia"/>
                <w:snapToGrid w:val="0"/>
                <w:color w:val="auto"/>
                <w:kern w:val="0"/>
                <w:sz w:val="21"/>
                <w:szCs w:val="20"/>
                <w:u w:color="000000"/>
              </w:rPr>
              <w:t>强酸，强氧化剂。</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饱和蒸气压</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k</w:t>
            </w:r>
            <w:r>
              <w:rPr>
                <w:rFonts w:ascii="Calibri" w:hAnsi="Calibri"/>
                <w:snapToGrid w:val="0"/>
                <w:color w:val="auto"/>
                <w:kern w:val="0"/>
                <w:sz w:val="21"/>
                <w:szCs w:val="22"/>
                <w:u w:color="000000"/>
              </w:rPr>
              <w:t>Pa</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燃烧热</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k</w:t>
            </w:r>
            <w:r>
              <w:rPr>
                <w:rFonts w:ascii="Calibri" w:hAnsi="Calibri" w:cs="宋体"/>
                <w:snapToGrid w:val="0"/>
                <w:color w:val="auto"/>
                <w:kern w:val="0"/>
                <w:sz w:val="21"/>
                <w:szCs w:val="20"/>
                <w:u w:color="000000"/>
              </w:rPr>
              <w:t>J/mol</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临界温度</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临界压力</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M</w:t>
            </w:r>
            <w:r>
              <w:rPr>
                <w:rFonts w:ascii="Calibri" w:hAnsi="Calibri" w:cs="宋体"/>
                <w:snapToGrid w:val="0"/>
                <w:color w:val="auto"/>
                <w:kern w:val="0"/>
                <w:sz w:val="21"/>
                <w:szCs w:val="20"/>
                <w:u w:color="000000"/>
              </w:rPr>
              <w:t>Pa</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辛醇</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水分配系数（</w:t>
            </w:r>
            <w:r>
              <w:rPr>
                <w:rFonts w:ascii="Calibri" w:hAnsi="Calibri" w:hint="eastAsia"/>
                <w:snapToGrid w:val="0"/>
                <w:color w:val="auto"/>
                <w:kern w:val="0"/>
                <w:sz w:val="21"/>
                <w:szCs w:val="22"/>
                <w:u w:color="000000"/>
              </w:rPr>
              <w:t>LogKow</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闪点</w:t>
            </w:r>
            <w:r>
              <w:rPr>
                <w:rFonts w:ascii="Calibri" w:hAnsi="Calibri" w:cs="宋体" w:hint="eastAsia"/>
                <w:snapToGrid w:val="0"/>
                <w:color w:val="auto"/>
                <w:kern w:val="0"/>
                <w:sz w:val="21"/>
                <w:szCs w:val="20"/>
                <w:u w:color="000000"/>
              </w:rPr>
              <w:t>（℃）：无意义</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爆炸上限</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爆炸下限</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hint="eastAsia"/>
                <w:snapToGrid w:val="0"/>
                <w:color w:val="auto"/>
                <w:kern w:val="0"/>
                <w:sz w:val="21"/>
                <w:szCs w:val="22"/>
                <w:u w:color="000000"/>
              </w:rPr>
              <w:t>无意义</w:t>
            </w:r>
          </w:p>
        </w:tc>
      </w:tr>
      <w:tr w:rsidR="003F13AB">
        <w:trPr>
          <w:cantSplit/>
          <w:trHeight w:val="1866"/>
          <w:jc w:val="center"/>
        </w:trPr>
        <w:tc>
          <w:tcPr>
            <w:tcW w:w="726" w:type="dxa"/>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hint="eastAsia"/>
                <w:b/>
                <w:snapToGrid w:val="0"/>
                <w:color w:val="auto"/>
                <w:kern w:val="0"/>
                <w:sz w:val="21"/>
                <w:szCs w:val="22"/>
                <w:u w:color="000000"/>
              </w:rPr>
              <w:lastRenderedPageBreak/>
              <w:t>危害信息</w:t>
            </w:r>
          </w:p>
        </w:tc>
        <w:tc>
          <w:tcPr>
            <w:tcW w:w="8346"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hint="eastAsia"/>
                <w:snapToGrid w:val="0"/>
                <w:color w:val="auto"/>
                <w:kern w:val="0"/>
                <w:sz w:val="21"/>
                <w:szCs w:val="20"/>
                <w:u w:color="000000"/>
              </w:rPr>
              <w:t>燃烧与爆炸危险性：不燃，无特殊燃爆特性。</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活性反应</w:t>
            </w:r>
            <w:r>
              <w:rPr>
                <w:rFonts w:ascii="Calibri" w:hAnsi="Calibri" w:cs="宋体" w:hint="eastAsia"/>
                <w:snapToGrid w:val="0"/>
                <w:color w:val="auto"/>
                <w:kern w:val="0"/>
                <w:sz w:val="21"/>
                <w:szCs w:val="20"/>
                <w:u w:color="000000"/>
              </w:rPr>
              <w:t>：不聚合。</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毒性</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LD50</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2600mg/kg(</w:t>
            </w:r>
            <w:r>
              <w:rPr>
                <w:rFonts w:ascii="Calibri" w:hAnsi="Calibri" w:cs="宋体" w:hint="eastAsia"/>
                <w:snapToGrid w:val="0"/>
                <w:color w:val="auto"/>
                <w:kern w:val="0"/>
                <w:sz w:val="21"/>
                <w:szCs w:val="20"/>
                <w:u w:color="000000"/>
              </w:rPr>
              <w:t>大鼠，经口</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中毒表现</w:t>
            </w:r>
            <w:r>
              <w:rPr>
                <w:rFonts w:ascii="Calibri" w:hAnsi="Calibri" w:cs="宋体" w:hint="eastAsia"/>
                <w:snapToGrid w:val="0"/>
                <w:color w:val="auto"/>
                <w:kern w:val="0"/>
                <w:sz w:val="21"/>
                <w:szCs w:val="20"/>
                <w:u w:color="000000"/>
              </w:rPr>
              <w:t>：高血钾症、恶心、呕吐、腹痛、腹泻、便秘、感觉异常、口渴、头晕、皮疹、外阴瘙痒、虚弱、肌肉痉挛等。</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职业接触限值</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PC-TWA 8mg/m</w:t>
            </w:r>
            <w:r>
              <w:rPr>
                <w:rFonts w:ascii="Calibri" w:hAnsi="Calibri" w:cs="宋体"/>
                <w:snapToGrid w:val="0"/>
                <w:color w:val="auto"/>
                <w:kern w:val="0"/>
                <w:sz w:val="21"/>
                <w:szCs w:val="20"/>
                <w:u w:color="000000"/>
                <w:vertAlign w:val="superscript"/>
              </w:rPr>
              <w:t>3</w:t>
            </w:r>
          </w:p>
        </w:tc>
      </w:tr>
    </w:tbl>
    <w:p w:rsidR="003F13AB" w:rsidRDefault="003F13AB">
      <w:pPr>
        <w:pStyle w:val="Default1"/>
        <w:jc w:val="center"/>
        <w:rPr>
          <w:rFonts w:ascii="宋体" w:hAnsi="宋体" w:hint="default"/>
          <w:sz w:val="28"/>
          <w:szCs w:val="28"/>
        </w:rPr>
      </w:pPr>
    </w:p>
    <w:p w:rsidR="003F13AB" w:rsidRDefault="00EC6E7E">
      <w:pPr>
        <w:spacing w:line="500" w:lineRule="exact"/>
        <w:ind w:firstLine="560"/>
        <w:jc w:val="center"/>
        <w:textAlignment w:val="center"/>
        <w:rPr>
          <w:rFonts w:ascii="宋体" w:hAnsi="宋体"/>
          <w:color w:val="auto"/>
          <w:szCs w:val="28"/>
        </w:rPr>
      </w:pPr>
      <w:r>
        <w:rPr>
          <w:rFonts w:ascii="宋体" w:hAnsi="宋体" w:hint="eastAsia"/>
          <w:color w:val="auto"/>
          <w:szCs w:val="28"/>
        </w:rPr>
        <w:t>表2</w:t>
      </w:r>
      <w:r>
        <w:rPr>
          <w:rFonts w:ascii="宋体" w:hAnsi="宋体"/>
          <w:color w:val="auto"/>
          <w:szCs w:val="28"/>
        </w:rPr>
        <w:t>.1</w:t>
      </w:r>
      <w:r>
        <w:rPr>
          <w:rFonts w:ascii="宋体" w:hAnsi="宋体" w:hint="eastAsia"/>
          <w:color w:val="auto"/>
          <w:szCs w:val="28"/>
        </w:rPr>
        <w:t>-7 硫酸钾的理化性质及危险特性</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702"/>
        <w:gridCol w:w="2522"/>
        <w:gridCol w:w="2122"/>
      </w:tblGrid>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标识</w:t>
            </w:r>
          </w:p>
        </w:tc>
        <w:tc>
          <w:tcPr>
            <w:tcW w:w="3702" w:type="dxa"/>
            <w:vAlign w:val="center"/>
          </w:tcPr>
          <w:p w:rsidR="003F13AB" w:rsidRDefault="00EC6E7E">
            <w:pPr>
              <w:topLinePunct/>
              <w:adjustRightInd/>
              <w:snapToGrid/>
              <w:spacing w:line="240" w:lineRule="auto"/>
              <w:ind w:firstLineChars="0" w:firstLine="42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中文名：</w:t>
            </w:r>
            <w:r>
              <w:rPr>
                <w:rFonts w:ascii="Calibri" w:hAnsi="Calibri" w:hint="eastAsia"/>
                <w:snapToGrid w:val="0"/>
                <w:color w:val="auto"/>
                <w:kern w:val="0"/>
                <w:sz w:val="21"/>
                <w:szCs w:val="22"/>
                <w:u w:color="000000"/>
              </w:rPr>
              <w:t>硫酸钾</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英文名：</w:t>
            </w:r>
            <w:r>
              <w:rPr>
                <w:rFonts w:ascii="Calibri" w:hAnsi="Calibri" w:hint="eastAsia"/>
                <w:snapToGrid w:val="0"/>
                <w:color w:val="auto"/>
                <w:kern w:val="0"/>
                <w:sz w:val="21"/>
                <w:szCs w:val="22"/>
                <w:u w:color="000000"/>
              </w:rPr>
              <w:t>Potassium sulfate</w:t>
            </w:r>
          </w:p>
        </w:tc>
      </w:tr>
      <w:tr w:rsidR="003F13AB">
        <w:trPr>
          <w:cantSplit/>
          <w:trHeight w:val="452"/>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分子式：</w:t>
            </w:r>
            <w:r>
              <w:rPr>
                <w:rFonts w:ascii="Helvetica" w:hAnsi="Helvetica" w:cs="Helvetica" w:hint="eastAsia"/>
                <w:color w:val="333333"/>
                <w:sz w:val="21"/>
                <w:szCs w:val="21"/>
                <w:shd w:val="clear" w:color="auto" w:fill="FFFFFF"/>
              </w:rPr>
              <w:t>K</w:t>
            </w:r>
            <w:r>
              <w:rPr>
                <w:rFonts w:ascii="Helvetica" w:hAnsi="Helvetica" w:cs="Helvetica" w:hint="eastAsia"/>
                <w:color w:val="333333"/>
                <w:sz w:val="21"/>
                <w:szCs w:val="21"/>
                <w:shd w:val="clear" w:color="auto" w:fill="FFFFFF"/>
                <w:vertAlign w:val="subscript"/>
              </w:rPr>
              <w:t>2</w:t>
            </w:r>
            <w:r>
              <w:rPr>
                <w:rFonts w:ascii="Helvetica" w:hAnsi="Helvetica" w:cs="Helvetica" w:hint="eastAsia"/>
                <w:color w:val="333333"/>
                <w:sz w:val="21"/>
                <w:szCs w:val="21"/>
                <w:shd w:val="clear" w:color="auto" w:fill="FFFFFF"/>
              </w:rPr>
              <w:t>SO</w:t>
            </w:r>
            <w:r>
              <w:rPr>
                <w:rFonts w:ascii="Helvetica" w:hAnsi="Helvetica" w:cs="Helvetica" w:hint="eastAsia"/>
                <w:color w:val="333333"/>
                <w:sz w:val="21"/>
                <w:szCs w:val="21"/>
                <w:shd w:val="clear" w:color="auto" w:fill="FFFFFF"/>
                <w:vertAlign w:val="subscript"/>
              </w:rPr>
              <w:t>4</w:t>
            </w:r>
          </w:p>
        </w:tc>
        <w:tc>
          <w:tcPr>
            <w:tcW w:w="25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相对分子质量：</w:t>
            </w:r>
            <w:r>
              <w:rPr>
                <w:rFonts w:ascii="Helvetica" w:hAnsi="Helvetica" w:cs="Helvetica" w:hint="eastAsia"/>
                <w:color w:val="333333"/>
                <w:sz w:val="21"/>
                <w:szCs w:val="21"/>
                <w:shd w:val="clear" w:color="auto" w:fill="FFFFFF"/>
              </w:rPr>
              <w:t>174.26</w:t>
            </w:r>
          </w:p>
        </w:tc>
        <w:tc>
          <w:tcPr>
            <w:tcW w:w="212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CAS</w:t>
            </w:r>
            <w:r>
              <w:rPr>
                <w:rFonts w:ascii="Calibri" w:hAnsi="Calibri" w:hint="eastAsia"/>
                <w:snapToGrid w:val="0"/>
                <w:color w:val="auto"/>
                <w:kern w:val="0"/>
                <w:sz w:val="21"/>
                <w:szCs w:val="22"/>
                <w:u w:color="000000"/>
              </w:rPr>
              <w:t>登录号</w:t>
            </w:r>
            <w:r>
              <w:rPr>
                <w:rFonts w:ascii="Calibri" w:hAnsi="Calibri"/>
                <w:snapToGrid w:val="0"/>
                <w:color w:val="auto"/>
                <w:kern w:val="0"/>
                <w:sz w:val="21"/>
                <w:szCs w:val="22"/>
                <w:u w:color="000000"/>
              </w:rPr>
              <w:t>：</w:t>
            </w:r>
            <w:r>
              <w:rPr>
                <w:rFonts w:ascii="Helvetica" w:eastAsia="Helvetica" w:hAnsi="Helvetica" w:cs="Helvetica" w:hint="eastAsia"/>
                <w:color w:val="363636"/>
                <w:sz w:val="21"/>
                <w:szCs w:val="21"/>
              </w:rPr>
              <w:t>7778-80-5</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危险性分类</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无危险性分类</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火灾危险性：</w:t>
            </w:r>
            <w:proofErr w:type="gramStart"/>
            <w:r>
              <w:rPr>
                <w:rFonts w:ascii="Calibri" w:hAnsi="Calibri" w:hint="eastAsia"/>
                <w:snapToGrid w:val="0"/>
                <w:color w:val="auto"/>
                <w:kern w:val="0"/>
                <w:sz w:val="21"/>
                <w:szCs w:val="22"/>
                <w:u w:color="000000"/>
              </w:rPr>
              <w:t>戊</w:t>
            </w:r>
            <w:r>
              <w:rPr>
                <w:rFonts w:ascii="Calibri" w:hAnsi="Calibri"/>
                <w:snapToGrid w:val="0"/>
                <w:color w:val="auto"/>
                <w:kern w:val="0"/>
                <w:sz w:val="21"/>
                <w:szCs w:val="22"/>
                <w:u w:color="000000"/>
              </w:rPr>
              <w:t>类</w:t>
            </w:r>
            <w:proofErr w:type="gramEnd"/>
          </w:p>
        </w:tc>
      </w:tr>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理化性质</w:t>
            </w: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性状：</w:t>
            </w:r>
            <w:r>
              <w:rPr>
                <w:rFonts w:ascii="Calibri" w:hAnsi="Calibri" w:hint="eastAsia"/>
                <w:snapToGrid w:val="0"/>
                <w:color w:val="auto"/>
                <w:kern w:val="0"/>
                <w:sz w:val="21"/>
                <w:szCs w:val="22"/>
                <w:u w:color="000000"/>
              </w:rPr>
              <w:t>白色结晶或结晶粉末。</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熔点（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1069</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相对密度（水</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2.662</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沸点（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2000</w:t>
            </w:r>
          </w:p>
        </w:tc>
        <w:tc>
          <w:tcPr>
            <w:tcW w:w="4644"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相对密度（空气</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3"/>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溶解性：</w:t>
            </w:r>
            <w:r>
              <w:rPr>
                <w:rFonts w:ascii="Calibri" w:hAnsi="Calibri" w:hint="eastAsia"/>
                <w:snapToGrid w:val="0"/>
                <w:color w:val="auto"/>
                <w:kern w:val="0"/>
                <w:sz w:val="21"/>
                <w:szCs w:val="22"/>
                <w:u w:color="000000"/>
              </w:rPr>
              <w:t>溶于水，不溶于醇、丙酮和二硫化碳。</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自燃</w:t>
            </w:r>
            <w:r>
              <w:rPr>
                <w:rFonts w:ascii="Calibri" w:hAnsi="Calibri"/>
                <w:snapToGrid w:val="0"/>
                <w:color w:val="auto"/>
                <w:kern w:val="0"/>
                <w:sz w:val="21"/>
                <w:szCs w:val="22"/>
                <w:u w:color="000000"/>
              </w:rPr>
              <w:t>温度（</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禁忌物：</w:t>
            </w:r>
            <w:r>
              <w:rPr>
                <w:rFonts w:ascii="Calibri" w:hAnsi="Calibri" w:cs="宋体" w:hint="eastAsia"/>
                <w:snapToGrid w:val="0"/>
                <w:color w:val="auto"/>
                <w:kern w:val="0"/>
                <w:sz w:val="21"/>
                <w:szCs w:val="20"/>
                <w:u w:color="000000"/>
              </w:rPr>
              <w:t>强氧化剂。</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饱和蒸气压</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k</w:t>
            </w:r>
            <w:r>
              <w:rPr>
                <w:rFonts w:ascii="Calibri" w:hAnsi="Calibri"/>
                <w:snapToGrid w:val="0"/>
                <w:color w:val="auto"/>
                <w:kern w:val="0"/>
                <w:sz w:val="21"/>
                <w:szCs w:val="22"/>
                <w:u w:color="000000"/>
              </w:rPr>
              <w:t>Pa</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燃烧热</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k</w:t>
            </w:r>
            <w:r>
              <w:rPr>
                <w:rFonts w:ascii="Calibri" w:hAnsi="Calibri" w:cs="宋体"/>
                <w:snapToGrid w:val="0"/>
                <w:color w:val="auto"/>
                <w:kern w:val="0"/>
                <w:sz w:val="21"/>
                <w:szCs w:val="20"/>
                <w:u w:color="000000"/>
              </w:rPr>
              <w:t>J/mol</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临界温度</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临界压力</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M</w:t>
            </w:r>
            <w:r>
              <w:rPr>
                <w:rFonts w:ascii="Calibri" w:hAnsi="Calibri" w:cs="宋体"/>
                <w:snapToGrid w:val="0"/>
                <w:color w:val="auto"/>
                <w:kern w:val="0"/>
                <w:sz w:val="21"/>
                <w:szCs w:val="20"/>
                <w:u w:color="000000"/>
              </w:rPr>
              <w:t>Pa</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辛醇</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水分配系数（</w:t>
            </w:r>
            <w:r>
              <w:rPr>
                <w:rFonts w:ascii="Calibri" w:hAnsi="Calibri" w:hint="eastAsia"/>
                <w:snapToGrid w:val="0"/>
                <w:color w:val="auto"/>
                <w:kern w:val="0"/>
                <w:sz w:val="21"/>
                <w:szCs w:val="22"/>
                <w:u w:color="000000"/>
              </w:rPr>
              <w:t>LogKow</w:t>
            </w:r>
            <w:r>
              <w:rPr>
                <w:rFonts w:ascii="Calibri" w:hAnsi="Calibri" w:hint="eastAsia"/>
                <w:snapToGrid w:val="0"/>
                <w:color w:val="auto"/>
                <w:kern w:val="0"/>
                <w:sz w:val="21"/>
                <w:szCs w:val="22"/>
                <w:u w:color="000000"/>
              </w:rPr>
              <w:t>）：无资料</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闪点</w:t>
            </w:r>
            <w:r>
              <w:rPr>
                <w:rFonts w:ascii="Calibri" w:hAnsi="Calibri" w:cs="宋体" w:hint="eastAsia"/>
                <w:snapToGrid w:val="0"/>
                <w:color w:val="auto"/>
                <w:kern w:val="0"/>
                <w:sz w:val="21"/>
                <w:szCs w:val="20"/>
                <w:u w:color="000000"/>
              </w:rPr>
              <w:t>（℃）：无意义</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爆炸上限</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）：无意义</w:t>
            </w:r>
          </w:p>
        </w:tc>
        <w:tc>
          <w:tcPr>
            <w:tcW w:w="4644"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爆炸下限</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hint="eastAsia"/>
                <w:snapToGrid w:val="0"/>
                <w:color w:val="auto"/>
                <w:kern w:val="0"/>
                <w:sz w:val="21"/>
                <w:szCs w:val="22"/>
                <w:u w:color="000000"/>
              </w:rPr>
              <w:t>无意义</w:t>
            </w:r>
          </w:p>
        </w:tc>
      </w:tr>
      <w:tr w:rsidR="003F13AB">
        <w:trPr>
          <w:cantSplit/>
          <w:trHeight w:val="1499"/>
          <w:jc w:val="center"/>
        </w:trPr>
        <w:tc>
          <w:tcPr>
            <w:tcW w:w="726" w:type="dxa"/>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hint="eastAsia"/>
                <w:b/>
                <w:snapToGrid w:val="0"/>
                <w:color w:val="auto"/>
                <w:kern w:val="0"/>
                <w:sz w:val="21"/>
                <w:szCs w:val="22"/>
                <w:u w:color="000000"/>
              </w:rPr>
              <w:t>危害信息</w:t>
            </w:r>
          </w:p>
        </w:tc>
        <w:tc>
          <w:tcPr>
            <w:tcW w:w="8346" w:type="dxa"/>
            <w:gridSpan w:val="3"/>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hint="eastAsia"/>
                <w:snapToGrid w:val="0"/>
                <w:color w:val="auto"/>
                <w:kern w:val="0"/>
                <w:sz w:val="21"/>
                <w:szCs w:val="20"/>
                <w:u w:color="000000"/>
              </w:rPr>
              <w:t>燃烧与爆炸危险性：不燃，无特殊燃爆特性。</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活性反应</w:t>
            </w:r>
            <w:r>
              <w:rPr>
                <w:rFonts w:ascii="Calibri" w:hAnsi="Calibri" w:cs="宋体" w:hint="eastAsia"/>
                <w:snapToGrid w:val="0"/>
                <w:color w:val="auto"/>
                <w:kern w:val="0"/>
                <w:sz w:val="21"/>
                <w:szCs w:val="20"/>
                <w:u w:color="000000"/>
              </w:rPr>
              <w:t>：无资料。</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毒性</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LD50</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4000mg/kg(</w:t>
            </w:r>
            <w:r>
              <w:rPr>
                <w:rFonts w:ascii="Calibri" w:hAnsi="Calibri" w:cs="宋体" w:hint="eastAsia"/>
                <w:snapToGrid w:val="0"/>
                <w:color w:val="auto"/>
                <w:kern w:val="0"/>
                <w:sz w:val="21"/>
                <w:szCs w:val="20"/>
                <w:u w:color="000000"/>
              </w:rPr>
              <w:t>大鼠，经口</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中毒表现</w:t>
            </w:r>
            <w:r>
              <w:rPr>
                <w:rFonts w:ascii="Calibri" w:hAnsi="Calibri" w:cs="宋体" w:hint="eastAsia"/>
                <w:snapToGrid w:val="0"/>
                <w:color w:val="auto"/>
                <w:kern w:val="0"/>
                <w:sz w:val="21"/>
                <w:szCs w:val="20"/>
                <w:u w:color="000000"/>
              </w:rPr>
              <w:t>：无资料。</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职业接触限值</w:t>
            </w:r>
            <w:r>
              <w:rPr>
                <w:rFonts w:ascii="Calibri" w:hAnsi="Calibri" w:cs="宋体" w:hint="eastAsia"/>
                <w:snapToGrid w:val="0"/>
                <w:color w:val="auto"/>
                <w:kern w:val="0"/>
                <w:sz w:val="21"/>
                <w:szCs w:val="20"/>
                <w:u w:color="000000"/>
              </w:rPr>
              <w:t>：</w:t>
            </w:r>
            <w:r>
              <w:rPr>
                <w:rFonts w:ascii="Calibri" w:hAnsi="Calibri" w:cs="宋体"/>
                <w:snapToGrid w:val="0"/>
                <w:color w:val="auto"/>
                <w:kern w:val="0"/>
                <w:sz w:val="21"/>
                <w:szCs w:val="20"/>
                <w:u w:color="000000"/>
              </w:rPr>
              <w:t>PC-TWA 8mg/m</w:t>
            </w:r>
            <w:r>
              <w:rPr>
                <w:rFonts w:ascii="Calibri" w:hAnsi="Calibri" w:cs="宋体"/>
                <w:snapToGrid w:val="0"/>
                <w:color w:val="auto"/>
                <w:kern w:val="0"/>
                <w:sz w:val="21"/>
                <w:szCs w:val="20"/>
                <w:u w:color="000000"/>
                <w:vertAlign w:val="superscript"/>
              </w:rPr>
              <w:t>3</w:t>
            </w:r>
          </w:p>
        </w:tc>
      </w:tr>
    </w:tbl>
    <w:p w:rsidR="003F13AB" w:rsidRDefault="003F13AB">
      <w:pPr>
        <w:pStyle w:val="Default1"/>
        <w:jc w:val="center"/>
        <w:rPr>
          <w:rFonts w:ascii="宋体" w:hAnsi="宋体" w:hint="default"/>
          <w:sz w:val="28"/>
          <w:szCs w:val="28"/>
        </w:rPr>
      </w:pPr>
    </w:p>
    <w:p w:rsidR="003F13AB" w:rsidRDefault="00EC6E7E">
      <w:pPr>
        <w:spacing w:line="500" w:lineRule="exact"/>
        <w:ind w:firstLine="560"/>
        <w:jc w:val="center"/>
        <w:textAlignment w:val="center"/>
        <w:rPr>
          <w:rFonts w:ascii="宋体" w:hAnsi="宋体"/>
          <w:color w:val="auto"/>
          <w:szCs w:val="28"/>
        </w:rPr>
      </w:pPr>
      <w:r>
        <w:rPr>
          <w:rFonts w:ascii="宋体" w:hAnsi="宋体" w:hint="eastAsia"/>
          <w:color w:val="auto"/>
          <w:szCs w:val="28"/>
        </w:rPr>
        <w:t>表2</w:t>
      </w:r>
      <w:r>
        <w:rPr>
          <w:rFonts w:ascii="宋体" w:hAnsi="宋体"/>
          <w:color w:val="auto"/>
          <w:szCs w:val="28"/>
        </w:rPr>
        <w:t>.1</w:t>
      </w:r>
      <w:r>
        <w:rPr>
          <w:rFonts w:ascii="宋体" w:hAnsi="宋体" w:hint="eastAsia"/>
          <w:color w:val="auto"/>
          <w:szCs w:val="28"/>
        </w:rPr>
        <w:t>-8 柴油的理化性质及危险特性</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3702"/>
        <w:gridCol w:w="4644"/>
      </w:tblGrid>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标识</w:t>
            </w:r>
          </w:p>
        </w:tc>
        <w:tc>
          <w:tcPr>
            <w:tcW w:w="3702" w:type="dxa"/>
            <w:vAlign w:val="center"/>
          </w:tcPr>
          <w:p w:rsidR="003F13AB" w:rsidRDefault="00EC6E7E">
            <w:pPr>
              <w:topLinePunct/>
              <w:adjustRightInd/>
              <w:snapToGrid/>
              <w:spacing w:line="240" w:lineRule="auto"/>
              <w:ind w:firstLineChars="0" w:firstLine="42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中文名：</w:t>
            </w:r>
            <w:r>
              <w:rPr>
                <w:rFonts w:ascii="Calibri" w:hAnsi="Calibri" w:hint="eastAsia"/>
                <w:snapToGrid w:val="0"/>
                <w:color w:val="auto"/>
                <w:kern w:val="0"/>
                <w:sz w:val="21"/>
                <w:szCs w:val="22"/>
                <w:u w:color="000000"/>
              </w:rPr>
              <w:t>柴油</w:t>
            </w:r>
          </w:p>
        </w:tc>
        <w:tc>
          <w:tcPr>
            <w:tcW w:w="4644"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英文名：</w:t>
            </w:r>
            <w:r>
              <w:rPr>
                <w:rFonts w:ascii="Calibri" w:hAnsi="Calibri" w:hint="eastAsia"/>
                <w:snapToGrid w:val="0"/>
                <w:color w:val="auto"/>
                <w:kern w:val="0"/>
                <w:sz w:val="21"/>
                <w:szCs w:val="22"/>
                <w:u w:color="000000"/>
              </w:rPr>
              <w:t>light diesel oil</w:t>
            </w:r>
          </w:p>
        </w:tc>
      </w:tr>
      <w:tr w:rsidR="003F13AB">
        <w:trPr>
          <w:cantSplit/>
          <w:trHeight w:val="452"/>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CAS</w:t>
            </w:r>
            <w:r>
              <w:rPr>
                <w:rFonts w:ascii="Calibri" w:hAnsi="Calibri" w:hint="eastAsia"/>
                <w:snapToGrid w:val="0"/>
                <w:color w:val="auto"/>
                <w:kern w:val="0"/>
                <w:sz w:val="21"/>
                <w:szCs w:val="22"/>
                <w:u w:color="000000"/>
              </w:rPr>
              <w:t>登录号</w:t>
            </w:r>
            <w:r>
              <w:rPr>
                <w:rFonts w:ascii="Calibri" w:hAnsi="Calibri"/>
                <w:snapToGrid w:val="0"/>
                <w:color w:val="auto"/>
                <w:kern w:val="0"/>
                <w:sz w:val="21"/>
                <w:szCs w:val="22"/>
                <w:u w:color="000000"/>
              </w:rPr>
              <w:t>：</w:t>
            </w:r>
            <w:r>
              <w:rPr>
                <w:rFonts w:ascii="Helvetica" w:eastAsia="Helvetica" w:hAnsi="Helvetica" w:cs="Helvetica" w:hint="eastAsia"/>
                <w:color w:val="363636"/>
                <w:sz w:val="21"/>
                <w:szCs w:val="21"/>
              </w:rPr>
              <w:t>68334-30-5</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危险性分类</w:t>
            </w:r>
          </w:p>
        </w:tc>
        <w:tc>
          <w:tcPr>
            <w:tcW w:w="4644"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易燃液体</w:t>
            </w:r>
            <w:r>
              <w:rPr>
                <w:rFonts w:ascii="Calibri" w:hAnsi="Calibri" w:hint="eastAsia"/>
                <w:snapToGrid w:val="0"/>
                <w:color w:val="auto"/>
                <w:kern w:val="0"/>
                <w:sz w:val="21"/>
                <w:szCs w:val="22"/>
                <w:u w:color="000000"/>
              </w:rPr>
              <w:t xml:space="preserve"> </w:t>
            </w:r>
            <w:r>
              <w:rPr>
                <w:rFonts w:ascii="Calibri" w:hAnsi="Calibri" w:hint="eastAsia"/>
                <w:snapToGrid w:val="0"/>
                <w:color w:val="auto"/>
                <w:kern w:val="0"/>
                <w:sz w:val="21"/>
                <w:szCs w:val="22"/>
                <w:u w:color="000000"/>
              </w:rPr>
              <w:t>类别</w:t>
            </w:r>
            <w:r>
              <w:rPr>
                <w:rFonts w:ascii="Calibri" w:hAnsi="Calibri" w:hint="eastAsia"/>
                <w:snapToGrid w:val="0"/>
                <w:color w:val="auto"/>
                <w:kern w:val="0"/>
                <w:sz w:val="21"/>
                <w:szCs w:val="22"/>
                <w:u w:color="000000"/>
              </w:rPr>
              <w:t>3</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火灾危险性：丙类</w:t>
            </w:r>
          </w:p>
        </w:tc>
      </w:tr>
      <w:tr w:rsidR="003F13AB">
        <w:trPr>
          <w:cantSplit/>
          <w:trHeight w:val="454"/>
          <w:jc w:val="center"/>
        </w:trPr>
        <w:tc>
          <w:tcPr>
            <w:tcW w:w="726" w:type="dxa"/>
            <w:vMerge w:val="restart"/>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b/>
                <w:snapToGrid w:val="0"/>
                <w:color w:val="auto"/>
                <w:kern w:val="0"/>
                <w:sz w:val="21"/>
                <w:szCs w:val="22"/>
                <w:u w:color="000000"/>
              </w:rPr>
              <w:t>理化</w:t>
            </w:r>
            <w:r>
              <w:rPr>
                <w:rFonts w:ascii="Calibri" w:hAnsi="Calibri"/>
                <w:b/>
                <w:snapToGrid w:val="0"/>
                <w:color w:val="auto"/>
                <w:kern w:val="0"/>
                <w:sz w:val="21"/>
                <w:szCs w:val="22"/>
                <w:u w:color="000000"/>
              </w:rPr>
              <w:lastRenderedPageBreak/>
              <w:t>性质</w:t>
            </w:r>
          </w:p>
        </w:tc>
        <w:tc>
          <w:tcPr>
            <w:tcW w:w="8346"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lastRenderedPageBreak/>
              <w:t>性状：</w:t>
            </w:r>
            <w:r>
              <w:rPr>
                <w:rFonts w:ascii="Calibri" w:hAnsi="Calibri" w:hint="eastAsia"/>
                <w:snapToGrid w:val="0"/>
                <w:color w:val="auto"/>
                <w:kern w:val="0"/>
                <w:sz w:val="21"/>
                <w:szCs w:val="22"/>
                <w:u w:color="000000"/>
              </w:rPr>
              <w:t>稍有粘性的棕色液体。</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熔点（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-18</w:t>
            </w:r>
          </w:p>
        </w:tc>
        <w:tc>
          <w:tcPr>
            <w:tcW w:w="4644"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相对密度（水</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0.87-0.9</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沸点（</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282-338</w:t>
            </w:r>
          </w:p>
        </w:tc>
        <w:tc>
          <w:tcPr>
            <w:tcW w:w="4644"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相对密度（空气</w:t>
            </w:r>
            <w:r>
              <w:rPr>
                <w:rFonts w:ascii="Calibri" w:hAnsi="Calibri"/>
                <w:snapToGrid w:val="0"/>
                <w:color w:val="auto"/>
                <w:kern w:val="0"/>
                <w:sz w:val="21"/>
                <w:szCs w:val="22"/>
                <w:u w:color="000000"/>
              </w:rPr>
              <w:t>=1</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8346" w:type="dxa"/>
            <w:gridSpan w:val="2"/>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溶解性：</w:t>
            </w:r>
            <w:r>
              <w:rPr>
                <w:rFonts w:ascii="Calibri" w:hAnsi="Calibri" w:hint="eastAsia"/>
                <w:snapToGrid w:val="0"/>
                <w:color w:val="auto"/>
                <w:kern w:val="0"/>
                <w:sz w:val="21"/>
                <w:szCs w:val="22"/>
                <w:u w:color="000000"/>
              </w:rPr>
              <w:t>不溶于水，溶于醇等溶剂。</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hint="eastAsia"/>
                <w:snapToGrid w:val="0"/>
                <w:color w:val="auto"/>
                <w:kern w:val="0"/>
                <w:sz w:val="21"/>
                <w:szCs w:val="22"/>
                <w:u w:color="000000"/>
              </w:rPr>
              <w:t>引燃</w:t>
            </w:r>
            <w:r>
              <w:rPr>
                <w:rFonts w:ascii="Calibri" w:hAnsi="Calibri"/>
                <w:snapToGrid w:val="0"/>
                <w:color w:val="auto"/>
                <w:kern w:val="0"/>
                <w:sz w:val="21"/>
                <w:szCs w:val="22"/>
                <w:u w:color="000000"/>
              </w:rPr>
              <w:t>温度（</w:t>
            </w:r>
            <w:r>
              <w:rPr>
                <w:rFonts w:ascii="Calibri" w:hAnsi="Calibri" w:cs="微软雅黑" w:hint="eastAsia"/>
                <w:snapToGrid w:val="0"/>
                <w:color w:val="auto"/>
                <w:kern w:val="0"/>
                <w:sz w:val="21"/>
                <w:szCs w:val="22"/>
                <w:u w:color="000000"/>
              </w:rPr>
              <w:t>℃</w:t>
            </w:r>
            <w:r>
              <w:rPr>
                <w:rFonts w:ascii="Calibri" w:hAnsi="Calibri"/>
                <w:snapToGrid w:val="0"/>
                <w:color w:val="auto"/>
                <w:kern w:val="0"/>
                <w:sz w:val="21"/>
                <w:szCs w:val="22"/>
                <w:u w:color="000000"/>
              </w:rPr>
              <w:t>）：</w:t>
            </w:r>
            <w:r>
              <w:rPr>
                <w:rFonts w:ascii="Calibri" w:hAnsi="Calibri" w:hint="eastAsia"/>
                <w:snapToGrid w:val="0"/>
                <w:color w:val="auto"/>
                <w:kern w:val="0"/>
                <w:sz w:val="21"/>
                <w:szCs w:val="22"/>
                <w:u w:color="000000"/>
              </w:rPr>
              <w:t>257</w:t>
            </w:r>
          </w:p>
        </w:tc>
        <w:tc>
          <w:tcPr>
            <w:tcW w:w="4644" w:type="dxa"/>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禁忌物：</w:t>
            </w:r>
            <w:r>
              <w:rPr>
                <w:rFonts w:ascii="Calibri" w:hAnsi="Calibri" w:cs="宋体" w:hint="eastAsia"/>
                <w:snapToGrid w:val="0"/>
                <w:color w:val="auto"/>
                <w:kern w:val="0"/>
                <w:sz w:val="21"/>
                <w:szCs w:val="20"/>
                <w:u w:color="000000"/>
              </w:rPr>
              <w:t>强氧化剂、卤素。</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饱和蒸气压</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k</w:t>
            </w:r>
            <w:r>
              <w:rPr>
                <w:rFonts w:ascii="Calibri" w:hAnsi="Calibri"/>
                <w:snapToGrid w:val="0"/>
                <w:color w:val="auto"/>
                <w:kern w:val="0"/>
                <w:sz w:val="21"/>
                <w:szCs w:val="22"/>
                <w:u w:color="000000"/>
              </w:rPr>
              <w:t>Pa</w:t>
            </w:r>
            <w:r>
              <w:rPr>
                <w:rFonts w:ascii="Calibri" w:hAnsi="Calibri" w:hint="eastAsia"/>
                <w:snapToGrid w:val="0"/>
                <w:color w:val="auto"/>
                <w:kern w:val="0"/>
                <w:sz w:val="21"/>
                <w:szCs w:val="22"/>
                <w:u w:color="000000"/>
              </w:rPr>
              <w:t>）：无资料</w:t>
            </w:r>
          </w:p>
        </w:tc>
        <w:tc>
          <w:tcPr>
            <w:tcW w:w="4644" w:type="dxa"/>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燃烧热</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M</w:t>
            </w:r>
            <w:r>
              <w:rPr>
                <w:rFonts w:ascii="Calibri" w:hAnsi="Calibri" w:cs="宋体"/>
                <w:snapToGrid w:val="0"/>
                <w:color w:val="auto"/>
                <w:kern w:val="0"/>
                <w:sz w:val="21"/>
                <w:szCs w:val="20"/>
                <w:u w:color="000000"/>
              </w:rPr>
              <w:t>J/</w:t>
            </w:r>
            <w:r>
              <w:rPr>
                <w:rFonts w:ascii="Calibri" w:hAnsi="Calibri" w:cs="宋体" w:hint="eastAsia"/>
                <w:snapToGrid w:val="0"/>
                <w:color w:val="auto"/>
                <w:kern w:val="0"/>
                <w:sz w:val="21"/>
                <w:szCs w:val="20"/>
                <w:u w:color="000000"/>
              </w:rPr>
              <w:t>kg</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46.04</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临界温度</w:t>
            </w:r>
            <w:r>
              <w:rPr>
                <w:rFonts w:ascii="Calibri" w:hAnsi="Calibri" w:hint="eastAsia"/>
                <w:snapToGrid w:val="0"/>
                <w:color w:val="auto"/>
                <w:kern w:val="0"/>
                <w:sz w:val="21"/>
                <w:szCs w:val="22"/>
                <w:u w:color="000000"/>
              </w:rPr>
              <w:t>（℃）：无资料</w:t>
            </w:r>
          </w:p>
        </w:tc>
        <w:tc>
          <w:tcPr>
            <w:tcW w:w="4644" w:type="dxa"/>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临界压力</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M</w:t>
            </w:r>
            <w:r>
              <w:rPr>
                <w:rFonts w:ascii="Calibri" w:hAnsi="Calibri" w:cs="宋体"/>
                <w:snapToGrid w:val="0"/>
                <w:color w:val="auto"/>
                <w:kern w:val="0"/>
                <w:sz w:val="21"/>
                <w:szCs w:val="20"/>
                <w:u w:color="000000"/>
              </w:rPr>
              <w:t>Pa</w:t>
            </w:r>
            <w:r>
              <w:rPr>
                <w:rFonts w:ascii="Calibri" w:hAnsi="Calibri" w:cs="宋体" w:hint="eastAsia"/>
                <w:snapToGrid w:val="0"/>
                <w:color w:val="auto"/>
                <w:kern w:val="0"/>
                <w:sz w:val="21"/>
                <w:szCs w:val="20"/>
                <w:u w:color="000000"/>
              </w:rPr>
              <w:t>）：无资料</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辛醇</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水分配系数（</w:t>
            </w:r>
            <w:r>
              <w:rPr>
                <w:rFonts w:ascii="Calibri" w:hAnsi="Calibri" w:hint="eastAsia"/>
                <w:snapToGrid w:val="0"/>
                <w:color w:val="auto"/>
                <w:kern w:val="0"/>
                <w:sz w:val="21"/>
                <w:szCs w:val="22"/>
                <w:u w:color="000000"/>
              </w:rPr>
              <w:t>LogKow</w:t>
            </w:r>
            <w:r>
              <w:rPr>
                <w:rFonts w:ascii="Calibri" w:hAnsi="Calibri" w:hint="eastAsia"/>
                <w:snapToGrid w:val="0"/>
                <w:color w:val="auto"/>
                <w:kern w:val="0"/>
                <w:sz w:val="21"/>
                <w:szCs w:val="22"/>
                <w:u w:color="000000"/>
              </w:rPr>
              <w:t>）：无资料</w:t>
            </w:r>
          </w:p>
        </w:tc>
        <w:tc>
          <w:tcPr>
            <w:tcW w:w="4644" w:type="dxa"/>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闪点</w:t>
            </w:r>
            <w:r>
              <w:rPr>
                <w:rFonts w:ascii="Calibri" w:hAnsi="Calibri" w:cs="宋体" w:hint="eastAsia"/>
                <w:snapToGrid w:val="0"/>
                <w:color w:val="auto"/>
                <w:kern w:val="0"/>
                <w:sz w:val="21"/>
                <w:szCs w:val="20"/>
                <w:u w:color="000000"/>
              </w:rPr>
              <w:t>（℃）：不低于</w:t>
            </w:r>
            <w:r>
              <w:rPr>
                <w:rFonts w:ascii="Calibri" w:hAnsi="Calibri" w:cs="宋体" w:hint="eastAsia"/>
                <w:snapToGrid w:val="0"/>
                <w:color w:val="auto"/>
                <w:kern w:val="0"/>
                <w:sz w:val="21"/>
                <w:szCs w:val="20"/>
                <w:u w:color="000000"/>
              </w:rPr>
              <w:t>60</w:t>
            </w:r>
          </w:p>
        </w:tc>
      </w:tr>
      <w:tr w:rsidR="003F13AB">
        <w:trPr>
          <w:cantSplit/>
          <w:trHeight w:val="454"/>
          <w:jc w:val="center"/>
        </w:trPr>
        <w:tc>
          <w:tcPr>
            <w:tcW w:w="726" w:type="dxa"/>
            <w:vMerge/>
            <w:vAlign w:val="center"/>
          </w:tcPr>
          <w:p w:rsidR="003F13AB" w:rsidRDefault="003F13AB">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p>
        </w:tc>
        <w:tc>
          <w:tcPr>
            <w:tcW w:w="3702" w:type="dxa"/>
            <w:vAlign w:val="center"/>
          </w:tcPr>
          <w:p w:rsidR="003F13AB" w:rsidRDefault="00EC6E7E">
            <w:pPr>
              <w:topLinePunct/>
              <w:adjustRightInd/>
              <w:snapToGrid/>
              <w:spacing w:line="240" w:lineRule="auto"/>
              <w:ind w:firstLineChars="0" w:firstLine="0"/>
              <w:contextualSpacing/>
              <w:jc w:val="center"/>
              <w:rPr>
                <w:rFonts w:ascii="Calibri" w:hAnsi="Calibri"/>
                <w:snapToGrid w:val="0"/>
                <w:color w:val="auto"/>
                <w:kern w:val="0"/>
                <w:sz w:val="21"/>
                <w:szCs w:val="22"/>
                <w:u w:color="000000"/>
              </w:rPr>
            </w:pPr>
            <w:r>
              <w:rPr>
                <w:rFonts w:ascii="Calibri" w:hAnsi="Calibri"/>
                <w:snapToGrid w:val="0"/>
                <w:color w:val="auto"/>
                <w:kern w:val="0"/>
                <w:sz w:val="21"/>
                <w:szCs w:val="22"/>
                <w:u w:color="000000"/>
              </w:rPr>
              <w:t>爆炸上限</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w:t>
            </w:r>
            <w:r>
              <w:rPr>
                <w:rFonts w:ascii="Calibri" w:hAnsi="Calibri" w:hint="eastAsia"/>
                <w:snapToGrid w:val="0"/>
                <w:color w:val="auto"/>
                <w:kern w:val="0"/>
                <w:sz w:val="21"/>
                <w:szCs w:val="22"/>
                <w:u w:color="000000"/>
              </w:rPr>
              <w:t>6.5</w:t>
            </w:r>
          </w:p>
        </w:tc>
        <w:tc>
          <w:tcPr>
            <w:tcW w:w="4644" w:type="dxa"/>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爆炸下限</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cs="宋体" w:hint="eastAsia"/>
                <w:snapToGrid w:val="0"/>
                <w:color w:val="auto"/>
                <w:kern w:val="0"/>
                <w:sz w:val="21"/>
                <w:szCs w:val="20"/>
                <w:u w:color="000000"/>
              </w:rPr>
              <w:t>）：</w:t>
            </w:r>
            <w:r>
              <w:rPr>
                <w:rFonts w:ascii="Calibri" w:hAnsi="Calibri" w:hint="eastAsia"/>
                <w:snapToGrid w:val="0"/>
                <w:color w:val="auto"/>
                <w:kern w:val="0"/>
                <w:sz w:val="21"/>
                <w:szCs w:val="22"/>
                <w:u w:color="000000"/>
              </w:rPr>
              <w:t>0.6</w:t>
            </w:r>
          </w:p>
        </w:tc>
      </w:tr>
      <w:tr w:rsidR="003F13AB">
        <w:trPr>
          <w:cantSplit/>
          <w:trHeight w:val="1511"/>
          <w:jc w:val="center"/>
        </w:trPr>
        <w:tc>
          <w:tcPr>
            <w:tcW w:w="726" w:type="dxa"/>
            <w:vAlign w:val="center"/>
          </w:tcPr>
          <w:p w:rsidR="003F13AB" w:rsidRDefault="00EC6E7E">
            <w:pPr>
              <w:topLinePunct/>
              <w:adjustRightInd/>
              <w:snapToGrid/>
              <w:spacing w:line="240" w:lineRule="auto"/>
              <w:ind w:firstLineChars="0" w:firstLine="0"/>
              <w:contextualSpacing/>
              <w:jc w:val="center"/>
              <w:rPr>
                <w:rFonts w:ascii="Calibri" w:hAnsi="Calibri"/>
                <w:b/>
                <w:snapToGrid w:val="0"/>
                <w:color w:val="auto"/>
                <w:kern w:val="0"/>
                <w:sz w:val="21"/>
                <w:szCs w:val="22"/>
                <w:u w:color="000000"/>
              </w:rPr>
            </w:pPr>
            <w:r>
              <w:rPr>
                <w:rFonts w:ascii="Calibri" w:hAnsi="Calibri" w:hint="eastAsia"/>
                <w:b/>
                <w:snapToGrid w:val="0"/>
                <w:color w:val="auto"/>
                <w:kern w:val="0"/>
                <w:sz w:val="21"/>
                <w:szCs w:val="22"/>
                <w:u w:color="000000"/>
              </w:rPr>
              <w:t>危害信息</w:t>
            </w:r>
          </w:p>
        </w:tc>
        <w:tc>
          <w:tcPr>
            <w:tcW w:w="8346" w:type="dxa"/>
            <w:gridSpan w:val="2"/>
            <w:vAlign w:val="center"/>
          </w:tcPr>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hint="eastAsia"/>
                <w:snapToGrid w:val="0"/>
                <w:color w:val="auto"/>
                <w:kern w:val="0"/>
                <w:sz w:val="21"/>
                <w:szCs w:val="20"/>
                <w:u w:color="000000"/>
              </w:rPr>
              <w:t>燃烧与爆炸危险性：易燃。</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活性反应</w:t>
            </w:r>
            <w:r>
              <w:rPr>
                <w:rFonts w:ascii="Calibri" w:hAnsi="Calibri" w:cs="宋体" w:hint="eastAsia"/>
                <w:snapToGrid w:val="0"/>
                <w:color w:val="auto"/>
                <w:kern w:val="0"/>
                <w:sz w:val="21"/>
                <w:szCs w:val="20"/>
                <w:u w:color="000000"/>
              </w:rPr>
              <w:t>：与易燃或可燃物、电石、高氯酸盐、金属粉末等发生剧烈反应。</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毒性</w:t>
            </w:r>
            <w:r>
              <w:rPr>
                <w:rFonts w:ascii="Calibri" w:hAnsi="Calibri" w:cs="宋体" w:hint="eastAsia"/>
                <w:snapToGrid w:val="0"/>
                <w:color w:val="auto"/>
                <w:kern w:val="0"/>
                <w:sz w:val="21"/>
                <w:szCs w:val="20"/>
                <w:u w:color="000000"/>
              </w:rPr>
              <w:t>：无资料</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中毒表现</w:t>
            </w:r>
            <w:r>
              <w:rPr>
                <w:rFonts w:ascii="Calibri" w:hAnsi="Calibri" w:cs="宋体" w:hint="eastAsia"/>
                <w:snapToGrid w:val="0"/>
                <w:color w:val="auto"/>
                <w:kern w:val="0"/>
                <w:sz w:val="21"/>
                <w:szCs w:val="20"/>
                <w:u w:color="000000"/>
              </w:rPr>
              <w:t>：具有刺激作用。皮肤接触柴油可引起接触性皮炎、油性痤疮，吸入可引起吸入性肺炎。能经胎盘进入胎儿血中。柴油废气可引起眼、</w:t>
            </w:r>
            <w:proofErr w:type="gramStart"/>
            <w:r>
              <w:rPr>
                <w:rFonts w:ascii="Calibri" w:hAnsi="Calibri" w:cs="宋体" w:hint="eastAsia"/>
                <w:snapToGrid w:val="0"/>
                <w:color w:val="auto"/>
                <w:kern w:val="0"/>
                <w:sz w:val="21"/>
                <w:szCs w:val="20"/>
                <w:u w:color="000000"/>
              </w:rPr>
              <w:t>鼻刺激</w:t>
            </w:r>
            <w:proofErr w:type="gramEnd"/>
            <w:r>
              <w:rPr>
                <w:rFonts w:ascii="Calibri" w:hAnsi="Calibri" w:cs="宋体" w:hint="eastAsia"/>
                <w:snapToGrid w:val="0"/>
                <w:color w:val="auto"/>
                <w:kern w:val="0"/>
                <w:sz w:val="21"/>
                <w:szCs w:val="20"/>
                <w:u w:color="000000"/>
              </w:rPr>
              <w:t>症状，头晕及头痛。</w:t>
            </w:r>
          </w:p>
          <w:p w:rsidR="003F13AB" w:rsidRDefault="00EC6E7E">
            <w:pPr>
              <w:topLinePunct/>
              <w:adjustRightInd/>
              <w:snapToGrid/>
              <w:spacing w:line="240" w:lineRule="auto"/>
              <w:ind w:firstLineChars="100" w:firstLine="210"/>
              <w:jc w:val="left"/>
              <w:rPr>
                <w:rFonts w:ascii="Calibri" w:hAnsi="Calibri" w:cs="宋体"/>
                <w:snapToGrid w:val="0"/>
                <w:color w:val="auto"/>
                <w:kern w:val="0"/>
                <w:sz w:val="21"/>
                <w:szCs w:val="20"/>
                <w:u w:color="000000"/>
              </w:rPr>
            </w:pPr>
            <w:r>
              <w:rPr>
                <w:rFonts w:ascii="Calibri" w:hAnsi="Calibri" w:cs="宋体"/>
                <w:snapToGrid w:val="0"/>
                <w:color w:val="auto"/>
                <w:kern w:val="0"/>
                <w:sz w:val="21"/>
                <w:szCs w:val="20"/>
                <w:u w:color="000000"/>
              </w:rPr>
              <w:t>职业接触限值</w:t>
            </w:r>
            <w:r>
              <w:rPr>
                <w:rFonts w:ascii="Calibri" w:hAnsi="Calibri" w:cs="宋体" w:hint="eastAsia"/>
                <w:snapToGrid w:val="0"/>
                <w:color w:val="auto"/>
                <w:kern w:val="0"/>
                <w:sz w:val="21"/>
                <w:szCs w:val="20"/>
                <w:u w:color="000000"/>
              </w:rPr>
              <w:t>：无资料</w:t>
            </w:r>
          </w:p>
        </w:tc>
      </w:tr>
    </w:tbl>
    <w:p w:rsidR="003F13AB" w:rsidRDefault="003F13AB">
      <w:pPr>
        <w:pStyle w:val="Default1"/>
        <w:jc w:val="center"/>
        <w:rPr>
          <w:rFonts w:ascii="宋体" w:hAnsi="宋体" w:hint="default"/>
          <w:sz w:val="28"/>
          <w:szCs w:val="28"/>
        </w:rPr>
      </w:pPr>
    </w:p>
    <w:p w:rsidR="003F13AB" w:rsidRDefault="00EC6E7E">
      <w:pPr>
        <w:pStyle w:val="2"/>
      </w:pPr>
      <w:bookmarkStart w:id="248" w:name="_Toc166857605"/>
      <w:bookmarkStart w:id="249" w:name="_Toc187914458"/>
      <w:r>
        <w:rPr>
          <w:rFonts w:hint="eastAsia"/>
        </w:rPr>
        <w:t>2.2 危险产生的原因</w:t>
      </w:r>
      <w:bookmarkEnd w:id="248"/>
      <w:bookmarkEnd w:id="249"/>
    </w:p>
    <w:p w:rsidR="003F13AB" w:rsidRDefault="00EC6E7E">
      <w:pPr>
        <w:pStyle w:val="3"/>
      </w:pPr>
      <w:bookmarkStart w:id="250" w:name="_Toc187914459"/>
      <w:r>
        <w:rPr>
          <w:rFonts w:hint="eastAsia"/>
        </w:rPr>
        <w:t>2.2.1 运行失控与设备故障</w:t>
      </w:r>
      <w:bookmarkEnd w:id="250"/>
    </w:p>
    <w:p w:rsidR="003F13AB" w:rsidRDefault="00EC6E7E">
      <w:pPr>
        <w:ind w:firstLine="560"/>
        <w:rPr>
          <w:color w:val="auto"/>
        </w:rPr>
      </w:pPr>
      <w:r>
        <w:rPr>
          <w:rFonts w:hint="eastAsia"/>
          <w:color w:val="auto"/>
        </w:rPr>
        <w:t>运行</w:t>
      </w:r>
      <w:proofErr w:type="gramStart"/>
      <w:r>
        <w:rPr>
          <w:rFonts w:hint="eastAsia"/>
          <w:color w:val="auto"/>
        </w:rPr>
        <w:t>失控指</w:t>
      </w:r>
      <w:proofErr w:type="gramEnd"/>
      <w:r>
        <w:rPr>
          <w:rFonts w:hint="eastAsia"/>
          <w:color w:val="auto"/>
        </w:rPr>
        <w:t>的是设施运行过程中偏离或超过了正常的工艺技术条件，出现危险状态。故障是指设备、元件等在运行过程中由于性能低下而不能实现预定功能的现象。在实际中运行失控故障的发生是可能的，故障具有随机性和突发性，故障的发生是一种随机事件；造成故障发生的原因很复杂（如设计、制造、磨损、疲劳、老化、检查和维修保养、人员失误、环境、其它系统的影响等），但故障发生的规律是可知的，通过定期检查、维修保养可使多数故障在预定期间内得到控制（避免或减少）。</w:t>
      </w:r>
    </w:p>
    <w:p w:rsidR="003F13AB" w:rsidRDefault="00EC6E7E">
      <w:pPr>
        <w:pStyle w:val="3"/>
      </w:pPr>
      <w:bookmarkStart w:id="251" w:name="_Toc187914460"/>
      <w:r>
        <w:rPr>
          <w:rFonts w:hint="eastAsia"/>
        </w:rPr>
        <w:t>2.2.2 人员失误</w:t>
      </w:r>
      <w:bookmarkEnd w:id="251"/>
    </w:p>
    <w:p w:rsidR="003F13AB" w:rsidRDefault="00EC6E7E">
      <w:pPr>
        <w:ind w:firstLine="560"/>
        <w:rPr>
          <w:color w:val="auto"/>
        </w:rPr>
      </w:pPr>
      <w:r>
        <w:rPr>
          <w:rFonts w:hint="eastAsia"/>
          <w:color w:val="auto"/>
        </w:rPr>
        <w:t>人员失误泛指不安全行为（指职工在劳动过程中违反劳动纪律、操作程序和方法等具有危险性的做法）中产生不良后果的行为。人员失误在生产过程中是可能发生的，它具有随机性和偶然性，往往是不可预测的意外行为。影响人员失误的因素很多，但发生人员失误的规律和失误率通过大量的观测、统计和分析是可以预测的。</w:t>
      </w:r>
    </w:p>
    <w:p w:rsidR="003F13AB" w:rsidRDefault="00EC6E7E">
      <w:pPr>
        <w:pStyle w:val="3"/>
      </w:pPr>
      <w:bookmarkStart w:id="252" w:name="_Toc187914461"/>
      <w:r>
        <w:rPr>
          <w:rFonts w:hint="eastAsia"/>
        </w:rPr>
        <w:lastRenderedPageBreak/>
        <w:t>2.2.3 管理缺陷</w:t>
      </w:r>
      <w:bookmarkEnd w:id="252"/>
    </w:p>
    <w:p w:rsidR="003F13AB" w:rsidRDefault="00EC6E7E">
      <w:pPr>
        <w:ind w:firstLine="560"/>
        <w:rPr>
          <w:color w:val="auto"/>
        </w:rPr>
      </w:pPr>
      <w:r>
        <w:rPr>
          <w:rFonts w:hint="eastAsia"/>
          <w:color w:val="auto"/>
        </w:rPr>
        <w:t>安全管理是为保证及时、有效地实现既定的安全目标，是在预测、分析的基础之上进行的计划、组织、协调、检查等工作，是预防故障和人员失误发生的有效手段，因此，管理缺陷是影响运行失控发生的重要因素。</w:t>
      </w:r>
    </w:p>
    <w:p w:rsidR="003F13AB" w:rsidRDefault="00EC6E7E">
      <w:pPr>
        <w:pStyle w:val="2"/>
      </w:pPr>
      <w:bookmarkStart w:id="253" w:name="_Toc187914462"/>
      <w:bookmarkStart w:id="254" w:name="_Toc166857606"/>
      <w:r>
        <w:rPr>
          <w:rFonts w:hint="eastAsia"/>
        </w:rPr>
        <w:t>2.3 生产过程危险、有害因素分析</w:t>
      </w:r>
      <w:bookmarkEnd w:id="253"/>
      <w:bookmarkEnd w:id="254"/>
    </w:p>
    <w:p w:rsidR="003F13AB" w:rsidRDefault="00EC6E7E">
      <w:pPr>
        <w:pStyle w:val="3"/>
      </w:pPr>
      <w:bookmarkStart w:id="255" w:name="_Toc187914463"/>
      <w:r>
        <w:rPr>
          <w:rFonts w:hint="eastAsia"/>
        </w:rPr>
        <w:t>2.3.1火灾、爆炸危险性分析</w:t>
      </w:r>
      <w:bookmarkEnd w:id="255"/>
    </w:p>
    <w:p w:rsidR="003F13AB" w:rsidRDefault="00EC6E7E">
      <w:pPr>
        <w:widowControl/>
        <w:ind w:firstLine="560"/>
        <w:rPr>
          <w:rFonts w:ascii="宋体" w:hAnsi="宋体"/>
          <w:color w:val="auto"/>
          <w:szCs w:val="28"/>
        </w:rPr>
      </w:pPr>
      <w:r>
        <w:rPr>
          <w:rFonts w:ascii="宋体" w:hAnsi="宋体" w:hint="eastAsia"/>
          <w:color w:val="auto"/>
          <w:szCs w:val="28"/>
        </w:rPr>
        <w:t>（1）天然气</w:t>
      </w:r>
    </w:p>
    <w:p w:rsidR="003F13AB" w:rsidRDefault="00EC6E7E">
      <w:pPr>
        <w:widowControl/>
        <w:ind w:firstLine="560"/>
        <w:rPr>
          <w:rFonts w:ascii="宋体" w:hAnsi="宋体"/>
          <w:color w:val="auto"/>
          <w:szCs w:val="28"/>
        </w:rPr>
      </w:pPr>
      <w:r>
        <w:rPr>
          <w:rFonts w:ascii="宋体" w:hAnsi="宋体" w:hint="eastAsia"/>
          <w:color w:val="auto"/>
          <w:szCs w:val="28"/>
        </w:rPr>
        <w:t>项目燃气锅炉、热风炉的主要燃料是天然气，是易燃气体，如操作不当或泄漏极易发生火灾，爆炸事故。天然气与空气混合时，遇明火、高热时极易发生燃烧，在空气中达到爆炸</w:t>
      </w:r>
      <w:proofErr w:type="gramStart"/>
      <w:r>
        <w:rPr>
          <w:rFonts w:ascii="宋体" w:hAnsi="宋体" w:hint="eastAsia"/>
          <w:color w:val="auto"/>
          <w:szCs w:val="28"/>
        </w:rPr>
        <w:t>极限遇点火源</w:t>
      </w:r>
      <w:proofErr w:type="gramEnd"/>
      <w:r>
        <w:rPr>
          <w:rFonts w:ascii="宋体" w:hAnsi="宋体" w:hint="eastAsia"/>
          <w:color w:val="auto"/>
          <w:szCs w:val="28"/>
        </w:rPr>
        <w:t>或高热引发爆炸事故。</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天然气供气系统因管道、阀门缺陷和故障、密封件失效发生泄漏时，遇明火、高热时极易发生燃烧、爆炸。</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天然气锅炉在开车时和停炉时，因操作不当、点火装置失灵、设备、管道、阀门缺陷和故障、密封件失效等极易产生天然气泄漏到炉膛，遇明火、高热时极易发生燃烧、爆炸。</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天然气供气系统发生超压时，极易发生设备、管道、阀门中的密封件失效和设备、管道、阀门爆裂引起天然气大量泄漏，遇明火、高热时极易发生燃烧、爆炸。</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有限空间、作业场所通风不良时，可能使可燃气</w:t>
      </w:r>
      <w:proofErr w:type="gramStart"/>
      <w:r>
        <w:rPr>
          <w:rFonts w:ascii="宋体" w:hAnsi="宋体" w:hint="eastAsia"/>
          <w:color w:val="auto"/>
          <w:szCs w:val="28"/>
        </w:rPr>
        <w:t>体大量</w:t>
      </w:r>
      <w:proofErr w:type="gramEnd"/>
      <w:r>
        <w:rPr>
          <w:rFonts w:ascii="宋体" w:hAnsi="宋体" w:hint="eastAsia"/>
          <w:color w:val="auto"/>
          <w:szCs w:val="28"/>
        </w:rPr>
        <w:t>聚集，当浓度达到爆炸极限时，遇到明火、高热时就会发生燃烧、爆炸。</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在对上述设备进行检维修时，有时需进行切割、焊接等动火作业，若未将设备清洗干净，并进行充分的气体置换和气体分析，有可能因设备中残留的可燃气体浓度达到爆炸极限而引发火灾、爆炸。</w:t>
      </w:r>
    </w:p>
    <w:p w:rsidR="003F13AB" w:rsidRDefault="00EC6E7E">
      <w:pPr>
        <w:widowControl/>
        <w:adjustRightInd/>
        <w:snapToGrid/>
        <w:ind w:firstLine="560"/>
        <w:rPr>
          <w:rFonts w:ascii="宋体" w:hAnsi="宋体"/>
          <w:color w:val="auto"/>
          <w:szCs w:val="28"/>
        </w:rPr>
      </w:pPr>
      <w:r>
        <w:rPr>
          <w:rFonts w:ascii="宋体" w:hAnsi="宋体" w:hint="eastAsia"/>
          <w:color w:val="auto"/>
          <w:szCs w:val="28"/>
        </w:rPr>
        <w:t>（2）尿素和包装材料</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lastRenderedPageBreak/>
        <w:t>包装材料和尿素火灾危险为丙类。各仓库和生产厂房中存在包装材料、尿素，若厂房、仓库火源管理不当，可能引燃厂房、仓库中的尿素或包装材料，导致发生火灾。</w:t>
      </w:r>
    </w:p>
    <w:p w:rsidR="003F13AB" w:rsidRDefault="00EC6E7E">
      <w:pPr>
        <w:widowControl/>
        <w:adjustRightInd/>
        <w:snapToGrid/>
        <w:ind w:firstLine="560"/>
        <w:rPr>
          <w:rFonts w:ascii="宋体" w:hAnsi="宋体"/>
          <w:color w:val="auto"/>
          <w:szCs w:val="28"/>
        </w:rPr>
      </w:pPr>
      <w:r>
        <w:rPr>
          <w:rFonts w:ascii="宋体" w:hAnsi="宋体" w:hint="eastAsia"/>
          <w:color w:val="auto"/>
          <w:szCs w:val="28"/>
        </w:rPr>
        <w:t>（3）柴油</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油品的组分主要是碳氢化合物及其衍生物，是可燃性有机物质。柴油属易燃液体，车用柴油的闪点一般在60℃左右。本项目发电间内设置一个储油间，内设一个1m</w:t>
      </w:r>
      <w:r>
        <w:rPr>
          <w:rFonts w:ascii="宋体" w:hAnsi="宋体" w:hint="eastAsia"/>
          <w:color w:val="auto"/>
          <w:szCs w:val="28"/>
          <w:vertAlign w:val="superscript"/>
        </w:rPr>
        <w:t>3</w:t>
      </w:r>
      <w:r>
        <w:rPr>
          <w:rFonts w:ascii="宋体" w:hAnsi="宋体" w:hint="eastAsia"/>
          <w:color w:val="auto"/>
          <w:szCs w:val="28"/>
        </w:rPr>
        <w:t>储油</w:t>
      </w:r>
      <w:proofErr w:type="gramStart"/>
      <w:r>
        <w:rPr>
          <w:rFonts w:ascii="宋体" w:hAnsi="宋体" w:hint="eastAsia"/>
          <w:color w:val="auto"/>
          <w:szCs w:val="28"/>
        </w:rPr>
        <w:t>箱用于</w:t>
      </w:r>
      <w:proofErr w:type="gramEnd"/>
      <w:r>
        <w:rPr>
          <w:rFonts w:ascii="宋体" w:hAnsi="宋体" w:hint="eastAsia"/>
          <w:color w:val="auto"/>
          <w:szCs w:val="28"/>
        </w:rPr>
        <w:t>柴油发电机，若储油罐破损漏油并接触热源或火源，可能引燃柴油导致火灾事故发生，柴油燃烧速度较快，因此，油品一旦发生燃烧，容易造成大的危险。</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虽然柴油较难挥发，但爆炸下限较低，油</w:t>
      </w:r>
      <w:proofErr w:type="gramStart"/>
      <w:r>
        <w:rPr>
          <w:rFonts w:ascii="宋体" w:hAnsi="宋体" w:hint="eastAsia"/>
          <w:color w:val="auto"/>
          <w:szCs w:val="28"/>
        </w:rPr>
        <w:t>蒸气</w:t>
      </w:r>
      <w:proofErr w:type="gramEnd"/>
      <w:r>
        <w:rPr>
          <w:rFonts w:ascii="宋体" w:hAnsi="宋体" w:hint="eastAsia"/>
          <w:color w:val="auto"/>
          <w:szCs w:val="28"/>
        </w:rPr>
        <w:t>与空气组成混合气体达到爆炸极限时，遇到点火源，即能发生爆炸。</w:t>
      </w:r>
    </w:p>
    <w:p w:rsidR="003F13AB" w:rsidRDefault="00EC6E7E">
      <w:pPr>
        <w:widowControl/>
        <w:adjustRightInd/>
        <w:snapToGrid/>
        <w:ind w:firstLine="560"/>
        <w:rPr>
          <w:rFonts w:ascii="宋体" w:hAnsi="宋体"/>
          <w:color w:val="auto"/>
          <w:szCs w:val="28"/>
        </w:rPr>
      </w:pPr>
      <w:r>
        <w:rPr>
          <w:rFonts w:ascii="宋体" w:hAnsi="宋体" w:hint="eastAsia"/>
          <w:color w:val="auto"/>
          <w:szCs w:val="28"/>
        </w:rPr>
        <w:t>（4）检修时使用的乙炔、氧气</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在检维修过程中进行氧气、乙炔切割或焊接等动火作业时，若发生乙炔和氧气泄漏、未将作业区及周边的可燃物清理干净、未采取有效的安全措施或在作业时违反安全操作规程等，均存在发生火灾、爆炸的可能。</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（5）电气火灾</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项目生产厂房以及仓库等建筑物内存在大量用电设备，电气系统因短路、过载、接头接触不良、散热不良等原因，会引发电气火灾。</w:t>
      </w:r>
    </w:p>
    <w:p w:rsidR="003F13AB" w:rsidRDefault="00EC6E7E">
      <w:pPr>
        <w:widowControl/>
        <w:adjustRightInd/>
        <w:snapToGrid/>
        <w:ind w:firstLineChars="0" w:firstLine="544"/>
        <w:rPr>
          <w:rFonts w:ascii="宋体" w:hAnsi="宋体"/>
          <w:color w:val="auto"/>
          <w:szCs w:val="28"/>
        </w:rPr>
      </w:pPr>
      <w:r>
        <w:rPr>
          <w:rFonts w:ascii="宋体" w:hAnsi="宋体" w:hint="eastAsia"/>
          <w:color w:val="auto"/>
          <w:szCs w:val="28"/>
        </w:rPr>
        <w:t>若接地施设失效或损坏发生雷击或漏电事故时，可能导致金属设备或器具带电，金属设备带电后，电能转化为热能或产生电压差，会导致设备温度升高或引发电弧成为火源，可能导致电气火灾事故。</w:t>
      </w:r>
    </w:p>
    <w:p w:rsidR="003F13AB" w:rsidRDefault="00EC6E7E">
      <w:pPr>
        <w:pStyle w:val="3"/>
      </w:pPr>
      <w:bookmarkStart w:id="256" w:name="_Toc187914464"/>
      <w:r>
        <w:rPr>
          <w:rFonts w:hint="eastAsia"/>
        </w:rPr>
        <w:t>2.3.2 锅炉爆炸危险性分析</w:t>
      </w:r>
      <w:bookmarkEnd w:id="256"/>
    </w:p>
    <w:p w:rsidR="003F13AB" w:rsidRDefault="00EC6E7E">
      <w:pPr>
        <w:ind w:firstLine="560"/>
        <w:rPr>
          <w:color w:val="auto"/>
        </w:rPr>
      </w:pPr>
      <w:r>
        <w:rPr>
          <w:rFonts w:hint="eastAsia"/>
          <w:color w:val="auto"/>
        </w:rPr>
        <w:t>项目锅炉房设置两套天然气蒸汽锅炉，存在发生锅炉爆炸的可能，发生锅炉爆炸的主要原因有：</w:t>
      </w:r>
    </w:p>
    <w:p w:rsidR="003F13AB" w:rsidRDefault="00EC6E7E">
      <w:pPr>
        <w:ind w:firstLine="560"/>
        <w:rPr>
          <w:color w:val="auto"/>
        </w:rPr>
      </w:pPr>
      <w:r>
        <w:rPr>
          <w:rFonts w:hint="eastAsia"/>
          <w:color w:val="auto"/>
        </w:rPr>
        <w:t>（</w:t>
      </w:r>
      <w:r>
        <w:rPr>
          <w:rFonts w:hint="eastAsia"/>
          <w:color w:val="auto"/>
        </w:rPr>
        <w:t>1</w:t>
      </w:r>
      <w:r>
        <w:rPr>
          <w:rFonts w:hint="eastAsia"/>
          <w:color w:val="auto"/>
        </w:rPr>
        <w:t>）制造锅炉的原材料缺陷。</w:t>
      </w:r>
    </w:p>
    <w:p w:rsidR="003F13AB" w:rsidRDefault="00EC6E7E">
      <w:pPr>
        <w:ind w:firstLine="560"/>
        <w:rPr>
          <w:color w:val="auto"/>
        </w:rPr>
      </w:pPr>
      <w:r>
        <w:rPr>
          <w:rFonts w:hint="eastAsia"/>
          <w:color w:val="auto"/>
        </w:rPr>
        <w:lastRenderedPageBreak/>
        <w:t>（</w:t>
      </w:r>
      <w:r>
        <w:rPr>
          <w:rFonts w:hint="eastAsia"/>
          <w:color w:val="auto"/>
        </w:rPr>
        <w:t>2</w:t>
      </w:r>
      <w:r>
        <w:rPr>
          <w:rFonts w:hint="eastAsia"/>
          <w:color w:val="auto"/>
        </w:rPr>
        <w:t>）锅炉设计结构有缺陷，如：开孔、焊缝布置不合理；炉胆与炉筒接管与筒体连接结构不合理等。</w:t>
      </w:r>
    </w:p>
    <w:p w:rsidR="003F13AB" w:rsidRDefault="00EC6E7E">
      <w:pPr>
        <w:ind w:firstLine="560"/>
        <w:rPr>
          <w:color w:val="auto"/>
        </w:rPr>
      </w:pPr>
      <w:r>
        <w:rPr>
          <w:rFonts w:hint="eastAsia"/>
          <w:color w:val="auto"/>
        </w:rPr>
        <w:t>（</w:t>
      </w:r>
      <w:r>
        <w:rPr>
          <w:rFonts w:hint="eastAsia"/>
          <w:color w:val="auto"/>
        </w:rPr>
        <w:t>3</w:t>
      </w:r>
      <w:r>
        <w:rPr>
          <w:rFonts w:hint="eastAsia"/>
          <w:color w:val="auto"/>
        </w:rPr>
        <w:t>）焊接缺陷，特别是焊接裂缝或未焊透。</w:t>
      </w:r>
    </w:p>
    <w:p w:rsidR="003F13AB" w:rsidRDefault="00EC6E7E">
      <w:pPr>
        <w:ind w:firstLine="560"/>
        <w:rPr>
          <w:color w:val="auto"/>
        </w:rPr>
      </w:pPr>
      <w:r>
        <w:rPr>
          <w:rFonts w:hint="eastAsia"/>
          <w:color w:val="auto"/>
        </w:rPr>
        <w:t>（</w:t>
      </w:r>
      <w:r>
        <w:rPr>
          <w:rFonts w:hint="eastAsia"/>
          <w:color w:val="auto"/>
        </w:rPr>
        <w:t>4</w:t>
      </w:r>
      <w:r>
        <w:rPr>
          <w:rFonts w:hint="eastAsia"/>
          <w:color w:val="auto"/>
        </w:rPr>
        <w:t>）装配成型缺陷，如错边或角变形超标。</w:t>
      </w:r>
    </w:p>
    <w:p w:rsidR="003F13AB" w:rsidRDefault="00EC6E7E">
      <w:pPr>
        <w:ind w:firstLine="560"/>
        <w:rPr>
          <w:color w:val="auto"/>
        </w:rPr>
      </w:pPr>
      <w:r>
        <w:rPr>
          <w:rFonts w:hint="eastAsia"/>
          <w:color w:val="auto"/>
        </w:rPr>
        <w:t>（</w:t>
      </w:r>
      <w:r>
        <w:rPr>
          <w:rFonts w:hint="eastAsia"/>
          <w:color w:val="auto"/>
        </w:rPr>
        <w:t>5</w:t>
      </w:r>
      <w:r>
        <w:rPr>
          <w:rFonts w:hint="eastAsia"/>
          <w:color w:val="auto"/>
        </w:rPr>
        <w:t>）运行中超压。造成超压的原因有以下几点：</w:t>
      </w:r>
    </w:p>
    <w:p w:rsidR="003F13AB" w:rsidRDefault="00EC6E7E">
      <w:pPr>
        <w:ind w:firstLine="560"/>
        <w:rPr>
          <w:color w:val="auto"/>
        </w:rPr>
      </w:pPr>
      <w:r>
        <w:rPr>
          <w:rFonts w:hint="eastAsia"/>
          <w:color w:val="auto"/>
        </w:rPr>
        <w:t>①安全附件不全或失效；</w:t>
      </w:r>
    </w:p>
    <w:p w:rsidR="003F13AB" w:rsidRDefault="00EC6E7E">
      <w:pPr>
        <w:ind w:firstLine="560"/>
        <w:rPr>
          <w:color w:val="auto"/>
        </w:rPr>
      </w:pPr>
      <w:r>
        <w:rPr>
          <w:rFonts w:hint="eastAsia"/>
          <w:color w:val="auto"/>
        </w:rPr>
        <w:t>②出汽阀关闭或关小；</w:t>
      </w:r>
    </w:p>
    <w:p w:rsidR="003F13AB" w:rsidRDefault="00EC6E7E">
      <w:pPr>
        <w:ind w:firstLine="560"/>
        <w:rPr>
          <w:color w:val="auto"/>
        </w:rPr>
      </w:pPr>
      <w:r>
        <w:rPr>
          <w:rFonts w:hint="eastAsia"/>
          <w:color w:val="auto"/>
        </w:rPr>
        <w:t>③操作人员脱岗；</w:t>
      </w:r>
    </w:p>
    <w:p w:rsidR="003F13AB" w:rsidRDefault="00EC6E7E">
      <w:pPr>
        <w:ind w:firstLine="560"/>
        <w:rPr>
          <w:color w:val="auto"/>
        </w:rPr>
      </w:pPr>
      <w:r>
        <w:rPr>
          <w:rFonts w:hint="eastAsia"/>
          <w:color w:val="auto"/>
        </w:rPr>
        <w:t>④违章超压运行。</w:t>
      </w:r>
    </w:p>
    <w:p w:rsidR="003F13AB" w:rsidRDefault="00EC6E7E">
      <w:pPr>
        <w:ind w:firstLine="560"/>
        <w:rPr>
          <w:color w:val="auto"/>
        </w:rPr>
      </w:pPr>
      <w:r>
        <w:rPr>
          <w:rFonts w:hint="eastAsia"/>
          <w:color w:val="auto"/>
        </w:rPr>
        <w:t>（</w:t>
      </w:r>
      <w:r>
        <w:rPr>
          <w:rFonts w:hint="eastAsia"/>
          <w:color w:val="auto"/>
        </w:rPr>
        <w:t>6</w:t>
      </w:r>
      <w:r>
        <w:rPr>
          <w:rFonts w:hint="eastAsia"/>
          <w:color w:val="auto"/>
        </w:rPr>
        <w:t>）锅炉较长时间缺水，锅体温度过高导致机械强度急骤降低的情况下，司炉人员违反操作规程，向炉内进水，引起爆炸。缺水事故的原因主要有：</w:t>
      </w:r>
    </w:p>
    <w:p w:rsidR="003F13AB" w:rsidRDefault="00EC6E7E">
      <w:pPr>
        <w:ind w:firstLine="560"/>
        <w:rPr>
          <w:color w:val="auto"/>
        </w:rPr>
      </w:pPr>
      <w:r>
        <w:rPr>
          <w:rFonts w:hint="eastAsia"/>
          <w:color w:val="auto"/>
        </w:rPr>
        <w:t>①水位无人监视或运行人员不注意观察水位；</w:t>
      </w:r>
    </w:p>
    <w:p w:rsidR="003F13AB" w:rsidRDefault="00EC6E7E">
      <w:pPr>
        <w:ind w:firstLine="560"/>
        <w:rPr>
          <w:color w:val="auto"/>
        </w:rPr>
      </w:pPr>
      <w:r>
        <w:rPr>
          <w:rFonts w:hint="eastAsia"/>
          <w:color w:val="auto"/>
        </w:rPr>
        <w:t>②水位表未按要求及时冲洗，汽、水连管堵塞，运行人员又未及时发现假水位或未判断出是假水位；</w:t>
      </w:r>
    </w:p>
    <w:p w:rsidR="003F13AB" w:rsidRDefault="00EC6E7E">
      <w:pPr>
        <w:ind w:firstLine="560"/>
        <w:rPr>
          <w:color w:val="auto"/>
        </w:rPr>
      </w:pPr>
      <w:r>
        <w:rPr>
          <w:rFonts w:hint="eastAsia"/>
          <w:color w:val="auto"/>
        </w:rPr>
        <w:t>③给水自动调节器和水位警报信号装置均失灵；或水源中断、给水设备损坏；</w:t>
      </w:r>
    </w:p>
    <w:p w:rsidR="003F13AB" w:rsidRDefault="00EC6E7E">
      <w:pPr>
        <w:ind w:firstLine="560"/>
        <w:rPr>
          <w:color w:val="auto"/>
        </w:rPr>
      </w:pPr>
      <w:r>
        <w:rPr>
          <w:rFonts w:hint="eastAsia"/>
          <w:color w:val="auto"/>
        </w:rPr>
        <w:t>④排污</w:t>
      </w:r>
      <w:proofErr w:type="gramStart"/>
      <w:r>
        <w:rPr>
          <w:rFonts w:hint="eastAsia"/>
          <w:color w:val="auto"/>
        </w:rPr>
        <w:t>阀严重</w:t>
      </w:r>
      <w:proofErr w:type="gramEnd"/>
      <w:r>
        <w:rPr>
          <w:rFonts w:hint="eastAsia"/>
          <w:color w:val="auto"/>
        </w:rPr>
        <w:t>渗漏及其它部位严重漏水；</w:t>
      </w:r>
    </w:p>
    <w:p w:rsidR="003F13AB" w:rsidRDefault="00EC6E7E">
      <w:pPr>
        <w:ind w:firstLine="560"/>
        <w:rPr>
          <w:color w:val="auto"/>
        </w:rPr>
      </w:pPr>
      <w:r>
        <w:rPr>
          <w:rFonts w:hint="eastAsia"/>
          <w:color w:val="auto"/>
        </w:rPr>
        <w:t>⑤排污时误操作：排污时间太长；运行人员未认真监视水位；排污后忘关排污阀。</w:t>
      </w:r>
    </w:p>
    <w:p w:rsidR="003F13AB" w:rsidRDefault="00EC6E7E">
      <w:pPr>
        <w:ind w:firstLine="560"/>
        <w:rPr>
          <w:color w:val="auto"/>
        </w:rPr>
      </w:pPr>
      <w:r>
        <w:rPr>
          <w:rFonts w:hint="eastAsia"/>
          <w:color w:val="auto"/>
        </w:rPr>
        <w:t>（</w:t>
      </w:r>
      <w:r>
        <w:rPr>
          <w:rFonts w:hint="eastAsia"/>
          <w:color w:val="auto"/>
        </w:rPr>
        <w:t>7</w:t>
      </w:r>
      <w:r>
        <w:rPr>
          <w:rFonts w:hint="eastAsia"/>
          <w:color w:val="auto"/>
        </w:rPr>
        <w:t>）运行中产生的严重缺陷，使承压能力降低。其原因主要有：</w:t>
      </w:r>
    </w:p>
    <w:p w:rsidR="003F13AB" w:rsidRDefault="00EC6E7E">
      <w:pPr>
        <w:ind w:firstLine="560"/>
        <w:rPr>
          <w:color w:val="auto"/>
        </w:rPr>
      </w:pPr>
      <w:r>
        <w:rPr>
          <w:rFonts w:hint="eastAsia"/>
          <w:color w:val="auto"/>
        </w:rPr>
        <w:t>①内外介质腐蚀造成壁厚减薄；</w:t>
      </w:r>
    </w:p>
    <w:p w:rsidR="003F13AB" w:rsidRDefault="00EC6E7E">
      <w:pPr>
        <w:ind w:firstLine="560"/>
        <w:rPr>
          <w:color w:val="auto"/>
        </w:rPr>
      </w:pPr>
      <w:r>
        <w:rPr>
          <w:rFonts w:hint="eastAsia"/>
          <w:color w:val="auto"/>
        </w:rPr>
        <w:t>②运行中产生裂纹，特别是过载裂纹、热裂纹及脆化裂纹；</w:t>
      </w:r>
    </w:p>
    <w:p w:rsidR="003F13AB" w:rsidRDefault="00EC6E7E">
      <w:pPr>
        <w:ind w:firstLine="560"/>
        <w:rPr>
          <w:color w:val="auto"/>
        </w:rPr>
      </w:pPr>
      <w:r>
        <w:rPr>
          <w:rFonts w:hint="eastAsia"/>
          <w:color w:val="auto"/>
        </w:rPr>
        <w:t>③发生严重塑性变形；</w:t>
      </w:r>
    </w:p>
    <w:p w:rsidR="003F13AB" w:rsidRDefault="00EC6E7E">
      <w:pPr>
        <w:ind w:firstLine="560"/>
        <w:rPr>
          <w:color w:val="auto"/>
        </w:rPr>
      </w:pPr>
      <w:r>
        <w:rPr>
          <w:rFonts w:hint="eastAsia"/>
          <w:color w:val="auto"/>
        </w:rPr>
        <w:t>④材质劣化，如非正常运行工况造成的珠光体球化及各种脆化等。</w:t>
      </w:r>
    </w:p>
    <w:p w:rsidR="003F13AB" w:rsidRDefault="00EC6E7E">
      <w:pPr>
        <w:ind w:firstLine="560"/>
        <w:rPr>
          <w:color w:val="auto"/>
        </w:rPr>
      </w:pPr>
      <w:r>
        <w:rPr>
          <w:rFonts w:hint="eastAsia"/>
          <w:color w:val="auto"/>
        </w:rPr>
        <w:lastRenderedPageBreak/>
        <w:t>⑤长期压力交变或温度交变引起疲劳裂纹及疲劳断裂等。</w:t>
      </w:r>
    </w:p>
    <w:p w:rsidR="003F13AB" w:rsidRDefault="00EC6E7E">
      <w:pPr>
        <w:ind w:firstLine="560"/>
        <w:rPr>
          <w:color w:val="auto"/>
        </w:rPr>
      </w:pPr>
      <w:r>
        <w:rPr>
          <w:rFonts w:hint="eastAsia"/>
          <w:color w:val="auto"/>
        </w:rPr>
        <w:t>（</w:t>
      </w:r>
      <w:r>
        <w:rPr>
          <w:rFonts w:hint="eastAsia"/>
          <w:color w:val="auto"/>
        </w:rPr>
        <w:t>8</w:t>
      </w:r>
      <w:r>
        <w:rPr>
          <w:rFonts w:hint="eastAsia"/>
          <w:color w:val="auto"/>
        </w:rPr>
        <w:t>）造成锅炉爆炸的其他事故原因</w:t>
      </w:r>
    </w:p>
    <w:p w:rsidR="003F13AB" w:rsidRDefault="00EC6E7E">
      <w:pPr>
        <w:ind w:firstLine="560"/>
        <w:rPr>
          <w:color w:val="auto"/>
        </w:rPr>
      </w:pPr>
      <w:r>
        <w:rPr>
          <w:rFonts w:hint="eastAsia"/>
          <w:color w:val="auto"/>
        </w:rPr>
        <w:t>1</w:t>
      </w:r>
      <w:r>
        <w:rPr>
          <w:rFonts w:hint="eastAsia"/>
          <w:color w:val="auto"/>
        </w:rPr>
        <w:t>）满水事故</w:t>
      </w:r>
    </w:p>
    <w:p w:rsidR="003F13AB" w:rsidRDefault="00EC6E7E">
      <w:pPr>
        <w:ind w:firstLine="560"/>
        <w:rPr>
          <w:color w:val="auto"/>
        </w:rPr>
      </w:pPr>
      <w:r>
        <w:rPr>
          <w:rFonts w:hint="eastAsia"/>
          <w:color w:val="auto"/>
        </w:rPr>
        <w:t>满水事故也是锅炉运行中的一种常见事故，严重满水事故会引起蒸汽管道水冲击，使阀门、法兰和蒸汽</w:t>
      </w:r>
      <w:proofErr w:type="gramStart"/>
      <w:r>
        <w:rPr>
          <w:rFonts w:hint="eastAsia"/>
          <w:color w:val="auto"/>
        </w:rPr>
        <w:t>管受到</w:t>
      </w:r>
      <w:proofErr w:type="gramEnd"/>
      <w:r>
        <w:rPr>
          <w:rFonts w:hint="eastAsia"/>
          <w:color w:val="auto"/>
        </w:rPr>
        <w:t>损坏甚至震裂。锅炉发生满水事故后，蒸汽带水严重，蒸汽品质恶化，过热器易积盐垢过热烧损，对用</w:t>
      </w:r>
      <w:proofErr w:type="gramStart"/>
      <w:r>
        <w:rPr>
          <w:rFonts w:hint="eastAsia"/>
          <w:color w:val="auto"/>
        </w:rPr>
        <w:t>汽部门</w:t>
      </w:r>
      <w:proofErr w:type="gramEnd"/>
      <w:r>
        <w:rPr>
          <w:rFonts w:hint="eastAsia"/>
          <w:color w:val="auto"/>
        </w:rPr>
        <w:t>的设备和产品质量可能带来严重影响。</w:t>
      </w:r>
    </w:p>
    <w:p w:rsidR="003F13AB" w:rsidRDefault="00EC6E7E">
      <w:pPr>
        <w:ind w:firstLine="560"/>
        <w:rPr>
          <w:color w:val="auto"/>
        </w:rPr>
      </w:pPr>
      <w:r>
        <w:rPr>
          <w:rFonts w:hint="eastAsia"/>
          <w:color w:val="auto"/>
        </w:rPr>
        <w:t>2</w:t>
      </w:r>
      <w:r>
        <w:rPr>
          <w:rFonts w:hint="eastAsia"/>
          <w:color w:val="auto"/>
        </w:rPr>
        <w:t>）汽水共腾事故</w:t>
      </w:r>
    </w:p>
    <w:p w:rsidR="003F13AB" w:rsidRDefault="00EC6E7E">
      <w:pPr>
        <w:ind w:firstLine="560"/>
        <w:rPr>
          <w:color w:val="auto"/>
        </w:rPr>
      </w:pPr>
      <w:r>
        <w:rPr>
          <w:rFonts w:hint="eastAsia"/>
          <w:color w:val="auto"/>
        </w:rPr>
        <w:t>所谓汽水共腾，</w:t>
      </w:r>
      <w:proofErr w:type="gramStart"/>
      <w:r>
        <w:rPr>
          <w:rFonts w:hint="eastAsia"/>
          <w:color w:val="auto"/>
        </w:rPr>
        <w:t>就是炉水表面</w:t>
      </w:r>
      <w:proofErr w:type="gramEnd"/>
      <w:r>
        <w:rPr>
          <w:rFonts w:hint="eastAsia"/>
          <w:color w:val="auto"/>
        </w:rPr>
        <w:t>泛起较严重的泡沫，在负荷增加、燃烧强化、汽水分离加剧的情况下，</w:t>
      </w:r>
      <w:proofErr w:type="gramStart"/>
      <w:r>
        <w:rPr>
          <w:rFonts w:hint="eastAsia"/>
          <w:color w:val="auto"/>
        </w:rPr>
        <w:t>炉水表面</w:t>
      </w:r>
      <w:proofErr w:type="gramEnd"/>
      <w:r>
        <w:rPr>
          <w:rFonts w:hint="eastAsia"/>
          <w:color w:val="auto"/>
        </w:rPr>
        <w:t>泡沫层发生急剧的翻腾和上下波动，水位表内出现很多汽泡和泡沫，水位模糊不清的一种现象。出现汽水共腾时，如同满水事故一样，蒸汽带水急剧增加，蒸汽管道可能发生水击，过热蒸汽温度下降。蒸汽中带有许多盐浓度很高</w:t>
      </w:r>
      <w:proofErr w:type="gramStart"/>
      <w:r>
        <w:rPr>
          <w:rFonts w:hint="eastAsia"/>
          <w:color w:val="auto"/>
        </w:rPr>
        <w:t>的炉水将</w:t>
      </w:r>
      <w:proofErr w:type="gramEnd"/>
      <w:r>
        <w:rPr>
          <w:rFonts w:hint="eastAsia"/>
          <w:color w:val="auto"/>
        </w:rPr>
        <w:t>严重影响过热器和汽轮机的安全运行。</w:t>
      </w:r>
    </w:p>
    <w:p w:rsidR="003F13AB" w:rsidRDefault="00EC6E7E">
      <w:pPr>
        <w:ind w:firstLine="560"/>
        <w:rPr>
          <w:color w:val="auto"/>
        </w:rPr>
      </w:pPr>
      <w:r>
        <w:rPr>
          <w:rFonts w:hint="eastAsia"/>
          <w:color w:val="auto"/>
        </w:rPr>
        <w:t>3</w:t>
      </w:r>
      <w:r>
        <w:rPr>
          <w:rFonts w:hint="eastAsia"/>
          <w:color w:val="auto"/>
        </w:rPr>
        <w:t>）炉管爆破事故</w:t>
      </w:r>
    </w:p>
    <w:p w:rsidR="003F13AB" w:rsidRDefault="00EC6E7E">
      <w:pPr>
        <w:ind w:firstLine="560"/>
        <w:rPr>
          <w:color w:val="auto"/>
        </w:rPr>
      </w:pPr>
      <w:r>
        <w:rPr>
          <w:rFonts w:hint="eastAsia"/>
          <w:color w:val="auto"/>
        </w:rPr>
        <w:t>炉管爆破事故主要是指水冷壁管和沸腾管束的爆破，尤以受热强度较大的水冷壁管爆破事故为常见。炉管爆破事故是锅炉运行中比较严重的事故，处理不及时，</w:t>
      </w:r>
      <w:proofErr w:type="gramStart"/>
      <w:r>
        <w:rPr>
          <w:rFonts w:hint="eastAsia"/>
          <w:color w:val="auto"/>
        </w:rPr>
        <w:t>易同时</w:t>
      </w:r>
      <w:proofErr w:type="gramEnd"/>
      <w:r>
        <w:rPr>
          <w:rFonts w:hint="eastAsia"/>
          <w:color w:val="auto"/>
        </w:rPr>
        <w:t>引起缺水事故，炉管爆破后，被迫停炉检修，影响生产正常进行，后果是严重的。</w:t>
      </w:r>
    </w:p>
    <w:p w:rsidR="003F13AB" w:rsidRDefault="00EC6E7E">
      <w:pPr>
        <w:ind w:firstLine="560"/>
        <w:rPr>
          <w:color w:val="auto"/>
        </w:rPr>
      </w:pPr>
      <w:r>
        <w:rPr>
          <w:rFonts w:hint="eastAsia"/>
          <w:color w:val="auto"/>
        </w:rPr>
        <w:t>4</w:t>
      </w:r>
      <w:r>
        <w:rPr>
          <w:rFonts w:hint="eastAsia"/>
          <w:color w:val="auto"/>
        </w:rPr>
        <w:t>）水位计损坏事故</w:t>
      </w:r>
    </w:p>
    <w:p w:rsidR="003F13AB" w:rsidRDefault="00EC6E7E">
      <w:pPr>
        <w:ind w:firstLine="560"/>
        <w:rPr>
          <w:color w:val="auto"/>
        </w:rPr>
      </w:pPr>
      <w:r>
        <w:rPr>
          <w:rFonts w:hint="eastAsia"/>
          <w:color w:val="auto"/>
        </w:rPr>
        <w:t>水位计玻璃管（板）爆管或损坏也是锅炉运行中常见的事故。水位计损坏事故虽然不能算严重事故，但往往影响锅炉的正常运行，而且发生和处理此事故时常常伤人。</w:t>
      </w:r>
    </w:p>
    <w:p w:rsidR="003F13AB" w:rsidRDefault="00EC6E7E">
      <w:pPr>
        <w:ind w:firstLine="560"/>
        <w:rPr>
          <w:color w:val="auto"/>
        </w:rPr>
      </w:pPr>
      <w:r>
        <w:rPr>
          <w:rFonts w:hint="eastAsia"/>
          <w:color w:val="auto"/>
        </w:rPr>
        <w:t>5</w:t>
      </w:r>
      <w:r>
        <w:rPr>
          <w:rFonts w:hint="eastAsia"/>
          <w:color w:val="auto"/>
        </w:rPr>
        <w:t>）水击事故</w:t>
      </w:r>
    </w:p>
    <w:p w:rsidR="003F13AB" w:rsidRDefault="00EC6E7E">
      <w:pPr>
        <w:ind w:firstLine="560"/>
        <w:rPr>
          <w:color w:val="auto"/>
        </w:rPr>
      </w:pPr>
      <w:r>
        <w:rPr>
          <w:rFonts w:hint="eastAsia"/>
          <w:color w:val="auto"/>
        </w:rPr>
        <w:t>锅炉水击事故是在锅筒、汽水管道中发生的水流剧烈撞击的一种现象。</w:t>
      </w:r>
      <w:r>
        <w:rPr>
          <w:rFonts w:hint="eastAsia"/>
          <w:color w:val="auto"/>
        </w:rPr>
        <w:lastRenderedPageBreak/>
        <w:t>水击时，常常发出很大的响声和震动。严重的水击可使部件受到损坏，阀门、法兰渗漏、震裂，甚至造成管道破裂。</w:t>
      </w:r>
    </w:p>
    <w:p w:rsidR="003F13AB" w:rsidRDefault="00EC6E7E">
      <w:pPr>
        <w:ind w:firstLine="560"/>
        <w:rPr>
          <w:color w:val="auto"/>
        </w:rPr>
      </w:pPr>
      <w:r>
        <w:rPr>
          <w:rFonts w:hint="eastAsia"/>
          <w:color w:val="auto"/>
        </w:rPr>
        <w:t>6</w:t>
      </w:r>
      <w:r>
        <w:rPr>
          <w:rFonts w:hint="eastAsia"/>
          <w:color w:val="auto"/>
        </w:rPr>
        <w:t>）锅炉操作工未持证上岗，违章操作。</w:t>
      </w:r>
    </w:p>
    <w:p w:rsidR="003F13AB" w:rsidRDefault="00EC6E7E">
      <w:pPr>
        <w:ind w:firstLine="560"/>
        <w:rPr>
          <w:color w:val="auto"/>
        </w:rPr>
      </w:pPr>
      <w:r>
        <w:rPr>
          <w:rFonts w:hint="eastAsia"/>
          <w:color w:val="auto"/>
        </w:rPr>
        <w:t>7</w:t>
      </w:r>
      <w:r>
        <w:rPr>
          <w:rFonts w:hint="eastAsia"/>
          <w:color w:val="auto"/>
        </w:rPr>
        <w:t>）锅炉炉膛及烟道爆炸</w:t>
      </w:r>
    </w:p>
    <w:p w:rsidR="003F13AB" w:rsidRDefault="00EC6E7E">
      <w:pPr>
        <w:ind w:firstLine="560"/>
        <w:rPr>
          <w:color w:val="auto"/>
        </w:rPr>
      </w:pPr>
      <w:r>
        <w:rPr>
          <w:rFonts w:hint="eastAsia"/>
          <w:color w:val="auto"/>
        </w:rPr>
        <w:t>燃烧器输气管道泄漏。如果燃烧器的管道、阀门缺陷、密封件失效，停炉时阀门未关严，在输气过程中就会出现天然气泄漏到炉膛，天然气体充满炉内达到爆炸极限，点火时造成火灾爆炸事故。</w:t>
      </w:r>
    </w:p>
    <w:p w:rsidR="003F13AB" w:rsidRDefault="00EC6E7E">
      <w:pPr>
        <w:ind w:firstLine="560"/>
        <w:rPr>
          <w:color w:val="auto"/>
        </w:rPr>
      </w:pPr>
      <w:r>
        <w:rPr>
          <w:rFonts w:hint="eastAsia"/>
          <w:color w:val="auto"/>
        </w:rPr>
        <w:t>在设计上缺乏可靠的点火装置、可靠的熄火保护装置及</w:t>
      </w:r>
      <w:proofErr w:type="gramStart"/>
      <w:r>
        <w:rPr>
          <w:rFonts w:hint="eastAsia"/>
          <w:color w:val="auto"/>
        </w:rPr>
        <w:t>联锁</w:t>
      </w:r>
      <w:proofErr w:type="gramEnd"/>
      <w:r>
        <w:rPr>
          <w:rFonts w:hint="eastAsia"/>
          <w:color w:val="auto"/>
        </w:rPr>
        <w:t>、报警、和跳闸系统，保护、检测装置不完善。如果设备不完善，没有点火灭火保护装置和火焰检测装置，如果发生漏气现象，天然气体充满炉内达到爆炸极限，点火时可引起燃烧、爆炸。锅炉开车点火时和停炉后重新点火时炉膛内可燃气体未置换合格，天然气气体达到爆炸极限时，点火时可引起爆炸。</w:t>
      </w:r>
    </w:p>
    <w:p w:rsidR="003F13AB" w:rsidRDefault="00EC6E7E">
      <w:pPr>
        <w:ind w:firstLine="560"/>
        <w:rPr>
          <w:color w:val="auto"/>
        </w:rPr>
      </w:pPr>
      <w:r>
        <w:rPr>
          <w:rFonts w:hint="eastAsia"/>
          <w:color w:val="auto"/>
        </w:rPr>
        <w:t>在运行过程中操作人员误判断，误操作。</w:t>
      </w:r>
    </w:p>
    <w:p w:rsidR="003F13AB" w:rsidRDefault="00EC6E7E">
      <w:pPr>
        <w:ind w:firstLine="560"/>
        <w:rPr>
          <w:color w:val="auto"/>
        </w:rPr>
      </w:pPr>
      <w:r>
        <w:rPr>
          <w:rFonts w:hint="eastAsia"/>
          <w:color w:val="auto"/>
        </w:rPr>
        <w:t>点火不当。在点火时，如果出现熄火时未能及时切断气源、配气管未进行可燃气体吹扫的情况下，促使炉膛内可燃气体浓度增加达到爆炸极限，则再次点火时可引起爆炸。</w:t>
      </w:r>
    </w:p>
    <w:p w:rsidR="003F13AB" w:rsidRDefault="00EC6E7E">
      <w:pPr>
        <w:ind w:firstLine="560"/>
        <w:rPr>
          <w:color w:val="auto"/>
        </w:rPr>
      </w:pPr>
      <w:r>
        <w:rPr>
          <w:rFonts w:hint="eastAsia"/>
          <w:color w:val="auto"/>
        </w:rPr>
        <w:t>燃烧器出力不稳定，造成火焰不稳定；燃烧器出力过大，会出现，相反则回火，如继续输入天然气体，达到顶点，可引起爆炸。</w:t>
      </w:r>
    </w:p>
    <w:p w:rsidR="003F13AB" w:rsidRDefault="00EC6E7E">
      <w:pPr>
        <w:ind w:firstLine="560"/>
        <w:rPr>
          <w:color w:val="auto"/>
        </w:rPr>
      </w:pPr>
      <w:r>
        <w:rPr>
          <w:rFonts w:hint="eastAsia"/>
          <w:color w:val="auto"/>
        </w:rPr>
        <w:t>天然气供气压力突然升高，会造成燃烧器脱火，大量天然气进入高温炉膛可引起爆炸事故。</w:t>
      </w:r>
    </w:p>
    <w:p w:rsidR="003F13AB" w:rsidRDefault="00EC6E7E">
      <w:pPr>
        <w:ind w:firstLine="560"/>
        <w:rPr>
          <w:color w:val="auto"/>
        </w:rPr>
      </w:pPr>
      <w:r>
        <w:rPr>
          <w:rFonts w:hint="eastAsia"/>
          <w:color w:val="auto"/>
        </w:rPr>
        <w:t>天然气供气压力突然降低，</w:t>
      </w:r>
      <w:proofErr w:type="gramStart"/>
      <w:r>
        <w:rPr>
          <w:rFonts w:hint="eastAsia"/>
          <w:color w:val="auto"/>
        </w:rPr>
        <w:t>造成造成</w:t>
      </w:r>
      <w:proofErr w:type="gramEnd"/>
      <w:r>
        <w:rPr>
          <w:rFonts w:hint="eastAsia"/>
          <w:color w:val="auto"/>
        </w:rPr>
        <w:t>火焰不稳定，易发生熄火；如发生熄火则天然气在高温炉膛内积聚，浓度增加达到爆炸极限，则可引起爆炸；如发生熄火时天然气供气压力突然升高，大量天然气进入高温炉膛可引起爆炸事故。</w:t>
      </w:r>
    </w:p>
    <w:p w:rsidR="003F13AB" w:rsidRDefault="00EC6E7E">
      <w:pPr>
        <w:ind w:firstLine="560"/>
        <w:rPr>
          <w:color w:val="auto"/>
        </w:rPr>
      </w:pPr>
      <w:r>
        <w:rPr>
          <w:rFonts w:hint="eastAsia"/>
          <w:color w:val="auto"/>
        </w:rPr>
        <w:lastRenderedPageBreak/>
        <w:t>天然气供气压力突然失压，会造成回火。</w:t>
      </w:r>
    </w:p>
    <w:p w:rsidR="003F13AB" w:rsidRDefault="00EC6E7E">
      <w:pPr>
        <w:ind w:firstLine="560"/>
        <w:rPr>
          <w:color w:val="auto"/>
        </w:rPr>
      </w:pPr>
      <w:r>
        <w:rPr>
          <w:rFonts w:hint="eastAsia"/>
          <w:color w:val="auto"/>
        </w:rPr>
        <w:t>突然停电、鼓风机故障、引风机故障时，燃气未能及时截断，造成天然气燃烧不完全，在炉膛和烟道中积聚达到爆炸极限可引起火灾、爆炸。</w:t>
      </w:r>
    </w:p>
    <w:p w:rsidR="003F13AB" w:rsidRDefault="00EC6E7E">
      <w:pPr>
        <w:ind w:firstLine="560"/>
        <w:rPr>
          <w:color w:val="auto"/>
        </w:rPr>
      </w:pPr>
      <w:r>
        <w:rPr>
          <w:rFonts w:hint="eastAsia"/>
          <w:color w:val="auto"/>
        </w:rPr>
        <w:t>8</w:t>
      </w:r>
      <w:r>
        <w:rPr>
          <w:rFonts w:hint="eastAsia"/>
          <w:color w:val="auto"/>
        </w:rPr>
        <w:t>）锅炉给水水质对锅炉运行安全的影响</w:t>
      </w:r>
    </w:p>
    <w:p w:rsidR="003F13AB" w:rsidRDefault="00EC6E7E">
      <w:pPr>
        <w:ind w:firstLine="560"/>
        <w:rPr>
          <w:color w:val="auto"/>
        </w:rPr>
      </w:pPr>
      <w:r>
        <w:rPr>
          <w:rFonts w:hint="eastAsia"/>
          <w:color w:val="auto"/>
        </w:rPr>
        <w:t>水质处理是保证锅炉安全、经济运行的重要措施之一。锅炉给水如不处理或处理不当</w:t>
      </w:r>
      <w:r>
        <w:rPr>
          <w:rFonts w:hint="eastAsia"/>
          <w:color w:val="auto"/>
        </w:rPr>
        <w:t>,</w:t>
      </w:r>
      <w:r>
        <w:rPr>
          <w:rFonts w:hint="eastAsia"/>
          <w:color w:val="auto"/>
        </w:rPr>
        <w:t>在受热面上就</w:t>
      </w:r>
      <w:proofErr w:type="gramStart"/>
      <w:r>
        <w:rPr>
          <w:rFonts w:hint="eastAsia"/>
          <w:color w:val="auto"/>
        </w:rPr>
        <w:t>会结生水垢</w:t>
      </w:r>
      <w:proofErr w:type="gramEnd"/>
      <w:r>
        <w:rPr>
          <w:rFonts w:hint="eastAsia"/>
          <w:color w:val="auto"/>
        </w:rPr>
        <w:t>,</w:t>
      </w:r>
      <w:r>
        <w:rPr>
          <w:rFonts w:hint="eastAsia"/>
          <w:color w:val="auto"/>
        </w:rPr>
        <w:t>不仅使传热效率降低、检修清理困难，严重时甚至会堵塞受热面管道，引起锅炉爆管。水质不好，特别是</w:t>
      </w:r>
      <w:r>
        <w:rPr>
          <w:rFonts w:hint="eastAsia"/>
          <w:color w:val="auto"/>
        </w:rPr>
        <w:t>PH</w:t>
      </w:r>
      <w:r>
        <w:rPr>
          <w:rFonts w:hint="eastAsia"/>
          <w:color w:val="auto"/>
        </w:rPr>
        <w:t>值低、含氧量高的水，还会对锅炉金属产生腐蚀，造成管子泄漏，甚至引起锅炉爆炸。</w:t>
      </w:r>
    </w:p>
    <w:p w:rsidR="003F13AB" w:rsidRDefault="00EC6E7E">
      <w:pPr>
        <w:pStyle w:val="3"/>
      </w:pPr>
      <w:bookmarkStart w:id="257" w:name="_Toc187914465"/>
      <w:r>
        <w:rPr>
          <w:rFonts w:hint="eastAsia"/>
        </w:rPr>
        <w:t>2.3.3容器爆炸和压力管道爆炸危险性分析</w:t>
      </w:r>
      <w:bookmarkEnd w:id="257"/>
    </w:p>
    <w:p w:rsidR="003F13AB" w:rsidRDefault="00EC6E7E">
      <w:pPr>
        <w:ind w:firstLine="560"/>
      </w:pPr>
      <w:r>
        <w:rPr>
          <w:rFonts w:hint="eastAsia"/>
        </w:rPr>
        <w:t>项目所用的天然气蒸汽锅炉配备的蒸汽分气缸、连续排污扩容器、定期排污扩容器以及空压机附带的空气储罐等</w:t>
      </w:r>
      <w:proofErr w:type="gramStart"/>
      <w:r>
        <w:rPr>
          <w:rFonts w:hint="eastAsia"/>
        </w:rPr>
        <w:t>属压力</w:t>
      </w:r>
      <w:proofErr w:type="gramEnd"/>
      <w:r>
        <w:rPr>
          <w:rFonts w:hint="eastAsia"/>
        </w:rPr>
        <w:t>容器，生产过程中若发生操作失误；设计、制造、安装质量差；未按规定进行定期检验；压力表、安全阀未定期校验而失效，致压力表不能正确指示，安全阀超压不能起跳；压力超限等均可导致压力容器超压爆炸。</w:t>
      </w:r>
    </w:p>
    <w:p w:rsidR="003F13AB" w:rsidRDefault="00EC6E7E">
      <w:pPr>
        <w:ind w:firstLine="560"/>
      </w:pPr>
      <w:r>
        <w:rPr>
          <w:rFonts w:hint="eastAsia"/>
        </w:rPr>
        <w:t>生产过程中使用的蒸汽管道等</w:t>
      </w:r>
      <w:proofErr w:type="gramStart"/>
      <w:r>
        <w:rPr>
          <w:rFonts w:hint="eastAsia"/>
        </w:rPr>
        <w:t>属压力</w:t>
      </w:r>
      <w:proofErr w:type="gramEnd"/>
      <w:r>
        <w:rPr>
          <w:rFonts w:hint="eastAsia"/>
        </w:rPr>
        <w:t>管道。生产过程中若发生操作失误；设计、制造、安装质量差；未按规定进行定期检验；压力表、安全阀未定期校验而失效，导致压力表不能正确指示，安全阀超压不能起跳；压力超限等均可导致压力管道发生爆炸。</w:t>
      </w:r>
    </w:p>
    <w:p w:rsidR="003F13AB" w:rsidRDefault="00EC6E7E">
      <w:pPr>
        <w:ind w:firstLine="560"/>
      </w:pPr>
      <w:r>
        <w:rPr>
          <w:rFonts w:hint="eastAsia"/>
        </w:rPr>
        <w:t>综上所述，蒸汽分汽缸、连续排污扩容器、定期排污扩容器、空压机附带的空气储罐等设备存在发生容器爆炸的可能；蒸汽管道等压力管道存在发生压力管道爆炸的可能。</w:t>
      </w:r>
    </w:p>
    <w:p w:rsidR="003F13AB" w:rsidRDefault="00EC6E7E">
      <w:pPr>
        <w:pStyle w:val="3"/>
      </w:pPr>
      <w:bookmarkStart w:id="258" w:name="_Toc187914466"/>
      <w:r>
        <w:rPr>
          <w:rFonts w:hint="eastAsia"/>
        </w:rPr>
        <w:t>2.3.4高温灼伤和化学灼伤危险性分析</w:t>
      </w:r>
      <w:bookmarkEnd w:id="258"/>
    </w:p>
    <w:p w:rsidR="003F13AB" w:rsidRDefault="00EC6E7E">
      <w:pPr>
        <w:ind w:firstLine="560"/>
      </w:pPr>
      <w:r>
        <w:rPr>
          <w:rFonts w:hint="eastAsia"/>
        </w:rPr>
        <w:t>项目设有蒸汽锅炉、热风炉、烘干筒和熔融槽，存在高温设备和高温管道，若防护设施设置不当，或未采取有效保温、隔热措施等，或管道发</w:t>
      </w:r>
      <w:r>
        <w:rPr>
          <w:rFonts w:hint="eastAsia"/>
        </w:rPr>
        <w:lastRenderedPageBreak/>
        <w:t>生破裂、爆炸或法兰、阀门等发生泄漏、操作、管理不当或人体不慎接触，均有对作业人员造成灼伤的危险。在对高温设备进行检修、清理时若没有进行充分的降温冷却、个体防护措施不当，都有可能发生高温烫伤的危险。</w:t>
      </w:r>
    </w:p>
    <w:p w:rsidR="003F13AB" w:rsidRDefault="00EC6E7E">
      <w:pPr>
        <w:ind w:firstLine="560"/>
      </w:pPr>
      <w:r>
        <w:rPr>
          <w:rFonts w:hint="eastAsia"/>
        </w:rPr>
        <w:t>项目所用的固体物质尿素、氯化铵、硫酸铵、磷酸</w:t>
      </w:r>
      <w:proofErr w:type="gramStart"/>
      <w:r>
        <w:rPr>
          <w:rFonts w:hint="eastAsia"/>
        </w:rPr>
        <w:t>一</w:t>
      </w:r>
      <w:proofErr w:type="gramEnd"/>
      <w:r>
        <w:rPr>
          <w:rFonts w:hint="eastAsia"/>
        </w:rPr>
        <w:t>铵对眼</w:t>
      </w:r>
      <w:proofErr w:type="gramStart"/>
      <w:r>
        <w:rPr>
          <w:rFonts w:hint="eastAsia"/>
        </w:rPr>
        <w:t>睛和</w:t>
      </w:r>
      <w:proofErr w:type="gramEnd"/>
      <w:r>
        <w:rPr>
          <w:rFonts w:hint="eastAsia"/>
        </w:rPr>
        <w:t>皮肤有腐蚀刺激性，若这些物质粉尘不慎接触现场巡检和维护人员的眼睛和皮肤，可能导致化学灼伤事故。</w:t>
      </w:r>
    </w:p>
    <w:p w:rsidR="003F13AB" w:rsidRDefault="00EC6E7E">
      <w:pPr>
        <w:pStyle w:val="3"/>
      </w:pPr>
      <w:bookmarkStart w:id="259" w:name="_Toc187914467"/>
      <w:r>
        <w:rPr>
          <w:rFonts w:hint="eastAsia"/>
        </w:rPr>
        <w:t>2.3.5中毒和窒息危险性分析</w:t>
      </w:r>
      <w:bookmarkEnd w:id="259"/>
    </w:p>
    <w:p w:rsidR="003F13AB" w:rsidRDefault="00EC6E7E">
      <w:pPr>
        <w:ind w:firstLine="560"/>
      </w:pPr>
      <w:r>
        <w:rPr>
          <w:rFonts w:hint="eastAsia"/>
        </w:rPr>
        <w:t>柴油具有刺激性毒性。吸入可引起吸入性肺炎，皮肤接触可引起接触性皮炎、油性痤疮。柴油废气可引起眼鼻刺激症状、头痛及头晕。</w:t>
      </w:r>
    </w:p>
    <w:p w:rsidR="003F13AB" w:rsidRDefault="00EC6E7E">
      <w:pPr>
        <w:ind w:firstLine="560"/>
      </w:pPr>
      <w:r>
        <w:rPr>
          <w:rFonts w:hint="eastAsia"/>
        </w:rPr>
        <w:t>锅炉的燃气和烟气成分十分复杂，含有甲烷、一氧化碳、硫化氢气体、二氧化碳、烃类、氮氧化物等有害气体，均可能造成人员中毒和窒息伤害事故。</w:t>
      </w:r>
    </w:p>
    <w:p w:rsidR="003F13AB" w:rsidRDefault="00EC6E7E">
      <w:pPr>
        <w:ind w:firstLine="560"/>
      </w:pPr>
      <w:r>
        <w:rPr>
          <w:rFonts w:hint="eastAsia"/>
        </w:rPr>
        <w:t>天然气供气系统发生泄漏时，在泄漏点附近可能造成人员中毒和窒息伤害事故。</w:t>
      </w:r>
    </w:p>
    <w:p w:rsidR="003F13AB" w:rsidRDefault="00EC6E7E">
      <w:pPr>
        <w:ind w:firstLine="560"/>
      </w:pPr>
      <w:r>
        <w:rPr>
          <w:rFonts w:hint="eastAsia"/>
        </w:rPr>
        <w:t>在锅炉、烟道、设备检维修和事故处理时，在有限空间条件下作业时，若未进行气体置换和气体分析；与作业区域连接的设备、管道等未采取有效的隔断措施；个人防护措施不到位等；泄漏等常会引发中毒和窒息事故。</w:t>
      </w:r>
    </w:p>
    <w:p w:rsidR="003F13AB" w:rsidRDefault="00EC6E7E">
      <w:pPr>
        <w:pStyle w:val="3"/>
      </w:pPr>
      <w:bookmarkStart w:id="260" w:name="_Toc187914468"/>
      <w:r>
        <w:rPr>
          <w:rFonts w:hint="eastAsia"/>
        </w:rPr>
        <w:t>2.3.6起重伤害危险性分析</w:t>
      </w:r>
      <w:bookmarkEnd w:id="260"/>
    </w:p>
    <w:p w:rsidR="003F13AB" w:rsidRDefault="00EC6E7E">
      <w:pPr>
        <w:ind w:firstLine="560"/>
      </w:pPr>
      <w:r>
        <w:rPr>
          <w:rFonts w:hint="eastAsia"/>
        </w:rPr>
        <w:t>项目生产过程中使用到提升机等设备，存在发生起重伤害的可能。一般发生起重伤害的原因主要有：</w:t>
      </w:r>
    </w:p>
    <w:p w:rsidR="003F13AB" w:rsidRDefault="00EC6E7E">
      <w:pPr>
        <w:ind w:firstLine="560"/>
      </w:pPr>
      <w:r>
        <w:rPr>
          <w:rFonts w:hint="eastAsia"/>
        </w:rPr>
        <w:t>（</w:t>
      </w:r>
      <w:r>
        <w:rPr>
          <w:rFonts w:hint="eastAsia"/>
        </w:rPr>
        <w:t>1</w:t>
      </w:r>
      <w:r>
        <w:rPr>
          <w:rFonts w:hint="eastAsia"/>
        </w:rPr>
        <w:t>）脱钩</w:t>
      </w:r>
    </w:p>
    <w:p w:rsidR="003F13AB" w:rsidRDefault="00EC6E7E">
      <w:pPr>
        <w:ind w:firstLine="560"/>
      </w:pPr>
      <w:r>
        <w:rPr>
          <w:rFonts w:hint="eastAsia"/>
        </w:rPr>
        <w:t>起重工在吊运物体时，因现场无人指挥，</w:t>
      </w:r>
      <w:proofErr w:type="gramStart"/>
      <w:r>
        <w:rPr>
          <w:rFonts w:hint="eastAsia"/>
        </w:rPr>
        <w:t>吊物下降</w:t>
      </w:r>
      <w:proofErr w:type="gramEnd"/>
      <w:r>
        <w:rPr>
          <w:rFonts w:hint="eastAsia"/>
        </w:rPr>
        <w:t>过快造成脱钩；有时在吊运中因起吊物体不稳，使吊钩在空中悠荡，在悠荡过程中钩</w:t>
      </w:r>
      <w:proofErr w:type="gramStart"/>
      <w:r>
        <w:rPr>
          <w:rFonts w:hint="eastAsia"/>
        </w:rPr>
        <w:t>头由于</w:t>
      </w:r>
      <w:proofErr w:type="gramEnd"/>
      <w:r>
        <w:rPr>
          <w:rFonts w:hint="eastAsia"/>
        </w:rPr>
        <w:t>离心惯性力甩出而引起脱钩事故。行车因操作不稳，紧急起动、制动都有可能引起钩头惯性飞出。具有主、副钩头的行车吊运重物时，当另一不用</w:t>
      </w:r>
      <w:r>
        <w:rPr>
          <w:rFonts w:hint="eastAsia"/>
        </w:rPr>
        <w:lastRenderedPageBreak/>
        <w:t>钩头挂在吊索的小圈上时，因钩</w:t>
      </w:r>
      <w:proofErr w:type="gramStart"/>
      <w:r>
        <w:rPr>
          <w:rFonts w:hint="eastAsia"/>
        </w:rPr>
        <w:t>头粗不容易</w:t>
      </w:r>
      <w:proofErr w:type="gramEnd"/>
      <w:r>
        <w:rPr>
          <w:rFonts w:hint="eastAsia"/>
        </w:rPr>
        <w:t>插牢在圈环内，在操作和振动、摆动时，由于离心惯性力的作用，而引起钩头脱出坠落伤人。</w:t>
      </w:r>
    </w:p>
    <w:p w:rsidR="003F13AB" w:rsidRDefault="00EC6E7E">
      <w:pPr>
        <w:ind w:firstLine="560"/>
      </w:pPr>
      <w:r>
        <w:rPr>
          <w:rFonts w:hint="eastAsia"/>
        </w:rPr>
        <w:t>（</w:t>
      </w:r>
      <w:r>
        <w:rPr>
          <w:rFonts w:hint="eastAsia"/>
        </w:rPr>
        <w:t>2</w:t>
      </w:r>
      <w:r>
        <w:rPr>
          <w:rFonts w:hint="eastAsia"/>
        </w:rPr>
        <w:t>）钢丝绳折断</w:t>
      </w:r>
    </w:p>
    <w:p w:rsidR="003F13AB" w:rsidRDefault="00EC6E7E">
      <w:pPr>
        <w:ind w:firstLine="560"/>
      </w:pPr>
      <w:r>
        <w:rPr>
          <w:rFonts w:hint="eastAsia"/>
        </w:rPr>
        <w:t>钢丝绳发生折断的原因很多，其主要和常见的原因是：操作前没有对钢丝绳进行安全技术检验或认真检查，对已断丝的钢丝绳没有按钢丝绳报废标准处理或降低负荷使用，吊运时严重超负荷等。</w:t>
      </w:r>
    </w:p>
    <w:p w:rsidR="003F13AB" w:rsidRDefault="00EC6E7E">
      <w:pPr>
        <w:ind w:firstLine="560"/>
      </w:pPr>
      <w:r>
        <w:rPr>
          <w:rFonts w:hint="eastAsia"/>
        </w:rPr>
        <w:t>（</w:t>
      </w:r>
      <w:r>
        <w:rPr>
          <w:rFonts w:hint="eastAsia"/>
        </w:rPr>
        <w:t>3</w:t>
      </w:r>
      <w:r>
        <w:rPr>
          <w:rFonts w:hint="eastAsia"/>
        </w:rPr>
        <w:t>）安全防护装置缺乏或失灵</w:t>
      </w:r>
    </w:p>
    <w:p w:rsidR="003F13AB" w:rsidRDefault="00EC6E7E">
      <w:pPr>
        <w:ind w:firstLine="560"/>
      </w:pPr>
      <w:r>
        <w:rPr>
          <w:rFonts w:hint="eastAsia"/>
        </w:rPr>
        <w:t>起重机械的安全装置（制动器、缓冲器、行</w:t>
      </w:r>
      <w:proofErr w:type="gramStart"/>
      <w:r>
        <w:rPr>
          <w:rFonts w:hint="eastAsia"/>
        </w:rPr>
        <w:t>程限位器</w:t>
      </w:r>
      <w:proofErr w:type="gramEnd"/>
      <w:r>
        <w:rPr>
          <w:rFonts w:hint="eastAsia"/>
        </w:rPr>
        <w:t>、起重量限制器、防护罩等）是各类起重机所不可缺少的。因安全装置缺乏或失灵又未检修时，这种装置便起不到安全防护作用。因操作不慎和超负荷等原因，将发生翻车、碰撞、钢丝绳折断等事故，起重机械上的齿轮和传动轴，没有设置安全罩或其它安全设施，会卷进人的衣服。</w:t>
      </w:r>
    </w:p>
    <w:p w:rsidR="003F13AB" w:rsidRDefault="00EC6E7E">
      <w:pPr>
        <w:ind w:firstLine="560"/>
      </w:pPr>
      <w:r>
        <w:rPr>
          <w:rFonts w:hint="eastAsia"/>
        </w:rPr>
        <w:t>（</w:t>
      </w:r>
      <w:r>
        <w:rPr>
          <w:rFonts w:hint="eastAsia"/>
        </w:rPr>
        <w:t>4</w:t>
      </w:r>
      <w:r>
        <w:rPr>
          <w:rFonts w:hint="eastAsia"/>
        </w:rPr>
        <w:t>）</w:t>
      </w:r>
      <w:proofErr w:type="gramStart"/>
      <w:r>
        <w:rPr>
          <w:rFonts w:hint="eastAsia"/>
        </w:rPr>
        <w:t>吊物坠落</w:t>
      </w:r>
      <w:proofErr w:type="gramEnd"/>
    </w:p>
    <w:p w:rsidR="003F13AB" w:rsidRDefault="00EC6E7E">
      <w:pPr>
        <w:ind w:firstLine="560"/>
      </w:pPr>
      <w:r>
        <w:rPr>
          <w:rFonts w:hint="eastAsia"/>
        </w:rPr>
        <w:t>起重机吊运物体时，由于某种原因，物体突然坠落，将地面的人员砸伤或砸死，这种事故一般是惨痛的，因为坠落的重物一般都是击中人的头部（立姿）或腰部（蹲姿）。在有行车的厂房，由于生产噪声的掩盖，地面人员往往听不到指挥信号或思想麻痹，不能迅速避让，因而导致物体坠落伤人。</w:t>
      </w:r>
    </w:p>
    <w:p w:rsidR="003F13AB" w:rsidRDefault="00EC6E7E">
      <w:pPr>
        <w:ind w:firstLine="560"/>
      </w:pPr>
      <w:r>
        <w:rPr>
          <w:rFonts w:hint="eastAsia"/>
        </w:rPr>
        <w:t>（</w:t>
      </w:r>
      <w:r>
        <w:rPr>
          <w:rFonts w:hint="eastAsia"/>
        </w:rPr>
        <w:t>5</w:t>
      </w:r>
      <w:r>
        <w:rPr>
          <w:rFonts w:hint="eastAsia"/>
        </w:rPr>
        <w:t>）碰撞致伤</w:t>
      </w:r>
    </w:p>
    <w:p w:rsidR="003F13AB" w:rsidRDefault="00EC6E7E">
      <w:pPr>
        <w:ind w:firstLine="560"/>
      </w:pPr>
      <w:r>
        <w:rPr>
          <w:rFonts w:hint="eastAsia"/>
        </w:rPr>
        <w:t>物体在吊运中，因碰撞或刹车等原因，</w:t>
      </w:r>
      <w:proofErr w:type="gramStart"/>
      <w:r>
        <w:rPr>
          <w:rFonts w:hint="eastAsia"/>
        </w:rPr>
        <w:t>使吊件</w:t>
      </w:r>
      <w:proofErr w:type="gramEnd"/>
      <w:r>
        <w:rPr>
          <w:rFonts w:hint="eastAsia"/>
        </w:rPr>
        <w:t>在空中悠荡，吊件撞倒设备或积物而引起事故，撞击力大，故后果比较严重。</w:t>
      </w:r>
    </w:p>
    <w:p w:rsidR="003F13AB" w:rsidRDefault="00EC6E7E">
      <w:pPr>
        <w:ind w:firstLine="560"/>
      </w:pPr>
      <w:r>
        <w:rPr>
          <w:rFonts w:hint="eastAsia"/>
        </w:rPr>
        <w:t>（</w:t>
      </w:r>
      <w:r>
        <w:rPr>
          <w:rFonts w:hint="eastAsia"/>
        </w:rPr>
        <w:t>6</w:t>
      </w:r>
      <w:r>
        <w:rPr>
          <w:rFonts w:hint="eastAsia"/>
        </w:rPr>
        <w:t>）指挥信号不明或乱指挥</w:t>
      </w:r>
    </w:p>
    <w:p w:rsidR="003F13AB" w:rsidRDefault="00EC6E7E">
      <w:pPr>
        <w:ind w:firstLine="560"/>
      </w:pPr>
      <w:r>
        <w:rPr>
          <w:rFonts w:hint="eastAsia"/>
        </w:rPr>
        <w:t>现场起吊时，指挥者乱指挥或指挥信号不明时，易使现场起重人员产生错误判断或错误操作，尤其当两个单位在同一场地操作时，因各自的指挥信号不同引起的错误操作往往会产生严重后果。</w:t>
      </w:r>
    </w:p>
    <w:p w:rsidR="003F13AB" w:rsidRDefault="00EC6E7E">
      <w:pPr>
        <w:ind w:firstLine="560"/>
      </w:pPr>
      <w:r>
        <w:rPr>
          <w:rFonts w:hint="eastAsia"/>
        </w:rPr>
        <w:lastRenderedPageBreak/>
        <w:t>（</w:t>
      </w:r>
      <w:r>
        <w:rPr>
          <w:rFonts w:hint="eastAsia"/>
        </w:rPr>
        <w:t>7</w:t>
      </w:r>
      <w:r>
        <w:rPr>
          <w:rFonts w:hint="eastAsia"/>
        </w:rPr>
        <w:t>）</w:t>
      </w:r>
      <w:proofErr w:type="gramStart"/>
      <w:r>
        <w:rPr>
          <w:rFonts w:hint="eastAsia"/>
        </w:rPr>
        <w:t>吊物上面</w:t>
      </w:r>
      <w:proofErr w:type="gramEnd"/>
      <w:r>
        <w:rPr>
          <w:rFonts w:hint="eastAsia"/>
        </w:rPr>
        <w:t>站人</w:t>
      </w:r>
    </w:p>
    <w:p w:rsidR="003F13AB" w:rsidRDefault="00EC6E7E">
      <w:pPr>
        <w:ind w:firstLine="560"/>
      </w:pPr>
      <w:r>
        <w:rPr>
          <w:rFonts w:hint="eastAsia"/>
        </w:rPr>
        <w:t>在物体吊起后失去平衡，将重物放下重新起吊时，有少数起重工特别是青年人怕麻烦，图省事，违章站在重物上以求平衡，当起重机一旦发生紧急制动剧烈振动时，站在</w:t>
      </w:r>
      <w:proofErr w:type="gramStart"/>
      <w:r>
        <w:rPr>
          <w:rFonts w:hint="eastAsia"/>
        </w:rPr>
        <w:t>起吊物</w:t>
      </w:r>
      <w:proofErr w:type="gramEnd"/>
      <w:r>
        <w:rPr>
          <w:rFonts w:hint="eastAsia"/>
        </w:rPr>
        <w:t>上的人随之跌下或被物体碰倒以及被</w:t>
      </w:r>
      <w:proofErr w:type="gramStart"/>
      <w:r>
        <w:rPr>
          <w:rFonts w:hint="eastAsia"/>
        </w:rPr>
        <w:t>起吊物</w:t>
      </w:r>
      <w:proofErr w:type="gramEnd"/>
      <w:r>
        <w:rPr>
          <w:rFonts w:hint="eastAsia"/>
        </w:rPr>
        <w:t>压伤。</w:t>
      </w:r>
    </w:p>
    <w:p w:rsidR="003F13AB" w:rsidRDefault="00EC6E7E">
      <w:pPr>
        <w:ind w:firstLine="560"/>
      </w:pPr>
      <w:r>
        <w:rPr>
          <w:rFonts w:hint="eastAsia"/>
        </w:rPr>
        <w:t>（</w:t>
      </w:r>
      <w:r>
        <w:rPr>
          <w:rFonts w:hint="eastAsia"/>
        </w:rPr>
        <w:t>8</w:t>
      </w:r>
      <w:r>
        <w:rPr>
          <w:rFonts w:hint="eastAsia"/>
        </w:rPr>
        <w:t>）工件紧固不牢</w:t>
      </w:r>
    </w:p>
    <w:p w:rsidR="003F13AB" w:rsidRDefault="00EC6E7E">
      <w:pPr>
        <w:ind w:firstLine="560"/>
      </w:pPr>
      <w:r>
        <w:rPr>
          <w:rFonts w:hint="eastAsia"/>
        </w:rPr>
        <w:t>当起吊散装金属物体或工件时，若没有捆扎牢固，吊运或搬运过程中零星小件会脱落坠下，极易碰伤自己或别人。</w:t>
      </w:r>
    </w:p>
    <w:p w:rsidR="003F13AB" w:rsidRDefault="00EC6E7E">
      <w:pPr>
        <w:ind w:firstLine="560"/>
      </w:pPr>
      <w:r>
        <w:rPr>
          <w:rFonts w:hint="eastAsia"/>
        </w:rPr>
        <w:t>（</w:t>
      </w:r>
      <w:r>
        <w:rPr>
          <w:rFonts w:hint="eastAsia"/>
        </w:rPr>
        <w:t>9</w:t>
      </w:r>
      <w:r>
        <w:rPr>
          <w:rFonts w:hint="eastAsia"/>
        </w:rPr>
        <w:t>）光线阴暗看不清物体</w:t>
      </w:r>
    </w:p>
    <w:p w:rsidR="003F13AB" w:rsidRDefault="00EC6E7E">
      <w:pPr>
        <w:ind w:firstLine="560"/>
      </w:pPr>
      <w:r>
        <w:rPr>
          <w:rFonts w:hint="eastAsia"/>
        </w:rPr>
        <w:t>如起重现场能见度差，晚间光线太暗或眩目刺眼，看不清物体和周围障碍物，这是发生事故的隐患之一。</w:t>
      </w:r>
    </w:p>
    <w:p w:rsidR="003F13AB" w:rsidRDefault="00EC6E7E">
      <w:pPr>
        <w:ind w:firstLine="560"/>
      </w:pPr>
      <w:r>
        <w:rPr>
          <w:rFonts w:hint="eastAsia"/>
        </w:rPr>
        <w:t>（</w:t>
      </w:r>
      <w:r>
        <w:rPr>
          <w:rFonts w:hint="eastAsia"/>
        </w:rPr>
        <w:t>10</w:t>
      </w:r>
      <w:r>
        <w:rPr>
          <w:rFonts w:hint="eastAsia"/>
        </w:rPr>
        <w:t>）起重设备带病运转</w:t>
      </w:r>
    </w:p>
    <w:p w:rsidR="003F13AB" w:rsidRDefault="00EC6E7E">
      <w:pPr>
        <w:ind w:firstLine="560"/>
      </w:pPr>
      <w:r>
        <w:rPr>
          <w:rFonts w:hint="eastAsia"/>
        </w:rPr>
        <w:t>设备带病运转，不仅缩短了起重设备的使用寿命或修理周期，更为严重的是设备在带病运转过程中，可以导致发生许多设备和人身事故。</w:t>
      </w:r>
    </w:p>
    <w:p w:rsidR="003F13AB" w:rsidRDefault="00EC6E7E">
      <w:pPr>
        <w:ind w:firstLine="560"/>
      </w:pPr>
      <w:r>
        <w:rPr>
          <w:rFonts w:hint="eastAsia"/>
        </w:rPr>
        <w:t>（</w:t>
      </w:r>
      <w:r>
        <w:rPr>
          <w:rFonts w:hint="eastAsia"/>
        </w:rPr>
        <w:t>11</w:t>
      </w:r>
      <w:r>
        <w:rPr>
          <w:rFonts w:hint="eastAsia"/>
        </w:rPr>
        <w:t>）人为事故因素</w:t>
      </w:r>
    </w:p>
    <w:p w:rsidR="003F13AB" w:rsidRDefault="00EC6E7E">
      <w:pPr>
        <w:ind w:firstLine="560"/>
      </w:pPr>
      <w:r>
        <w:rPr>
          <w:rFonts w:hint="eastAsia"/>
        </w:rPr>
        <w:t>起重机械操作人员在操作时违规操作或操作人员未经专业技术培训持证上岗也是导致事故发生的一个主要原因。</w:t>
      </w:r>
    </w:p>
    <w:p w:rsidR="003F13AB" w:rsidRDefault="00EC6E7E">
      <w:pPr>
        <w:pStyle w:val="3"/>
      </w:pPr>
      <w:bookmarkStart w:id="261" w:name="_Toc187914469"/>
      <w:r>
        <w:rPr>
          <w:rFonts w:hint="eastAsia"/>
        </w:rPr>
        <w:t>2.3.7机械伤害危险性分析</w:t>
      </w:r>
      <w:bookmarkEnd w:id="261"/>
    </w:p>
    <w:p w:rsidR="003F13AB" w:rsidRDefault="00EC6E7E">
      <w:pPr>
        <w:ind w:firstLine="560"/>
      </w:pPr>
      <w:r>
        <w:rPr>
          <w:rFonts w:hint="eastAsia"/>
        </w:rPr>
        <w:t>项目生产系统中存在较多的机械设备，如破碎机、造粒机、搅拌机等，机械设备的传动轴、皮带轮及其它传动部件均可能对操作人员造成意外伤害。</w:t>
      </w:r>
    </w:p>
    <w:p w:rsidR="003F13AB" w:rsidRDefault="00EC6E7E">
      <w:pPr>
        <w:ind w:firstLine="560"/>
      </w:pPr>
      <w:r>
        <w:rPr>
          <w:rFonts w:hint="eastAsia"/>
        </w:rPr>
        <w:t>由于项目为自动化生产，机械伤害主要发生在检修和设备维护过程中，若不遵守安全操作规程、防护措施不到位或防护存在缺陷、检修时不按规定采取停车、断电、挂牌等安全措施就进行的，都有可能造成机械伤害的危险。</w:t>
      </w:r>
    </w:p>
    <w:p w:rsidR="003F13AB" w:rsidRDefault="00EC6E7E">
      <w:pPr>
        <w:pStyle w:val="3"/>
      </w:pPr>
      <w:bookmarkStart w:id="262" w:name="_Toc187914470"/>
      <w:r>
        <w:rPr>
          <w:rFonts w:hint="eastAsia"/>
        </w:rPr>
        <w:lastRenderedPageBreak/>
        <w:t>2.3.8触电危险性分析</w:t>
      </w:r>
      <w:bookmarkEnd w:id="262"/>
    </w:p>
    <w:p w:rsidR="003F13AB" w:rsidRDefault="00EC6E7E">
      <w:pPr>
        <w:ind w:firstLine="560"/>
      </w:pPr>
      <w:r>
        <w:rPr>
          <w:rFonts w:hint="eastAsia"/>
        </w:rPr>
        <w:t>触电或雷击伤害是由于人体受到一定量的电流通过致使组织损伤和功能障碍甚至死亡的一种危险因素。由于项目涉及到的电气设备较多，在检修和操作设备时需要接触到电气设备及设施，所以可能发生电伤害。人体触电时间越长，人体所受的电损伤越严重。低电压电流可使心跳停止，继之呼吸停止，并且电击部位的皮肤会发生电灼伤、焦化或炭化，并有组织地坏死。自然界的雷电其电压可高达几千万伏特，造成极强的电流电击，危害极大。对该项目可能导致人员触电的原因分析如下：</w:t>
      </w:r>
    </w:p>
    <w:p w:rsidR="003F13AB" w:rsidRDefault="00EC6E7E">
      <w:pPr>
        <w:ind w:firstLine="560"/>
      </w:pPr>
      <w:r>
        <w:rPr>
          <w:rFonts w:hint="eastAsia"/>
        </w:rPr>
        <w:t>一般直接接触高压电气设备的触电事故并不多，这主要是由于高压电气设备大都有比较完善的防护装置，如设备的四周有遮栏和明显的警告标志，而且工作人员在高压电气设备上或其附近工作时，大都采取比较完善的安全措施，在思想上也比较重视。只有在少数遮栏、标志不全的设备上工作，加上工作人员疏忽大意时，才有可能造成人身直接触电事故。触电事故可能的原因如下：</w:t>
      </w:r>
    </w:p>
    <w:p w:rsidR="003F13AB" w:rsidRDefault="00EC6E7E">
      <w:pPr>
        <w:ind w:firstLine="560"/>
      </w:pPr>
      <w:r>
        <w:rPr>
          <w:rFonts w:hint="eastAsia"/>
        </w:rPr>
        <w:t>（</w:t>
      </w:r>
      <w:r>
        <w:rPr>
          <w:rFonts w:hint="eastAsia"/>
        </w:rPr>
        <w:t>1</w:t>
      </w:r>
      <w:r>
        <w:rPr>
          <w:rFonts w:hint="eastAsia"/>
        </w:rPr>
        <w:t>）在停电设备上工作时突然来电</w:t>
      </w:r>
    </w:p>
    <w:p w:rsidR="003F13AB" w:rsidRDefault="00EC6E7E">
      <w:pPr>
        <w:ind w:firstLine="560"/>
      </w:pPr>
      <w:r>
        <w:rPr>
          <w:rFonts w:hint="eastAsia"/>
        </w:rPr>
        <w:t>在设备停电检修时，由于没有采取完善可靠的安全措施，如未装挂临时接地线，没有悬挂必要的安全标志牌等，致使值班人员在操作其他设备送电时，误将正在检修的设备送电，致使在设备上进行检修的工作人员触电。</w:t>
      </w:r>
    </w:p>
    <w:p w:rsidR="003F13AB" w:rsidRDefault="00EC6E7E">
      <w:pPr>
        <w:ind w:firstLine="560"/>
      </w:pPr>
      <w:r>
        <w:rPr>
          <w:rFonts w:hint="eastAsia"/>
        </w:rPr>
        <w:t>（</w:t>
      </w:r>
      <w:r>
        <w:rPr>
          <w:rFonts w:hint="eastAsia"/>
        </w:rPr>
        <w:t>2</w:t>
      </w:r>
      <w:r>
        <w:rPr>
          <w:rFonts w:hint="eastAsia"/>
        </w:rPr>
        <w:t>）其他原因</w:t>
      </w:r>
    </w:p>
    <w:p w:rsidR="003F13AB" w:rsidRDefault="00EC6E7E">
      <w:pPr>
        <w:ind w:firstLine="560"/>
      </w:pPr>
      <w:r>
        <w:rPr>
          <w:rFonts w:hint="eastAsia"/>
        </w:rPr>
        <w:t>由于设备漏电、绝缘损坏、未安装漏电保护设施或损坏、检修作业安全距离不够等，造成相关作业人员触电。</w:t>
      </w:r>
    </w:p>
    <w:p w:rsidR="003F13AB" w:rsidRDefault="00EC6E7E">
      <w:pPr>
        <w:pStyle w:val="3"/>
      </w:pPr>
      <w:bookmarkStart w:id="263" w:name="_Toc187914471"/>
      <w:r>
        <w:rPr>
          <w:rFonts w:hint="eastAsia"/>
        </w:rPr>
        <w:t>2.3.9高处坠落危险性分析</w:t>
      </w:r>
      <w:bookmarkEnd w:id="263"/>
    </w:p>
    <w:p w:rsidR="003F13AB" w:rsidRDefault="00EC6E7E">
      <w:pPr>
        <w:ind w:firstLine="560"/>
      </w:pPr>
      <w:r>
        <w:rPr>
          <w:rFonts w:hint="eastAsia"/>
        </w:rPr>
        <w:t>项目生产厂房的设备为多层布置，操作、巡检或维修的人员有可能发生高处坠落的可能。</w:t>
      </w:r>
    </w:p>
    <w:p w:rsidR="003F13AB" w:rsidRDefault="00EC6E7E">
      <w:pPr>
        <w:ind w:firstLine="560"/>
      </w:pPr>
      <w:r>
        <w:rPr>
          <w:rFonts w:hint="eastAsia"/>
        </w:rPr>
        <w:lastRenderedPageBreak/>
        <w:t>如果在高度</w:t>
      </w:r>
      <w:r>
        <w:rPr>
          <w:rFonts w:hint="eastAsia"/>
        </w:rPr>
        <w:t>2m</w:t>
      </w:r>
      <w:r>
        <w:rPr>
          <w:rFonts w:hint="eastAsia"/>
        </w:rPr>
        <w:t>以上空间作业时，未设置安全护栏、操作平台、走梯等，或者这些设施存在缺陷，再加上高处作业时未采取有效的安全防护措施或个人无防范意识，在锅炉房、设备、</w:t>
      </w:r>
      <w:proofErr w:type="gramStart"/>
      <w:r>
        <w:rPr>
          <w:rFonts w:hint="eastAsia"/>
        </w:rPr>
        <w:t>平台等临空</w:t>
      </w:r>
      <w:proofErr w:type="gramEnd"/>
      <w:r>
        <w:rPr>
          <w:rFonts w:hint="eastAsia"/>
        </w:rPr>
        <w:t>部位进行操作、巡检或维修的人员有可能发生高处坠落的可能。</w:t>
      </w:r>
    </w:p>
    <w:p w:rsidR="003F13AB" w:rsidRDefault="00EC6E7E">
      <w:pPr>
        <w:pStyle w:val="3"/>
      </w:pPr>
      <w:bookmarkStart w:id="264" w:name="_Toc187914472"/>
      <w:r>
        <w:rPr>
          <w:rFonts w:hint="eastAsia"/>
        </w:rPr>
        <w:t>2.3.10车辆伤害危险性分析</w:t>
      </w:r>
      <w:bookmarkEnd w:id="264"/>
    </w:p>
    <w:p w:rsidR="003F13AB" w:rsidRDefault="00EC6E7E">
      <w:pPr>
        <w:ind w:firstLine="560"/>
      </w:pPr>
      <w:r>
        <w:rPr>
          <w:rFonts w:hint="eastAsia"/>
        </w:rPr>
        <w:t>项目厂内设有厂区道路，项目生产期间的物资运输，员工上班过程中存在发生车辆伤害的可能。</w:t>
      </w:r>
    </w:p>
    <w:p w:rsidR="003F13AB" w:rsidRDefault="00EC6E7E">
      <w:pPr>
        <w:ind w:firstLine="560"/>
      </w:pPr>
      <w:r>
        <w:rPr>
          <w:rFonts w:hint="eastAsia"/>
        </w:rPr>
        <w:t>车辆伤害事故的原因是多方面的，但主要是涉及人（驾驶员、行人、装卸工）、车（机动车与非机动车）、道路环境这三个综合因素。</w:t>
      </w:r>
    </w:p>
    <w:p w:rsidR="003F13AB" w:rsidRDefault="00EC6E7E">
      <w:pPr>
        <w:ind w:firstLine="560"/>
      </w:pPr>
      <w:r>
        <w:rPr>
          <w:rFonts w:hint="eastAsia"/>
        </w:rPr>
        <w:t>（</w:t>
      </w:r>
      <w:r>
        <w:rPr>
          <w:rFonts w:hint="eastAsia"/>
        </w:rPr>
        <w:t>1</w:t>
      </w:r>
      <w:r>
        <w:rPr>
          <w:rFonts w:hint="eastAsia"/>
        </w:rPr>
        <w:t>）违章驾车</w:t>
      </w:r>
    </w:p>
    <w:p w:rsidR="003F13AB" w:rsidRDefault="00EC6E7E">
      <w:pPr>
        <w:ind w:firstLine="560"/>
      </w:pPr>
      <w:r>
        <w:rPr>
          <w:rFonts w:hint="eastAsia"/>
        </w:rPr>
        <w:t>指事故的当事人，由于思想方面的原因而导致的错误操作行为，不按有关规定行驶，扰乱正常的企业内搬运秩序，致使事故发生。如酒后驾车，疲劳驾车，非驾驶员驾车，超速行驶，争道抢行，违章超车，违章装载等原因造成的车辆伤害事故。</w:t>
      </w:r>
    </w:p>
    <w:p w:rsidR="003F13AB" w:rsidRDefault="00EC6E7E">
      <w:pPr>
        <w:ind w:firstLine="560"/>
      </w:pPr>
      <w:r>
        <w:rPr>
          <w:rFonts w:hint="eastAsia"/>
        </w:rPr>
        <w:t>（</w:t>
      </w:r>
      <w:r>
        <w:rPr>
          <w:rFonts w:hint="eastAsia"/>
        </w:rPr>
        <w:t>2</w:t>
      </w:r>
      <w:r>
        <w:rPr>
          <w:rFonts w:hint="eastAsia"/>
        </w:rPr>
        <w:t>）疏忽大意</w:t>
      </w:r>
    </w:p>
    <w:p w:rsidR="003F13AB" w:rsidRDefault="00EC6E7E">
      <w:pPr>
        <w:ind w:firstLine="560"/>
      </w:pPr>
      <w:r>
        <w:rPr>
          <w:rFonts w:hint="eastAsia"/>
        </w:rPr>
        <w:t>指当事人由于心理或生理方面的原因，没有及时、正确的观察和判断道路情况，而造成失误，如情绪急躁、精神分散、心理烦乱、身体不适等都可能造成注意力下降，反应迟钝，表现出嘹望观察不周，遇到情况采取措施不及时或不当；也有的只凭主观想象判断情况，或过高地估计自己的经验技术，过分自信，引起操作失误导致事故。</w:t>
      </w:r>
    </w:p>
    <w:p w:rsidR="003F13AB" w:rsidRDefault="00EC6E7E">
      <w:pPr>
        <w:ind w:firstLine="560"/>
      </w:pPr>
      <w:r>
        <w:rPr>
          <w:rFonts w:hint="eastAsia"/>
        </w:rPr>
        <w:t>（</w:t>
      </w:r>
      <w:r>
        <w:rPr>
          <w:rFonts w:hint="eastAsia"/>
        </w:rPr>
        <w:t>3</w:t>
      </w:r>
      <w:r>
        <w:rPr>
          <w:rFonts w:hint="eastAsia"/>
        </w:rPr>
        <w:t>）车况不良</w:t>
      </w:r>
    </w:p>
    <w:p w:rsidR="003F13AB" w:rsidRDefault="00EC6E7E">
      <w:pPr>
        <w:ind w:firstLine="560"/>
      </w:pPr>
      <w:r>
        <w:rPr>
          <w:rFonts w:hint="eastAsia"/>
        </w:rPr>
        <w:t>车辆的安全装置如转向、制动、喇叭、照明；后视镜和转向指示灯等不齐全有效；蓄电池车调速失控造成“飞车”；车辆制动器、限位器等工作不可靠；车辆维护修理不及时，带“病”行驶。</w:t>
      </w:r>
    </w:p>
    <w:p w:rsidR="003F13AB" w:rsidRDefault="00EC6E7E">
      <w:pPr>
        <w:ind w:firstLine="560"/>
      </w:pPr>
      <w:r>
        <w:rPr>
          <w:rFonts w:hint="eastAsia"/>
        </w:rPr>
        <w:t>（</w:t>
      </w:r>
      <w:r>
        <w:rPr>
          <w:rFonts w:hint="eastAsia"/>
        </w:rPr>
        <w:t>4</w:t>
      </w:r>
      <w:r>
        <w:rPr>
          <w:rFonts w:hint="eastAsia"/>
        </w:rPr>
        <w:t>）道路环境</w:t>
      </w:r>
    </w:p>
    <w:p w:rsidR="003F13AB" w:rsidRDefault="00EC6E7E">
      <w:pPr>
        <w:ind w:firstLine="560"/>
      </w:pPr>
      <w:r>
        <w:rPr>
          <w:rFonts w:hint="eastAsia"/>
        </w:rPr>
        <w:lastRenderedPageBreak/>
        <w:t>因建筑物或自然环境影响造成视线不良等。</w:t>
      </w:r>
    </w:p>
    <w:p w:rsidR="003F13AB" w:rsidRDefault="00EC6E7E">
      <w:pPr>
        <w:ind w:firstLine="560"/>
      </w:pPr>
      <w:r>
        <w:rPr>
          <w:rFonts w:hint="eastAsia"/>
        </w:rPr>
        <w:t>（</w:t>
      </w:r>
      <w:r>
        <w:rPr>
          <w:rFonts w:hint="eastAsia"/>
        </w:rPr>
        <w:t>5</w:t>
      </w:r>
      <w:r>
        <w:rPr>
          <w:rFonts w:hint="eastAsia"/>
        </w:rPr>
        <w:t>）管理因素</w:t>
      </w:r>
    </w:p>
    <w:p w:rsidR="003F13AB" w:rsidRDefault="00EC6E7E">
      <w:pPr>
        <w:ind w:firstLine="560"/>
      </w:pPr>
      <w:r>
        <w:rPr>
          <w:rFonts w:hint="eastAsia"/>
        </w:rPr>
        <w:t>车辆安全行驶制度不落实，管理规章制度或操作规程不健全，非驾驶员驾车，车辆维修不及时，交通信号、标志、设施缺陷。</w:t>
      </w:r>
    </w:p>
    <w:p w:rsidR="003F13AB" w:rsidRDefault="00EC6E7E">
      <w:pPr>
        <w:pStyle w:val="3"/>
      </w:pPr>
      <w:bookmarkStart w:id="265" w:name="_Toc187914473"/>
      <w:r>
        <w:rPr>
          <w:rFonts w:hint="eastAsia"/>
        </w:rPr>
        <w:t>2.3.11物体打击危险性分析</w:t>
      </w:r>
      <w:bookmarkEnd w:id="265"/>
    </w:p>
    <w:p w:rsidR="003F13AB" w:rsidRDefault="00EC6E7E">
      <w:pPr>
        <w:ind w:firstLine="560"/>
      </w:pPr>
      <w:r>
        <w:rPr>
          <w:rFonts w:hint="eastAsia"/>
        </w:rPr>
        <w:t>在生产和检修过程中发生物体打击的主要原因分析如下：</w:t>
      </w:r>
    </w:p>
    <w:p w:rsidR="003F13AB" w:rsidRDefault="00EC6E7E">
      <w:pPr>
        <w:ind w:firstLine="560"/>
      </w:pPr>
      <w:r>
        <w:rPr>
          <w:rFonts w:hint="eastAsia"/>
        </w:rPr>
        <w:t>（</w:t>
      </w:r>
      <w:r>
        <w:rPr>
          <w:rFonts w:hint="eastAsia"/>
        </w:rPr>
        <w:t>1</w:t>
      </w:r>
      <w:r>
        <w:rPr>
          <w:rFonts w:hint="eastAsia"/>
        </w:rPr>
        <w:t>）如果在高空平台、通道上堆物或者高空装置零件破损，可能会造成物料或装置部件坠落；</w:t>
      </w:r>
    </w:p>
    <w:p w:rsidR="003F13AB" w:rsidRDefault="00EC6E7E">
      <w:pPr>
        <w:ind w:firstLine="560"/>
      </w:pPr>
      <w:r>
        <w:rPr>
          <w:rFonts w:hint="eastAsia"/>
        </w:rPr>
        <w:t>（</w:t>
      </w:r>
      <w:r>
        <w:rPr>
          <w:rFonts w:hint="eastAsia"/>
        </w:rPr>
        <w:t>2</w:t>
      </w:r>
      <w:r>
        <w:rPr>
          <w:rFonts w:hint="eastAsia"/>
        </w:rPr>
        <w:t>）高空抛物，未划定警戒线，无人监护；</w:t>
      </w:r>
    </w:p>
    <w:p w:rsidR="003F13AB" w:rsidRDefault="00EC6E7E">
      <w:pPr>
        <w:ind w:firstLine="560"/>
      </w:pPr>
      <w:r>
        <w:rPr>
          <w:rFonts w:hint="eastAsia"/>
        </w:rPr>
        <w:t>（</w:t>
      </w:r>
      <w:r>
        <w:rPr>
          <w:rFonts w:hint="eastAsia"/>
        </w:rPr>
        <w:t>3</w:t>
      </w:r>
      <w:r>
        <w:rPr>
          <w:rFonts w:hint="eastAsia"/>
        </w:rPr>
        <w:t>）物件设备摆放不稳，倾覆；易滚动物件堆放无防滚动措施；</w:t>
      </w:r>
    </w:p>
    <w:p w:rsidR="003F13AB" w:rsidRDefault="00EC6E7E">
      <w:pPr>
        <w:ind w:firstLine="560"/>
      </w:pPr>
      <w:r>
        <w:rPr>
          <w:rFonts w:hint="eastAsia"/>
        </w:rPr>
        <w:t>（</w:t>
      </w:r>
      <w:r>
        <w:rPr>
          <w:rFonts w:hint="eastAsia"/>
        </w:rPr>
        <w:t>4</w:t>
      </w:r>
      <w:r>
        <w:rPr>
          <w:rFonts w:hint="eastAsia"/>
        </w:rPr>
        <w:t>）在高处作业时工具、物件放置不当；</w:t>
      </w:r>
    </w:p>
    <w:p w:rsidR="003F13AB" w:rsidRDefault="00EC6E7E">
      <w:pPr>
        <w:ind w:firstLine="560"/>
      </w:pPr>
      <w:r>
        <w:rPr>
          <w:rFonts w:hint="eastAsia"/>
        </w:rPr>
        <w:t>（</w:t>
      </w:r>
      <w:r>
        <w:rPr>
          <w:rFonts w:hint="eastAsia"/>
        </w:rPr>
        <w:t>5</w:t>
      </w:r>
      <w:r>
        <w:rPr>
          <w:rFonts w:hint="eastAsia"/>
        </w:rPr>
        <w:t>）在设备检修、拆除过程中，由于工艺措施不当或违章、冒险作业，而导致零部件发生移动和坠落；</w:t>
      </w:r>
    </w:p>
    <w:p w:rsidR="003F13AB" w:rsidRDefault="00EC6E7E">
      <w:pPr>
        <w:ind w:firstLine="560"/>
      </w:pPr>
      <w:r>
        <w:rPr>
          <w:rFonts w:hint="eastAsia"/>
        </w:rPr>
        <w:t>（</w:t>
      </w:r>
      <w:r>
        <w:rPr>
          <w:rFonts w:hint="eastAsia"/>
        </w:rPr>
        <w:t>6</w:t>
      </w:r>
      <w:r>
        <w:rPr>
          <w:rFonts w:hint="eastAsia"/>
        </w:rPr>
        <w:t>）架空管道、管架、高处各种构件因腐蚀、年久失修、外力等原因失效而发生移动和坠落。</w:t>
      </w:r>
    </w:p>
    <w:p w:rsidR="003F13AB" w:rsidRDefault="00EC6E7E">
      <w:pPr>
        <w:ind w:firstLine="560"/>
      </w:pPr>
      <w:r>
        <w:rPr>
          <w:rFonts w:hint="eastAsia"/>
        </w:rPr>
        <w:t>（</w:t>
      </w:r>
      <w:r>
        <w:rPr>
          <w:rFonts w:hint="eastAsia"/>
        </w:rPr>
        <w:t>7</w:t>
      </w:r>
      <w:r>
        <w:rPr>
          <w:rFonts w:hint="eastAsia"/>
        </w:rPr>
        <w:t>）仓库内原料、成品货物堆码高度过高，基底不稳倾斜后发生物体打击事故。</w:t>
      </w:r>
    </w:p>
    <w:p w:rsidR="003F13AB" w:rsidRDefault="00EC6E7E">
      <w:pPr>
        <w:pStyle w:val="3"/>
      </w:pPr>
      <w:bookmarkStart w:id="266" w:name="_Toc187914474"/>
      <w:r>
        <w:rPr>
          <w:rFonts w:hint="eastAsia"/>
        </w:rPr>
        <w:t>2.3.12淹溺危险性分析</w:t>
      </w:r>
      <w:bookmarkEnd w:id="266"/>
    </w:p>
    <w:p w:rsidR="003F13AB" w:rsidRDefault="00EC6E7E">
      <w:pPr>
        <w:ind w:firstLine="560"/>
      </w:pPr>
      <w:r>
        <w:rPr>
          <w:rFonts w:hint="eastAsia"/>
        </w:rPr>
        <w:t>项目存在消防水池、循环水池</w:t>
      </w:r>
      <w:proofErr w:type="gramStart"/>
      <w:r>
        <w:rPr>
          <w:rFonts w:hint="eastAsia"/>
        </w:rPr>
        <w:t>等池类</w:t>
      </w:r>
      <w:proofErr w:type="gramEnd"/>
      <w:r>
        <w:rPr>
          <w:rFonts w:hint="eastAsia"/>
        </w:rPr>
        <w:t>，若池边盖板、护栏等防护设施不全或失效，可能导致人员不慎跌落发生淹溺事故。</w:t>
      </w:r>
    </w:p>
    <w:p w:rsidR="003F13AB" w:rsidRDefault="00EC6E7E">
      <w:pPr>
        <w:pStyle w:val="3"/>
      </w:pPr>
      <w:bookmarkStart w:id="267" w:name="_Toc187914475"/>
      <w:r>
        <w:rPr>
          <w:rFonts w:hint="eastAsia"/>
        </w:rPr>
        <w:t>2.3.13噪声危险性分析</w:t>
      </w:r>
      <w:bookmarkEnd w:id="267"/>
    </w:p>
    <w:p w:rsidR="003F13AB" w:rsidRDefault="00EC6E7E">
      <w:pPr>
        <w:ind w:firstLine="560"/>
      </w:pPr>
      <w:r>
        <w:rPr>
          <w:rFonts w:hint="eastAsia"/>
        </w:rPr>
        <w:t>项目的噪声主要来源于空压机、斗提机、破碎机、运输皮带、锅炉、热风炉、风机、各类泵等设备产生的噪声，它对人体的危害主要表现在以下几方面：</w:t>
      </w:r>
    </w:p>
    <w:p w:rsidR="003F13AB" w:rsidRDefault="00EC6E7E">
      <w:pPr>
        <w:ind w:firstLine="560"/>
      </w:pPr>
      <w:r>
        <w:rPr>
          <w:rFonts w:hint="eastAsia"/>
        </w:rPr>
        <w:t>1</w:t>
      </w:r>
      <w:r>
        <w:rPr>
          <w:rFonts w:hint="eastAsia"/>
        </w:rPr>
        <w:t>）影响休息和工作</w:t>
      </w:r>
    </w:p>
    <w:p w:rsidR="003F13AB" w:rsidRDefault="00EC6E7E">
      <w:pPr>
        <w:ind w:firstLine="560"/>
      </w:pPr>
      <w:r>
        <w:rPr>
          <w:rFonts w:hint="eastAsia"/>
        </w:rPr>
        <w:lastRenderedPageBreak/>
        <w:t>人们休息时，要求环境噪声小于</w:t>
      </w:r>
      <w:r>
        <w:rPr>
          <w:rFonts w:hint="eastAsia"/>
        </w:rPr>
        <w:t>45dB</w:t>
      </w:r>
      <w:r>
        <w:rPr>
          <w:rFonts w:hint="eastAsia"/>
        </w:rPr>
        <w:t>，若大于</w:t>
      </w:r>
      <w:r>
        <w:rPr>
          <w:rFonts w:hint="eastAsia"/>
        </w:rPr>
        <w:t>63.8dB</w:t>
      </w:r>
      <w:r>
        <w:rPr>
          <w:rFonts w:hint="eastAsia"/>
        </w:rPr>
        <w:t>，就很难入睡。噪声分散人的注意力，容易疲劳，反应迟钝，影响工作效率，还会使工作出差错。</w:t>
      </w:r>
    </w:p>
    <w:p w:rsidR="003F13AB" w:rsidRDefault="00EC6E7E">
      <w:pPr>
        <w:ind w:firstLine="560"/>
      </w:pPr>
      <w:r>
        <w:rPr>
          <w:rFonts w:hint="eastAsia"/>
        </w:rPr>
        <w:t>2</w:t>
      </w:r>
      <w:r>
        <w:rPr>
          <w:rFonts w:hint="eastAsia"/>
        </w:rPr>
        <w:t>）对听觉器官的损伤</w:t>
      </w:r>
    </w:p>
    <w:p w:rsidR="003F13AB" w:rsidRDefault="00EC6E7E">
      <w:pPr>
        <w:ind w:firstLine="560"/>
      </w:pPr>
      <w:r>
        <w:rPr>
          <w:rFonts w:hint="eastAsia"/>
        </w:rPr>
        <w:t>人听觉器官的适应性是有一定限度的，长期在强噪声下工作，会引起听觉疲劳，听力下降。若长年累月在强噪声的反复作用下，耳器官会发生器质性病变，出现噪声性耳聋。</w:t>
      </w:r>
    </w:p>
    <w:p w:rsidR="003F13AB" w:rsidRDefault="00EC6E7E">
      <w:pPr>
        <w:ind w:firstLine="560"/>
      </w:pPr>
      <w:r>
        <w:rPr>
          <w:rFonts w:hint="eastAsia"/>
        </w:rPr>
        <w:t>3</w:t>
      </w:r>
      <w:r>
        <w:rPr>
          <w:rFonts w:hint="eastAsia"/>
        </w:rPr>
        <w:t>）引起心血管系统病症</w:t>
      </w:r>
    </w:p>
    <w:p w:rsidR="003F13AB" w:rsidRDefault="00EC6E7E">
      <w:pPr>
        <w:ind w:firstLine="560"/>
      </w:pPr>
      <w:r>
        <w:rPr>
          <w:rFonts w:hint="eastAsia"/>
        </w:rPr>
        <w:t>噪声可以使交感神经紧张，表现为心跳加快，心律不齐，血压波动，心电图测试阳性增高。</w:t>
      </w:r>
    </w:p>
    <w:p w:rsidR="003F13AB" w:rsidRDefault="00EC6E7E">
      <w:pPr>
        <w:ind w:firstLine="560"/>
      </w:pPr>
      <w:r>
        <w:rPr>
          <w:rFonts w:hint="eastAsia"/>
        </w:rPr>
        <w:t>4</w:t>
      </w:r>
      <w:r>
        <w:rPr>
          <w:rFonts w:hint="eastAsia"/>
        </w:rPr>
        <w:t>）对神经系统产生影响</w:t>
      </w:r>
    </w:p>
    <w:p w:rsidR="003F13AB" w:rsidRDefault="00EC6E7E">
      <w:pPr>
        <w:ind w:firstLine="560"/>
      </w:pPr>
      <w:r>
        <w:rPr>
          <w:rFonts w:hint="eastAsia"/>
        </w:rPr>
        <w:t>噪声引起神经衰弱症候群：如头痛、头晕、失眠、多梦、记忆力减退等。神经衰弱的阳性检出率随噪声强度增高而增加。</w:t>
      </w:r>
    </w:p>
    <w:p w:rsidR="003F13AB" w:rsidRDefault="00EC6E7E">
      <w:pPr>
        <w:ind w:firstLine="560"/>
      </w:pPr>
      <w:r>
        <w:rPr>
          <w:rFonts w:hint="eastAsia"/>
        </w:rPr>
        <w:t>此外噪声还能引起胃功能紊乱，视力降低。当噪声超过生产控制系统报警信号的声音时，淹没了报警音响信号，容易导致事故的进一步发展。</w:t>
      </w:r>
    </w:p>
    <w:p w:rsidR="003F13AB" w:rsidRDefault="00EC6E7E">
      <w:pPr>
        <w:pStyle w:val="2"/>
      </w:pPr>
      <w:bookmarkStart w:id="268" w:name="_Toc187914476"/>
      <w:r>
        <w:rPr>
          <w:rFonts w:hint="eastAsia"/>
        </w:rPr>
        <w:t>2.4公用工程及辅助设施危险性分析</w:t>
      </w:r>
      <w:bookmarkEnd w:id="268"/>
    </w:p>
    <w:p w:rsidR="003F13AB" w:rsidRDefault="00EC6E7E">
      <w:pPr>
        <w:pStyle w:val="3"/>
        <w:rPr>
          <w:b w:val="0"/>
          <w:szCs w:val="20"/>
        </w:rPr>
      </w:pPr>
      <w:bookmarkStart w:id="269" w:name="_Toc187914477"/>
      <w:r>
        <w:rPr>
          <w:rFonts w:hint="eastAsia"/>
        </w:rPr>
        <w:t>2.4.1 电气系统危险有害因素分析</w:t>
      </w:r>
      <w:bookmarkEnd w:id="269"/>
    </w:p>
    <w:p w:rsidR="003F13AB" w:rsidRDefault="00EC6E7E">
      <w:pPr>
        <w:ind w:firstLine="560"/>
        <w:rPr>
          <w:color w:val="auto"/>
        </w:rPr>
      </w:pPr>
      <w:r>
        <w:rPr>
          <w:rFonts w:hint="eastAsia"/>
          <w:color w:val="auto"/>
        </w:rPr>
        <w:t>（</w:t>
      </w:r>
      <w:r>
        <w:rPr>
          <w:rFonts w:hint="eastAsia"/>
          <w:color w:val="auto"/>
        </w:rPr>
        <w:t>1</w:t>
      </w:r>
      <w:r>
        <w:rPr>
          <w:rFonts w:hint="eastAsia"/>
          <w:color w:val="auto"/>
        </w:rPr>
        <w:t>）触电危险性分析</w:t>
      </w:r>
    </w:p>
    <w:p w:rsidR="003F13AB" w:rsidRDefault="00EC6E7E">
      <w:pPr>
        <w:ind w:firstLine="560"/>
        <w:rPr>
          <w:color w:val="auto"/>
        </w:rPr>
      </w:pPr>
      <w:r>
        <w:rPr>
          <w:rFonts w:hint="eastAsia"/>
          <w:color w:val="auto"/>
        </w:rPr>
        <w:t>1</w:t>
      </w:r>
      <w:r>
        <w:rPr>
          <w:rFonts w:hint="eastAsia"/>
          <w:color w:val="auto"/>
        </w:rPr>
        <w:t>）供配电设备、设施在生产运行中由于产品质量不佳，绝缘性能不好；现场环境恶劣（潮湿、振动）、运行不当、机械损伤、维修不善导致绝缘老化破损，可能造成人员触电。</w:t>
      </w:r>
    </w:p>
    <w:p w:rsidR="003F13AB" w:rsidRDefault="00EC6E7E">
      <w:pPr>
        <w:ind w:firstLine="560"/>
        <w:rPr>
          <w:color w:val="auto"/>
        </w:rPr>
      </w:pPr>
      <w:r>
        <w:rPr>
          <w:rFonts w:hint="eastAsia"/>
          <w:color w:val="auto"/>
        </w:rPr>
        <w:t>2</w:t>
      </w:r>
      <w:r>
        <w:rPr>
          <w:rFonts w:hint="eastAsia"/>
          <w:color w:val="auto"/>
        </w:rPr>
        <w:t>）用电设备安全措施和安全技术措施不完备、保护失灵、作业人员违章操作等原因，</w:t>
      </w:r>
      <w:proofErr w:type="gramStart"/>
      <w:r>
        <w:rPr>
          <w:rFonts w:hint="eastAsia"/>
          <w:color w:val="auto"/>
        </w:rPr>
        <w:t>若人</w:t>
      </w:r>
      <w:proofErr w:type="gramEnd"/>
      <w:r>
        <w:rPr>
          <w:rFonts w:hint="eastAsia"/>
          <w:color w:val="auto"/>
        </w:rPr>
        <w:t>体不慎触及带电体或</w:t>
      </w:r>
      <w:proofErr w:type="gramStart"/>
      <w:r>
        <w:rPr>
          <w:rFonts w:hint="eastAsia"/>
          <w:color w:val="auto"/>
        </w:rPr>
        <w:t>过份</w:t>
      </w:r>
      <w:proofErr w:type="gramEnd"/>
      <w:r>
        <w:rPr>
          <w:rFonts w:hint="eastAsia"/>
          <w:color w:val="auto"/>
        </w:rPr>
        <w:t>靠近带电部分，都有可能发生电击、电灼伤的触电危险。</w:t>
      </w:r>
    </w:p>
    <w:p w:rsidR="003F13AB" w:rsidRDefault="00EC6E7E">
      <w:pPr>
        <w:ind w:firstLine="560"/>
        <w:rPr>
          <w:color w:val="auto"/>
        </w:rPr>
      </w:pPr>
      <w:r>
        <w:rPr>
          <w:rFonts w:hint="eastAsia"/>
          <w:color w:val="auto"/>
        </w:rPr>
        <w:t>3</w:t>
      </w:r>
      <w:r>
        <w:rPr>
          <w:rFonts w:hint="eastAsia"/>
          <w:color w:val="auto"/>
        </w:rPr>
        <w:t>）配电箱前设置其他物体阻挡，未事先留出作业人员进出操作和</w:t>
      </w:r>
      <w:proofErr w:type="gramStart"/>
      <w:r>
        <w:rPr>
          <w:rFonts w:hint="eastAsia"/>
          <w:color w:val="auto"/>
        </w:rPr>
        <w:t>检维</w:t>
      </w:r>
      <w:r>
        <w:rPr>
          <w:rFonts w:hint="eastAsia"/>
          <w:color w:val="auto"/>
        </w:rPr>
        <w:lastRenderedPageBreak/>
        <w:t>修</w:t>
      </w:r>
      <w:proofErr w:type="gramEnd"/>
      <w:r>
        <w:rPr>
          <w:rFonts w:hint="eastAsia"/>
          <w:color w:val="auto"/>
        </w:rPr>
        <w:t>的空间，在操作过程中发生意外事故时，人员不能及时退让和躲避，可能造成人员触电事故。</w:t>
      </w:r>
    </w:p>
    <w:p w:rsidR="003F13AB" w:rsidRDefault="00EC6E7E">
      <w:pPr>
        <w:ind w:firstLine="560"/>
        <w:rPr>
          <w:color w:val="auto"/>
        </w:rPr>
      </w:pPr>
      <w:r>
        <w:rPr>
          <w:rFonts w:hint="eastAsia"/>
          <w:color w:val="auto"/>
        </w:rPr>
        <w:t>（</w:t>
      </w:r>
      <w:r>
        <w:rPr>
          <w:rFonts w:hint="eastAsia"/>
          <w:color w:val="auto"/>
        </w:rPr>
        <w:t>2</w:t>
      </w:r>
      <w:r>
        <w:rPr>
          <w:rFonts w:hint="eastAsia"/>
          <w:color w:val="auto"/>
        </w:rPr>
        <w:t>）电气火灾危险分析</w:t>
      </w:r>
    </w:p>
    <w:p w:rsidR="003F13AB" w:rsidRDefault="00EC6E7E">
      <w:pPr>
        <w:ind w:firstLine="560"/>
        <w:rPr>
          <w:color w:val="auto"/>
        </w:rPr>
      </w:pPr>
      <w:r>
        <w:rPr>
          <w:rFonts w:hint="eastAsia"/>
          <w:color w:val="auto"/>
        </w:rPr>
        <w:t>1</w:t>
      </w:r>
      <w:r>
        <w:rPr>
          <w:rFonts w:hint="eastAsia"/>
          <w:color w:val="auto"/>
        </w:rPr>
        <w:t>）配电装置、电气设备、照明设施、电缆、电气线路等，如果安装不当、外部火源移近、运行中正常的闭合与分断、不正常运行的过负荷、短路、过电压、接地故障、接触不良等，均可产生电气火花、电弧等，若防护不当，可能发生电气火灾或引燃周围的可燃物质，造成火灾事故。</w:t>
      </w:r>
    </w:p>
    <w:p w:rsidR="003F13AB" w:rsidRDefault="00EC6E7E">
      <w:pPr>
        <w:ind w:firstLine="560"/>
        <w:rPr>
          <w:color w:val="auto"/>
        </w:rPr>
      </w:pPr>
      <w:r>
        <w:rPr>
          <w:rFonts w:hint="eastAsia"/>
          <w:color w:val="auto"/>
        </w:rPr>
        <w:t>2</w:t>
      </w:r>
      <w:r>
        <w:rPr>
          <w:rFonts w:hint="eastAsia"/>
          <w:color w:val="auto"/>
        </w:rPr>
        <w:t>）电气设备的安全装置或保护措施（熔断器、断路器、漏电保护器、屏护、绝缘、保护接地与接零等）不可靠，可能发生触电、火灾等事故。</w:t>
      </w:r>
    </w:p>
    <w:p w:rsidR="003F13AB" w:rsidRDefault="00EC6E7E">
      <w:pPr>
        <w:ind w:firstLine="560"/>
        <w:rPr>
          <w:color w:val="auto"/>
        </w:rPr>
      </w:pPr>
      <w:r>
        <w:rPr>
          <w:rFonts w:hint="eastAsia"/>
          <w:color w:val="auto"/>
        </w:rPr>
        <w:t>（</w:t>
      </w:r>
      <w:r>
        <w:rPr>
          <w:rFonts w:hint="eastAsia"/>
          <w:color w:val="auto"/>
        </w:rPr>
        <w:t>3</w:t>
      </w:r>
      <w:r>
        <w:rPr>
          <w:rFonts w:hint="eastAsia"/>
          <w:color w:val="auto"/>
        </w:rPr>
        <w:t>）电气设施的雷击危险性分析</w:t>
      </w:r>
    </w:p>
    <w:p w:rsidR="003F13AB" w:rsidRDefault="00EC6E7E">
      <w:pPr>
        <w:ind w:firstLine="560"/>
        <w:rPr>
          <w:color w:val="auto"/>
        </w:rPr>
      </w:pPr>
      <w:r>
        <w:rPr>
          <w:rFonts w:hint="eastAsia"/>
          <w:color w:val="auto"/>
        </w:rPr>
        <w:t>配电装置、配线（缆）、构架都有遭受雷击的可能。若防雷设计不合理、施工不规范、接地电阻值不符合规范要求，则雷电过电压在雷电波及范围内会严重破坏建筑物及设备设施，并可能危及人身安全乃至有致命的危险，巨大的雷电流流入地下，会在雷击点及其连接的金属部分产生极高的对地电压，可能导致接触电压或跨步电压的触电事故。</w:t>
      </w:r>
    </w:p>
    <w:p w:rsidR="003F13AB" w:rsidRDefault="00EC6E7E">
      <w:pPr>
        <w:ind w:firstLine="560"/>
        <w:rPr>
          <w:color w:val="auto"/>
        </w:rPr>
      </w:pPr>
      <w:r>
        <w:rPr>
          <w:rFonts w:hint="eastAsia"/>
          <w:color w:val="auto"/>
        </w:rPr>
        <w:t>（</w:t>
      </w:r>
      <w:r>
        <w:rPr>
          <w:rFonts w:hint="eastAsia"/>
          <w:color w:val="auto"/>
        </w:rPr>
        <w:t>4</w:t>
      </w:r>
      <w:r>
        <w:rPr>
          <w:rFonts w:hint="eastAsia"/>
          <w:color w:val="auto"/>
        </w:rPr>
        <w:t>）由电气设备设施引起的其他危险有害因素分析</w:t>
      </w:r>
    </w:p>
    <w:p w:rsidR="003F13AB" w:rsidRDefault="00EC6E7E">
      <w:pPr>
        <w:ind w:firstLine="560"/>
        <w:rPr>
          <w:color w:val="auto"/>
        </w:rPr>
      </w:pPr>
      <w:r>
        <w:rPr>
          <w:rFonts w:hint="eastAsia"/>
          <w:color w:val="auto"/>
        </w:rPr>
        <w:t>1</w:t>
      </w:r>
      <w:r>
        <w:rPr>
          <w:rFonts w:hint="eastAsia"/>
          <w:color w:val="auto"/>
        </w:rPr>
        <w:t>）若未按时对电气设备各类保护装置的完整性、可靠性进行检查、校验和检测，将不能保证电气设备的安全运行。</w:t>
      </w:r>
    </w:p>
    <w:p w:rsidR="003F13AB" w:rsidRDefault="00EC6E7E">
      <w:pPr>
        <w:ind w:firstLine="560"/>
        <w:rPr>
          <w:color w:val="auto"/>
        </w:rPr>
      </w:pPr>
      <w:r>
        <w:rPr>
          <w:rFonts w:hint="eastAsia"/>
          <w:color w:val="auto"/>
        </w:rPr>
        <w:t>2</w:t>
      </w:r>
      <w:r>
        <w:rPr>
          <w:rFonts w:hint="eastAsia"/>
          <w:color w:val="auto"/>
        </w:rPr>
        <w:t>）若因生产区内电缆安装时未注意电缆防火措施处理，现场敷设位置较低的电缆未穿管保护，若在生产过程中电缆绝缘层受损，若电缆在使用过程中失火，会使事故扩大。</w:t>
      </w:r>
    </w:p>
    <w:p w:rsidR="003F13AB" w:rsidRDefault="00EC6E7E">
      <w:pPr>
        <w:pStyle w:val="3"/>
        <w:rPr>
          <w:b w:val="0"/>
          <w:szCs w:val="20"/>
        </w:rPr>
      </w:pPr>
      <w:bookmarkStart w:id="270" w:name="_Toc187914478"/>
      <w:r>
        <w:rPr>
          <w:rFonts w:hint="eastAsia"/>
        </w:rPr>
        <w:t>2.4.2 给排水系统危险有害因素分析</w:t>
      </w:r>
      <w:bookmarkEnd w:id="270"/>
    </w:p>
    <w:p w:rsidR="003F13AB" w:rsidRDefault="00EC6E7E">
      <w:pPr>
        <w:ind w:firstLine="560"/>
        <w:rPr>
          <w:color w:val="auto"/>
        </w:rPr>
      </w:pPr>
      <w:r>
        <w:rPr>
          <w:rFonts w:hint="eastAsia"/>
          <w:color w:val="auto"/>
        </w:rPr>
        <w:t>（</w:t>
      </w:r>
      <w:r>
        <w:rPr>
          <w:rFonts w:hint="eastAsia"/>
          <w:color w:val="auto"/>
        </w:rPr>
        <w:t>1</w:t>
      </w:r>
      <w:r>
        <w:rPr>
          <w:rFonts w:hint="eastAsia"/>
          <w:color w:val="auto"/>
        </w:rPr>
        <w:t>）若厂区的消防供水水源不充足，如果发生火灾时，无足量的消防水作为保障，消防水压不足，则会造成事故的扩大。</w:t>
      </w:r>
    </w:p>
    <w:p w:rsidR="003F13AB" w:rsidRDefault="00EC6E7E">
      <w:pPr>
        <w:ind w:firstLine="560"/>
        <w:rPr>
          <w:color w:val="auto"/>
        </w:rPr>
      </w:pPr>
      <w:r>
        <w:rPr>
          <w:rFonts w:hint="eastAsia"/>
          <w:color w:val="auto"/>
        </w:rPr>
        <w:t>（</w:t>
      </w:r>
      <w:r>
        <w:rPr>
          <w:rFonts w:hint="eastAsia"/>
          <w:color w:val="auto"/>
        </w:rPr>
        <w:t>2</w:t>
      </w:r>
      <w:r>
        <w:rPr>
          <w:rFonts w:hint="eastAsia"/>
          <w:color w:val="auto"/>
        </w:rPr>
        <w:t>）若厂区的排水系统设计不规范，或未作防洪应急预案，遇特大暴</w:t>
      </w:r>
      <w:r>
        <w:rPr>
          <w:rFonts w:hint="eastAsia"/>
          <w:color w:val="auto"/>
        </w:rPr>
        <w:lastRenderedPageBreak/>
        <w:t>雨可能因排水不畅造成厂区内涝。</w:t>
      </w:r>
    </w:p>
    <w:p w:rsidR="003F13AB" w:rsidRDefault="00EC6E7E">
      <w:pPr>
        <w:pStyle w:val="3"/>
        <w:rPr>
          <w:b w:val="0"/>
          <w:szCs w:val="20"/>
        </w:rPr>
      </w:pPr>
      <w:bookmarkStart w:id="271" w:name="_Toc187914479"/>
      <w:r>
        <w:rPr>
          <w:rFonts w:hint="eastAsia"/>
        </w:rPr>
        <w:t>2.4.3 消防系统危险有害因素分析</w:t>
      </w:r>
      <w:bookmarkEnd w:id="271"/>
    </w:p>
    <w:p w:rsidR="003F13AB" w:rsidRDefault="00EC6E7E">
      <w:pPr>
        <w:ind w:firstLine="560"/>
        <w:rPr>
          <w:color w:val="auto"/>
        </w:rPr>
      </w:pPr>
      <w:r>
        <w:rPr>
          <w:rFonts w:hint="eastAsia"/>
          <w:color w:val="auto"/>
        </w:rPr>
        <w:t>（</w:t>
      </w:r>
      <w:r>
        <w:rPr>
          <w:rFonts w:hint="eastAsia"/>
          <w:color w:val="auto"/>
        </w:rPr>
        <w:t>1</w:t>
      </w:r>
      <w:r>
        <w:rPr>
          <w:rFonts w:hint="eastAsia"/>
          <w:color w:val="auto"/>
        </w:rPr>
        <w:t>）若系统消防设施配备不足，或消防设施布置不合理，发生火灾事故时不便扑救，造成事故扩大。</w:t>
      </w:r>
    </w:p>
    <w:p w:rsidR="003F13AB" w:rsidRDefault="00EC6E7E">
      <w:pPr>
        <w:ind w:firstLine="560"/>
        <w:rPr>
          <w:color w:val="auto"/>
        </w:rPr>
      </w:pPr>
      <w:r>
        <w:rPr>
          <w:rFonts w:hint="eastAsia"/>
          <w:color w:val="auto"/>
        </w:rPr>
        <w:t>（</w:t>
      </w:r>
      <w:r>
        <w:rPr>
          <w:rFonts w:hint="eastAsia"/>
          <w:color w:val="auto"/>
        </w:rPr>
        <w:t>2</w:t>
      </w:r>
      <w:r>
        <w:rPr>
          <w:rFonts w:hint="eastAsia"/>
          <w:color w:val="auto"/>
        </w:rPr>
        <w:t>）若所设消防设施日常检查、维护不当等，在发生事故时不能及时进行扑救，造成事故扩大。</w:t>
      </w:r>
    </w:p>
    <w:p w:rsidR="003F13AB" w:rsidRDefault="00EC6E7E">
      <w:pPr>
        <w:ind w:firstLine="560"/>
        <w:rPr>
          <w:color w:val="auto"/>
        </w:rPr>
      </w:pPr>
      <w:r>
        <w:rPr>
          <w:rFonts w:hint="eastAsia"/>
          <w:color w:val="auto"/>
        </w:rPr>
        <w:t>（</w:t>
      </w:r>
      <w:r>
        <w:rPr>
          <w:rFonts w:hint="eastAsia"/>
          <w:color w:val="auto"/>
        </w:rPr>
        <w:t>3</w:t>
      </w:r>
      <w:r>
        <w:rPr>
          <w:rFonts w:hint="eastAsia"/>
          <w:color w:val="auto"/>
        </w:rPr>
        <w:t>）若在各生产作业场所配备的消防设施与该场所可能发生的火灾事故类别</w:t>
      </w:r>
      <w:proofErr w:type="gramStart"/>
      <w:r>
        <w:rPr>
          <w:rFonts w:hint="eastAsia"/>
          <w:color w:val="auto"/>
        </w:rPr>
        <w:t>不</w:t>
      </w:r>
      <w:proofErr w:type="gramEnd"/>
      <w:r>
        <w:rPr>
          <w:rFonts w:hint="eastAsia"/>
          <w:color w:val="auto"/>
        </w:rPr>
        <w:t>相配，一旦发生火灾事故，不能有效扑救火灾，造成事故扩大。</w:t>
      </w:r>
    </w:p>
    <w:p w:rsidR="003F13AB" w:rsidRDefault="00EC6E7E">
      <w:pPr>
        <w:ind w:firstLine="560"/>
        <w:rPr>
          <w:color w:val="auto"/>
        </w:rPr>
      </w:pPr>
      <w:r>
        <w:rPr>
          <w:rFonts w:hint="eastAsia"/>
          <w:color w:val="auto"/>
        </w:rPr>
        <w:t>（</w:t>
      </w:r>
      <w:r>
        <w:rPr>
          <w:rFonts w:hint="eastAsia"/>
          <w:color w:val="auto"/>
        </w:rPr>
        <w:t>4</w:t>
      </w:r>
      <w:r>
        <w:rPr>
          <w:rFonts w:hint="eastAsia"/>
          <w:color w:val="auto"/>
        </w:rPr>
        <w:t>）若发生火灾等事故时，区域内的消防通道堵塞，影响消防救援，会造成事故扩大。</w:t>
      </w:r>
    </w:p>
    <w:p w:rsidR="003F13AB" w:rsidRDefault="00EC6E7E">
      <w:pPr>
        <w:ind w:firstLine="560"/>
        <w:rPr>
          <w:color w:val="auto"/>
        </w:rPr>
      </w:pPr>
      <w:r>
        <w:rPr>
          <w:rFonts w:hint="eastAsia"/>
          <w:color w:val="auto"/>
        </w:rPr>
        <w:t>（</w:t>
      </w:r>
      <w:r>
        <w:rPr>
          <w:rFonts w:hint="eastAsia"/>
          <w:color w:val="auto"/>
        </w:rPr>
        <w:t>5</w:t>
      </w:r>
      <w:r>
        <w:rPr>
          <w:rFonts w:hint="eastAsia"/>
          <w:color w:val="auto"/>
        </w:rPr>
        <w:t>）当发生火灾时，不能保证提供足量的消防用水、消防设施，用于设备设施降温和灭火。会使火灾事故无法控制、扩大。</w:t>
      </w:r>
    </w:p>
    <w:p w:rsidR="003F13AB" w:rsidRDefault="00EC6E7E">
      <w:pPr>
        <w:pStyle w:val="2"/>
      </w:pPr>
      <w:bookmarkStart w:id="272" w:name="_Toc187914480"/>
      <w:r>
        <w:rPr>
          <w:rFonts w:hint="eastAsia"/>
        </w:rPr>
        <w:t>2.5 自然条件危险性分析</w:t>
      </w:r>
      <w:bookmarkEnd w:id="272"/>
    </w:p>
    <w:p w:rsidR="003F13AB" w:rsidRDefault="00EC6E7E">
      <w:pPr>
        <w:ind w:firstLine="560"/>
        <w:rPr>
          <w:color w:val="auto"/>
        </w:rPr>
      </w:pPr>
      <w:r>
        <w:rPr>
          <w:rFonts w:hint="eastAsia"/>
          <w:color w:val="auto"/>
        </w:rPr>
        <w:t>（</w:t>
      </w:r>
      <w:r>
        <w:rPr>
          <w:rFonts w:hint="eastAsia"/>
          <w:color w:val="auto"/>
        </w:rPr>
        <w:t>1</w:t>
      </w:r>
      <w:r>
        <w:rPr>
          <w:rFonts w:hint="eastAsia"/>
          <w:color w:val="auto"/>
        </w:rPr>
        <w:t>）气温的影响分析</w:t>
      </w:r>
    </w:p>
    <w:p w:rsidR="003F13AB" w:rsidRDefault="00EC6E7E">
      <w:pPr>
        <w:ind w:firstLine="560"/>
        <w:rPr>
          <w:color w:val="auto"/>
        </w:rPr>
      </w:pPr>
      <w:r>
        <w:rPr>
          <w:rFonts w:hint="eastAsia"/>
          <w:color w:val="auto"/>
        </w:rPr>
        <w:t>晋宁区年平均气温</w:t>
      </w:r>
      <w:r>
        <w:rPr>
          <w:rFonts w:hint="eastAsia"/>
          <w:color w:val="auto"/>
        </w:rPr>
        <w:t>14.8</w:t>
      </w:r>
      <w:r>
        <w:rPr>
          <w:rFonts w:hint="eastAsia"/>
          <w:color w:val="auto"/>
        </w:rPr>
        <w:t>℃，最冷月（</w:t>
      </w:r>
      <w:r>
        <w:rPr>
          <w:rFonts w:hint="eastAsia"/>
          <w:color w:val="auto"/>
        </w:rPr>
        <w:t>1</w:t>
      </w:r>
      <w:r>
        <w:rPr>
          <w:rFonts w:hint="eastAsia"/>
          <w:color w:val="auto"/>
        </w:rPr>
        <w:t>月）的平均气温</w:t>
      </w:r>
      <w:r>
        <w:rPr>
          <w:rFonts w:hint="eastAsia"/>
          <w:color w:val="auto"/>
        </w:rPr>
        <w:t>7.9</w:t>
      </w:r>
      <w:r>
        <w:rPr>
          <w:rFonts w:hint="eastAsia"/>
          <w:color w:val="auto"/>
        </w:rPr>
        <w:t>℃，最热月（</w:t>
      </w:r>
      <w:r>
        <w:rPr>
          <w:rFonts w:hint="eastAsia"/>
          <w:color w:val="auto"/>
        </w:rPr>
        <w:t>7</w:t>
      </w:r>
      <w:r>
        <w:rPr>
          <w:rFonts w:hint="eastAsia"/>
          <w:color w:val="auto"/>
        </w:rPr>
        <w:t>月）的平均气温为</w:t>
      </w:r>
      <w:r>
        <w:rPr>
          <w:rFonts w:hint="eastAsia"/>
          <w:color w:val="auto"/>
        </w:rPr>
        <w:t>19.6</w:t>
      </w:r>
      <w:r>
        <w:rPr>
          <w:rFonts w:hint="eastAsia"/>
          <w:color w:val="auto"/>
        </w:rPr>
        <w:t>℃。</w:t>
      </w:r>
    </w:p>
    <w:p w:rsidR="003F13AB" w:rsidRDefault="00EC6E7E">
      <w:pPr>
        <w:ind w:firstLine="560"/>
        <w:rPr>
          <w:color w:val="auto"/>
        </w:rPr>
      </w:pPr>
      <w:r>
        <w:rPr>
          <w:rFonts w:hint="eastAsia"/>
          <w:color w:val="auto"/>
        </w:rPr>
        <w:t>项目主要为室内作业和室内生产，气温基本不会对作业人员和生产产生影响。</w:t>
      </w:r>
    </w:p>
    <w:p w:rsidR="003F13AB" w:rsidRDefault="00EC6E7E">
      <w:pPr>
        <w:ind w:firstLine="560"/>
        <w:rPr>
          <w:color w:val="auto"/>
        </w:rPr>
      </w:pPr>
      <w:r>
        <w:rPr>
          <w:rFonts w:hint="eastAsia"/>
          <w:color w:val="auto"/>
        </w:rPr>
        <w:t>（</w:t>
      </w:r>
      <w:r>
        <w:rPr>
          <w:rFonts w:hint="eastAsia"/>
          <w:color w:val="auto"/>
        </w:rPr>
        <w:t>2</w:t>
      </w:r>
      <w:r>
        <w:rPr>
          <w:rFonts w:hint="eastAsia"/>
          <w:color w:val="auto"/>
        </w:rPr>
        <w:t>）湿度的影响</w:t>
      </w:r>
    </w:p>
    <w:p w:rsidR="003F13AB" w:rsidRDefault="00EC6E7E">
      <w:pPr>
        <w:ind w:firstLine="560"/>
        <w:rPr>
          <w:color w:val="auto"/>
        </w:rPr>
      </w:pPr>
      <w:r>
        <w:rPr>
          <w:rFonts w:hint="eastAsia"/>
          <w:color w:val="auto"/>
        </w:rPr>
        <w:t>项目主要为室内作业和室内生产，且生产工艺及设备对湿度无特殊要求，湿度对安全生产的影响不大。</w:t>
      </w:r>
    </w:p>
    <w:p w:rsidR="003F13AB" w:rsidRDefault="00EC6E7E">
      <w:pPr>
        <w:ind w:firstLine="560"/>
        <w:rPr>
          <w:color w:val="auto"/>
        </w:rPr>
      </w:pPr>
      <w:r>
        <w:rPr>
          <w:rFonts w:hint="eastAsia"/>
          <w:color w:val="auto"/>
        </w:rPr>
        <w:t>（</w:t>
      </w:r>
      <w:r>
        <w:rPr>
          <w:rFonts w:hint="eastAsia"/>
          <w:color w:val="auto"/>
        </w:rPr>
        <w:t>3</w:t>
      </w:r>
      <w:r>
        <w:rPr>
          <w:rFonts w:hint="eastAsia"/>
          <w:color w:val="auto"/>
        </w:rPr>
        <w:t>）风及风向的影响</w:t>
      </w:r>
    </w:p>
    <w:p w:rsidR="003F13AB" w:rsidRDefault="00EC6E7E">
      <w:pPr>
        <w:ind w:firstLine="560"/>
        <w:rPr>
          <w:color w:val="auto"/>
        </w:rPr>
      </w:pPr>
      <w:r>
        <w:rPr>
          <w:rFonts w:hint="eastAsia"/>
          <w:color w:val="auto"/>
        </w:rPr>
        <w:t>项目主要为室内作业和室内生产，风及风向对本项目生产影响不大；办公生活区设置在全年</w:t>
      </w:r>
      <w:proofErr w:type="gramStart"/>
      <w:r>
        <w:rPr>
          <w:rFonts w:hint="eastAsia"/>
          <w:color w:val="auto"/>
        </w:rPr>
        <w:t>最小风频</w:t>
      </w:r>
      <w:proofErr w:type="gramEnd"/>
      <w:r>
        <w:rPr>
          <w:rFonts w:hint="eastAsia"/>
          <w:color w:val="auto"/>
        </w:rPr>
        <w:t>的上风向，发生事故时，有毒有害物质不易向办公生活区扩散。</w:t>
      </w:r>
    </w:p>
    <w:p w:rsidR="003F13AB" w:rsidRDefault="00EC6E7E">
      <w:pPr>
        <w:ind w:firstLine="560"/>
        <w:rPr>
          <w:color w:val="auto"/>
        </w:rPr>
      </w:pPr>
      <w:r>
        <w:rPr>
          <w:rFonts w:hint="eastAsia"/>
          <w:color w:val="auto"/>
        </w:rPr>
        <w:lastRenderedPageBreak/>
        <w:t>（</w:t>
      </w:r>
      <w:r>
        <w:rPr>
          <w:rFonts w:hint="eastAsia"/>
          <w:color w:val="auto"/>
        </w:rPr>
        <w:t>4</w:t>
      </w:r>
      <w:r>
        <w:rPr>
          <w:rFonts w:hint="eastAsia"/>
          <w:color w:val="auto"/>
        </w:rPr>
        <w:t>）雷击</w:t>
      </w:r>
    </w:p>
    <w:p w:rsidR="003F13AB" w:rsidRDefault="00EC6E7E">
      <w:pPr>
        <w:ind w:firstLine="560"/>
        <w:rPr>
          <w:color w:val="auto"/>
        </w:rPr>
      </w:pPr>
      <w:r>
        <w:rPr>
          <w:rFonts w:hint="eastAsia"/>
          <w:color w:val="auto"/>
        </w:rPr>
        <w:t>云南省属雷电灾害高发地区。高耸的建筑物、构筑物、设备设施在雷雨季节有可能遭受直击雷、地滚雷、雷电感应、雷电波等雷电的袭击，有可能产生火灾爆炸，设备损坏，人员电击伤害事故。</w:t>
      </w:r>
    </w:p>
    <w:p w:rsidR="003F13AB" w:rsidRDefault="00EC6E7E">
      <w:pPr>
        <w:ind w:firstLine="560"/>
        <w:rPr>
          <w:color w:val="auto"/>
        </w:rPr>
      </w:pPr>
      <w:r>
        <w:rPr>
          <w:rFonts w:hint="eastAsia"/>
          <w:color w:val="auto"/>
        </w:rPr>
        <w:t>如项目的仓库、生产厂房和电气线路等未按要求设置避雷设施或避雷设施未定期进行检测、避雷设施失效等，极易发生雷击事故，造成人员伤亡和财产损失的严重后果。</w:t>
      </w:r>
    </w:p>
    <w:p w:rsidR="003F13AB" w:rsidRDefault="00EC6E7E">
      <w:pPr>
        <w:ind w:firstLine="560"/>
        <w:rPr>
          <w:color w:val="auto"/>
        </w:rPr>
      </w:pPr>
      <w:r>
        <w:rPr>
          <w:rFonts w:hint="eastAsia"/>
          <w:color w:val="auto"/>
        </w:rPr>
        <w:t>（</w:t>
      </w:r>
      <w:r>
        <w:rPr>
          <w:rFonts w:hint="eastAsia"/>
          <w:color w:val="auto"/>
        </w:rPr>
        <w:t>5</w:t>
      </w:r>
      <w:r>
        <w:rPr>
          <w:rFonts w:hint="eastAsia"/>
          <w:color w:val="auto"/>
        </w:rPr>
        <w:t>）降雨或降雪的影响</w:t>
      </w:r>
    </w:p>
    <w:p w:rsidR="003F13AB" w:rsidRDefault="00EC6E7E">
      <w:pPr>
        <w:ind w:firstLine="560"/>
        <w:rPr>
          <w:color w:val="auto"/>
        </w:rPr>
      </w:pPr>
      <w:r>
        <w:rPr>
          <w:rFonts w:hint="eastAsia"/>
          <w:color w:val="auto"/>
        </w:rPr>
        <w:t>项目主要为室内作业和室内生产，降雨及降雪对本项目生产影响不大。</w:t>
      </w:r>
    </w:p>
    <w:p w:rsidR="003F13AB" w:rsidRDefault="00EC6E7E">
      <w:pPr>
        <w:pStyle w:val="2"/>
        <w:rPr>
          <w:b w:val="0"/>
          <w:szCs w:val="20"/>
        </w:rPr>
      </w:pPr>
      <w:bookmarkStart w:id="273" w:name="_Toc187914481"/>
      <w:r>
        <w:rPr>
          <w:rFonts w:hint="eastAsia"/>
        </w:rPr>
        <w:t>2.6周边环境危险有害因分析</w:t>
      </w:r>
      <w:bookmarkEnd w:id="273"/>
    </w:p>
    <w:p w:rsidR="003F13AB" w:rsidRDefault="00EC6E7E">
      <w:pPr>
        <w:ind w:firstLine="560"/>
        <w:rPr>
          <w:color w:val="auto"/>
          <w:u w:color="000000"/>
        </w:rPr>
      </w:pPr>
      <w:r>
        <w:rPr>
          <w:rFonts w:hint="eastAsia"/>
          <w:color w:val="auto"/>
          <w:u w:color="000000"/>
        </w:rPr>
        <w:t>（</w:t>
      </w:r>
      <w:r>
        <w:rPr>
          <w:rFonts w:hint="eastAsia"/>
          <w:color w:val="auto"/>
          <w:u w:color="000000"/>
        </w:rPr>
        <w:t>1</w:t>
      </w:r>
      <w:r>
        <w:rPr>
          <w:rFonts w:hint="eastAsia"/>
          <w:color w:val="auto"/>
          <w:u w:color="000000"/>
        </w:rPr>
        <w:t>）项目对周边安全的影响</w:t>
      </w:r>
    </w:p>
    <w:p w:rsidR="003F13AB" w:rsidRDefault="00EC6E7E">
      <w:pPr>
        <w:ind w:firstLine="560"/>
        <w:rPr>
          <w:color w:val="auto"/>
          <w:u w:color="000000"/>
        </w:rPr>
      </w:pPr>
      <w:r>
        <w:rPr>
          <w:rFonts w:hint="eastAsia"/>
          <w:color w:val="auto"/>
          <w:u w:color="000000"/>
        </w:rPr>
        <w:t>项目潜在的危险、有害因素主要为火灾、爆炸、锅炉爆炸、容器爆炸、灼烫、中毒和窒息、触电、高处坠落、机械伤害、车辆伤害、物体打击等危害。其中发生火灾、爆炸事故时，事故可能扩散，有较小可能会危及到周边的企业的安全；而触电、机械伤害、等只会对项目内的作业人员带来伤害、设备设施损坏等，并不会危及到周边企业的安全。</w:t>
      </w:r>
    </w:p>
    <w:p w:rsidR="003F13AB" w:rsidRDefault="00EC6E7E">
      <w:pPr>
        <w:ind w:firstLine="560"/>
        <w:rPr>
          <w:color w:val="auto"/>
          <w:u w:color="000000"/>
        </w:rPr>
      </w:pPr>
      <w:r>
        <w:rPr>
          <w:rFonts w:hint="eastAsia"/>
          <w:color w:val="auto"/>
          <w:u w:color="000000"/>
        </w:rPr>
        <w:t>根据附件</w:t>
      </w:r>
      <w:r>
        <w:rPr>
          <w:rFonts w:hint="eastAsia"/>
          <w:color w:val="auto"/>
          <w:u w:color="000000"/>
        </w:rPr>
        <w:t>4.1</w:t>
      </w:r>
      <w:r>
        <w:rPr>
          <w:rFonts w:hint="eastAsia"/>
          <w:color w:val="auto"/>
          <w:u w:color="000000"/>
        </w:rPr>
        <w:t>节计算结果，本项目最大事故锅炉爆炸对人的影响距离为</w:t>
      </w:r>
      <w:r>
        <w:rPr>
          <w:rFonts w:hint="eastAsia"/>
          <w:color w:val="auto"/>
          <w:u w:color="000000"/>
        </w:rPr>
        <w:t>25.8</w:t>
      </w:r>
      <w:r>
        <w:rPr>
          <w:rFonts w:hint="eastAsia"/>
          <w:color w:val="auto"/>
          <w:u w:color="000000"/>
        </w:rPr>
        <w:t>米，对建筑物的影响距离为</w:t>
      </w:r>
      <w:r>
        <w:rPr>
          <w:rFonts w:hint="eastAsia"/>
          <w:color w:val="auto"/>
          <w:u w:color="000000"/>
        </w:rPr>
        <w:t>31.9</w:t>
      </w:r>
      <w:r>
        <w:rPr>
          <w:rFonts w:hint="eastAsia"/>
          <w:color w:val="auto"/>
          <w:u w:color="000000"/>
        </w:rPr>
        <w:t>米，锅炉爆炸事故对周边环境的影响较小，影响范围基本在厂区内。</w:t>
      </w:r>
    </w:p>
    <w:p w:rsidR="003F13AB" w:rsidRDefault="00EC6E7E">
      <w:pPr>
        <w:ind w:firstLine="560"/>
        <w:rPr>
          <w:color w:val="auto"/>
          <w:u w:color="000000"/>
        </w:rPr>
      </w:pPr>
      <w:r>
        <w:rPr>
          <w:rFonts w:hint="eastAsia"/>
          <w:color w:val="auto"/>
          <w:u w:color="000000"/>
        </w:rPr>
        <w:t>项目中其它危险有害因素如灼烫、触电、机械伤害、高处坠落、噪声、高温等危害因素，主要存在作业场所现场，其危害范围不会扩展到周边。</w:t>
      </w:r>
    </w:p>
    <w:p w:rsidR="003F13AB" w:rsidRDefault="00EC6E7E">
      <w:pPr>
        <w:ind w:firstLine="560"/>
        <w:rPr>
          <w:color w:val="auto"/>
          <w:u w:color="000000"/>
        </w:rPr>
      </w:pPr>
      <w:r>
        <w:rPr>
          <w:rFonts w:hint="eastAsia"/>
          <w:color w:val="auto"/>
          <w:u w:color="000000"/>
        </w:rPr>
        <w:t>综上所述项目内在的危险、有害因素对周边区域的影响较小，符合国家有关规范、标准和规定。正常情况下，仅对项目所在场所的生产经营活动及生产人员产生影响，对厂区周边生产、经营活动或者居民生活产生的影响较小。</w:t>
      </w:r>
    </w:p>
    <w:p w:rsidR="003F13AB" w:rsidRDefault="00EC6E7E">
      <w:pPr>
        <w:ind w:firstLine="560"/>
        <w:rPr>
          <w:color w:val="auto"/>
          <w:u w:color="000000"/>
        </w:rPr>
      </w:pPr>
      <w:r>
        <w:rPr>
          <w:rFonts w:hint="eastAsia"/>
          <w:color w:val="auto"/>
          <w:u w:color="000000"/>
        </w:rPr>
        <w:lastRenderedPageBreak/>
        <w:t>（</w:t>
      </w:r>
      <w:r>
        <w:rPr>
          <w:rFonts w:hint="eastAsia"/>
          <w:color w:val="auto"/>
          <w:u w:color="000000"/>
        </w:rPr>
        <w:t>2</w:t>
      </w:r>
      <w:r>
        <w:rPr>
          <w:rFonts w:hint="eastAsia"/>
          <w:color w:val="auto"/>
          <w:u w:color="000000"/>
        </w:rPr>
        <w:t>）周边环境对建设项目的影响</w:t>
      </w:r>
    </w:p>
    <w:p w:rsidR="003F13AB" w:rsidRDefault="00EC6E7E">
      <w:pPr>
        <w:ind w:firstLine="560"/>
        <w:rPr>
          <w:color w:val="auto"/>
          <w:u w:color="000000"/>
        </w:rPr>
      </w:pPr>
      <w:r>
        <w:rPr>
          <w:rFonts w:hint="eastAsia"/>
          <w:color w:val="auto"/>
          <w:u w:color="000000"/>
        </w:rPr>
        <w:t>项目厂区周边危险性最大的建构筑物主要是云南劲欧化工有限公司的甲类厂房，厂房内使用硝酸钾，硝酸钾是制造黑火药，如矿山火药、引火线、爆竹等的原料，若发生硝酸钾导致的爆炸事故，可能对本项目的综合楼和成品仓库造成影响，但综合楼和和成品仓库与该厂房的间距为</w:t>
      </w:r>
      <w:r>
        <w:rPr>
          <w:rFonts w:hint="eastAsia"/>
          <w:color w:val="auto"/>
          <w:u w:color="000000"/>
        </w:rPr>
        <w:t>47.35m</w:t>
      </w:r>
      <w:r>
        <w:rPr>
          <w:rFonts w:hint="eastAsia"/>
          <w:color w:val="auto"/>
          <w:u w:color="000000"/>
        </w:rPr>
        <w:t>，远多于规范要求的</w:t>
      </w:r>
      <w:r>
        <w:rPr>
          <w:rFonts w:hint="eastAsia"/>
          <w:color w:val="auto"/>
          <w:u w:color="000000"/>
        </w:rPr>
        <w:t>25m</w:t>
      </w:r>
      <w:r>
        <w:rPr>
          <w:rFonts w:hint="eastAsia"/>
          <w:color w:val="auto"/>
          <w:u w:color="000000"/>
        </w:rPr>
        <w:t>防火距离，故该厂房发生事故对本项目厂区造成影响的可能性不大。</w:t>
      </w:r>
    </w:p>
    <w:p w:rsidR="003F13AB" w:rsidRDefault="00EC6E7E">
      <w:pPr>
        <w:pStyle w:val="2"/>
      </w:pPr>
      <w:bookmarkStart w:id="274" w:name="_Toc187914482"/>
      <w:r>
        <w:rPr>
          <w:rFonts w:hint="eastAsia"/>
        </w:rPr>
        <w:t>2.7设备设施检维修过程危险性分析</w:t>
      </w:r>
      <w:bookmarkEnd w:id="274"/>
    </w:p>
    <w:p w:rsidR="003F13AB" w:rsidRDefault="00EC6E7E">
      <w:pPr>
        <w:ind w:firstLine="560"/>
        <w:rPr>
          <w:color w:val="auto"/>
        </w:rPr>
      </w:pPr>
      <w:r>
        <w:rPr>
          <w:rFonts w:hint="eastAsia"/>
          <w:color w:val="auto"/>
        </w:rPr>
        <w:t>根据该项目涉及的主要设备、设施等处出现故障需要检修、维护时，在施工、项目运行中有可能涉及高处作业、动火作业、临时用电等特殊作业过程，在此过程中危险因素较多，如管理不到位，安全措施设置不当等易发生火灾爆炸、中毒、窒息、高处坠落、触电、物体打击、机械伤害、噪声等危险，其引发事故的主要原因分析如下：</w:t>
      </w:r>
    </w:p>
    <w:p w:rsidR="003F13AB" w:rsidRDefault="00EC6E7E">
      <w:pPr>
        <w:ind w:firstLine="560"/>
        <w:rPr>
          <w:color w:val="auto"/>
        </w:rPr>
      </w:pPr>
      <w:r>
        <w:rPr>
          <w:rFonts w:hint="eastAsia"/>
          <w:color w:val="auto"/>
        </w:rPr>
        <w:t>（</w:t>
      </w:r>
      <w:r>
        <w:rPr>
          <w:rFonts w:hint="eastAsia"/>
          <w:color w:val="auto"/>
        </w:rPr>
        <w:t>1</w:t>
      </w:r>
      <w:r>
        <w:rPr>
          <w:rFonts w:hint="eastAsia"/>
          <w:color w:val="auto"/>
        </w:rPr>
        <w:t>）高处作业危险性分析</w:t>
      </w:r>
    </w:p>
    <w:p w:rsidR="003F13AB" w:rsidRDefault="00EC6E7E">
      <w:pPr>
        <w:ind w:firstLine="560"/>
        <w:rPr>
          <w:color w:val="auto"/>
        </w:rPr>
      </w:pPr>
      <w:r>
        <w:rPr>
          <w:rFonts w:hint="eastAsia"/>
          <w:color w:val="auto"/>
        </w:rPr>
        <w:t>该项目运行过程中需要进行高处作业时，有可能发生高处坠落、物体打击的可能，其主要引发原因分析如下：</w:t>
      </w:r>
    </w:p>
    <w:p w:rsidR="003F13AB" w:rsidRDefault="00EC6E7E">
      <w:pPr>
        <w:ind w:firstLine="560"/>
        <w:rPr>
          <w:color w:val="auto"/>
        </w:rPr>
      </w:pPr>
      <w:r>
        <w:rPr>
          <w:rFonts w:hint="eastAsia"/>
          <w:color w:val="auto"/>
        </w:rPr>
        <w:t>1</w:t>
      </w:r>
      <w:r>
        <w:rPr>
          <w:rFonts w:hint="eastAsia"/>
          <w:color w:val="auto"/>
        </w:rPr>
        <w:t>）高处作业管理不规范，作业前未办理高处作业安全作业证，未对作业存在的危险有害因素进行充分辨识，未制定相应处理措施。</w:t>
      </w:r>
    </w:p>
    <w:p w:rsidR="003F13AB" w:rsidRDefault="00EC6E7E">
      <w:pPr>
        <w:ind w:firstLine="560"/>
        <w:rPr>
          <w:color w:val="auto"/>
        </w:rPr>
      </w:pPr>
      <w:r>
        <w:rPr>
          <w:rFonts w:hint="eastAsia"/>
          <w:color w:val="auto"/>
        </w:rPr>
        <w:t>2</w:t>
      </w:r>
      <w:r>
        <w:rPr>
          <w:rFonts w:hint="eastAsia"/>
          <w:color w:val="auto"/>
        </w:rPr>
        <w:t>）作业区未划分警戒区，未设监护人员，未设警示标志。</w:t>
      </w:r>
    </w:p>
    <w:p w:rsidR="003F13AB" w:rsidRDefault="00EC6E7E">
      <w:pPr>
        <w:ind w:firstLine="560"/>
        <w:rPr>
          <w:color w:val="auto"/>
        </w:rPr>
      </w:pPr>
      <w:r>
        <w:rPr>
          <w:rFonts w:hint="eastAsia"/>
          <w:color w:val="auto"/>
        </w:rPr>
        <w:t>3</w:t>
      </w:r>
      <w:r>
        <w:rPr>
          <w:rFonts w:hint="eastAsia"/>
          <w:color w:val="auto"/>
        </w:rPr>
        <w:t>）高处作业脚手架、吊笼、梯子、防护围栏、挡脚板等质量不良，使用前未经检查。</w:t>
      </w:r>
    </w:p>
    <w:p w:rsidR="003F13AB" w:rsidRDefault="00EC6E7E">
      <w:pPr>
        <w:ind w:firstLine="560"/>
        <w:rPr>
          <w:color w:val="auto"/>
        </w:rPr>
      </w:pPr>
      <w:r>
        <w:rPr>
          <w:rFonts w:hint="eastAsia"/>
          <w:color w:val="auto"/>
        </w:rPr>
        <w:t>4</w:t>
      </w:r>
      <w:r>
        <w:rPr>
          <w:rFonts w:hint="eastAsia"/>
          <w:color w:val="auto"/>
        </w:rPr>
        <w:t>）在高处作业时作业人员未按要求佩戴安全带（绳）、疲劳过度或酒后作业、未采取安全防护措施和使用可靠的安全保护装置等。</w:t>
      </w:r>
    </w:p>
    <w:p w:rsidR="003F13AB" w:rsidRDefault="00EC6E7E">
      <w:pPr>
        <w:ind w:firstLine="560"/>
        <w:rPr>
          <w:color w:val="auto"/>
        </w:rPr>
      </w:pPr>
      <w:r>
        <w:rPr>
          <w:rFonts w:hint="eastAsia"/>
          <w:color w:val="auto"/>
        </w:rPr>
        <w:t>5</w:t>
      </w:r>
      <w:r>
        <w:rPr>
          <w:rFonts w:hint="eastAsia"/>
          <w:color w:val="auto"/>
        </w:rPr>
        <w:t>）在</w:t>
      </w:r>
      <w:r>
        <w:rPr>
          <w:rFonts w:hint="eastAsia"/>
          <w:color w:val="auto"/>
        </w:rPr>
        <w:t>6</w:t>
      </w:r>
      <w:r>
        <w:rPr>
          <w:rFonts w:hint="eastAsia"/>
          <w:color w:val="auto"/>
        </w:rPr>
        <w:t>级以上大风、大雾天气进行高处作业。</w:t>
      </w:r>
    </w:p>
    <w:p w:rsidR="003F13AB" w:rsidRDefault="00EC6E7E">
      <w:pPr>
        <w:ind w:firstLine="560"/>
        <w:rPr>
          <w:color w:val="auto"/>
        </w:rPr>
      </w:pPr>
      <w:r>
        <w:rPr>
          <w:rFonts w:hint="eastAsia"/>
          <w:color w:val="auto"/>
        </w:rPr>
        <w:t>6</w:t>
      </w:r>
      <w:r>
        <w:rPr>
          <w:rFonts w:hint="eastAsia"/>
          <w:color w:val="auto"/>
        </w:rPr>
        <w:t>）高处作业人员患有职业禁忌，如高血压、心脏病、贫血病、疲劳过</w:t>
      </w:r>
      <w:r>
        <w:rPr>
          <w:rFonts w:hint="eastAsia"/>
          <w:color w:val="auto"/>
        </w:rPr>
        <w:lastRenderedPageBreak/>
        <w:t>度、视力不佳等。</w:t>
      </w:r>
    </w:p>
    <w:p w:rsidR="003F13AB" w:rsidRDefault="00EC6E7E">
      <w:pPr>
        <w:ind w:firstLine="560"/>
        <w:rPr>
          <w:color w:val="auto"/>
        </w:rPr>
      </w:pPr>
      <w:r>
        <w:rPr>
          <w:rFonts w:hint="eastAsia"/>
          <w:color w:val="auto"/>
        </w:rPr>
        <w:t>7</w:t>
      </w:r>
      <w:r>
        <w:rPr>
          <w:rFonts w:hint="eastAsia"/>
          <w:color w:val="auto"/>
        </w:rPr>
        <w:t>）高处作业下方未设防坠物措施，工具、零件、螺丝等坠下造成物体，高空抛物、物件设备摆放不稳，倾覆等易造成物体打击事故。</w:t>
      </w:r>
    </w:p>
    <w:p w:rsidR="003F13AB" w:rsidRDefault="00EC6E7E">
      <w:pPr>
        <w:ind w:firstLine="560"/>
        <w:rPr>
          <w:color w:val="auto"/>
        </w:rPr>
      </w:pPr>
      <w:r>
        <w:rPr>
          <w:rFonts w:hint="eastAsia"/>
          <w:color w:val="auto"/>
        </w:rPr>
        <w:t>（</w:t>
      </w:r>
      <w:r>
        <w:rPr>
          <w:rFonts w:hint="eastAsia"/>
          <w:color w:val="auto"/>
        </w:rPr>
        <w:t>2</w:t>
      </w:r>
      <w:r>
        <w:rPr>
          <w:rFonts w:hint="eastAsia"/>
          <w:color w:val="auto"/>
        </w:rPr>
        <w:t>）临时用电作业危险性分析</w:t>
      </w:r>
    </w:p>
    <w:p w:rsidR="003F13AB" w:rsidRDefault="00EC6E7E">
      <w:pPr>
        <w:ind w:firstLine="560"/>
        <w:rPr>
          <w:color w:val="auto"/>
        </w:rPr>
      </w:pPr>
      <w:r>
        <w:rPr>
          <w:rFonts w:hint="eastAsia"/>
          <w:color w:val="auto"/>
        </w:rPr>
        <w:t>该项目运行过程中会涉及临时用电作业，在此过程中可能因违章操作等原因而引发触电、电气火灾等危险，其引发事故主要原因分析如下：</w:t>
      </w:r>
    </w:p>
    <w:p w:rsidR="003F13AB" w:rsidRDefault="00EC6E7E">
      <w:pPr>
        <w:ind w:firstLine="560"/>
        <w:rPr>
          <w:color w:val="auto"/>
        </w:rPr>
      </w:pPr>
      <w:r>
        <w:rPr>
          <w:rFonts w:hint="eastAsia"/>
          <w:color w:val="auto"/>
        </w:rPr>
        <w:t>1</w:t>
      </w:r>
      <w:r>
        <w:rPr>
          <w:rFonts w:hint="eastAsia"/>
          <w:color w:val="auto"/>
        </w:rPr>
        <w:t>）临时用电作业管理不规范，安全措施不到位，未执行审批手续。</w:t>
      </w:r>
    </w:p>
    <w:p w:rsidR="003F13AB" w:rsidRDefault="00EC6E7E">
      <w:pPr>
        <w:ind w:firstLine="560"/>
        <w:rPr>
          <w:color w:val="auto"/>
        </w:rPr>
      </w:pPr>
      <w:r>
        <w:rPr>
          <w:rFonts w:hint="eastAsia"/>
          <w:color w:val="auto"/>
        </w:rPr>
        <w:t>2</w:t>
      </w:r>
      <w:r>
        <w:rPr>
          <w:rFonts w:hint="eastAsia"/>
          <w:color w:val="auto"/>
        </w:rPr>
        <w:t>）临时用电线路经过有高温、振动、腐蚀、积水等区域时有接头，且未采取相应的保护措施。</w:t>
      </w:r>
    </w:p>
    <w:p w:rsidR="003F13AB" w:rsidRDefault="00EC6E7E">
      <w:pPr>
        <w:ind w:firstLine="560"/>
        <w:rPr>
          <w:color w:val="auto"/>
        </w:rPr>
      </w:pPr>
      <w:r>
        <w:rPr>
          <w:rFonts w:hint="eastAsia"/>
          <w:color w:val="auto"/>
        </w:rPr>
        <w:t>3</w:t>
      </w:r>
      <w:r>
        <w:rPr>
          <w:rFonts w:hint="eastAsia"/>
          <w:color w:val="auto"/>
        </w:rPr>
        <w:t>）临时用电线路未设置保护开关或使用前未检查电气装置和保护设施的可靠性或为接地。</w:t>
      </w:r>
    </w:p>
    <w:p w:rsidR="003F13AB" w:rsidRDefault="00EC6E7E">
      <w:pPr>
        <w:ind w:firstLine="560"/>
        <w:rPr>
          <w:color w:val="auto"/>
        </w:rPr>
      </w:pPr>
      <w:r>
        <w:rPr>
          <w:rFonts w:hint="eastAsia"/>
          <w:color w:val="auto"/>
        </w:rPr>
        <w:t>4</w:t>
      </w:r>
      <w:r>
        <w:rPr>
          <w:rFonts w:hint="eastAsia"/>
          <w:color w:val="auto"/>
        </w:rPr>
        <w:t>）临时用电架空线设置不规范，未采用绝缘铜芯线，且未架设在专用电杆或支架上。</w:t>
      </w:r>
    </w:p>
    <w:p w:rsidR="003F13AB" w:rsidRDefault="00EC6E7E">
      <w:pPr>
        <w:ind w:firstLine="560"/>
        <w:rPr>
          <w:color w:val="auto"/>
        </w:rPr>
      </w:pPr>
      <w:r>
        <w:rPr>
          <w:rFonts w:hint="eastAsia"/>
          <w:color w:val="auto"/>
        </w:rPr>
        <w:t>5</w:t>
      </w:r>
      <w:r>
        <w:rPr>
          <w:rFonts w:hint="eastAsia"/>
          <w:color w:val="auto"/>
        </w:rPr>
        <w:t>）在特别潮湿的场所或槽内等金属设备内作业时，临时照明行灯的电压不符合规范要求，超过</w:t>
      </w:r>
      <w:r>
        <w:rPr>
          <w:rFonts w:hint="eastAsia"/>
          <w:color w:val="auto"/>
        </w:rPr>
        <w:t>12V</w:t>
      </w:r>
      <w:r>
        <w:rPr>
          <w:rFonts w:hint="eastAsia"/>
          <w:color w:val="auto"/>
        </w:rPr>
        <w:t>。</w:t>
      </w:r>
    </w:p>
    <w:p w:rsidR="003F13AB" w:rsidRDefault="00EC6E7E">
      <w:pPr>
        <w:ind w:firstLine="560"/>
        <w:rPr>
          <w:color w:val="auto"/>
        </w:rPr>
      </w:pPr>
      <w:r>
        <w:rPr>
          <w:rFonts w:hint="eastAsia"/>
          <w:color w:val="auto"/>
        </w:rPr>
        <w:t>6</w:t>
      </w:r>
      <w:r>
        <w:rPr>
          <w:rFonts w:hint="eastAsia"/>
          <w:color w:val="auto"/>
        </w:rPr>
        <w:t>）用电结束后，未及时拆除临时用电线路。</w:t>
      </w:r>
    </w:p>
    <w:p w:rsidR="003F13AB" w:rsidRDefault="00EC6E7E">
      <w:pPr>
        <w:ind w:firstLine="560"/>
        <w:rPr>
          <w:color w:val="auto"/>
        </w:rPr>
      </w:pPr>
      <w:r>
        <w:rPr>
          <w:rFonts w:hint="eastAsia"/>
          <w:color w:val="auto"/>
        </w:rPr>
        <w:t>7</w:t>
      </w:r>
      <w:r>
        <w:rPr>
          <w:rFonts w:hint="eastAsia"/>
          <w:color w:val="auto"/>
        </w:rPr>
        <w:t>）作业人员未持证上岗，违章作业等其它原因。</w:t>
      </w:r>
    </w:p>
    <w:p w:rsidR="003F13AB" w:rsidRDefault="00EC6E7E">
      <w:pPr>
        <w:ind w:firstLine="560"/>
        <w:rPr>
          <w:color w:val="auto"/>
        </w:rPr>
      </w:pPr>
      <w:r>
        <w:rPr>
          <w:rFonts w:hint="eastAsia"/>
          <w:color w:val="auto"/>
        </w:rPr>
        <w:t>（</w:t>
      </w:r>
      <w:r>
        <w:rPr>
          <w:rFonts w:hint="eastAsia"/>
          <w:color w:val="auto"/>
        </w:rPr>
        <w:t>3</w:t>
      </w:r>
      <w:r>
        <w:rPr>
          <w:rFonts w:hint="eastAsia"/>
          <w:color w:val="auto"/>
        </w:rPr>
        <w:t>）动火作业危险性分析</w:t>
      </w:r>
    </w:p>
    <w:p w:rsidR="003F13AB" w:rsidRDefault="00EC6E7E">
      <w:pPr>
        <w:ind w:firstLine="560"/>
        <w:rPr>
          <w:color w:val="auto"/>
        </w:rPr>
      </w:pPr>
      <w:r>
        <w:rPr>
          <w:rFonts w:hint="eastAsia"/>
          <w:color w:val="auto"/>
        </w:rPr>
        <w:t>在进行设备检修、安装过程中常常需要进行电焊、气焊（割）等进行可能产生火焰、火花和炽热表面的动火作业，其动火作业可能造成火灾爆炸、灼烫等危险，特别是在涉及</w:t>
      </w:r>
      <w:proofErr w:type="gramStart"/>
      <w:r>
        <w:rPr>
          <w:rFonts w:hint="eastAsia"/>
          <w:color w:val="auto"/>
        </w:rPr>
        <w:t>易燃易燃</w:t>
      </w:r>
      <w:proofErr w:type="gramEnd"/>
      <w:r>
        <w:rPr>
          <w:rFonts w:hint="eastAsia"/>
          <w:color w:val="auto"/>
        </w:rPr>
        <w:t>物料装置区进行动火作业时，其造成事故的主要原因分析如下：</w:t>
      </w:r>
    </w:p>
    <w:p w:rsidR="003F13AB" w:rsidRDefault="00EC6E7E">
      <w:pPr>
        <w:ind w:firstLine="560"/>
        <w:rPr>
          <w:color w:val="auto"/>
        </w:rPr>
      </w:pPr>
      <w:r>
        <w:rPr>
          <w:rFonts w:hint="eastAsia"/>
          <w:color w:val="auto"/>
        </w:rPr>
        <w:t>1</w:t>
      </w:r>
      <w:r>
        <w:rPr>
          <w:rFonts w:hint="eastAsia"/>
          <w:color w:val="auto"/>
        </w:rPr>
        <w:t>）动火作业管理不规范，安全措施不到位，未执行审批手续。</w:t>
      </w:r>
    </w:p>
    <w:p w:rsidR="003F13AB" w:rsidRDefault="00EC6E7E">
      <w:pPr>
        <w:ind w:firstLine="560"/>
        <w:rPr>
          <w:color w:val="auto"/>
        </w:rPr>
      </w:pPr>
      <w:r>
        <w:rPr>
          <w:rFonts w:hint="eastAsia"/>
          <w:color w:val="auto"/>
        </w:rPr>
        <w:t>2</w:t>
      </w:r>
      <w:r>
        <w:rPr>
          <w:rFonts w:hint="eastAsia"/>
          <w:color w:val="auto"/>
        </w:rPr>
        <w:t>）动火作业未设专人监护或监护人员脱岗。</w:t>
      </w:r>
    </w:p>
    <w:p w:rsidR="003F13AB" w:rsidRDefault="00EC6E7E">
      <w:pPr>
        <w:ind w:firstLine="560"/>
        <w:rPr>
          <w:color w:val="auto"/>
        </w:rPr>
      </w:pPr>
      <w:r>
        <w:rPr>
          <w:rFonts w:hint="eastAsia"/>
          <w:color w:val="auto"/>
        </w:rPr>
        <w:t>3</w:t>
      </w:r>
      <w:r>
        <w:rPr>
          <w:rFonts w:hint="eastAsia"/>
          <w:color w:val="auto"/>
        </w:rPr>
        <w:t>）动火作业区未设警戒线，未设安全警示标志，作业现场未配备相应</w:t>
      </w:r>
      <w:r>
        <w:rPr>
          <w:rFonts w:hint="eastAsia"/>
          <w:color w:val="auto"/>
        </w:rPr>
        <w:lastRenderedPageBreak/>
        <w:t>的消防器材或配备的消防器材不满足现场应急需求。</w:t>
      </w:r>
    </w:p>
    <w:p w:rsidR="003F13AB" w:rsidRDefault="00EC6E7E">
      <w:pPr>
        <w:ind w:firstLine="560"/>
        <w:rPr>
          <w:color w:val="auto"/>
        </w:rPr>
      </w:pPr>
      <w:r>
        <w:rPr>
          <w:rFonts w:hint="eastAsia"/>
          <w:color w:val="auto"/>
        </w:rPr>
        <w:t>4</w:t>
      </w:r>
      <w:r>
        <w:rPr>
          <w:rFonts w:hint="eastAsia"/>
          <w:color w:val="auto"/>
        </w:rPr>
        <w:t>）作业前未清除动火现场及周围的泄漏易燃物或未采取其它有效的安全防火措施。</w:t>
      </w:r>
    </w:p>
    <w:p w:rsidR="003F13AB" w:rsidRDefault="00EC6E7E">
      <w:pPr>
        <w:ind w:firstLine="560"/>
        <w:rPr>
          <w:color w:val="auto"/>
        </w:rPr>
      </w:pPr>
      <w:r>
        <w:rPr>
          <w:rFonts w:hint="eastAsia"/>
          <w:color w:val="auto"/>
        </w:rPr>
        <w:t>5</w:t>
      </w:r>
      <w:r>
        <w:rPr>
          <w:rFonts w:hint="eastAsia"/>
          <w:color w:val="auto"/>
        </w:rPr>
        <w:t>）动火点周围或其下方地面有易燃物、可燃物、空洞、地沟时，未采取清除或封盖等措施，或动火期间，距动火点</w:t>
      </w:r>
      <w:r>
        <w:rPr>
          <w:rFonts w:hint="eastAsia"/>
          <w:color w:val="auto"/>
        </w:rPr>
        <w:t>30m</w:t>
      </w:r>
      <w:r>
        <w:rPr>
          <w:rFonts w:hint="eastAsia"/>
          <w:color w:val="auto"/>
        </w:rPr>
        <w:t>、</w:t>
      </w:r>
      <w:r>
        <w:rPr>
          <w:rFonts w:hint="eastAsia"/>
          <w:color w:val="auto"/>
        </w:rPr>
        <w:t>15m</w:t>
      </w:r>
      <w:r>
        <w:rPr>
          <w:rFonts w:hint="eastAsia"/>
          <w:color w:val="auto"/>
        </w:rPr>
        <w:t>范围内分别有易燃、可燃物料或距动火点</w:t>
      </w:r>
      <w:r>
        <w:rPr>
          <w:rFonts w:hint="eastAsia"/>
          <w:color w:val="auto"/>
        </w:rPr>
        <w:t>10m</w:t>
      </w:r>
      <w:r>
        <w:rPr>
          <w:rFonts w:hint="eastAsia"/>
          <w:color w:val="auto"/>
        </w:rPr>
        <w:t>范围内及动火点下方有可燃溶剂清洗、喷漆等作业。</w:t>
      </w:r>
    </w:p>
    <w:p w:rsidR="003F13AB" w:rsidRDefault="00EC6E7E">
      <w:pPr>
        <w:ind w:firstLine="560"/>
        <w:rPr>
          <w:color w:val="auto"/>
        </w:rPr>
      </w:pPr>
      <w:r>
        <w:rPr>
          <w:rFonts w:hint="eastAsia"/>
          <w:color w:val="auto"/>
        </w:rPr>
        <w:t>6</w:t>
      </w:r>
      <w:r>
        <w:rPr>
          <w:rFonts w:hint="eastAsia"/>
          <w:color w:val="auto"/>
        </w:rPr>
        <w:t>）使用气焊、气割动火作业时，乙炔瓶、氧气瓶未直立放置等使用不规范，或动火作业完毕后未清理现场，未确认无残留火种后离开。</w:t>
      </w:r>
    </w:p>
    <w:p w:rsidR="003F13AB" w:rsidRDefault="00EC6E7E">
      <w:pPr>
        <w:ind w:firstLine="560"/>
        <w:rPr>
          <w:color w:val="auto"/>
        </w:rPr>
      </w:pPr>
      <w:r>
        <w:rPr>
          <w:rFonts w:hint="eastAsia"/>
          <w:color w:val="auto"/>
        </w:rPr>
        <w:t>7</w:t>
      </w:r>
      <w:r>
        <w:rPr>
          <w:rFonts w:hint="eastAsia"/>
          <w:color w:val="auto"/>
        </w:rPr>
        <w:t>）人员违章作业。</w:t>
      </w:r>
    </w:p>
    <w:p w:rsidR="003F13AB" w:rsidRDefault="00EC6E7E">
      <w:pPr>
        <w:pStyle w:val="2"/>
      </w:pPr>
      <w:bookmarkStart w:id="275" w:name="_Toc187914483"/>
      <w:r>
        <w:rPr>
          <w:rFonts w:hint="eastAsia"/>
        </w:rPr>
        <w:t>2.8 特殊作业危险性分析</w:t>
      </w:r>
      <w:bookmarkEnd w:id="275"/>
    </w:p>
    <w:p w:rsidR="003F13AB" w:rsidRDefault="00EC6E7E">
      <w:pPr>
        <w:ind w:firstLine="560"/>
        <w:rPr>
          <w:color w:val="auto"/>
        </w:rPr>
      </w:pPr>
      <w:r>
        <w:rPr>
          <w:rFonts w:hint="eastAsia"/>
          <w:color w:val="auto"/>
        </w:rPr>
        <w:t>（</w:t>
      </w:r>
      <w:r>
        <w:rPr>
          <w:rFonts w:hint="eastAsia"/>
          <w:color w:val="auto"/>
        </w:rPr>
        <w:t>1</w:t>
      </w:r>
      <w:r>
        <w:rPr>
          <w:rFonts w:hint="eastAsia"/>
          <w:color w:val="auto"/>
        </w:rPr>
        <w:t>）吊装作业危险性分析</w:t>
      </w:r>
    </w:p>
    <w:p w:rsidR="003F13AB" w:rsidRDefault="00EC6E7E">
      <w:pPr>
        <w:ind w:firstLine="560"/>
        <w:jc w:val="center"/>
        <w:rPr>
          <w:color w:val="auto"/>
        </w:rPr>
      </w:pPr>
      <w:r>
        <w:rPr>
          <w:rFonts w:hint="eastAsia"/>
          <w:color w:val="auto"/>
        </w:rPr>
        <w:t>附表</w:t>
      </w:r>
      <w:r>
        <w:rPr>
          <w:rFonts w:hint="eastAsia"/>
          <w:color w:val="auto"/>
        </w:rPr>
        <w:t>2.3-1</w:t>
      </w:r>
      <w:r>
        <w:rPr>
          <w:rFonts w:hint="eastAsia"/>
          <w:color w:val="auto"/>
        </w:rPr>
        <w:t>吊装作业危险性分析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717"/>
        <w:gridCol w:w="2511"/>
        <w:gridCol w:w="1807"/>
        <w:gridCol w:w="3193"/>
      </w:tblGrid>
      <w:tr w:rsidR="003F13AB">
        <w:trPr>
          <w:trHeight w:val="23"/>
          <w:jc w:val="center"/>
        </w:trPr>
        <w:tc>
          <w:tcPr>
            <w:tcW w:w="465" w:type="pct"/>
            <w:vAlign w:val="center"/>
          </w:tcPr>
          <w:p w:rsidR="003F13AB" w:rsidRDefault="00EC6E7E">
            <w:pPr>
              <w:adjustRightInd/>
              <w:spacing w:line="240" w:lineRule="exact"/>
              <w:ind w:firstLineChars="0" w:firstLine="0"/>
              <w:jc w:val="center"/>
              <w:rPr>
                <w:rFonts w:ascii="宋体" w:hAnsi="宋体" w:cs="宋体"/>
                <w:b/>
                <w:sz w:val="21"/>
                <w:szCs w:val="21"/>
              </w:rPr>
            </w:pPr>
            <w:r>
              <w:rPr>
                <w:rFonts w:ascii="宋体" w:hAnsi="宋体" w:cs="宋体" w:hint="eastAsia"/>
                <w:b/>
                <w:sz w:val="21"/>
                <w:szCs w:val="21"/>
              </w:rPr>
              <w:t>作业名称</w:t>
            </w:r>
          </w:p>
        </w:tc>
        <w:tc>
          <w:tcPr>
            <w:tcW w:w="395" w:type="pct"/>
            <w:vAlign w:val="center"/>
          </w:tcPr>
          <w:p w:rsidR="003F13AB" w:rsidRDefault="00EC6E7E">
            <w:pPr>
              <w:adjustRightInd/>
              <w:spacing w:line="240" w:lineRule="exact"/>
              <w:ind w:firstLineChars="0" w:firstLine="0"/>
              <w:jc w:val="center"/>
              <w:rPr>
                <w:rFonts w:ascii="宋体" w:hAnsi="宋体" w:cs="宋体"/>
                <w:b/>
                <w:sz w:val="21"/>
                <w:szCs w:val="21"/>
              </w:rPr>
            </w:pPr>
            <w:r>
              <w:rPr>
                <w:rFonts w:ascii="宋体" w:hAnsi="宋体" w:cs="宋体" w:hint="eastAsia"/>
                <w:b/>
                <w:sz w:val="21"/>
                <w:szCs w:val="21"/>
              </w:rPr>
              <w:t>工作步骤</w:t>
            </w:r>
          </w:p>
        </w:tc>
        <w:tc>
          <w:tcPr>
            <w:tcW w:w="1384" w:type="pct"/>
            <w:vAlign w:val="center"/>
          </w:tcPr>
          <w:p w:rsidR="003F13AB" w:rsidRDefault="00EC6E7E">
            <w:pPr>
              <w:adjustRightInd/>
              <w:spacing w:line="240" w:lineRule="exact"/>
              <w:ind w:firstLineChars="0" w:firstLine="0"/>
              <w:jc w:val="center"/>
              <w:rPr>
                <w:rFonts w:ascii="宋体" w:hAnsi="宋体" w:cs="宋体"/>
                <w:b/>
                <w:sz w:val="21"/>
                <w:szCs w:val="21"/>
              </w:rPr>
            </w:pPr>
            <w:r>
              <w:rPr>
                <w:rFonts w:ascii="宋体" w:hAnsi="宋体" w:cs="宋体" w:hint="eastAsia"/>
                <w:b/>
                <w:sz w:val="21"/>
                <w:szCs w:val="21"/>
              </w:rPr>
              <w:t>危害因素</w:t>
            </w:r>
          </w:p>
        </w:tc>
        <w:tc>
          <w:tcPr>
            <w:tcW w:w="996" w:type="pct"/>
            <w:vAlign w:val="center"/>
          </w:tcPr>
          <w:p w:rsidR="003F13AB" w:rsidRDefault="00EC6E7E">
            <w:pPr>
              <w:adjustRightInd/>
              <w:spacing w:line="240" w:lineRule="exact"/>
              <w:ind w:firstLineChars="0" w:firstLine="0"/>
              <w:jc w:val="center"/>
              <w:rPr>
                <w:rFonts w:ascii="宋体" w:hAnsi="宋体" w:cs="宋体"/>
                <w:b/>
                <w:sz w:val="21"/>
                <w:szCs w:val="21"/>
              </w:rPr>
            </w:pPr>
            <w:r>
              <w:rPr>
                <w:rFonts w:ascii="宋体" w:hAnsi="宋体" w:cs="宋体" w:hint="eastAsia"/>
                <w:b/>
                <w:sz w:val="21"/>
                <w:szCs w:val="21"/>
              </w:rPr>
              <w:t>可能的后果</w:t>
            </w:r>
          </w:p>
        </w:tc>
        <w:tc>
          <w:tcPr>
            <w:tcW w:w="1760" w:type="pct"/>
            <w:vAlign w:val="center"/>
          </w:tcPr>
          <w:p w:rsidR="003F13AB" w:rsidRDefault="00EC6E7E">
            <w:pPr>
              <w:adjustRightInd/>
              <w:spacing w:line="240" w:lineRule="exact"/>
              <w:ind w:firstLineChars="0" w:firstLine="0"/>
              <w:jc w:val="center"/>
              <w:rPr>
                <w:rFonts w:ascii="宋体" w:hAnsi="宋体" w:cs="宋体"/>
                <w:b/>
                <w:sz w:val="21"/>
                <w:szCs w:val="21"/>
              </w:rPr>
            </w:pPr>
            <w:r>
              <w:rPr>
                <w:rFonts w:ascii="宋体" w:hAnsi="宋体" w:cs="宋体" w:hint="eastAsia"/>
                <w:b/>
                <w:sz w:val="21"/>
                <w:szCs w:val="21"/>
              </w:rPr>
              <w:t>控制措施</w:t>
            </w:r>
          </w:p>
        </w:tc>
      </w:tr>
      <w:tr w:rsidR="003F13AB">
        <w:trPr>
          <w:trHeight w:val="23"/>
          <w:jc w:val="center"/>
        </w:trPr>
        <w:tc>
          <w:tcPr>
            <w:tcW w:w="465" w:type="pct"/>
            <w:vMerge w:val="restart"/>
            <w:vAlign w:val="center"/>
          </w:tcPr>
          <w:p w:rsidR="003F13AB" w:rsidRDefault="00EC6E7E">
            <w:pPr>
              <w:adjustRightInd/>
              <w:spacing w:line="240" w:lineRule="exact"/>
              <w:ind w:firstLineChars="0" w:firstLine="0"/>
              <w:jc w:val="center"/>
              <w:rPr>
                <w:sz w:val="21"/>
                <w:szCs w:val="21"/>
              </w:rPr>
            </w:pPr>
            <w:r>
              <w:rPr>
                <w:rFonts w:hint="eastAsia"/>
                <w:sz w:val="21"/>
                <w:szCs w:val="21"/>
              </w:rPr>
              <w:t>吊装作业</w:t>
            </w:r>
          </w:p>
        </w:tc>
        <w:tc>
          <w:tcPr>
            <w:tcW w:w="395" w:type="pct"/>
            <w:vMerge w:val="restart"/>
            <w:vAlign w:val="center"/>
          </w:tcPr>
          <w:p w:rsidR="003F13AB" w:rsidRDefault="00EC6E7E">
            <w:pPr>
              <w:adjustRightInd/>
              <w:spacing w:line="240" w:lineRule="exact"/>
              <w:ind w:firstLineChars="0" w:firstLine="0"/>
              <w:jc w:val="center"/>
              <w:rPr>
                <w:sz w:val="21"/>
                <w:szCs w:val="21"/>
              </w:rPr>
            </w:pPr>
            <w:r>
              <w:rPr>
                <w:rFonts w:hint="eastAsia"/>
                <w:sz w:val="21"/>
                <w:szCs w:val="21"/>
              </w:rPr>
              <w:t>作业前</w:t>
            </w: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t>不按规定要求办理吊装作业许可证</w:t>
            </w:r>
          </w:p>
        </w:tc>
        <w:tc>
          <w:tcPr>
            <w:tcW w:w="996" w:type="pct"/>
            <w:vAlign w:val="center"/>
          </w:tcPr>
          <w:p w:rsidR="003F13AB" w:rsidRDefault="00EC6E7E">
            <w:pPr>
              <w:adjustRightInd/>
              <w:spacing w:line="240" w:lineRule="exact"/>
              <w:ind w:firstLineChars="0" w:firstLine="0"/>
              <w:rPr>
                <w:sz w:val="21"/>
                <w:szCs w:val="21"/>
              </w:rPr>
            </w:pPr>
            <w:r>
              <w:rPr>
                <w:sz w:val="21"/>
                <w:szCs w:val="21"/>
              </w:rPr>
              <w:t>违章作业引发事故</w:t>
            </w:r>
          </w:p>
        </w:tc>
        <w:tc>
          <w:tcPr>
            <w:tcW w:w="1760" w:type="pct"/>
            <w:vAlign w:val="center"/>
          </w:tcPr>
          <w:p w:rsidR="003F13AB" w:rsidRDefault="00EC6E7E">
            <w:pPr>
              <w:adjustRightInd/>
              <w:spacing w:line="240" w:lineRule="exact"/>
              <w:ind w:firstLineChars="0" w:firstLine="0"/>
              <w:rPr>
                <w:sz w:val="21"/>
                <w:szCs w:val="21"/>
              </w:rPr>
            </w:pPr>
            <w:r>
              <w:rPr>
                <w:sz w:val="21"/>
                <w:szCs w:val="21"/>
              </w:rPr>
              <w:t>严格办理</w:t>
            </w:r>
            <w:r>
              <w:rPr>
                <w:rFonts w:hint="eastAsia"/>
                <w:sz w:val="21"/>
                <w:szCs w:val="21"/>
              </w:rPr>
              <w:t>吊装</w:t>
            </w:r>
            <w:r>
              <w:rPr>
                <w:sz w:val="21"/>
                <w:szCs w:val="21"/>
              </w:rPr>
              <w:t>作业</w:t>
            </w:r>
            <w:r>
              <w:rPr>
                <w:rFonts w:hint="eastAsia"/>
                <w:sz w:val="21"/>
                <w:szCs w:val="21"/>
              </w:rPr>
              <w:t>许可</w:t>
            </w:r>
            <w:r>
              <w:rPr>
                <w:sz w:val="21"/>
                <w:szCs w:val="21"/>
              </w:rPr>
              <w:t>证</w:t>
            </w:r>
            <w:r>
              <w:rPr>
                <w:rFonts w:hint="eastAsia"/>
                <w:sz w:val="21"/>
                <w:szCs w:val="21"/>
              </w:rPr>
              <w:t>，严禁违章作业，严格按规定执行</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t>作业人员</w:t>
            </w:r>
            <w:r>
              <w:rPr>
                <w:sz w:val="21"/>
                <w:szCs w:val="21"/>
              </w:rPr>
              <w:t>安全</w:t>
            </w:r>
            <w:r>
              <w:rPr>
                <w:rFonts w:hint="eastAsia"/>
                <w:sz w:val="21"/>
                <w:szCs w:val="21"/>
              </w:rPr>
              <w:t>防护</w:t>
            </w:r>
            <w:r>
              <w:rPr>
                <w:sz w:val="21"/>
                <w:szCs w:val="21"/>
              </w:rPr>
              <w:t>措施不落实</w:t>
            </w:r>
          </w:p>
        </w:tc>
        <w:tc>
          <w:tcPr>
            <w:tcW w:w="996" w:type="pct"/>
            <w:vAlign w:val="center"/>
          </w:tcPr>
          <w:p w:rsidR="003F13AB" w:rsidRDefault="00EC6E7E">
            <w:pPr>
              <w:adjustRightInd/>
              <w:spacing w:line="240" w:lineRule="exact"/>
              <w:ind w:firstLineChars="0" w:firstLine="0"/>
              <w:rPr>
                <w:sz w:val="21"/>
                <w:szCs w:val="21"/>
              </w:rPr>
            </w:pPr>
            <w:r>
              <w:rPr>
                <w:sz w:val="21"/>
                <w:szCs w:val="21"/>
              </w:rPr>
              <w:t>引发事故</w:t>
            </w:r>
            <w:r>
              <w:rPr>
                <w:rFonts w:hint="eastAsia"/>
                <w:sz w:val="21"/>
                <w:szCs w:val="21"/>
              </w:rPr>
              <w:t>、人员伤亡</w:t>
            </w:r>
          </w:p>
        </w:tc>
        <w:tc>
          <w:tcPr>
            <w:tcW w:w="1760" w:type="pct"/>
            <w:vAlign w:val="center"/>
          </w:tcPr>
          <w:p w:rsidR="003F13AB" w:rsidRDefault="00EC6E7E">
            <w:pPr>
              <w:adjustRightInd/>
              <w:spacing w:line="240" w:lineRule="exact"/>
              <w:ind w:firstLineChars="0" w:firstLine="0"/>
              <w:rPr>
                <w:sz w:val="21"/>
                <w:szCs w:val="21"/>
              </w:rPr>
            </w:pPr>
            <w:r>
              <w:rPr>
                <w:rFonts w:hint="eastAsia"/>
                <w:sz w:val="21"/>
                <w:szCs w:val="21"/>
              </w:rPr>
              <w:t>配备</w:t>
            </w:r>
            <w:r>
              <w:rPr>
                <w:sz w:val="21"/>
                <w:szCs w:val="21"/>
              </w:rPr>
              <w:t>负责安全措施</w:t>
            </w:r>
            <w:r>
              <w:rPr>
                <w:rFonts w:hint="eastAsia"/>
                <w:sz w:val="21"/>
                <w:szCs w:val="21"/>
              </w:rPr>
              <w:t>，安全带、安全帽，相关就</w:t>
            </w:r>
            <w:proofErr w:type="gramStart"/>
            <w:r>
              <w:rPr>
                <w:rFonts w:hint="eastAsia"/>
                <w:sz w:val="21"/>
                <w:szCs w:val="21"/>
              </w:rPr>
              <w:t>生设备</w:t>
            </w:r>
            <w:proofErr w:type="gramEnd"/>
            <w:r>
              <w:rPr>
                <w:rFonts w:hint="eastAsia"/>
                <w:sz w:val="21"/>
                <w:szCs w:val="21"/>
              </w:rPr>
              <w:t>等，严格检查</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t>作业人员未进行安全教育</w:t>
            </w:r>
          </w:p>
        </w:tc>
        <w:tc>
          <w:tcPr>
            <w:tcW w:w="996" w:type="pct"/>
            <w:vAlign w:val="center"/>
          </w:tcPr>
          <w:p w:rsidR="003F13AB" w:rsidRDefault="00EC6E7E">
            <w:pPr>
              <w:adjustRightInd/>
              <w:spacing w:line="240" w:lineRule="exact"/>
              <w:ind w:firstLineChars="0" w:firstLine="0"/>
              <w:rPr>
                <w:sz w:val="21"/>
                <w:szCs w:val="21"/>
              </w:rPr>
            </w:pPr>
            <w:r>
              <w:rPr>
                <w:rFonts w:hint="eastAsia"/>
                <w:sz w:val="21"/>
                <w:szCs w:val="21"/>
              </w:rPr>
              <w:t>人员伤害</w:t>
            </w:r>
          </w:p>
        </w:tc>
        <w:tc>
          <w:tcPr>
            <w:tcW w:w="1760" w:type="pct"/>
            <w:vAlign w:val="center"/>
          </w:tcPr>
          <w:p w:rsidR="003F13AB" w:rsidRDefault="00EC6E7E">
            <w:pPr>
              <w:adjustRightInd/>
              <w:spacing w:line="240" w:lineRule="exact"/>
              <w:ind w:firstLineChars="0" w:firstLine="0"/>
              <w:rPr>
                <w:sz w:val="21"/>
                <w:szCs w:val="21"/>
              </w:rPr>
            </w:pPr>
            <w:r>
              <w:rPr>
                <w:rFonts w:hint="eastAsia"/>
                <w:sz w:val="21"/>
                <w:szCs w:val="21"/>
              </w:rPr>
              <w:t>作业前进行安全教育，对现场情况进行培训，严格按照规定执行</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t>监护不足，</w:t>
            </w:r>
            <w:r>
              <w:rPr>
                <w:sz w:val="21"/>
                <w:szCs w:val="21"/>
              </w:rPr>
              <w:t>监护人不到位</w:t>
            </w:r>
          </w:p>
        </w:tc>
        <w:tc>
          <w:tcPr>
            <w:tcW w:w="996" w:type="pct"/>
            <w:vAlign w:val="center"/>
          </w:tcPr>
          <w:p w:rsidR="003F13AB" w:rsidRDefault="00EC6E7E">
            <w:pPr>
              <w:adjustRightInd/>
              <w:spacing w:line="240" w:lineRule="exact"/>
              <w:ind w:firstLineChars="0" w:firstLine="0"/>
              <w:rPr>
                <w:sz w:val="21"/>
                <w:szCs w:val="21"/>
              </w:rPr>
            </w:pPr>
            <w:r>
              <w:rPr>
                <w:sz w:val="21"/>
                <w:szCs w:val="21"/>
              </w:rPr>
              <w:t>出现事故不能及时处置，造成事故扩大</w:t>
            </w:r>
          </w:p>
        </w:tc>
        <w:tc>
          <w:tcPr>
            <w:tcW w:w="1760" w:type="pct"/>
            <w:vAlign w:val="center"/>
          </w:tcPr>
          <w:p w:rsidR="003F13AB" w:rsidRDefault="00EC6E7E">
            <w:pPr>
              <w:widowControl/>
              <w:adjustRightInd/>
              <w:spacing w:line="240" w:lineRule="exact"/>
              <w:ind w:firstLineChars="0" w:firstLine="0"/>
              <w:rPr>
                <w:sz w:val="21"/>
                <w:szCs w:val="21"/>
              </w:rPr>
            </w:pPr>
            <w:r>
              <w:rPr>
                <w:kern w:val="0"/>
                <w:sz w:val="21"/>
                <w:szCs w:val="21"/>
              </w:rPr>
              <w:t>安排责任心强有经验的人员进行监护</w:t>
            </w:r>
            <w:r>
              <w:rPr>
                <w:rFonts w:hint="eastAsia"/>
                <w:kern w:val="0"/>
                <w:sz w:val="21"/>
                <w:szCs w:val="21"/>
              </w:rPr>
              <w:t>，作业前对安全措施进行严格检查。作业过程中不得脱离岗位</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adjustRightInd/>
              <w:spacing w:line="240" w:lineRule="exact"/>
              <w:ind w:firstLineChars="0" w:firstLine="0"/>
              <w:rPr>
                <w:sz w:val="21"/>
                <w:szCs w:val="21"/>
              </w:rPr>
            </w:pPr>
            <w:r>
              <w:rPr>
                <w:sz w:val="21"/>
                <w:szCs w:val="21"/>
              </w:rPr>
              <w:t>消防器材</w:t>
            </w:r>
            <w:r>
              <w:rPr>
                <w:rFonts w:hint="eastAsia"/>
                <w:sz w:val="21"/>
                <w:szCs w:val="21"/>
              </w:rPr>
              <w:t>不足及救援应急措施不当</w:t>
            </w:r>
          </w:p>
        </w:tc>
        <w:tc>
          <w:tcPr>
            <w:tcW w:w="996" w:type="pct"/>
            <w:vAlign w:val="center"/>
          </w:tcPr>
          <w:p w:rsidR="003F13AB" w:rsidRDefault="00EC6E7E">
            <w:pPr>
              <w:adjustRightInd/>
              <w:spacing w:line="240" w:lineRule="exact"/>
              <w:ind w:firstLineChars="0" w:firstLine="0"/>
              <w:rPr>
                <w:sz w:val="21"/>
                <w:szCs w:val="21"/>
              </w:rPr>
            </w:pPr>
            <w:r>
              <w:rPr>
                <w:sz w:val="21"/>
                <w:szCs w:val="21"/>
              </w:rPr>
              <w:t>造成事故扩大</w:t>
            </w:r>
            <w:r>
              <w:rPr>
                <w:rFonts w:hint="eastAsia"/>
                <w:sz w:val="21"/>
                <w:szCs w:val="21"/>
              </w:rPr>
              <w:t>、人员伤害</w:t>
            </w:r>
          </w:p>
        </w:tc>
        <w:tc>
          <w:tcPr>
            <w:tcW w:w="1760" w:type="pct"/>
            <w:vAlign w:val="center"/>
          </w:tcPr>
          <w:p w:rsidR="003F13AB" w:rsidRDefault="00EC6E7E">
            <w:pPr>
              <w:widowControl/>
              <w:adjustRightInd/>
              <w:spacing w:line="240" w:lineRule="exact"/>
              <w:ind w:firstLineChars="0" w:firstLine="0"/>
              <w:rPr>
                <w:sz w:val="21"/>
                <w:szCs w:val="21"/>
              </w:rPr>
            </w:pPr>
            <w:r>
              <w:rPr>
                <w:kern w:val="0"/>
                <w:sz w:val="21"/>
                <w:szCs w:val="21"/>
              </w:rPr>
              <w:t>作业前仔细检查落实配备到位</w:t>
            </w:r>
            <w:r>
              <w:rPr>
                <w:rFonts w:hint="eastAsia"/>
                <w:kern w:val="0"/>
                <w:sz w:val="21"/>
                <w:szCs w:val="21"/>
              </w:rPr>
              <w:t>，备有消防器材和药品等急救用品</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t>钢丝绳有断股，破损严重，安全系数不合要求</w:t>
            </w:r>
          </w:p>
        </w:tc>
        <w:tc>
          <w:tcPr>
            <w:tcW w:w="996" w:type="pct"/>
            <w:vAlign w:val="center"/>
          </w:tcPr>
          <w:p w:rsidR="003F13AB" w:rsidRDefault="00EC6E7E">
            <w:pPr>
              <w:adjustRightInd/>
              <w:spacing w:line="240" w:lineRule="exact"/>
              <w:ind w:firstLineChars="0" w:firstLine="0"/>
              <w:rPr>
                <w:sz w:val="21"/>
                <w:szCs w:val="21"/>
              </w:rPr>
            </w:pPr>
            <w:r>
              <w:rPr>
                <w:rFonts w:hint="eastAsia"/>
                <w:sz w:val="21"/>
                <w:szCs w:val="21"/>
              </w:rPr>
              <w:t>高处坠落，人员伤害</w:t>
            </w:r>
          </w:p>
        </w:tc>
        <w:tc>
          <w:tcPr>
            <w:tcW w:w="1760" w:type="pct"/>
            <w:vAlign w:val="center"/>
          </w:tcPr>
          <w:p w:rsidR="003F13AB" w:rsidRDefault="00EC6E7E">
            <w:pPr>
              <w:widowControl/>
              <w:adjustRightInd/>
              <w:spacing w:line="240" w:lineRule="exact"/>
              <w:ind w:firstLineChars="0" w:firstLine="0"/>
              <w:rPr>
                <w:sz w:val="21"/>
                <w:szCs w:val="21"/>
              </w:rPr>
            </w:pPr>
            <w:r>
              <w:rPr>
                <w:rFonts w:hint="eastAsia"/>
                <w:sz w:val="21"/>
                <w:szCs w:val="21"/>
              </w:rPr>
              <w:t>使用前认真检查，符合要求才能使用。</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t>作业材料、器具、设备等设施不安全</w:t>
            </w:r>
          </w:p>
        </w:tc>
        <w:tc>
          <w:tcPr>
            <w:tcW w:w="996" w:type="pct"/>
            <w:vAlign w:val="center"/>
          </w:tcPr>
          <w:p w:rsidR="003F13AB" w:rsidRDefault="00EC6E7E">
            <w:pPr>
              <w:adjustRightInd/>
              <w:spacing w:line="240" w:lineRule="exact"/>
              <w:ind w:firstLineChars="0" w:firstLine="0"/>
              <w:rPr>
                <w:sz w:val="21"/>
                <w:szCs w:val="21"/>
              </w:rPr>
            </w:pPr>
            <w:r>
              <w:rPr>
                <w:sz w:val="21"/>
                <w:szCs w:val="21"/>
              </w:rPr>
              <w:t>造成事故扩大</w:t>
            </w:r>
            <w:r>
              <w:rPr>
                <w:rFonts w:hint="eastAsia"/>
                <w:sz w:val="21"/>
                <w:szCs w:val="21"/>
              </w:rPr>
              <w:t>。人员伤害</w:t>
            </w:r>
          </w:p>
        </w:tc>
        <w:tc>
          <w:tcPr>
            <w:tcW w:w="1760" w:type="pct"/>
            <w:vAlign w:val="center"/>
          </w:tcPr>
          <w:p w:rsidR="003F13AB" w:rsidRDefault="00EC6E7E">
            <w:pPr>
              <w:widowControl/>
              <w:adjustRightInd/>
              <w:spacing w:line="240" w:lineRule="exact"/>
              <w:ind w:firstLineChars="0" w:firstLine="0"/>
              <w:rPr>
                <w:sz w:val="21"/>
                <w:szCs w:val="21"/>
              </w:rPr>
            </w:pPr>
            <w:r>
              <w:rPr>
                <w:rFonts w:hint="eastAsia"/>
                <w:sz w:val="21"/>
                <w:szCs w:val="21"/>
              </w:rPr>
              <w:t>使用前认真检查，严格按规定执行</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t>作业现场不符要求，与输电设施无安全距离</w:t>
            </w:r>
          </w:p>
        </w:tc>
        <w:tc>
          <w:tcPr>
            <w:tcW w:w="996" w:type="pct"/>
            <w:vAlign w:val="center"/>
          </w:tcPr>
          <w:p w:rsidR="003F13AB" w:rsidRDefault="00EC6E7E">
            <w:pPr>
              <w:adjustRightInd/>
              <w:spacing w:line="240" w:lineRule="exact"/>
              <w:ind w:firstLineChars="0" w:firstLine="0"/>
              <w:rPr>
                <w:sz w:val="21"/>
                <w:szCs w:val="21"/>
              </w:rPr>
            </w:pPr>
            <w:r>
              <w:rPr>
                <w:rFonts w:hint="eastAsia"/>
                <w:sz w:val="21"/>
                <w:szCs w:val="21"/>
              </w:rPr>
              <w:t>人员伤害</w:t>
            </w:r>
          </w:p>
        </w:tc>
        <w:tc>
          <w:tcPr>
            <w:tcW w:w="1760" w:type="pct"/>
            <w:vAlign w:val="center"/>
          </w:tcPr>
          <w:p w:rsidR="003F13AB" w:rsidRDefault="00EC6E7E">
            <w:pPr>
              <w:widowControl/>
              <w:adjustRightInd/>
              <w:spacing w:line="240" w:lineRule="exact"/>
              <w:ind w:firstLineChars="0" w:firstLine="0"/>
              <w:rPr>
                <w:sz w:val="21"/>
                <w:szCs w:val="21"/>
              </w:rPr>
            </w:pPr>
            <w:r>
              <w:rPr>
                <w:rFonts w:hint="eastAsia"/>
                <w:sz w:val="21"/>
                <w:szCs w:val="21"/>
              </w:rPr>
              <w:t>现场地面必须牢固，可靠，停放地点平坦。与输电线路有一定的安全距离。严格按规定执行</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t>与现场联系不足，信号不明确，指挥混乱</w:t>
            </w:r>
          </w:p>
        </w:tc>
        <w:tc>
          <w:tcPr>
            <w:tcW w:w="996" w:type="pct"/>
            <w:vAlign w:val="center"/>
          </w:tcPr>
          <w:p w:rsidR="003F13AB" w:rsidRDefault="00EC6E7E">
            <w:pPr>
              <w:adjustRightInd/>
              <w:spacing w:line="240" w:lineRule="exact"/>
              <w:ind w:firstLineChars="0" w:firstLine="0"/>
              <w:rPr>
                <w:sz w:val="21"/>
                <w:szCs w:val="21"/>
              </w:rPr>
            </w:pPr>
            <w:r>
              <w:rPr>
                <w:rFonts w:hint="eastAsia"/>
                <w:sz w:val="21"/>
                <w:szCs w:val="21"/>
              </w:rPr>
              <w:t>人员伤害，财产损失</w:t>
            </w:r>
          </w:p>
        </w:tc>
        <w:tc>
          <w:tcPr>
            <w:tcW w:w="1760" w:type="pct"/>
            <w:vAlign w:val="center"/>
          </w:tcPr>
          <w:p w:rsidR="003F13AB" w:rsidRDefault="00EC6E7E">
            <w:pPr>
              <w:widowControl/>
              <w:adjustRightInd/>
              <w:spacing w:line="240" w:lineRule="exact"/>
              <w:ind w:firstLineChars="0" w:firstLine="0"/>
              <w:rPr>
                <w:sz w:val="21"/>
                <w:szCs w:val="21"/>
              </w:rPr>
            </w:pPr>
            <w:r>
              <w:rPr>
                <w:rFonts w:hint="eastAsia"/>
                <w:sz w:val="21"/>
                <w:szCs w:val="21"/>
              </w:rPr>
              <w:t>作业前与专人建立联系信号，统一指挥。</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t>现场未设置安全警戒标志或警戒线</w:t>
            </w:r>
          </w:p>
        </w:tc>
        <w:tc>
          <w:tcPr>
            <w:tcW w:w="996" w:type="pct"/>
            <w:vAlign w:val="center"/>
          </w:tcPr>
          <w:p w:rsidR="003F13AB" w:rsidRDefault="00EC6E7E">
            <w:pPr>
              <w:adjustRightInd/>
              <w:spacing w:line="240" w:lineRule="exact"/>
              <w:ind w:firstLineChars="0" w:firstLine="0"/>
              <w:rPr>
                <w:sz w:val="21"/>
                <w:szCs w:val="21"/>
              </w:rPr>
            </w:pPr>
            <w:r>
              <w:rPr>
                <w:rFonts w:hint="eastAsia"/>
                <w:sz w:val="21"/>
                <w:szCs w:val="21"/>
              </w:rPr>
              <w:t>人员伤害</w:t>
            </w:r>
          </w:p>
        </w:tc>
        <w:tc>
          <w:tcPr>
            <w:tcW w:w="1760" w:type="pct"/>
            <w:vAlign w:val="center"/>
          </w:tcPr>
          <w:p w:rsidR="003F13AB" w:rsidRDefault="00EC6E7E">
            <w:pPr>
              <w:widowControl/>
              <w:adjustRightInd/>
              <w:spacing w:line="240" w:lineRule="exact"/>
              <w:ind w:firstLineChars="0" w:firstLine="0"/>
              <w:rPr>
                <w:sz w:val="21"/>
                <w:szCs w:val="21"/>
              </w:rPr>
            </w:pPr>
            <w:r>
              <w:rPr>
                <w:rFonts w:hint="eastAsia"/>
                <w:sz w:val="21"/>
                <w:szCs w:val="21"/>
              </w:rPr>
              <w:t>划定警戒线，设置安全标志</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val="restart"/>
            <w:vAlign w:val="center"/>
          </w:tcPr>
          <w:p w:rsidR="003F13AB" w:rsidRDefault="00EC6E7E">
            <w:pPr>
              <w:adjustRightInd/>
              <w:spacing w:line="240" w:lineRule="exact"/>
              <w:ind w:firstLineChars="0" w:firstLine="0"/>
              <w:jc w:val="center"/>
              <w:rPr>
                <w:sz w:val="21"/>
                <w:szCs w:val="21"/>
              </w:rPr>
            </w:pPr>
            <w:r>
              <w:rPr>
                <w:rFonts w:hint="eastAsia"/>
                <w:sz w:val="21"/>
                <w:szCs w:val="21"/>
              </w:rPr>
              <w:t>作业</w:t>
            </w:r>
            <w:r>
              <w:rPr>
                <w:rFonts w:hint="eastAsia"/>
                <w:sz w:val="21"/>
                <w:szCs w:val="21"/>
              </w:rPr>
              <w:lastRenderedPageBreak/>
              <w:t>中</w:t>
            </w: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lastRenderedPageBreak/>
              <w:t>非施工人员进入施工场</w:t>
            </w:r>
            <w:r>
              <w:rPr>
                <w:rFonts w:hint="eastAsia"/>
                <w:sz w:val="21"/>
                <w:szCs w:val="21"/>
              </w:rPr>
              <w:lastRenderedPageBreak/>
              <w:t>地</w:t>
            </w:r>
          </w:p>
        </w:tc>
        <w:tc>
          <w:tcPr>
            <w:tcW w:w="996" w:type="pct"/>
            <w:vAlign w:val="center"/>
          </w:tcPr>
          <w:p w:rsidR="003F13AB" w:rsidRDefault="00EC6E7E">
            <w:pPr>
              <w:adjustRightInd/>
              <w:spacing w:line="240" w:lineRule="exact"/>
              <w:ind w:firstLineChars="0" w:firstLine="0"/>
              <w:rPr>
                <w:sz w:val="21"/>
                <w:szCs w:val="21"/>
              </w:rPr>
            </w:pPr>
            <w:r>
              <w:rPr>
                <w:sz w:val="21"/>
                <w:szCs w:val="21"/>
              </w:rPr>
              <w:lastRenderedPageBreak/>
              <w:t>引发事故</w:t>
            </w:r>
            <w:r>
              <w:rPr>
                <w:rFonts w:hint="eastAsia"/>
                <w:sz w:val="21"/>
                <w:szCs w:val="21"/>
              </w:rPr>
              <w:t>，人员伤</w:t>
            </w:r>
            <w:r>
              <w:rPr>
                <w:rFonts w:hint="eastAsia"/>
                <w:sz w:val="21"/>
                <w:szCs w:val="21"/>
              </w:rPr>
              <w:lastRenderedPageBreak/>
              <w:t>害</w:t>
            </w:r>
          </w:p>
        </w:tc>
        <w:tc>
          <w:tcPr>
            <w:tcW w:w="1760" w:type="pct"/>
            <w:vAlign w:val="center"/>
          </w:tcPr>
          <w:p w:rsidR="003F13AB" w:rsidRDefault="00EC6E7E">
            <w:pPr>
              <w:widowControl/>
              <w:adjustRightInd/>
              <w:spacing w:line="240" w:lineRule="exact"/>
              <w:ind w:firstLineChars="0" w:firstLine="0"/>
              <w:rPr>
                <w:sz w:val="21"/>
                <w:szCs w:val="21"/>
              </w:rPr>
            </w:pPr>
            <w:r>
              <w:rPr>
                <w:rFonts w:hint="eastAsia"/>
                <w:kern w:val="0"/>
                <w:sz w:val="21"/>
                <w:szCs w:val="21"/>
              </w:rPr>
              <w:lastRenderedPageBreak/>
              <w:t>交叉施工区域设专人监护，或设</w:t>
            </w:r>
            <w:r>
              <w:rPr>
                <w:rFonts w:hint="eastAsia"/>
                <w:kern w:val="0"/>
                <w:sz w:val="21"/>
                <w:szCs w:val="21"/>
              </w:rPr>
              <w:lastRenderedPageBreak/>
              <w:t>置警告牌，按照规定执行</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vAlign w:val="center"/>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widowControl/>
              <w:adjustRightInd/>
              <w:spacing w:line="240" w:lineRule="exact"/>
              <w:ind w:firstLineChars="0" w:firstLine="0"/>
              <w:rPr>
                <w:sz w:val="21"/>
                <w:szCs w:val="21"/>
              </w:rPr>
            </w:pPr>
            <w:r>
              <w:rPr>
                <w:rFonts w:hint="eastAsia"/>
                <w:sz w:val="21"/>
                <w:szCs w:val="21"/>
              </w:rPr>
              <w:t>未严格执行吊装作业“十不吊”</w:t>
            </w:r>
          </w:p>
        </w:tc>
        <w:tc>
          <w:tcPr>
            <w:tcW w:w="996" w:type="pct"/>
            <w:vAlign w:val="center"/>
          </w:tcPr>
          <w:p w:rsidR="003F13AB" w:rsidRDefault="00EC6E7E">
            <w:pPr>
              <w:widowControl/>
              <w:adjustRightInd/>
              <w:spacing w:line="240" w:lineRule="exact"/>
              <w:ind w:firstLineChars="0" w:firstLine="0"/>
              <w:rPr>
                <w:sz w:val="21"/>
                <w:szCs w:val="21"/>
              </w:rPr>
            </w:pPr>
            <w:r>
              <w:rPr>
                <w:kern w:val="0"/>
                <w:sz w:val="21"/>
                <w:szCs w:val="21"/>
              </w:rPr>
              <w:t>人员伤害</w:t>
            </w:r>
          </w:p>
        </w:tc>
        <w:tc>
          <w:tcPr>
            <w:tcW w:w="1760" w:type="pct"/>
            <w:vAlign w:val="center"/>
          </w:tcPr>
          <w:p w:rsidR="003F13AB" w:rsidRDefault="00EC6E7E">
            <w:pPr>
              <w:widowControl/>
              <w:adjustRightInd/>
              <w:spacing w:line="240" w:lineRule="exact"/>
              <w:ind w:firstLineChars="0" w:firstLine="0"/>
              <w:rPr>
                <w:kern w:val="0"/>
                <w:sz w:val="21"/>
                <w:szCs w:val="21"/>
              </w:rPr>
            </w:pPr>
            <w:r>
              <w:rPr>
                <w:rFonts w:hint="eastAsia"/>
                <w:kern w:val="0"/>
                <w:sz w:val="21"/>
                <w:szCs w:val="21"/>
              </w:rPr>
              <w:t>严格执行规定：指挥信号不明或乱指挥不吊；超负荷或物件重量不明不吊；斜拉重物不吊；光线不足看不清重物不吊；重物下或上站人不吊；重物埋在地下不吊；重物紧固不牢，绳打结，绳不齐不吊；棱</w:t>
            </w:r>
            <w:proofErr w:type="gramStart"/>
            <w:r>
              <w:rPr>
                <w:rFonts w:hint="eastAsia"/>
                <w:kern w:val="0"/>
                <w:sz w:val="21"/>
                <w:szCs w:val="21"/>
              </w:rPr>
              <w:t>刃</w:t>
            </w:r>
            <w:proofErr w:type="gramEnd"/>
            <w:r>
              <w:rPr>
                <w:rFonts w:hint="eastAsia"/>
                <w:kern w:val="0"/>
                <w:sz w:val="21"/>
                <w:szCs w:val="21"/>
              </w:rPr>
              <w:t>物件没有</w:t>
            </w:r>
            <w:proofErr w:type="gramStart"/>
            <w:r>
              <w:rPr>
                <w:rFonts w:hint="eastAsia"/>
                <w:kern w:val="0"/>
                <w:sz w:val="21"/>
                <w:szCs w:val="21"/>
              </w:rPr>
              <w:t>放垫措施</w:t>
            </w:r>
            <w:proofErr w:type="gramEnd"/>
            <w:r>
              <w:rPr>
                <w:rFonts w:hint="eastAsia"/>
                <w:kern w:val="0"/>
                <w:sz w:val="21"/>
                <w:szCs w:val="21"/>
              </w:rPr>
              <w:t>不吊；安全装置失灵不吊；六级强风区不吊</w:t>
            </w:r>
          </w:p>
        </w:tc>
      </w:tr>
      <w:tr w:rsidR="003F13AB">
        <w:trPr>
          <w:trHeight w:val="23"/>
          <w:jc w:val="center"/>
        </w:trPr>
        <w:tc>
          <w:tcPr>
            <w:tcW w:w="465" w:type="pct"/>
            <w:vMerge/>
          </w:tcPr>
          <w:p w:rsidR="003F13AB" w:rsidRDefault="003F13AB">
            <w:pPr>
              <w:adjustRightInd/>
              <w:spacing w:line="240" w:lineRule="exact"/>
              <w:ind w:firstLineChars="0" w:firstLine="0"/>
              <w:rPr>
                <w:sz w:val="21"/>
                <w:szCs w:val="21"/>
              </w:rPr>
            </w:pPr>
          </w:p>
        </w:tc>
        <w:tc>
          <w:tcPr>
            <w:tcW w:w="395" w:type="pct"/>
            <w:vMerge/>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adjustRightInd/>
              <w:spacing w:line="240" w:lineRule="exact"/>
              <w:ind w:firstLineChars="0" w:firstLine="0"/>
              <w:rPr>
                <w:sz w:val="21"/>
                <w:szCs w:val="21"/>
              </w:rPr>
            </w:pPr>
            <w:r>
              <w:rPr>
                <w:rFonts w:hint="eastAsia"/>
                <w:sz w:val="21"/>
                <w:szCs w:val="21"/>
              </w:rPr>
              <w:t>将建筑物、构筑物作</w:t>
            </w:r>
            <w:proofErr w:type="gramStart"/>
            <w:r>
              <w:rPr>
                <w:rFonts w:hint="eastAsia"/>
                <w:sz w:val="21"/>
                <w:szCs w:val="21"/>
              </w:rPr>
              <w:t>吊装锚点</w:t>
            </w:r>
            <w:proofErr w:type="gramEnd"/>
          </w:p>
        </w:tc>
        <w:tc>
          <w:tcPr>
            <w:tcW w:w="996" w:type="pct"/>
            <w:vAlign w:val="center"/>
          </w:tcPr>
          <w:p w:rsidR="003F13AB" w:rsidRDefault="00EC6E7E">
            <w:pPr>
              <w:adjustRightInd/>
              <w:spacing w:line="240" w:lineRule="exact"/>
              <w:ind w:firstLineChars="0" w:firstLine="0"/>
              <w:rPr>
                <w:sz w:val="21"/>
                <w:szCs w:val="21"/>
              </w:rPr>
            </w:pPr>
            <w:r>
              <w:rPr>
                <w:rFonts w:hint="eastAsia"/>
                <w:sz w:val="21"/>
                <w:szCs w:val="21"/>
              </w:rPr>
              <w:t>人员伤害</w:t>
            </w:r>
          </w:p>
        </w:tc>
        <w:tc>
          <w:tcPr>
            <w:tcW w:w="1760" w:type="pct"/>
            <w:vAlign w:val="center"/>
          </w:tcPr>
          <w:p w:rsidR="003F13AB" w:rsidRDefault="00EC6E7E">
            <w:pPr>
              <w:widowControl/>
              <w:adjustRightInd/>
              <w:spacing w:line="240" w:lineRule="exact"/>
              <w:ind w:firstLineChars="0" w:firstLine="0"/>
              <w:rPr>
                <w:kern w:val="0"/>
                <w:sz w:val="21"/>
                <w:szCs w:val="21"/>
              </w:rPr>
            </w:pPr>
            <w:r>
              <w:rPr>
                <w:rFonts w:hint="eastAsia"/>
                <w:kern w:val="0"/>
                <w:sz w:val="21"/>
                <w:szCs w:val="21"/>
              </w:rPr>
              <w:t>经生产技术部审查核算并批准，严格按规定执行。</w:t>
            </w:r>
          </w:p>
        </w:tc>
      </w:tr>
      <w:tr w:rsidR="003F13AB">
        <w:trPr>
          <w:trHeight w:val="23"/>
          <w:jc w:val="center"/>
        </w:trPr>
        <w:tc>
          <w:tcPr>
            <w:tcW w:w="465" w:type="pct"/>
            <w:vMerge/>
          </w:tcPr>
          <w:p w:rsidR="003F13AB" w:rsidRDefault="003F13AB">
            <w:pPr>
              <w:adjustRightInd/>
              <w:spacing w:line="240" w:lineRule="exact"/>
              <w:ind w:firstLineChars="0" w:firstLine="0"/>
              <w:rPr>
                <w:rFonts w:ascii="宋体" w:hAnsi="宋体" w:cs="宋体"/>
                <w:sz w:val="21"/>
                <w:szCs w:val="21"/>
              </w:rPr>
            </w:pPr>
          </w:p>
        </w:tc>
        <w:tc>
          <w:tcPr>
            <w:tcW w:w="395" w:type="pct"/>
            <w:vMerge/>
            <w:vAlign w:val="center"/>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widowControl/>
              <w:adjustRightInd/>
              <w:spacing w:line="240" w:lineRule="exact"/>
              <w:ind w:firstLineChars="0" w:firstLine="0"/>
              <w:rPr>
                <w:kern w:val="0"/>
                <w:sz w:val="21"/>
                <w:szCs w:val="21"/>
              </w:rPr>
            </w:pPr>
            <w:r>
              <w:rPr>
                <w:rFonts w:hint="eastAsia"/>
                <w:kern w:val="0"/>
                <w:sz w:val="21"/>
                <w:szCs w:val="21"/>
              </w:rPr>
              <w:t>作业过程中盲目起吊</w:t>
            </w:r>
          </w:p>
        </w:tc>
        <w:tc>
          <w:tcPr>
            <w:tcW w:w="996" w:type="pct"/>
            <w:vAlign w:val="center"/>
          </w:tcPr>
          <w:p w:rsidR="003F13AB" w:rsidRDefault="00EC6E7E">
            <w:pPr>
              <w:widowControl/>
              <w:adjustRightInd/>
              <w:spacing w:line="240" w:lineRule="exact"/>
              <w:ind w:firstLineChars="0" w:firstLine="0"/>
              <w:rPr>
                <w:kern w:val="0"/>
                <w:sz w:val="21"/>
                <w:szCs w:val="21"/>
              </w:rPr>
            </w:pPr>
            <w:r>
              <w:rPr>
                <w:rFonts w:hint="eastAsia"/>
                <w:kern w:val="0"/>
                <w:sz w:val="21"/>
                <w:szCs w:val="21"/>
              </w:rPr>
              <w:t>人员伤害</w:t>
            </w:r>
          </w:p>
        </w:tc>
        <w:tc>
          <w:tcPr>
            <w:tcW w:w="1760" w:type="pct"/>
            <w:vAlign w:val="center"/>
          </w:tcPr>
          <w:p w:rsidR="003F13AB" w:rsidRDefault="00EC6E7E">
            <w:pPr>
              <w:widowControl/>
              <w:adjustRightInd/>
              <w:spacing w:line="240" w:lineRule="exact"/>
              <w:ind w:firstLineChars="0" w:firstLine="0"/>
              <w:rPr>
                <w:kern w:val="0"/>
                <w:sz w:val="21"/>
                <w:szCs w:val="21"/>
              </w:rPr>
            </w:pPr>
            <w:r>
              <w:rPr>
                <w:rFonts w:hint="eastAsia"/>
                <w:kern w:val="0"/>
                <w:sz w:val="21"/>
                <w:szCs w:val="21"/>
              </w:rPr>
              <w:t>必须先用低角度、短行程试吊，严格按照规定执行</w:t>
            </w:r>
          </w:p>
        </w:tc>
      </w:tr>
      <w:tr w:rsidR="003F13AB">
        <w:trPr>
          <w:trHeight w:val="23"/>
          <w:jc w:val="center"/>
        </w:trPr>
        <w:tc>
          <w:tcPr>
            <w:tcW w:w="465" w:type="pct"/>
            <w:vMerge/>
          </w:tcPr>
          <w:p w:rsidR="003F13AB" w:rsidRDefault="003F13AB">
            <w:pPr>
              <w:adjustRightInd/>
              <w:spacing w:line="240" w:lineRule="exact"/>
              <w:ind w:firstLineChars="0" w:firstLine="0"/>
              <w:rPr>
                <w:rFonts w:ascii="宋体" w:hAnsi="宋体" w:cs="宋体"/>
                <w:sz w:val="21"/>
                <w:szCs w:val="21"/>
              </w:rPr>
            </w:pPr>
          </w:p>
        </w:tc>
        <w:tc>
          <w:tcPr>
            <w:tcW w:w="395" w:type="pct"/>
            <w:vMerge/>
            <w:vAlign w:val="center"/>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widowControl/>
              <w:adjustRightInd/>
              <w:spacing w:line="240" w:lineRule="exact"/>
              <w:ind w:firstLineChars="0" w:firstLine="0"/>
              <w:rPr>
                <w:sz w:val="21"/>
                <w:szCs w:val="21"/>
              </w:rPr>
            </w:pPr>
            <w:r>
              <w:rPr>
                <w:rFonts w:hint="eastAsia"/>
                <w:sz w:val="21"/>
                <w:szCs w:val="21"/>
              </w:rPr>
              <w:t>吊起的重物在空中长时间或短时间停留</w:t>
            </w:r>
          </w:p>
        </w:tc>
        <w:tc>
          <w:tcPr>
            <w:tcW w:w="996" w:type="pct"/>
            <w:vAlign w:val="center"/>
          </w:tcPr>
          <w:p w:rsidR="003F13AB" w:rsidRDefault="00EC6E7E">
            <w:pPr>
              <w:widowControl/>
              <w:adjustRightInd/>
              <w:spacing w:line="240" w:lineRule="exact"/>
              <w:ind w:firstLineChars="0" w:firstLine="0"/>
              <w:rPr>
                <w:sz w:val="21"/>
                <w:szCs w:val="21"/>
              </w:rPr>
            </w:pPr>
            <w:r>
              <w:rPr>
                <w:rFonts w:hint="eastAsia"/>
                <w:sz w:val="21"/>
                <w:szCs w:val="21"/>
              </w:rPr>
              <w:t>重物砸伤或机械倒塌</w:t>
            </w:r>
          </w:p>
        </w:tc>
        <w:tc>
          <w:tcPr>
            <w:tcW w:w="1760" w:type="pct"/>
            <w:vAlign w:val="center"/>
          </w:tcPr>
          <w:p w:rsidR="003F13AB" w:rsidRDefault="00EC6E7E">
            <w:pPr>
              <w:widowControl/>
              <w:adjustRightInd/>
              <w:spacing w:line="240" w:lineRule="exact"/>
              <w:ind w:firstLineChars="0" w:firstLine="0"/>
              <w:rPr>
                <w:sz w:val="21"/>
                <w:szCs w:val="21"/>
              </w:rPr>
            </w:pPr>
            <w:r>
              <w:rPr>
                <w:rFonts w:hint="eastAsia"/>
                <w:kern w:val="0"/>
                <w:sz w:val="21"/>
                <w:szCs w:val="21"/>
              </w:rPr>
              <w:t>作业前培训，严格检查，违反者，按规定进行处理</w:t>
            </w:r>
          </w:p>
        </w:tc>
      </w:tr>
      <w:tr w:rsidR="003F13AB">
        <w:trPr>
          <w:trHeight w:val="23"/>
          <w:jc w:val="center"/>
        </w:trPr>
        <w:tc>
          <w:tcPr>
            <w:tcW w:w="465" w:type="pct"/>
            <w:vMerge/>
          </w:tcPr>
          <w:p w:rsidR="003F13AB" w:rsidRDefault="003F13AB">
            <w:pPr>
              <w:adjustRightInd/>
              <w:spacing w:line="240" w:lineRule="exact"/>
              <w:ind w:firstLineChars="0" w:firstLine="0"/>
              <w:rPr>
                <w:rFonts w:ascii="宋体" w:hAnsi="宋体" w:cs="宋体"/>
                <w:sz w:val="21"/>
                <w:szCs w:val="21"/>
              </w:rPr>
            </w:pPr>
          </w:p>
        </w:tc>
        <w:tc>
          <w:tcPr>
            <w:tcW w:w="395" w:type="pct"/>
            <w:vMerge/>
            <w:vAlign w:val="center"/>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widowControl/>
              <w:adjustRightInd/>
              <w:spacing w:line="240" w:lineRule="exact"/>
              <w:ind w:firstLineChars="0" w:firstLine="0"/>
              <w:rPr>
                <w:sz w:val="21"/>
                <w:szCs w:val="21"/>
              </w:rPr>
            </w:pPr>
            <w:r>
              <w:rPr>
                <w:rFonts w:hint="eastAsia"/>
                <w:sz w:val="21"/>
                <w:szCs w:val="21"/>
              </w:rPr>
              <w:t>对吊起的重物进行加工</w:t>
            </w:r>
          </w:p>
        </w:tc>
        <w:tc>
          <w:tcPr>
            <w:tcW w:w="996" w:type="pct"/>
            <w:vAlign w:val="center"/>
          </w:tcPr>
          <w:p w:rsidR="003F13AB" w:rsidRDefault="00EC6E7E">
            <w:pPr>
              <w:widowControl/>
              <w:adjustRightInd/>
              <w:spacing w:line="240" w:lineRule="exact"/>
              <w:ind w:firstLineChars="0" w:firstLine="0"/>
              <w:rPr>
                <w:sz w:val="21"/>
                <w:szCs w:val="21"/>
              </w:rPr>
            </w:pPr>
            <w:r>
              <w:rPr>
                <w:kern w:val="0"/>
                <w:sz w:val="21"/>
                <w:szCs w:val="21"/>
              </w:rPr>
              <w:t>人员伤害</w:t>
            </w:r>
          </w:p>
        </w:tc>
        <w:tc>
          <w:tcPr>
            <w:tcW w:w="1760" w:type="pct"/>
            <w:vAlign w:val="center"/>
          </w:tcPr>
          <w:p w:rsidR="003F13AB" w:rsidRDefault="00EC6E7E">
            <w:pPr>
              <w:widowControl/>
              <w:adjustRightInd/>
              <w:spacing w:line="240" w:lineRule="exact"/>
              <w:ind w:firstLineChars="0" w:firstLine="0"/>
              <w:rPr>
                <w:sz w:val="21"/>
                <w:szCs w:val="21"/>
              </w:rPr>
            </w:pPr>
            <w:r>
              <w:rPr>
                <w:rFonts w:hint="eastAsia"/>
                <w:kern w:val="0"/>
                <w:sz w:val="21"/>
                <w:szCs w:val="21"/>
              </w:rPr>
              <w:t>采取有效措施，专人监护</w:t>
            </w:r>
          </w:p>
        </w:tc>
      </w:tr>
      <w:tr w:rsidR="003F13AB">
        <w:trPr>
          <w:trHeight w:val="23"/>
          <w:jc w:val="center"/>
        </w:trPr>
        <w:tc>
          <w:tcPr>
            <w:tcW w:w="465" w:type="pct"/>
            <w:vMerge/>
          </w:tcPr>
          <w:p w:rsidR="003F13AB" w:rsidRDefault="003F13AB">
            <w:pPr>
              <w:adjustRightInd/>
              <w:spacing w:line="240" w:lineRule="exact"/>
              <w:ind w:firstLineChars="0" w:firstLine="0"/>
              <w:rPr>
                <w:rFonts w:ascii="宋体" w:hAnsi="宋体" w:cs="宋体"/>
                <w:sz w:val="21"/>
                <w:szCs w:val="21"/>
              </w:rPr>
            </w:pPr>
          </w:p>
        </w:tc>
        <w:tc>
          <w:tcPr>
            <w:tcW w:w="395" w:type="pct"/>
            <w:vMerge/>
            <w:vAlign w:val="center"/>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widowControl/>
              <w:adjustRightInd/>
              <w:spacing w:line="240" w:lineRule="exact"/>
              <w:ind w:firstLineChars="0" w:firstLine="0"/>
              <w:rPr>
                <w:sz w:val="21"/>
                <w:szCs w:val="21"/>
              </w:rPr>
            </w:pPr>
            <w:r>
              <w:rPr>
                <w:rFonts w:hint="eastAsia"/>
                <w:sz w:val="21"/>
                <w:szCs w:val="21"/>
              </w:rPr>
              <w:t>起重设备遇机械故障或不正常现象，在作业过程中进行调整或检修</w:t>
            </w:r>
          </w:p>
        </w:tc>
        <w:tc>
          <w:tcPr>
            <w:tcW w:w="996" w:type="pct"/>
            <w:vAlign w:val="center"/>
          </w:tcPr>
          <w:p w:rsidR="003F13AB" w:rsidRDefault="00EC6E7E">
            <w:pPr>
              <w:widowControl/>
              <w:adjustRightInd/>
              <w:spacing w:line="240" w:lineRule="exact"/>
              <w:ind w:firstLineChars="0" w:firstLine="0"/>
              <w:rPr>
                <w:sz w:val="21"/>
                <w:szCs w:val="21"/>
              </w:rPr>
            </w:pPr>
            <w:r>
              <w:rPr>
                <w:rFonts w:hint="eastAsia"/>
                <w:kern w:val="0"/>
                <w:sz w:val="21"/>
                <w:szCs w:val="21"/>
              </w:rPr>
              <w:t>高空坠落</w:t>
            </w:r>
            <w:r>
              <w:rPr>
                <w:kern w:val="0"/>
                <w:sz w:val="21"/>
                <w:szCs w:val="21"/>
              </w:rPr>
              <w:t>人员伤害</w:t>
            </w:r>
          </w:p>
        </w:tc>
        <w:tc>
          <w:tcPr>
            <w:tcW w:w="1760" w:type="pct"/>
            <w:vAlign w:val="center"/>
          </w:tcPr>
          <w:p w:rsidR="003F13AB" w:rsidRDefault="00EC6E7E">
            <w:pPr>
              <w:widowControl/>
              <w:adjustRightInd/>
              <w:spacing w:line="240" w:lineRule="exact"/>
              <w:ind w:firstLineChars="0" w:firstLine="0"/>
              <w:rPr>
                <w:sz w:val="21"/>
                <w:szCs w:val="21"/>
              </w:rPr>
            </w:pPr>
            <w:r>
              <w:rPr>
                <w:rFonts w:hint="eastAsia"/>
                <w:kern w:val="0"/>
                <w:sz w:val="21"/>
                <w:szCs w:val="21"/>
              </w:rPr>
              <w:t>按照规定执行，作业前进行起重设备检查，记录归档。</w:t>
            </w:r>
          </w:p>
        </w:tc>
      </w:tr>
      <w:tr w:rsidR="003F13AB">
        <w:trPr>
          <w:trHeight w:val="23"/>
          <w:jc w:val="center"/>
        </w:trPr>
        <w:tc>
          <w:tcPr>
            <w:tcW w:w="465" w:type="pct"/>
            <w:vMerge/>
          </w:tcPr>
          <w:p w:rsidR="003F13AB" w:rsidRDefault="003F13AB">
            <w:pPr>
              <w:adjustRightInd/>
              <w:spacing w:line="240" w:lineRule="exact"/>
              <w:ind w:firstLineChars="0" w:firstLine="0"/>
              <w:rPr>
                <w:rFonts w:ascii="宋体" w:hAnsi="宋体" w:cs="宋体"/>
                <w:sz w:val="21"/>
                <w:szCs w:val="21"/>
              </w:rPr>
            </w:pPr>
          </w:p>
        </w:tc>
        <w:tc>
          <w:tcPr>
            <w:tcW w:w="395" w:type="pct"/>
            <w:vMerge/>
            <w:vAlign w:val="center"/>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widowControl/>
              <w:adjustRightInd/>
              <w:spacing w:line="240" w:lineRule="exact"/>
              <w:ind w:firstLineChars="0" w:firstLine="0"/>
              <w:rPr>
                <w:sz w:val="21"/>
                <w:szCs w:val="21"/>
              </w:rPr>
            </w:pPr>
            <w:r>
              <w:rPr>
                <w:rFonts w:hint="eastAsia"/>
                <w:sz w:val="21"/>
                <w:szCs w:val="21"/>
              </w:rPr>
              <w:t>出现危险品泄漏或其他异常情况</w:t>
            </w:r>
          </w:p>
        </w:tc>
        <w:tc>
          <w:tcPr>
            <w:tcW w:w="996" w:type="pct"/>
            <w:vAlign w:val="center"/>
          </w:tcPr>
          <w:p w:rsidR="003F13AB" w:rsidRDefault="00EC6E7E">
            <w:pPr>
              <w:widowControl/>
              <w:adjustRightInd/>
              <w:spacing w:line="240" w:lineRule="exact"/>
              <w:ind w:firstLineChars="0" w:firstLine="0"/>
              <w:rPr>
                <w:kern w:val="0"/>
                <w:sz w:val="21"/>
                <w:szCs w:val="21"/>
              </w:rPr>
            </w:pPr>
            <w:r>
              <w:rPr>
                <w:rFonts w:hint="eastAsia"/>
                <w:kern w:val="0"/>
                <w:sz w:val="21"/>
                <w:szCs w:val="21"/>
              </w:rPr>
              <w:t>人员伤害</w:t>
            </w:r>
          </w:p>
        </w:tc>
        <w:tc>
          <w:tcPr>
            <w:tcW w:w="1760" w:type="pct"/>
            <w:vAlign w:val="center"/>
          </w:tcPr>
          <w:p w:rsidR="003F13AB" w:rsidRDefault="00EC6E7E">
            <w:pPr>
              <w:widowControl/>
              <w:adjustRightInd/>
              <w:spacing w:line="240" w:lineRule="exact"/>
              <w:ind w:firstLineChars="0" w:firstLine="0"/>
              <w:rPr>
                <w:kern w:val="0"/>
                <w:sz w:val="21"/>
                <w:szCs w:val="21"/>
              </w:rPr>
            </w:pPr>
            <w:r>
              <w:rPr>
                <w:rFonts w:hint="eastAsia"/>
                <w:kern w:val="0"/>
                <w:sz w:val="21"/>
                <w:szCs w:val="21"/>
              </w:rPr>
              <w:t>停止作业，撤离人员</w:t>
            </w:r>
          </w:p>
        </w:tc>
      </w:tr>
      <w:tr w:rsidR="003F13AB">
        <w:trPr>
          <w:trHeight w:val="23"/>
          <w:jc w:val="center"/>
        </w:trPr>
        <w:tc>
          <w:tcPr>
            <w:tcW w:w="465" w:type="pct"/>
            <w:vMerge/>
          </w:tcPr>
          <w:p w:rsidR="003F13AB" w:rsidRDefault="003F13AB">
            <w:pPr>
              <w:adjustRightInd/>
              <w:spacing w:line="240" w:lineRule="exact"/>
              <w:ind w:firstLineChars="0" w:firstLine="0"/>
              <w:rPr>
                <w:rFonts w:ascii="宋体" w:hAnsi="宋体" w:cs="宋体"/>
                <w:sz w:val="21"/>
                <w:szCs w:val="21"/>
              </w:rPr>
            </w:pPr>
          </w:p>
        </w:tc>
        <w:tc>
          <w:tcPr>
            <w:tcW w:w="395" w:type="pct"/>
            <w:vMerge/>
            <w:vAlign w:val="center"/>
          </w:tcPr>
          <w:p w:rsidR="003F13AB" w:rsidRDefault="003F13AB">
            <w:pPr>
              <w:adjustRightInd/>
              <w:spacing w:line="240" w:lineRule="exact"/>
              <w:ind w:firstLineChars="0" w:firstLine="0"/>
              <w:rPr>
                <w:sz w:val="21"/>
                <w:szCs w:val="21"/>
              </w:rPr>
            </w:pPr>
          </w:p>
        </w:tc>
        <w:tc>
          <w:tcPr>
            <w:tcW w:w="1384" w:type="pct"/>
            <w:vAlign w:val="center"/>
          </w:tcPr>
          <w:p w:rsidR="003F13AB" w:rsidRDefault="00EC6E7E">
            <w:pPr>
              <w:widowControl/>
              <w:adjustRightInd/>
              <w:spacing w:line="240" w:lineRule="exact"/>
              <w:ind w:firstLineChars="0" w:firstLine="0"/>
              <w:rPr>
                <w:sz w:val="21"/>
                <w:szCs w:val="21"/>
              </w:rPr>
            </w:pPr>
            <w:r>
              <w:rPr>
                <w:rFonts w:hint="eastAsia"/>
                <w:sz w:val="21"/>
                <w:szCs w:val="21"/>
              </w:rPr>
              <w:t>涉及危险作业组合，未落实相应安全措施，办理相应许可证</w:t>
            </w:r>
          </w:p>
        </w:tc>
        <w:tc>
          <w:tcPr>
            <w:tcW w:w="996" w:type="pct"/>
            <w:vAlign w:val="center"/>
          </w:tcPr>
          <w:p w:rsidR="003F13AB" w:rsidRDefault="00EC6E7E">
            <w:pPr>
              <w:widowControl/>
              <w:adjustRightInd/>
              <w:spacing w:line="240" w:lineRule="exact"/>
              <w:ind w:firstLineChars="0" w:firstLine="0"/>
              <w:rPr>
                <w:kern w:val="0"/>
                <w:sz w:val="21"/>
                <w:szCs w:val="21"/>
              </w:rPr>
            </w:pPr>
            <w:r>
              <w:rPr>
                <w:rFonts w:hint="eastAsia"/>
                <w:kern w:val="0"/>
                <w:sz w:val="21"/>
                <w:szCs w:val="21"/>
              </w:rPr>
              <w:t>人员伤害</w:t>
            </w:r>
          </w:p>
        </w:tc>
        <w:tc>
          <w:tcPr>
            <w:tcW w:w="1760" w:type="pct"/>
            <w:vAlign w:val="center"/>
          </w:tcPr>
          <w:p w:rsidR="003F13AB" w:rsidRDefault="00EC6E7E">
            <w:pPr>
              <w:widowControl/>
              <w:adjustRightInd/>
              <w:spacing w:line="240" w:lineRule="exact"/>
              <w:ind w:firstLineChars="0" w:firstLine="0"/>
              <w:rPr>
                <w:kern w:val="0"/>
                <w:sz w:val="21"/>
                <w:szCs w:val="21"/>
              </w:rPr>
            </w:pPr>
            <w:r>
              <w:rPr>
                <w:rFonts w:hint="eastAsia"/>
                <w:kern w:val="0"/>
                <w:sz w:val="21"/>
                <w:szCs w:val="21"/>
              </w:rPr>
              <w:t>按照规定执行，办理相关许可证，落实相关安全措施</w:t>
            </w:r>
          </w:p>
        </w:tc>
      </w:tr>
      <w:tr w:rsidR="003F13AB">
        <w:trPr>
          <w:trHeight w:val="23"/>
          <w:jc w:val="center"/>
        </w:trPr>
        <w:tc>
          <w:tcPr>
            <w:tcW w:w="465" w:type="pct"/>
            <w:vMerge/>
          </w:tcPr>
          <w:p w:rsidR="003F13AB" w:rsidRDefault="003F13AB">
            <w:pPr>
              <w:adjustRightInd/>
              <w:spacing w:line="240" w:lineRule="exact"/>
              <w:ind w:firstLineChars="0" w:firstLine="0"/>
              <w:rPr>
                <w:rFonts w:ascii="宋体" w:hAnsi="宋体" w:cs="宋体"/>
                <w:sz w:val="21"/>
                <w:szCs w:val="21"/>
              </w:rPr>
            </w:pPr>
          </w:p>
        </w:tc>
        <w:tc>
          <w:tcPr>
            <w:tcW w:w="395" w:type="pct"/>
            <w:vAlign w:val="center"/>
          </w:tcPr>
          <w:p w:rsidR="003F13AB" w:rsidRDefault="00EC6E7E">
            <w:pPr>
              <w:adjustRightInd/>
              <w:spacing w:line="240" w:lineRule="exact"/>
              <w:ind w:firstLineChars="0" w:firstLine="0"/>
              <w:jc w:val="center"/>
              <w:rPr>
                <w:sz w:val="21"/>
                <w:szCs w:val="21"/>
              </w:rPr>
            </w:pPr>
            <w:r>
              <w:rPr>
                <w:sz w:val="21"/>
                <w:szCs w:val="21"/>
              </w:rPr>
              <w:t>完工后</w:t>
            </w:r>
          </w:p>
        </w:tc>
        <w:tc>
          <w:tcPr>
            <w:tcW w:w="1384" w:type="pct"/>
            <w:vAlign w:val="center"/>
          </w:tcPr>
          <w:p w:rsidR="003F13AB" w:rsidRDefault="00EC6E7E">
            <w:pPr>
              <w:widowControl/>
              <w:adjustRightInd/>
              <w:spacing w:line="240" w:lineRule="exact"/>
              <w:ind w:firstLineChars="0" w:firstLine="0"/>
              <w:rPr>
                <w:sz w:val="21"/>
                <w:szCs w:val="21"/>
              </w:rPr>
            </w:pPr>
            <w:r>
              <w:rPr>
                <w:kern w:val="0"/>
                <w:sz w:val="21"/>
                <w:szCs w:val="21"/>
              </w:rPr>
              <w:t>现场没有清理</w:t>
            </w:r>
          </w:p>
        </w:tc>
        <w:tc>
          <w:tcPr>
            <w:tcW w:w="996" w:type="pct"/>
            <w:vAlign w:val="center"/>
          </w:tcPr>
          <w:p w:rsidR="003F13AB" w:rsidRDefault="00EC6E7E">
            <w:pPr>
              <w:widowControl/>
              <w:adjustRightInd/>
              <w:spacing w:line="240" w:lineRule="exact"/>
              <w:ind w:firstLineChars="0" w:firstLine="0"/>
              <w:rPr>
                <w:sz w:val="21"/>
                <w:szCs w:val="21"/>
              </w:rPr>
            </w:pPr>
            <w:r>
              <w:rPr>
                <w:kern w:val="0"/>
                <w:sz w:val="21"/>
                <w:szCs w:val="21"/>
              </w:rPr>
              <w:t>人员伤害</w:t>
            </w:r>
          </w:p>
        </w:tc>
        <w:tc>
          <w:tcPr>
            <w:tcW w:w="1760" w:type="pct"/>
            <w:vAlign w:val="center"/>
          </w:tcPr>
          <w:p w:rsidR="003F13AB" w:rsidRDefault="00EC6E7E">
            <w:pPr>
              <w:widowControl/>
              <w:adjustRightInd/>
              <w:spacing w:line="240" w:lineRule="exact"/>
              <w:ind w:firstLineChars="0" w:firstLine="0"/>
              <w:rPr>
                <w:sz w:val="21"/>
                <w:szCs w:val="21"/>
              </w:rPr>
            </w:pPr>
            <w:r>
              <w:rPr>
                <w:kern w:val="0"/>
                <w:sz w:val="21"/>
                <w:szCs w:val="21"/>
              </w:rPr>
              <w:t>及时清理</w:t>
            </w:r>
          </w:p>
        </w:tc>
      </w:tr>
    </w:tbl>
    <w:p w:rsidR="003F13AB" w:rsidRDefault="00EC6E7E">
      <w:pPr>
        <w:ind w:firstLine="560"/>
        <w:rPr>
          <w:color w:val="auto"/>
        </w:rPr>
      </w:pPr>
      <w:r>
        <w:rPr>
          <w:rFonts w:hint="eastAsia"/>
          <w:color w:val="auto"/>
        </w:rPr>
        <w:t>（</w:t>
      </w:r>
      <w:r>
        <w:rPr>
          <w:rFonts w:hint="eastAsia"/>
          <w:color w:val="auto"/>
        </w:rPr>
        <w:t>2</w:t>
      </w:r>
      <w:r>
        <w:rPr>
          <w:rFonts w:hint="eastAsia"/>
          <w:color w:val="auto"/>
        </w:rPr>
        <w:t>）动火作业危险性分析</w:t>
      </w:r>
    </w:p>
    <w:p w:rsidR="003F13AB" w:rsidRDefault="00EC6E7E">
      <w:pPr>
        <w:ind w:firstLine="560"/>
        <w:jc w:val="center"/>
        <w:rPr>
          <w:color w:val="auto"/>
        </w:rPr>
      </w:pPr>
      <w:r>
        <w:rPr>
          <w:rFonts w:hint="eastAsia"/>
          <w:color w:val="auto"/>
        </w:rPr>
        <w:t>附表</w:t>
      </w:r>
      <w:r>
        <w:rPr>
          <w:rFonts w:hint="eastAsia"/>
          <w:color w:val="auto"/>
        </w:rPr>
        <w:t>2.3-2</w:t>
      </w:r>
      <w:r>
        <w:rPr>
          <w:rFonts w:hint="eastAsia"/>
          <w:color w:val="auto"/>
        </w:rPr>
        <w:t>动火作业危险性分析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09"/>
        <w:gridCol w:w="2272"/>
        <w:gridCol w:w="2188"/>
        <w:gridCol w:w="3193"/>
      </w:tblGrid>
      <w:tr w:rsidR="003F13AB">
        <w:trPr>
          <w:trHeight w:val="23"/>
          <w:jc w:val="center"/>
        </w:trPr>
        <w:tc>
          <w:tcPr>
            <w:tcW w:w="391"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作业名称</w:t>
            </w:r>
          </w:p>
        </w:tc>
        <w:tc>
          <w:tcPr>
            <w:tcW w:w="391"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工作步骤</w:t>
            </w:r>
          </w:p>
        </w:tc>
        <w:tc>
          <w:tcPr>
            <w:tcW w:w="1252"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危害因素</w:t>
            </w:r>
          </w:p>
        </w:tc>
        <w:tc>
          <w:tcPr>
            <w:tcW w:w="1206"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可能的后果</w:t>
            </w:r>
          </w:p>
        </w:tc>
        <w:tc>
          <w:tcPr>
            <w:tcW w:w="1760"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控制措施</w:t>
            </w:r>
          </w:p>
        </w:tc>
      </w:tr>
      <w:tr w:rsidR="003F13AB">
        <w:trPr>
          <w:trHeight w:val="23"/>
          <w:jc w:val="center"/>
        </w:trPr>
        <w:tc>
          <w:tcPr>
            <w:tcW w:w="391" w:type="pct"/>
            <w:vMerge w:val="restart"/>
            <w:vAlign w:val="center"/>
          </w:tcPr>
          <w:p w:rsidR="003F13AB" w:rsidRDefault="00EC6E7E">
            <w:pPr>
              <w:adjustRightInd/>
              <w:spacing w:line="240" w:lineRule="exact"/>
              <w:ind w:firstLineChars="0" w:firstLine="0"/>
              <w:jc w:val="center"/>
              <w:rPr>
                <w:sz w:val="21"/>
                <w:szCs w:val="28"/>
              </w:rPr>
            </w:pPr>
            <w:r>
              <w:rPr>
                <w:sz w:val="21"/>
                <w:szCs w:val="28"/>
              </w:rPr>
              <w:t>动火</w:t>
            </w:r>
            <w:r>
              <w:rPr>
                <w:rFonts w:hint="eastAsia"/>
                <w:sz w:val="21"/>
                <w:szCs w:val="28"/>
              </w:rPr>
              <w:t>作业</w:t>
            </w:r>
          </w:p>
        </w:tc>
        <w:tc>
          <w:tcPr>
            <w:tcW w:w="391" w:type="pct"/>
            <w:vMerge w:val="restart"/>
            <w:vAlign w:val="center"/>
          </w:tcPr>
          <w:p w:rsidR="003F13AB" w:rsidRDefault="00EC6E7E">
            <w:pPr>
              <w:adjustRightInd/>
              <w:spacing w:line="240" w:lineRule="exact"/>
              <w:ind w:firstLineChars="0" w:firstLine="0"/>
              <w:jc w:val="center"/>
              <w:rPr>
                <w:sz w:val="21"/>
                <w:szCs w:val="28"/>
              </w:rPr>
            </w:pPr>
            <w:r>
              <w:rPr>
                <w:sz w:val="21"/>
                <w:szCs w:val="28"/>
              </w:rPr>
              <w:t>作业前</w:t>
            </w:r>
          </w:p>
        </w:tc>
        <w:tc>
          <w:tcPr>
            <w:tcW w:w="1252" w:type="pct"/>
            <w:vAlign w:val="center"/>
          </w:tcPr>
          <w:p w:rsidR="003F13AB" w:rsidRDefault="00EC6E7E">
            <w:pPr>
              <w:adjustRightInd/>
              <w:spacing w:line="240" w:lineRule="exact"/>
              <w:ind w:firstLineChars="0" w:firstLine="0"/>
              <w:rPr>
                <w:sz w:val="21"/>
                <w:szCs w:val="28"/>
              </w:rPr>
            </w:pPr>
            <w:r>
              <w:rPr>
                <w:sz w:val="21"/>
                <w:szCs w:val="28"/>
              </w:rPr>
              <w:t>不办理动火安全作业证</w:t>
            </w:r>
          </w:p>
        </w:tc>
        <w:tc>
          <w:tcPr>
            <w:tcW w:w="1206" w:type="pct"/>
            <w:vAlign w:val="center"/>
          </w:tcPr>
          <w:p w:rsidR="003F13AB" w:rsidRDefault="00EC6E7E">
            <w:pPr>
              <w:adjustRightInd/>
              <w:spacing w:line="240" w:lineRule="exact"/>
              <w:ind w:firstLineChars="0" w:firstLine="0"/>
              <w:rPr>
                <w:sz w:val="21"/>
                <w:szCs w:val="28"/>
              </w:rPr>
            </w:pPr>
            <w:r>
              <w:rPr>
                <w:sz w:val="21"/>
                <w:szCs w:val="28"/>
              </w:rPr>
              <w:t>违章作业引发事故</w:t>
            </w:r>
          </w:p>
        </w:tc>
        <w:tc>
          <w:tcPr>
            <w:tcW w:w="1760" w:type="pct"/>
            <w:vAlign w:val="center"/>
          </w:tcPr>
          <w:p w:rsidR="003F13AB" w:rsidRDefault="00EC6E7E">
            <w:pPr>
              <w:adjustRightInd/>
              <w:spacing w:line="240" w:lineRule="exact"/>
              <w:ind w:firstLineChars="0" w:firstLine="0"/>
              <w:rPr>
                <w:sz w:val="21"/>
                <w:szCs w:val="28"/>
              </w:rPr>
            </w:pPr>
            <w:r>
              <w:rPr>
                <w:sz w:val="21"/>
                <w:szCs w:val="28"/>
              </w:rPr>
              <w:t>严格办理动火安全作业证</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adjustRightInd/>
              <w:spacing w:line="240" w:lineRule="exact"/>
              <w:ind w:firstLineChars="0" w:firstLine="0"/>
              <w:rPr>
                <w:sz w:val="21"/>
                <w:szCs w:val="28"/>
              </w:rPr>
            </w:pPr>
            <w:r>
              <w:rPr>
                <w:sz w:val="21"/>
                <w:szCs w:val="28"/>
              </w:rPr>
              <w:t>安全措施不落实</w:t>
            </w:r>
          </w:p>
        </w:tc>
        <w:tc>
          <w:tcPr>
            <w:tcW w:w="1206" w:type="pct"/>
            <w:vAlign w:val="center"/>
          </w:tcPr>
          <w:p w:rsidR="003F13AB" w:rsidRDefault="00EC6E7E">
            <w:pPr>
              <w:adjustRightInd/>
              <w:spacing w:line="240" w:lineRule="exact"/>
              <w:ind w:firstLineChars="0" w:firstLine="0"/>
              <w:rPr>
                <w:sz w:val="21"/>
                <w:szCs w:val="28"/>
              </w:rPr>
            </w:pPr>
            <w:r>
              <w:rPr>
                <w:sz w:val="21"/>
                <w:szCs w:val="28"/>
              </w:rPr>
              <w:t>引发事故</w:t>
            </w:r>
          </w:p>
        </w:tc>
        <w:tc>
          <w:tcPr>
            <w:tcW w:w="1760" w:type="pct"/>
            <w:vAlign w:val="center"/>
          </w:tcPr>
          <w:p w:rsidR="003F13AB" w:rsidRDefault="00EC6E7E">
            <w:pPr>
              <w:adjustRightInd/>
              <w:spacing w:line="240" w:lineRule="exact"/>
              <w:ind w:firstLineChars="0" w:firstLine="0"/>
              <w:rPr>
                <w:sz w:val="21"/>
                <w:szCs w:val="28"/>
              </w:rPr>
            </w:pPr>
            <w:r>
              <w:rPr>
                <w:sz w:val="21"/>
                <w:szCs w:val="28"/>
              </w:rPr>
              <w:t>动火负责人负责安全措施的落实</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adjustRightInd/>
              <w:spacing w:line="240" w:lineRule="exact"/>
              <w:ind w:firstLineChars="0" w:firstLine="0"/>
              <w:rPr>
                <w:sz w:val="21"/>
                <w:szCs w:val="28"/>
              </w:rPr>
            </w:pPr>
            <w:r>
              <w:rPr>
                <w:sz w:val="21"/>
                <w:szCs w:val="28"/>
              </w:rPr>
              <w:t>没有安排监护人</w:t>
            </w:r>
          </w:p>
        </w:tc>
        <w:tc>
          <w:tcPr>
            <w:tcW w:w="1206" w:type="pct"/>
            <w:vAlign w:val="center"/>
          </w:tcPr>
          <w:p w:rsidR="003F13AB" w:rsidRDefault="00EC6E7E">
            <w:pPr>
              <w:adjustRightInd/>
              <w:spacing w:line="240" w:lineRule="exact"/>
              <w:ind w:firstLineChars="0" w:firstLine="0"/>
              <w:rPr>
                <w:sz w:val="21"/>
                <w:szCs w:val="28"/>
              </w:rPr>
            </w:pPr>
            <w:r>
              <w:rPr>
                <w:sz w:val="21"/>
                <w:szCs w:val="28"/>
              </w:rPr>
              <w:t>不能及时发现处理作业现场出现的问题</w:t>
            </w:r>
          </w:p>
        </w:tc>
        <w:tc>
          <w:tcPr>
            <w:tcW w:w="1760" w:type="pct"/>
            <w:vAlign w:val="center"/>
          </w:tcPr>
          <w:p w:rsidR="003F13AB" w:rsidRDefault="00EC6E7E">
            <w:pPr>
              <w:adjustRightInd/>
              <w:spacing w:line="240" w:lineRule="exact"/>
              <w:ind w:firstLineChars="0" w:firstLine="0"/>
              <w:rPr>
                <w:sz w:val="21"/>
                <w:szCs w:val="28"/>
              </w:rPr>
            </w:pPr>
            <w:r>
              <w:rPr>
                <w:sz w:val="21"/>
                <w:szCs w:val="28"/>
              </w:rPr>
              <w:t>安排责任心强有经验的人员进行监护</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拆除</w:t>
            </w:r>
            <w:r>
              <w:rPr>
                <w:sz w:val="21"/>
                <w:szCs w:val="28"/>
              </w:rPr>
              <w:t>的设备、管线清洗置换不合格</w:t>
            </w:r>
          </w:p>
        </w:tc>
        <w:tc>
          <w:tcPr>
            <w:tcW w:w="1206" w:type="pct"/>
            <w:vAlign w:val="center"/>
          </w:tcPr>
          <w:p w:rsidR="003F13AB" w:rsidRDefault="00EC6E7E">
            <w:pPr>
              <w:adjustRightInd/>
              <w:spacing w:line="240" w:lineRule="exact"/>
              <w:ind w:firstLineChars="0" w:firstLine="0"/>
              <w:rPr>
                <w:sz w:val="21"/>
                <w:szCs w:val="28"/>
              </w:rPr>
            </w:pPr>
            <w:r>
              <w:rPr>
                <w:sz w:val="21"/>
                <w:szCs w:val="28"/>
              </w:rPr>
              <w:t>火灾、爆炸、人员伤害</w:t>
            </w:r>
          </w:p>
        </w:tc>
        <w:tc>
          <w:tcPr>
            <w:tcW w:w="1760" w:type="pct"/>
            <w:vAlign w:val="center"/>
          </w:tcPr>
          <w:p w:rsidR="003F13AB" w:rsidRDefault="00EC6E7E">
            <w:pPr>
              <w:adjustRightInd/>
              <w:spacing w:line="240" w:lineRule="exact"/>
              <w:ind w:firstLineChars="0" w:firstLine="0"/>
              <w:rPr>
                <w:sz w:val="21"/>
                <w:szCs w:val="28"/>
              </w:rPr>
            </w:pPr>
            <w:r>
              <w:rPr>
                <w:sz w:val="21"/>
                <w:szCs w:val="28"/>
              </w:rPr>
              <w:t>严格按照处理方案进行清洗置换，并分析合格</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拆除</w:t>
            </w:r>
            <w:r>
              <w:rPr>
                <w:sz w:val="21"/>
                <w:szCs w:val="28"/>
              </w:rPr>
              <w:t>的设备、管线不与外界隔绝</w:t>
            </w:r>
          </w:p>
        </w:tc>
        <w:tc>
          <w:tcPr>
            <w:tcW w:w="1206" w:type="pct"/>
            <w:vAlign w:val="center"/>
          </w:tcPr>
          <w:p w:rsidR="003F13AB" w:rsidRDefault="00EC6E7E">
            <w:pPr>
              <w:adjustRightInd/>
              <w:spacing w:line="240" w:lineRule="exact"/>
              <w:ind w:firstLineChars="0" w:firstLine="0"/>
              <w:rPr>
                <w:sz w:val="21"/>
                <w:szCs w:val="28"/>
              </w:rPr>
            </w:pPr>
            <w:r>
              <w:rPr>
                <w:sz w:val="21"/>
                <w:szCs w:val="28"/>
              </w:rPr>
              <w:t>火灾、爆炸、人员伤害</w:t>
            </w:r>
          </w:p>
        </w:tc>
        <w:tc>
          <w:tcPr>
            <w:tcW w:w="1760" w:type="pct"/>
            <w:vAlign w:val="center"/>
          </w:tcPr>
          <w:p w:rsidR="003F13AB" w:rsidRDefault="00EC6E7E">
            <w:pPr>
              <w:adjustRightInd/>
              <w:spacing w:line="240" w:lineRule="exact"/>
              <w:ind w:firstLineChars="0" w:firstLine="0"/>
              <w:rPr>
                <w:sz w:val="21"/>
                <w:szCs w:val="28"/>
              </w:rPr>
            </w:pPr>
            <w:r>
              <w:rPr>
                <w:sz w:val="21"/>
                <w:szCs w:val="28"/>
              </w:rPr>
              <w:t>安排专人进行加盲板或者拆除</w:t>
            </w:r>
            <w:proofErr w:type="gramStart"/>
            <w:r>
              <w:rPr>
                <w:sz w:val="21"/>
                <w:szCs w:val="28"/>
              </w:rPr>
              <w:t>一</w:t>
            </w:r>
            <w:proofErr w:type="gramEnd"/>
            <w:r>
              <w:rPr>
                <w:sz w:val="21"/>
                <w:szCs w:val="28"/>
              </w:rPr>
              <w:t>段管线进行隔绝</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adjustRightInd/>
              <w:spacing w:line="240" w:lineRule="exact"/>
              <w:ind w:firstLineChars="0" w:firstLine="0"/>
              <w:rPr>
                <w:sz w:val="21"/>
                <w:szCs w:val="28"/>
              </w:rPr>
            </w:pPr>
            <w:r>
              <w:rPr>
                <w:sz w:val="21"/>
                <w:szCs w:val="28"/>
              </w:rPr>
              <w:t>动火作业周围下水道、井盖没封堵、易燃杂物没清理</w:t>
            </w:r>
          </w:p>
        </w:tc>
        <w:tc>
          <w:tcPr>
            <w:tcW w:w="1206" w:type="pct"/>
            <w:vAlign w:val="center"/>
          </w:tcPr>
          <w:p w:rsidR="003F13AB" w:rsidRDefault="00EC6E7E">
            <w:pPr>
              <w:adjustRightInd/>
              <w:spacing w:line="240" w:lineRule="exact"/>
              <w:ind w:firstLineChars="0" w:firstLine="0"/>
              <w:rPr>
                <w:sz w:val="21"/>
                <w:szCs w:val="28"/>
              </w:rPr>
            </w:pPr>
            <w:r>
              <w:rPr>
                <w:sz w:val="21"/>
                <w:szCs w:val="28"/>
              </w:rPr>
              <w:t>火灾、爆炸、人员伤害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安排专人进行清理</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adjustRightInd/>
              <w:spacing w:line="240" w:lineRule="exact"/>
              <w:ind w:firstLineChars="0" w:firstLine="0"/>
              <w:rPr>
                <w:sz w:val="21"/>
                <w:szCs w:val="28"/>
              </w:rPr>
            </w:pPr>
            <w:r>
              <w:rPr>
                <w:sz w:val="21"/>
                <w:szCs w:val="28"/>
              </w:rPr>
              <w:t>监护人不到位</w:t>
            </w:r>
          </w:p>
        </w:tc>
        <w:tc>
          <w:tcPr>
            <w:tcW w:w="1206" w:type="pct"/>
            <w:vAlign w:val="center"/>
          </w:tcPr>
          <w:p w:rsidR="003F13AB" w:rsidRDefault="00EC6E7E">
            <w:pPr>
              <w:adjustRightInd/>
              <w:spacing w:line="240" w:lineRule="exact"/>
              <w:ind w:firstLineChars="0" w:firstLine="0"/>
              <w:rPr>
                <w:sz w:val="21"/>
                <w:szCs w:val="28"/>
              </w:rPr>
            </w:pPr>
            <w:r>
              <w:rPr>
                <w:sz w:val="21"/>
                <w:szCs w:val="28"/>
              </w:rPr>
              <w:t>出现事故不能及时处置，造成事故扩大</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安排责任心强有经验的人员进行监护</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adjustRightInd/>
              <w:spacing w:line="240" w:lineRule="exact"/>
              <w:ind w:firstLineChars="0" w:firstLine="0"/>
              <w:rPr>
                <w:sz w:val="21"/>
                <w:szCs w:val="28"/>
              </w:rPr>
            </w:pPr>
            <w:r>
              <w:rPr>
                <w:sz w:val="21"/>
                <w:szCs w:val="28"/>
              </w:rPr>
              <w:t>消防器材不到位</w:t>
            </w:r>
          </w:p>
        </w:tc>
        <w:tc>
          <w:tcPr>
            <w:tcW w:w="1206" w:type="pct"/>
            <w:vAlign w:val="center"/>
          </w:tcPr>
          <w:p w:rsidR="003F13AB" w:rsidRDefault="00EC6E7E">
            <w:pPr>
              <w:adjustRightInd/>
              <w:spacing w:line="240" w:lineRule="exact"/>
              <w:ind w:firstLineChars="0" w:firstLine="0"/>
              <w:rPr>
                <w:sz w:val="21"/>
                <w:szCs w:val="28"/>
              </w:rPr>
            </w:pPr>
            <w:r>
              <w:rPr>
                <w:sz w:val="21"/>
                <w:szCs w:val="28"/>
              </w:rPr>
              <w:t>不能及时灭火，造成事故扩大</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作业前仔细检查落实配备到位</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adjustRightInd/>
              <w:spacing w:line="240" w:lineRule="exact"/>
              <w:ind w:firstLineChars="0" w:firstLine="0"/>
              <w:rPr>
                <w:sz w:val="21"/>
                <w:szCs w:val="28"/>
              </w:rPr>
            </w:pPr>
            <w:r>
              <w:rPr>
                <w:sz w:val="21"/>
                <w:szCs w:val="28"/>
              </w:rPr>
              <w:t>作业证手续不全</w:t>
            </w:r>
          </w:p>
        </w:tc>
        <w:tc>
          <w:tcPr>
            <w:tcW w:w="1206" w:type="pct"/>
            <w:vAlign w:val="center"/>
          </w:tcPr>
          <w:p w:rsidR="003F13AB" w:rsidRDefault="00EC6E7E">
            <w:pPr>
              <w:adjustRightInd/>
              <w:spacing w:line="240" w:lineRule="exact"/>
              <w:ind w:firstLineChars="0" w:firstLine="0"/>
              <w:rPr>
                <w:sz w:val="21"/>
                <w:szCs w:val="28"/>
              </w:rPr>
            </w:pPr>
            <w:r>
              <w:rPr>
                <w:sz w:val="21"/>
                <w:szCs w:val="28"/>
              </w:rPr>
              <w:t>引发事故</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严格按照公司有关管理规定办理作业票证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restart"/>
            <w:vAlign w:val="center"/>
          </w:tcPr>
          <w:p w:rsidR="003F13AB" w:rsidRDefault="00EC6E7E">
            <w:pPr>
              <w:adjustRightInd/>
              <w:spacing w:line="240" w:lineRule="exact"/>
              <w:ind w:firstLineChars="0" w:firstLine="0"/>
              <w:jc w:val="center"/>
              <w:rPr>
                <w:sz w:val="21"/>
                <w:szCs w:val="28"/>
              </w:rPr>
            </w:pPr>
            <w:r>
              <w:rPr>
                <w:sz w:val="21"/>
                <w:szCs w:val="28"/>
              </w:rPr>
              <w:t>作业中</w:t>
            </w: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焊接把线、电焊把子漏电</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触电、人员伤害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使用前认真检测检查</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不正确接电焊机或不按规定接地线</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触电、人员伤害、财产损失</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由专业人员进行接线</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焊接</w:t>
            </w:r>
            <w:proofErr w:type="gramStart"/>
            <w:r>
              <w:rPr>
                <w:kern w:val="0"/>
                <w:sz w:val="21"/>
                <w:szCs w:val="28"/>
              </w:rPr>
              <w:t>时焊烟大</w:t>
            </w:r>
            <w:proofErr w:type="gramEnd"/>
            <w:r>
              <w:rPr>
                <w:kern w:val="0"/>
                <w:sz w:val="21"/>
                <w:szCs w:val="28"/>
              </w:rPr>
              <w:t>、超标</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加强通风、佩戴</w:t>
            </w:r>
            <w:r>
              <w:rPr>
                <w:rFonts w:hint="eastAsia"/>
                <w:kern w:val="0"/>
                <w:sz w:val="21"/>
                <w:szCs w:val="28"/>
              </w:rPr>
              <w:t>劳动</w:t>
            </w:r>
            <w:r>
              <w:rPr>
                <w:kern w:val="0"/>
                <w:sz w:val="21"/>
                <w:szCs w:val="28"/>
              </w:rPr>
              <w:t>防护用品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焊渣飞溅</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佩戴</w:t>
            </w:r>
            <w:r>
              <w:rPr>
                <w:rFonts w:hint="eastAsia"/>
                <w:kern w:val="0"/>
                <w:sz w:val="21"/>
                <w:szCs w:val="28"/>
              </w:rPr>
              <w:t>劳动</w:t>
            </w:r>
            <w:r>
              <w:rPr>
                <w:kern w:val="0"/>
                <w:sz w:val="21"/>
                <w:szCs w:val="28"/>
              </w:rPr>
              <w:t>防护用品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焊</w:t>
            </w:r>
            <w:proofErr w:type="gramStart"/>
            <w:r>
              <w:rPr>
                <w:kern w:val="0"/>
                <w:sz w:val="21"/>
                <w:szCs w:val="28"/>
              </w:rPr>
              <w:t>光强烈</w:t>
            </w:r>
            <w:proofErr w:type="gramEnd"/>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佩戴</w:t>
            </w:r>
            <w:r>
              <w:rPr>
                <w:rFonts w:hint="eastAsia"/>
                <w:kern w:val="0"/>
                <w:sz w:val="21"/>
                <w:szCs w:val="28"/>
              </w:rPr>
              <w:t>劳动</w:t>
            </w:r>
            <w:r>
              <w:rPr>
                <w:kern w:val="0"/>
                <w:sz w:val="21"/>
                <w:szCs w:val="28"/>
              </w:rPr>
              <w:t>防护用品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气割时劳保护品穿戴不齐全</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烫伤</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佩戴</w:t>
            </w:r>
            <w:r>
              <w:rPr>
                <w:rFonts w:hint="eastAsia"/>
                <w:kern w:val="0"/>
                <w:sz w:val="21"/>
                <w:szCs w:val="28"/>
              </w:rPr>
              <w:t>劳动</w:t>
            </w:r>
            <w:r>
              <w:rPr>
                <w:kern w:val="0"/>
                <w:sz w:val="21"/>
                <w:szCs w:val="28"/>
              </w:rPr>
              <w:t>防护用品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焊花飞溅</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烫伤</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佩戴</w:t>
            </w:r>
            <w:r>
              <w:rPr>
                <w:rFonts w:hint="eastAsia"/>
                <w:kern w:val="0"/>
                <w:sz w:val="21"/>
                <w:szCs w:val="28"/>
              </w:rPr>
              <w:t>劳动</w:t>
            </w:r>
            <w:r>
              <w:rPr>
                <w:kern w:val="0"/>
                <w:sz w:val="21"/>
                <w:szCs w:val="28"/>
              </w:rPr>
              <w:t>防护用品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氧气瓶、乙炔瓶与动火点之间的距离小于</w:t>
            </w:r>
            <w:r>
              <w:rPr>
                <w:kern w:val="0"/>
                <w:sz w:val="21"/>
                <w:szCs w:val="28"/>
              </w:rPr>
              <w:t>10</w:t>
            </w:r>
            <w:r>
              <w:rPr>
                <w:kern w:val="0"/>
                <w:sz w:val="21"/>
                <w:szCs w:val="28"/>
              </w:rPr>
              <w:t>米</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爆炸、火灾、人员伤害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按要求定置</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氧气瓶与乙炔瓶之间的距离小于</w:t>
            </w:r>
            <w:r>
              <w:rPr>
                <w:kern w:val="0"/>
                <w:sz w:val="21"/>
                <w:szCs w:val="28"/>
              </w:rPr>
              <w:t>5</w:t>
            </w:r>
            <w:r>
              <w:rPr>
                <w:kern w:val="0"/>
                <w:sz w:val="21"/>
                <w:szCs w:val="28"/>
              </w:rPr>
              <w:t>米</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爆炸、火灾，人员伤害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按要求定置</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作业人员</w:t>
            </w:r>
            <w:proofErr w:type="gramStart"/>
            <w:r>
              <w:rPr>
                <w:kern w:val="0"/>
                <w:sz w:val="21"/>
                <w:szCs w:val="28"/>
              </w:rPr>
              <w:t>不</w:t>
            </w:r>
            <w:proofErr w:type="gramEnd"/>
            <w:r>
              <w:rPr>
                <w:kern w:val="0"/>
                <w:sz w:val="21"/>
                <w:szCs w:val="28"/>
              </w:rPr>
              <w:t>穿戴劳动保护用品</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佩戴</w:t>
            </w:r>
            <w:r>
              <w:rPr>
                <w:rFonts w:hint="eastAsia"/>
                <w:kern w:val="0"/>
                <w:sz w:val="21"/>
                <w:szCs w:val="28"/>
              </w:rPr>
              <w:t>劳动</w:t>
            </w:r>
            <w:r>
              <w:rPr>
                <w:kern w:val="0"/>
                <w:sz w:val="21"/>
                <w:szCs w:val="28"/>
              </w:rPr>
              <w:t>防护用品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restart"/>
            <w:vAlign w:val="center"/>
          </w:tcPr>
          <w:p w:rsidR="003F13AB" w:rsidRDefault="00EC6E7E">
            <w:pPr>
              <w:adjustRightInd/>
              <w:spacing w:line="240" w:lineRule="exact"/>
              <w:ind w:firstLineChars="0" w:firstLine="0"/>
              <w:jc w:val="center"/>
              <w:rPr>
                <w:sz w:val="21"/>
                <w:szCs w:val="28"/>
              </w:rPr>
            </w:pPr>
            <w:r>
              <w:rPr>
                <w:sz w:val="21"/>
                <w:szCs w:val="28"/>
              </w:rPr>
              <w:t>完工后</w:t>
            </w: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现场没有清理</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及时清理</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余火没有扑灭</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引发事故、人员伤害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扑灭余火后方可离开现场</w:t>
            </w:r>
          </w:p>
        </w:tc>
      </w:tr>
    </w:tbl>
    <w:p w:rsidR="003F13AB" w:rsidRDefault="00EC6E7E">
      <w:pPr>
        <w:ind w:firstLine="560"/>
        <w:rPr>
          <w:color w:val="auto"/>
        </w:rPr>
      </w:pPr>
      <w:r>
        <w:rPr>
          <w:rFonts w:hint="eastAsia"/>
          <w:color w:val="auto"/>
        </w:rPr>
        <w:t>（</w:t>
      </w:r>
      <w:r>
        <w:rPr>
          <w:rFonts w:hint="eastAsia"/>
          <w:color w:val="auto"/>
        </w:rPr>
        <w:t>3</w:t>
      </w:r>
      <w:r>
        <w:rPr>
          <w:rFonts w:hint="eastAsia"/>
          <w:color w:val="auto"/>
        </w:rPr>
        <w:t>）高处作业危险性分析</w:t>
      </w:r>
    </w:p>
    <w:p w:rsidR="003F13AB" w:rsidRDefault="00EC6E7E">
      <w:pPr>
        <w:ind w:firstLine="560"/>
        <w:jc w:val="center"/>
        <w:rPr>
          <w:color w:val="auto"/>
        </w:rPr>
      </w:pPr>
      <w:r>
        <w:rPr>
          <w:rFonts w:hint="eastAsia"/>
          <w:color w:val="auto"/>
        </w:rPr>
        <w:t>附表</w:t>
      </w:r>
      <w:r>
        <w:rPr>
          <w:rFonts w:hint="eastAsia"/>
          <w:color w:val="auto"/>
        </w:rPr>
        <w:t xml:space="preserve">2.3-3 </w:t>
      </w:r>
      <w:r>
        <w:rPr>
          <w:rFonts w:hint="eastAsia"/>
          <w:color w:val="auto"/>
        </w:rPr>
        <w:t>高处作业危险性分析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09"/>
        <w:gridCol w:w="2272"/>
        <w:gridCol w:w="2188"/>
        <w:gridCol w:w="3193"/>
      </w:tblGrid>
      <w:tr w:rsidR="003F13AB">
        <w:trPr>
          <w:trHeight w:val="23"/>
          <w:jc w:val="center"/>
        </w:trPr>
        <w:tc>
          <w:tcPr>
            <w:tcW w:w="391"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作业名称</w:t>
            </w:r>
          </w:p>
        </w:tc>
        <w:tc>
          <w:tcPr>
            <w:tcW w:w="391"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工作步骤</w:t>
            </w:r>
          </w:p>
        </w:tc>
        <w:tc>
          <w:tcPr>
            <w:tcW w:w="1252"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危害因素</w:t>
            </w:r>
          </w:p>
        </w:tc>
        <w:tc>
          <w:tcPr>
            <w:tcW w:w="1206"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可能的后果</w:t>
            </w:r>
          </w:p>
        </w:tc>
        <w:tc>
          <w:tcPr>
            <w:tcW w:w="1760"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控制措施</w:t>
            </w:r>
          </w:p>
        </w:tc>
      </w:tr>
      <w:tr w:rsidR="003F13AB">
        <w:trPr>
          <w:trHeight w:val="23"/>
          <w:jc w:val="center"/>
        </w:trPr>
        <w:tc>
          <w:tcPr>
            <w:tcW w:w="391" w:type="pct"/>
            <w:vMerge w:val="restart"/>
            <w:vAlign w:val="center"/>
          </w:tcPr>
          <w:p w:rsidR="003F13AB" w:rsidRDefault="00EC6E7E">
            <w:pPr>
              <w:adjustRightInd/>
              <w:spacing w:line="240" w:lineRule="exact"/>
              <w:ind w:firstLineChars="0" w:firstLine="0"/>
              <w:jc w:val="center"/>
              <w:rPr>
                <w:sz w:val="21"/>
                <w:szCs w:val="28"/>
              </w:rPr>
            </w:pPr>
            <w:r>
              <w:rPr>
                <w:rFonts w:hint="eastAsia"/>
                <w:sz w:val="21"/>
                <w:szCs w:val="28"/>
              </w:rPr>
              <w:t>高处作业</w:t>
            </w:r>
          </w:p>
        </w:tc>
        <w:tc>
          <w:tcPr>
            <w:tcW w:w="391" w:type="pct"/>
            <w:vMerge w:val="restart"/>
            <w:vAlign w:val="center"/>
          </w:tcPr>
          <w:p w:rsidR="003F13AB" w:rsidRDefault="00EC6E7E">
            <w:pPr>
              <w:adjustRightInd/>
              <w:spacing w:line="240" w:lineRule="exact"/>
              <w:ind w:firstLineChars="0" w:firstLine="0"/>
              <w:jc w:val="center"/>
              <w:rPr>
                <w:sz w:val="21"/>
                <w:szCs w:val="28"/>
              </w:rPr>
            </w:pPr>
            <w:r>
              <w:rPr>
                <w:sz w:val="21"/>
                <w:szCs w:val="28"/>
              </w:rPr>
              <w:t>作业前</w:t>
            </w: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不按规定要求办理高处作业许可证</w:t>
            </w:r>
          </w:p>
        </w:tc>
        <w:tc>
          <w:tcPr>
            <w:tcW w:w="1206" w:type="pct"/>
            <w:vAlign w:val="center"/>
          </w:tcPr>
          <w:p w:rsidR="003F13AB" w:rsidRDefault="00EC6E7E">
            <w:pPr>
              <w:adjustRightInd/>
              <w:spacing w:line="240" w:lineRule="exact"/>
              <w:ind w:firstLineChars="0" w:firstLine="0"/>
              <w:rPr>
                <w:sz w:val="21"/>
                <w:szCs w:val="28"/>
              </w:rPr>
            </w:pPr>
            <w:r>
              <w:rPr>
                <w:sz w:val="21"/>
                <w:szCs w:val="28"/>
              </w:rPr>
              <w:t>违章作业引发事故</w:t>
            </w:r>
          </w:p>
        </w:tc>
        <w:tc>
          <w:tcPr>
            <w:tcW w:w="1760" w:type="pct"/>
            <w:vAlign w:val="center"/>
          </w:tcPr>
          <w:p w:rsidR="003F13AB" w:rsidRDefault="00EC6E7E">
            <w:pPr>
              <w:adjustRightInd/>
              <w:spacing w:line="240" w:lineRule="exact"/>
              <w:ind w:firstLineChars="0" w:firstLine="0"/>
              <w:rPr>
                <w:sz w:val="21"/>
                <w:szCs w:val="28"/>
              </w:rPr>
            </w:pPr>
            <w:r>
              <w:rPr>
                <w:sz w:val="21"/>
                <w:szCs w:val="28"/>
              </w:rPr>
              <w:t>严格办理</w:t>
            </w:r>
            <w:r>
              <w:rPr>
                <w:rFonts w:hint="eastAsia"/>
                <w:sz w:val="21"/>
                <w:szCs w:val="28"/>
              </w:rPr>
              <w:t>高处</w:t>
            </w:r>
            <w:r>
              <w:rPr>
                <w:sz w:val="21"/>
                <w:szCs w:val="28"/>
              </w:rPr>
              <w:t>作业</w:t>
            </w:r>
            <w:r>
              <w:rPr>
                <w:rFonts w:hint="eastAsia"/>
                <w:sz w:val="21"/>
                <w:szCs w:val="28"/>
              </w:rPr>
              <w:t>许可</w:t>
            </w:r>
            <w:r>
              <w:rPr>
                <w:sz w:val="21"/>
                <w:szCs w:val="28"/>
              </w:rPr>
              <w:t>证</w:t>
            </w:r>
            <w:r>
              <w:rPr>
                <w:rFonts w:hint="eastAsia"/>
                <w:sz w:val="21"/>
                <w:szCs w:val="28"/>
              </w:rPr>
              <w:t>，严禁违章作业，严格按规定执行</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作业人员</w:t>
            </w:r>
            <w:r>
              <w:rPr>
                <w:sz w:val="21"/>
                <w:szCs w:val="28"/>
              </w:rPr>
              <w:t>安全</w:t>
            </w:r>
            <w:r>
              <w:rPr>
                <w:rFonts w:hint="eastAsia"/>
                <w:sz w:val="21"/>
                <w:szCs w:val="28"/>
              </w:rPr>
              <w:t>防护</w:t>
            </w:r>
            <w:r>
              <w:rPr>
                <w:sz w:val="21"/>
                <w:szCs w:val="28"/>
              </w:rPr>
              <w:t>措施不落实</w:t>
            </w:r>
          </w:p>
        </w:tc>
        <w:tc>
          <w:tcPr>
            <w:tcW w:w="1206" w:type="pct"/>
            <w:vAlign w:val="center"/>
          </w:tcPr>
          <w:p w:rsidR="003F13AB" w:rsidRDefault="00EC6E7E">
            <w:pPr>
              <w:adjustRightInd/>
              <w:spacing w:line="240" w:lineRule="exact"/>
              <w:ind w:firstLineChars="0" w:firstLine="0"/>
              <w:rPr>
                <w:sz w:val="21"/>
                <w:szCs w:val="28"/>
              </w:rPr>
            </w:pPr>
            <w:r>
              <w:rPr>
                <w:sz w:val="21"/>
                <w:szCs w:val="28"/>
              </w:rPr>
              <w:t>引发事故</w:t>
            </w:r>
            <w:r>
              <w:rPr>
                <w:rFonts w:hint="eastAsia"/>
                <w:sz w:val="21"/>
                <w:szCs w:val="28"/>
              </w:rPr>
              <w:t>，人员伤亡</w:t>
            </w:r>
          </w:p>
        </w:tc>
        <w:tc>
          <w:tcPr>
            <w:tcW w:w="1760" w:type="pct"/>
            <w:vAlign w:val="center"/>
          </w:tcPr>
          <w:p w:rsidR="003F13AB" w:rsidRDefault="00EC6E7E">
            <w:pPr>
              <w:adjustRightInd/>
              <w:spacing w:line="240" w:lineRule="exact"/>
              <w:ind w:firstLineChars="0" w:firstLine="0"/>
              <w:rPr>
                <w:sz w:val="21"/>
                <w:szCs w:val="28"/>
              </w:rPr>
            </w:pPr>
            <w:r>
              <w:rPr>
                <w:rFonts w:hint="eastAsia"/>
                <w:sz w:val="21"/>
                <w:szCs w:val="28"/>
              </w:rPr>
              <w:t>配备</w:t>
            </w:r>
            <w:r>
              <w:rPr>
                <w:sz w:val="21"/>
                <w:szCs w:val="28"/>
              </w:rPr>
              <w:t>负责安全措施</w:t>
            </w:r>
            <w:r>
              <w:rPr>
                <w:rFonts w:hint="eastAsia"/>
                <w:sz w:val="21"/>
                <w:szCs w:val="28"/>
              </w:rPr>
              <w:t>，安全带、安全帽，相关就</w:t>
            </w:r>
            <w:proofErr w:type="gramStart"/>
            <w:r>
              <w:rPr>
                <w:rFonts w:hint="eastAsia"/>
                <w:sz w:val="21"/>
                <w:szCs w:val="28"/>
              </w:rPr>
              <w:t>生设备</w:t>
            </w:r>
            <w:proofErr w:type="gramEnd"/>
            <w:r>
              <w:rPr>
                <w:rFonts w:hint="eastAsia"/>
                <w:sz w:val="21"/>
                <w:szCs w:val="28"/>
              </w:rPr>
              <w:t>等，严格检查</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作业人员未进行安全教育，不清楚现场情况</w:t>
            </w:r>
          </w:p>
        </w:tc>
        <w:tc>
          <w:tcPr>
            <w:tcW w:w="1206" w:type="pct"/>
            <w:vAlign w:val="center"/>
          </w:tcPr>
          <w:p w:rsidR="003F13AB" w:rsidRDefault="00EC6E7E">
            <w:pPr>
              <w:adjustRightInd/>
              <w:spacing w:line="240" w:lineRule="exact"/>
              <w:ind w:firstLineChars="0" w:firstLine="0"/>
              <w:rPr>
                <w:sz w:val="21"/>
                <w:szCs w:val="28"/>
              </w:rPr>
            </w:pPr>
            <w:r>
              <w:rPr>
                <w:sz w:val="21"/>
                <w:szCs w:val="28"/>
              </w:rPr>
              <w:t>不能及时发现处理作业现场出现的问题</w:t>
            </w:r>
            <w:r>
              <w:rPr>
                <w:rFonts w:hint="eastAsia"/>
                <w:sz w:val="21"/>
                <w:szCs w:val="28"/>
              </w:rPr>
              <w:t>，人员伤害</w:t>
            </w:r>
          </w:p>
        </w:tc>
        <w:tc>
          <w:tcPr>
            <w:tcW w:w="1760" w:type="pct"/>
            <w:vAlign w:val="center"/>
          </w:tcPr>
          <w:p w:rsidR="003F13AB" w:rsidRDefault="00EC6E7E">
            <w:pPr>
              <w:adjustRightInd/>
              <w:spacing w:line="240" w:lineRule="exact"/>
              <w:ind w:firstLineChars="0" w:firstLine="0"/>
              <w:rPr>
                <w:sz w:val="21"/>
                <w:szCs w:val="28"/>
              </w:rPr>
            </w:pPr>
            <w:r>
              <w:rPr>
                <w:rFonts w:hint="eastAsia"/>
                <w:sz w:val="21"/>
                <w:szCs w:val="28"/>
              </w:rPr>
              <w:t>作业前进行安全教育，对现场情况进行培训，严格按照规定执行</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监护不足，</w:t>
            </w:r>
            <w:r>
              <w:rPr>
                <w:sz w:val="21"/>
                <w:szCs w:val="28"/>
              </w:rPr>
              <w:t>监护人不到位</w:t>
            </w:r>
          </w:p>
        </w:tc>
        <w:tc>
          <w:tcPr>
            <w:tcW w:w="1206" w:type="pct"/>
            <w:vAlign w:val="center"/>
          </w:tcPr>
          <w:p w:rsidR="003F13AB" w:rsidRDefault="00EC6E7E">
            <w:pPr>
              <w:adjustRightInd/>
              <w:spacing w:line="240" w:lineRule="exact"/>
              <w:ind w:firstLineChars="0" w:firstLine="0"/>
              <w:rPr>
                <w:sz w:val="21"/>
                <w:szCs w:val="28"/>
              </w:rPr>
            </w:pPr>
            <w:r>
              <w:rPr>
                <w:sz w:val="21"/>
                <w:szCs w:val="28"/>
              </w:rPr>
              <w:t>出现事故不能及时处置，造成事故扩大</w:t>
            </w:r>
            <w:r>
              <w:rPr>
                <w:rFonts w:hint="eastAsia"/>
                <w:sz w:val="21"/>
                <w:szCs w:val="28"/>
              </w:rPr>
              <w:t>，</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安排责任心强有经验的人员进行监护</w:t>
            </w:r>
            <w:r>
              <w:rPr>
                <w:rFonts w:hint="eastAsia"/>
                <w:kern w:val="0"/>
                <w:sz w:val="21"/>
                <w:szCs w:val="28"/>
              </w:rPr>
              <w:t>，作业前对安全措施进行严格检查。作业过程中不得脱离岗位</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脚手架有缺陷或者不牢固</w:t>
            </w:r>
          </w:p>
        </w:tc>
        <w:tc>
          <w:tcPr>
            <w:tcW w:w="1206" w:type="pct"/>
            <w:vAlign w:val="center"/>
          </w:tcPr>
          <w:p w:rsidR="003F13AB" w:rsidRDefault="00EC6E7E">
            <w:pPr>
              <w:adjustRightInd/>
              <w:spacing w:line="240" w:lineRule="exact"/>
              <w:ind w:firstLineChars="0" w:firstLine="0"/>
              <w:rPr>
                <w:sz w:val="21"/>
                <w:szCs w:val="28"/>
              </w:rPr>
            </w:pPr>
            <w:r>
              <w:rPr>
                <w:rFonts w:hint="eastAsia"/>
                <w:sz w:val="21"/>
                <w:szCs w:val="28"/>
              </w:rPr>
              <w:t>高处坠落，人员伤害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sz w:val="21"/>
                <w:szCs w:val="28"/>
              </w:rPr>
              <w:t>使用前认真检查，符合要求才能搭建。</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restart"/>
            <w:vAlign w:val="center"/>
          </w:tcPr>
          <w:p w:rsidR="003F13AB" w:rsidRDefault="00EC6E7E">
            <w:pPr>
              <w:adjustRightInd/>
              <w:spacing w:line="240" w:lineRule="exact"/>
              <w:ind w:firstLineChars="0" w:firstLine="0"/>
              <w:jc w:val="center"/>
              <w:rPr>
                <w:sz w:val="21"/>
                <w:szCs w:val="28"/>
              </w:rPr>
            </w:pPr>
            <w:r>
              <w:rPr>
                <w:rFonts w:hint="eastAsia"/>
                <w:sz w:val="21"/>
                <w:szCs w:val="28"/>
              </w:rPr>
              <w:t>作业中</w:t>
            </w: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不系安全带或安全帽，不按规定穿戴其他要求防护用品</w:t>
            </w:r>
          </w:p>
        </w:tc>
        <w:tc>
          <w:tcPr>
            <w:tcW w:w="1206" w:type="pct"/>
            <w:vAlign w:val="center"/>
          </w:tcPr>
          <w:p w:rsidR="003F13AB" w:rsidRDefault="00EC6E7E">
            <w:pPr>
              <w:adjustRightInd/>
              <w:spacing w:line="240" w:lineRule="exact"/>
              <w:ind w:firstLineChars="0" w:firstLine="0"/>
              <w:rPr>
                <w:sz w:val="21"/>
                <w:szCs w:val="28"/>
              </w:rPr>
            </w:pPr>
            <w:r>
              <w:rPr>
                <w:sz w:val="21"/>
                <w:szCs w:val="28"/>
              </w:rPr>
              <w:t>引发事故</w:t>
            </w:r>
            <w:r>
              <w:rPr>
                <w:rFonts w:hint="eastAsia"/>
                <w:sz w:val="21"/>
                <w:szCs w:val="28"/>
              </w:rPr>
              <w:t>，人员伤亡</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作业前严格检查，不采取安全措施禁止作业</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工作平台或梯子湿滑，下梯子脚下踩空</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干燥后在作业，由专人监护，佩戴相应防护用品</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kern w:val="0"/>
                <w:sz w:val="21"/>
                <w:szCs w:val="28"/>
              </w:rPr>
              <w:t>登高梯子有缺陷或在梯子上作业时下方没人扶</w:t>
            </w:r>
          </w:p>
        </w:tc>
        <w:tc>
          <w:tcPr>
            <w:tcW w:w="1206" w:type="pct"/>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1760"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作业前严格检查，由专人监护</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高处带电作业，绝缘保护措施不到位</w:t>
            </w:r>
          </w:p>
        </w:tc>
        <w:tc>
          <w:tcPr>
            <w:tcW w:w="1206"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人员伤害</w:t>
            </w:r>
          </w:p>
        </w:tc>
        <w:tc>
          <w:tcPr>
            <w:tcW w:w="1760"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必须使用绝缘工具或防具，作业前认真检查，严格按规定执行</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sz w:val="21"/>
                <w:szCs w:val="28"/>
              </w:rPr>
              <w:t>高处行走或作业中，未按规定将安全带系挂</w:t>
            </w:r>
          </w:p>
        </w:tc>
        <w:tc>
          <w:tcPr>
            <w:tcW w:w="1206"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高空坠落人员伤害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作业前培训，严格检查，违反者，按规定进行处理</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sz w:val="21"/>
                <w:szCs w:val="28"/>
              </w:rPr>
              <w:t>高处切割或施焊，下方未采取相应措施</w:t>
            </w:r>
          </w:p>
        </w:tc>
        <w:tc>
          <w:tcPr>
            <w:tcW w:w="1206"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火花飞溅，</w:t>
            </w: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下方铺设保护层，配备消防器材，专人监护</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sz w:val="21"/>
                <w:szCs w:val="28"/>
              </w:rPr>
              <w:t>易滑动、滚动的工具、材料堆放位置不正确</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平稳堆放，工具使用时要系安全绳，不用时放入工具袋，采取防坠措施。</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sz w:val="21"/>
                <w:szCs w:val="28"/>
              </w:rPr>
              <w:t>在不坚固的结构上作业未铺设脚手板</w:t>
            </w:r>
          </w:p>
        </w:tc>
        <w:tc>
          <w:tcPr>
            <w:tcW w:w="1206"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必须铺设牢固的脚手板，要有防滑措施。安全教育培训，专人监护</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sz w:val="21"/>
                <w:szCs w:val="28"/>
              </w:rPr>
              <w:t>上下时手中持物，上下</w:t>
            </w:r>
            <w:r>
              <w:rPr>
                <w:rFonts w:hint="eastAsia"/>
                <w:sz w:val="21"/>
                <w:szCs w:val="28"/>
              </w:rPr>
              <w:lastRenderedPageBreak/>
              <w:t>抛掷工具等物品</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lastRenderedPageBreak/>
              <w:t>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sz w:val="21"/>
                <w:szCs w:val="28"/>
              </w:rPr>
              <w:t>上下时集中精神，作业前安全教</w:t>
            </w:r>
            <w:r>
              <w:rPr>
                <w:rFonts w:hint="eastAsia"/>
                <w:sz w:val="21"/>
                <w:szCs w:val="28"/>
              </w:rPr>
              <w:lastRenderedPageBreak/>
              <w:t>育培训，由专人监护</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sz w:val="21"/>
                <w:szCs w:val="28"/>
              </w:rPr>
              <w:t>出现危险品泄漏或其他异常情况</w:t>
            </w:r>
          </w:p>
        </w:tc>
        <w:tc>
          <w:tcPr>
            <w:tcW w:w="1206"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人员伤害</w:t>
            </w:r>
          </w:p>
        </w:tc>
        <w:tc>
          <w:tcPr>
            <w:tcW w:w="1760"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停止作业，撤离人员</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restart"/>
            <w:vAlign w:val="center"/>
          </w:tcPr>
          <w:p w:rsidR="003F13AB" w:rsidRDefault="00EC6E7E">
            <w:pPr>
              <w:adjustRightInd/>
              <w:spacing w:line="240" w:lineRule="exact"/>
              <w:ind w:firstLineChars="0" w:firstLine="0"/>
              <w:jc w:val="center"/>
              <w:rPr>
                <w:sz w:val="21"/>
                <w:szCs w:val="28"/>
              </w:rPr>
            </w:pPr>
            <w:r>
              <w:rPr>
                <w:sz w:val="21"/>
                <w:szCs w:val="28"/>
              </w:rPr>
              <w:t>完工后</w:t>
            </w: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t>现场没有清理</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及时清理</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上下</w:t>
            </w:r>
            <w:proofErr w:type="gramStart"/>
            <w:r>
              <w:rPr>
                <w:rFonts w:hint="eastAsia"/>
                <w:kern w:val="0"/>
                <w:sz w:val="21"/>
                <w:szCs w:val="28"/>
              </w:rPr>
              <w:t>时未沿安全</w:t>
            </w:r>
            <w:proofErr w:type="gramEnd"/>
            <w:r>
              <w:rPr>
                <w:rFonts w:hint="eastAsia"/>
                <w:kern w:val="0"/>
                <w:sz w:val="21"/>
                <w:szCs w:val="28"/>
              </w:rPr>
              <w:t>通道，随意攀登</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引发事故、人员伤害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sz w:val="21"/>
                <w:szCs w:val="28"/>
              </w:rPr>
              <w:t>沿着安全通道或安全护栏</w:t>
            </w:r>
            <w:proofErr w:type="gramStart"/>
            <w:r>
              <w:rPr>
                <w:rFonts w:hint="eastAsia"/>
                <w:sz w:val="21"/>
                <w:szCs w:val="28"/>
              </w:rPr>
              <w:t>的直梯上下</w:t>
            </w:r>
            <w:proofErr w:type="gramEnd"/>
            <w:r>
              <w:rPr>
                <w:rFonts w:hint="eastAsia"/>
                <w:sz w:val="21"/>
                <w:szCs w:val="28"/>
              </w:rPr>
              <w:t>，作业前安全教育，专人看护</w:t>
            </w:r>
          </w:p>
        </w:tc>
      </w:tr>
    </w:tbl>
    <w:p w:rsidR="003F13AB" w:rsidRDefault="00EC6E7E">
      <w:pPr>
        <w:ind w:firstLine="560"/>
        <w:rPr>
          <w:color w:val="auto"/>
        </w:rPr>
      </w:pPr>
      <w:r>
        <w:rPr>
          <w:rFonts w:hint="eastAsia"/>
          <w:color w:val="auto"/>
        </w:rPr>
        <w:t>（</w:t>
      </w:r>
      <w:r>
        <w:rPr>
          <w:rFonts w:hint="eastAsia"/>
          <w:color w:val="auto"/>
        </w:rPr>
        <w:t>4</w:t>
      </w:r>
      <w:r>
        <w:rPr>
          <w:rFonts w:hint="eastAsia"/>
          <w:color w:val="auto"/>
        </w:rPr>
        <w:t>）进入有限空间作业危险性分析</w:t>
      </w:r>
    </w:p>
    <w:p w:rsidR="003F13AB" w:rsidRDefault="00EC6E7E">
      <w:pPr>
        <w:ind w:firstLine="560"/>
        <w:jc w:val="center"/>
        <w:rPr>
          <w:color w:val="auto"/>
        </w:rPr>
      </w:pPr>
      <w:r>
        <w:rPr>
          <w:rFonts w:hint="eastAsia"/>
          <w:color w:val="auto"/>
        </w:rPr>
        <w:t>附表</w:t>
      </w:r>
      <w:r>
        <w:rPr>
          <w:rFonts w:hint="eastAsia"/>
          <w:color w:val="auto"/>
        </w:rPr>
        <w:t xml:space="preserve">2.3-4 </w:t>
      </w:r>
      <w:r>
        <w:rPr>
          <w:rFonts w:hint="eastAsia"/>
          <w:color w:val="auto"/>
        </w:rPr>
        <w:t>进入有限空间作业危险性分析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709"/>
        <w:gridCol w:w="2272"/>
        <w:gridCol w:w="2188"/>
        <w:gridCol w:w="3193"/>
      </w:tblGrid>
      <w:tr w:rsidR="003F13AB">
        <w:trPr>
          <w:trHeight w:val="23"/>
          <w:jc w:val="center"/>
        </w:trPr>
        <w:tc>
          <w:tcPr>
            <w:tcW w:w="391"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作业名称</w:t>
            </w:r>
          </w:p>
        </w:tc>
        <w:tc>
          <w:tcPr>
            <w:tcW w:w="391"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工作步骤</w:t>
            </w:r>
          </w:p>
        </w:tc>
        <w:tc>
          <w:tcPr>
            <w:tcW w:w="1252"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危害因素</w:t>
            </w:r>
          </w:p>
        </w:tc>
        <w:tc>
          <w:tcPr>
            <w:tcW w:w="1206"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可能的后果</w:t>
            </w:r>
          </w:p>
        </w:tc>
        <w:tc>
          <w:tcPr>
            <w:tcW w:w="1760" w:type="pct"/>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控制措施</w:t>
            </w:r>
          </w:p>
        </w:tc>
      </w:tr>
      <w:tr w:rsidR="003F13AB">
        <w:trPr>
          <w:trHeight w:val="23"/>
          <w:jc w:val="center"/>
        </w:trPr>
        <w:tc>
          <w:tcPr>
            <w:tcW w:w="391" w:type="pct"/>
            <w:vMerge w:val="restart"/>
            <w:vAlign w:val="center"/>
          </w:tcPr>
          <w:p w:rsidR="003F13AB" w:rsidRDefault="00EC6E7E">
            <w:pPr>
              <w:adjustRightInd/>
              <w:spacing w:line="240" w:lineRule="exact"/>
              <w:ind w:firstLineChars="0" w:firstLine="0"/>
              <w:jc w:val="center"/>
              <w:rPr>
                <w:sz w:val="21"/>
                <w:szCs w:val="28"/>
              </w:rPr>
            </w:pPr>
            <w:r>
              <w:rPr>
                <w:rFonts w:hint="eastAsia"/>
                <w:sz w:val="21"/>
                <w:szCs w:val="28"/>
              </w:rPr>
              <w:t>进入有限空间作业</w:t>
            </w:r>
          </w:p>
        </w:tc>
        <w:tc>
          <w:tcPr>
            <w:tcW w:w="391" w:type="pct"/>
            <w:vMerge w:val="restart"/>
            <w:vAlign w:val="center"/>
          </w:tcPr>
          <w:p w:rsidR="003F13AB" w:rsidRDefault="00EC6E7E">
            <w:pPr>
              <w:adjustRightInd/>
              <w:spacing w:line="240" w:lineRule="exact"/>
              <w:ind w:firstLineChars="0" w:firstLine="0"/>
              <w:jc w:val="center"/>
              <w:rPr>
                <w:sz w:val="21"/>
                <w:szCs w:val="28"/>
              </w:rPr>
            </w:pPr>
            <w:r>
              <w:rPr>
                <w:sz w:val="21"/>
                <w:szCs w:val="28"/>
              </w:rPr>
              <w:t>作业前</w:t>
            </w: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不按规定要求办理用电许可证和用火作业许可证，乱接电源、私自动火</w:t>
            </w:r>
          </w:p>
        </w:tc>
        <w:tc>
          <w:tcPr>
            <w:tcW w:w="1206" w:type="pct"/>
            <w:vAlign w:val="center"/>
          </w:tcPr>
          <w:p w:rsidR="003F13AB" w:rsidRDefault="00EC6E7E">
            <w:pPr>
              <w:adjustRightInd/>
              <w:spacing w:line="240" w:lineRule="exact"/>
              <w:ind w:firstLineChars="0" w:firstLine="0"/>
              <w:rPr>
                <w:sz w:val="21"/>
                <w:szCs w:val="28"/>
              </w:rPr>
            </w:pPr>
            <w:r>
              <w:rPr>
                <w:sz w:val="21"/>
                <w:szCs w:val="28"/>
              </w:rPr>
              <w:t>违章作业引发事故</w:t>
            </w:r>
          </w:p>
        </w:tc>
        <w:tc>
          <w:tcPr>
            <w:tcW w:w="1760" w:type="pct"/>
            <w:vAlign w:val="center"/>
          </w:tcPr>
          <w:p w:rsidR="003F13AB" w:rsidRDefault="00EC6E7E">
            <w:pPr>
              <w:adjustRightInd/>
              <w:spacing w:line="240" w:lineRule="exact"/>
              <w:ind w:firstLineChars="0" w:firstLine="0"/>
              <w:rPr>
                <w:sz w:val="21"/>
                <w:szCs w:val="28"/>
              </w:rPr>
            </w:pPr>
            <w:r>
              <w:rPr>
                <w:sz w:val="21"/>
                <w:szCs w:val="28"/>
              </w:rPr>
              <w:t>严格办理动火安全作业证</w:t>
            </w:r>
            <w:r>
              <w:rPr>
                <w:rFonts w:hint="eastAsia"/>
                <w:sz w:val="21"/>
                <w:szCs w:val="28"/>
              </w:rPr>
              <w:t>及用电许可证，严禁违章作业，严格按规定执行</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作业人员</w:t>
            </w:r>
            <w:r>
              <w:rPr>
                <w:sz w:val="21"/>
                <w:szCs w:val="28"/>
              </w:rPr>
              <w:t>安全</w:t>
            </w:r>
            <w:r>
              <w:rPr>
                <w:rFonts w:hint="eastAsia"/>
                <w:sz w:val="21"/>
                <w:szCs w:val="28"/>
              </w:rPr>
              <w:t>防护</w:t>
            </w:r>
            <w:r>
              <w:rPr>
                <w:sz w:val="21"/>
                <w:szCs w:val="28"/>
              </w:rPr>
              <w:t>措施不落实</w:t>
            </w:r>
          </w:p>
        </w:tc>
        <w:tc>
          <w:tcPr>
            <w:tcW w:w="1206" w:type="pct"/>
            <w:vAlign w:val="center"/>
          </w:tcPr>
          <w:p w:rsidR="003F13AB" w:rsidRDefault="00EC6E7E">
            <w:pPr>
              <w:adjustRightInd/>
              <w:spacing w:line="240" w:lineRule="exact"/>
              <w:ind w:firstLineChars="0" w:firstLine="0"/>
              <w:rPr>
                <w:sz w:val="21"/>
                <w:szCs w:val="28"/>
              </w:rPr>
            </w:pPr>
            <w:r>
              <w:rPr>
                <w:sz w:val="21"/>
                <w:szCs w:val="28"/>
              </w:rPr>
              <w:t>引发事故</w:t>
            </w:r>
          </w:p>
        </w:tc>
        <w:tc>
          <w:tcPr>
            <w:tcW w:w="1760" w:type="pct"/>
            <w:vAlign w:val="center"/>
          </w:tcPr>
          <w:p w:rsidR="003F13AB" w:rsidRDefault="00EC6E7E">
            <w:pPr>
              <w:adjustRightInd/>
              <w:spacing w:line="240" w:lineRule="exact"/>
              <w:ind w:firstLineChars="0" w:firstLine="0"/>
              <w:rPr>
                <w:sz w:val="21"/>
                <w:szCs w:val="28"/>
              </w:rPr>
            </w:pPr>
            <w:r>
              <w:rPr>
                <w:sz w:val="21"/>
                <w:szCs w:val="28"/>
              </w:rPr>
              <w:t>动火负责人负责安全措施的落实</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作业人员未进行安全教育</w:t>
            </w:r>
          </w:p>
        </w:tc>
        <w:tc>
          <w:tcPr>
            <w:tcW w:w="1206" w:type="pct"/>
            <w:vAlign w:val="center"/>
          </w:tcPr>
          <w:p w:rsidR="003F13AB" w:rsidRDefault="00EC6E7E">
            <w:pPr>
              <w:adjustRightInd/>
              <w:spacing w:line="240" w:lineRule="exact"/>
              <w:ind w:firstLineChars="0" w:firstLine="0"/>
              <w:rPr>
                <w:sz w:val="21"/>
                <w:szCs w:val="28"/>
              </w:rPr>
            </w:pPr>
            <w:r>
              <w:rPr>
                <w:sz w:val="21"/>
                <w:szCs w:val="28"/>
              </w:rPr>
              <w:t>不能及时发现处理作业现场出现的问题</w:t>
            </w:r>
          </w:p>
        </w:tc>
        <w:tc>
          <w:tcPr>
            <w:tcW w:w="1760" w:type="pct"/>
            <w:vAlign w:val="center"/>
          </w:tcPr>
          <w:p w:rsidR="003F13AB" w:rsidRDefault="00EC6E7E">
            <w:pPr>
              <w:adjustRightInd/>
              <w:spacing w:line="240" w:lineRule="exact"/>
              <w:ind w:firstLineChars="0" w:firstLine="0"/>
              <w:rPr>
                <w:sz w:val="21"/>
                <w:szCs w:val="28"/>
              </w:rPr>
            </w:pPr>
            <w:r>
              <w:rPr>
                <w:rFonts w:hint="eastAsia"/>
                <w:sz w:val="21"/>
                <w:szCs w:val="28"/>
              </w:rPr>
              <w:t>作业前进行安全教育</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sz w:val="21"/>
                <w:szCs w:val="28"/>
              </w:rPr>
              <w:t>检修的设备清洗置换不合格</w:t>
            </w:r>
            <w:r>
              <w:rPr>
                <w:rFonts w:hint="eastAsia"/>
                <w:sz w:val="21"/>
                <w:szCs w:val="28"/>
              </w:rPr>
              <w:t>，氧气不足</w:t>
            </w:r>
          </w:p>
        </w:tc>
        <w:tc>
          <w:tcPr>
            <w:tcW w:w="1206" w:type="pct"/>
            <w:vAlign w:val="center"/>
          </w:tcPr>
          <w:p w:rsidR="003F13AB" w:rsidRDefault="00EC6E7E">
            <w:pPr>
              <w:adjustRightInd/>
              <w:spacing w:line="240" w:lineRule="exact"/>
              <w:ind w:firstLineChars="0" w:firstLine="0"/>
              <w:rPr>
                <w:sz w:val="21"/>
                <w:szCs w:val="28"/>
              </w:rPr>
            </w:pPr>
            <w:r>
              <w:rPr>
                <w:sz w:val="21"/>
                <w:szCs w:val="28"/>
              </w:rPr>
              <w:t>火灾、爆炸、人员伤害</w:t>
            </w:r>
          </w:p>
        </w:tc>
        <w:tc>
          <w:tcPr>
            <w:tcW w:w="1760" w:type="pct"/>
            <w:vAlign w:val="center"/>
          </w:tcPr>
          <w:p w:rsidR="003F13AB" w:rsidRDefault="00EC6E7E">
            <w:pPr>
              <w:adjustRightInd/>
              <w:spacing w:line="240" w:lineRule="exact"/>
              <w:ind w:firstLineChars="0" w:firstLine="0"/>
              <w:rPr>
                <w:sz w:val="21"/>
                <w:szCs w:val="28"/>
              </w:rPr>
            </w:pPr>
            <w:r>
              <w:rPr>
                <w:sz w:val="21"/>
                <w:szCs w:val="28"/>
              </w:rPr>
              <w:t>严格按照处理方案进行清洗置换，并分析合格</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sz w:val="21"/>
                <w:szCs w:val="28"/>
              </w:rPr>
              <w:t>检修的设备不与外界隔绝</w:t>
            </w:r>
          </w:p>
        </w:tc>
        <w:tc>
          <w:tcPr>
            <w:tcW w:w="1206" w:type="pct"/>
            <w:vAlign w:val="center"/>
          </w:tcPr>
          <w:p w:rsidR="003F13AB" w:rsidRDefault="00EC6E7E">
            <w:pPr>
              <w:adjustRightInd/>
              <w:spacing w:line="240" w:lineRule="exact"/>
              <w:ind w:firstLineChars="0" w:firstLine="0"/>
              <w:rPr>
                <w:sz w:val="21"/>
                <w:szCs w:val="28"/>
              </w:rPr>
            </w:pPr>
            <w:r>
              <w:rPr>
                <w:sz w:val="21"/>
                <w:szCs w:val="28"/>
              </w:rPr>
              <w:t>火灾、爆炸、人员伤害</w:t>
            </w:r>
          </w:p>
        </w:tc>
        <w:tc>
          <w:tcPr>
            <w:tcW w:w="1760" w:type="pct"/>
            <w:vAlign w:val="center"/>
          </w:tcPr>
          <w:p w:rsidR="003F13AB" w:rsidRDefault="00EC6E7E">
            <w:pPr>
              <w:adjustRightInd/>
              <w:spacing w:line="240" w:lineRule="exact"/>
              <w:ind w:firstLineChars="0" w:firstLine="0"/>
              <w:rPr>
                <w:sz w:val="21"/>
                <w:szCs w:val="28"/>
              </w:rPr>
            </w:pPr>
            <w:r>
              <w:rPr>
                <w:sz w:val="21"/>
                <w:szCs w:val="28"/>
              </w:rPr>
              <w:t>安排专人进行加盲板或者拆除</w:t>
            </w:r>
            <w:proofErr w:type="gramStart"/>
            <w:r>
              <w:rPr>
                <w:sz w:val="21"/>
                <w:szCs w:val="28"/>
              </w:rPr>
              <w:t>一</w:t>
            </w:r>
            <w:proofErr w:type="gramEnd"/>
            <w:r>
              <w:rPr>
                <w:sz w:val="21"/>
                <w:szCs w:val="28"/>
              </w:rPr>
              <w:t>段管线进行隔绝</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监护不足，</w:t>
            </w:r>
            <w:r>
              <w:rPr>
                <w:sz w:val="21"/>
                <w:szCs w:val="28"/>
              </w:rPr>
              <w:t>监护人不到位</w:t>
            </w:r>
          </w:p>
        </w:tc>
        <w:tc>
          <w:tcPr>
            <w:tcW w:w="1206" w:type="pct"/>
            <w:vAlign w:val="center"/>
          </w:tcPr>
          <w:p w:rsidR="003F13AB" w:rsidRDefault="00EC6E7E">
            <w:pPr>
              <w:adjustRightInd/>
              <w:spacing w:line="240" w:lineRule="exact"/>
              <w:ind w:firstLineChars="0" w:firstLine="0"/>
              <w:rPr>
                <w:sz w:val="21"/>
                <w:szCs w:val="28"/>
              </w:rPr>
            </w:pPr>
            <w:r>
              <w:rPr>
                <w:sz w:val="21"/>
                <w:szCs w:val="28"/>
              </w:rPr>
              <w:t>出现事故不能及时处置，造成事故扩大</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安排责任心强有经验的人员进行监护</w:t>
            </w:r>
            <w:r>
              <w:rPr>
                <w:rFonts w:hint="eastAsia"/>
                <w:kern w:val="0"/>
                <w:sz w:val="21"/>
                <w:szCs w:val="28"/>
              </w:rPr>
              <w:t>。进入设备前，监护人应会同作业人员检查安全措施，随时与设备内取得联系，不得脱离岗位</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sz w:val="21"/>
                <w:szCs w:val="28"/>
              </w:rPr>
              <w:t>消防器材</w:t>
            </w:r>
            <w:r>
              <w:rPr>
                <w:rFonts w:hint="eastAsia"/>
                <w:sz w:val="21"/>
                <w:szCs w:val="28"/>
              </w:rPr>
              <w:t>不足及应急措施不当</w:t>
            </w:r>
          </w:p>
        </w:tc>
        <w:tc>
          <w:tcPr>
            <w:tcW w:w="1206" w:type="pct"/>
            <w:vAlign w:val="center"/>
          </w:tcPr>
          <w:p w:rsidR="003F13AB" w:rsidRDefault="00EC6E7E">
            <w:pPr>
              <w:adjustRightInd/>
              <w:spacing w:line="240" w:lineRule="exact"/>
              <w:ind w:firstLineChars="0" w:firstLine="0"/>
              <w:rPr>
                <w:sz w:val="21"/>
                <w:szCs w:val="28"/>
              </w:rPr>
            </w:pPr>
            <w:r>
              <w:rPr>
                <w:sz w:val="21"/>
                <w:szCs w:val="28"/>
              </w:rPr>
              <w:t>不能及时灭火，造成事故扩大</w:t>
            </w:r>
            <w:r>
              <w:rPr>
                <w:rFonts w:hint="eastAsia"/>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作业前仔细检查落实配备到位</w:t>
            </w:r>
            <w:r>
              <w:rPr>
                <w:rFonts w:hint="eastAsia"/>
                <w:kern w:val="0"/>
                <w:sz w:val="21"/>
                <w:szCs w:val="28"/>
              </w:rPr>
              <w:t>，设备外备有空气呼吸器、消防器材和清水等相应急救用品</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通风不良</w:t>
            </w:r>
          </w:p>
        </w:tc>
        <w:tc>
          <w:tcPr>
            <w:tcW w:w="1206" w:type="pct"/>
            <w:vAlign w:val="center"/>
          </w:tcPr>
          <w:p w:rsidR="003F13AB" w:rsidRDefault="00EC6E7E">
            <w:pPr>
              <w:adjustRightInd/>
              <w:spacing w:line="240" w:lineRule="exact"/>
              <w:ind w:firstLineChars="0" w:firstLine="0"/>
              <w:rPr>
                <w:sz w:val="21"/>
                <w:szCs w:val="28"/>
              </w:rPr>
            </w:pPr>
            <w:r>
              <w:rPr>
                <w:sz w:val="21"/>
                <w:szCs w:val="28"/>
              </w:rPr>
              <w:t>引发事故</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自然通风或强制通风，或者佩戴空气呼吸器等相应措施</w:t>
            </w:r>
          </w:p>
        </w:tc>
      </w:tr>
      <w:tr w:rsidR="003F13AB">
        <w:trPr>
          <w:trHeight w:val="23"/>
          <w:jc w:val="center"/>
        </w:trPr>
        <w:tc>
          <w:tcPr>
            <w:tcW w:w="391" w:type="pct"/>
            <w:vMerge/>
          </w:tcPr>
          <w:p w:rsidR="003F13AB" w:rsidRDefault="003F13AB">
            <w:pPr>
              <w:adjustRightInd/>
              <w:spacing w:line="240" w:lineRule="exact"/>
              <w:ind w:firstLineChars="0" w:firstLine="0"/>
              <w:rPr>
                <w:sz w:val="21"/>
                <w:szCs w:val="28"/>
              </w:rPr>
            </w:pPr>
          </w:p>
        </w:tc>
        <w:tc>
          <w:tcPr>
            <w:tcW w:w="391" w:type="pct"/>
            <w:vMerge/>
            <w:vAlign w:val="center"/>
          </w:tcPr>
          <w:p w:rsidR="003F13AB" w:rsidRDefault="003F13AB">
            <w:pPr>
              <w:adjustRightInd/>
              <w:spacing w:line="240" w:lineRule="exact"/>
              <w:ind w:firstLineChars="0" w:firstLine="0"/>
              <w:jc w:val="center"/>
              <w:rPr>
                <w:sz w:val="21"/>
                <w:szCs w:val="28"/>
              </w:rPr>
            </w:pPr>
          </w:p>
        </w:tc>
        <w:tc>
          <w:tcPr>
            <w:tcW w:w="1252" w:type="pct"/>
            <w:vAlign w:val="center"/>
          </w:tcPr>
          <w:p w:rsidR="003F13AB" w:rsidRDefault="00EC6E7E">
            <w:pPr>
              <w:adjustRightInd/>
              <w:spacing w:line="240" w:lineRule="exact"/>
              <w:ind w:firstLineChars="0" w:firstLine="0"/>
              <w:rPr>
                <w:sz w:val="21"/>
                <w:szCs w:val="28"/>
              </w:rPr>
            </w:pPr>
            <w:r>
              <w:rPr>
                <w:rFonts w:hint="eastAsia"/>
                <w:sz w:val="21"/>
                <w:szCs w:val="28"/>
              </w:rPr>
              <w:t>照明设备触电危害</w:t>
            </w:r>
          </w:p>
        </w:tc>
        <w:tc>
          <w:tcPr>
            <w:tcW w:w="1206" w:type="pct"/>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1760"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设备内照明电压应小于</w:t>
            </w:r>
            <w:r>
              <w:rPr>
                <w:rFonts w:hint="eastAsia"/>
                <w:kern w:val="0"/>
                <w:sz w:val="21"/>
                <w:szCs w:val="28"/>
              </w:rPr>
              <w:t>36V</w:t>
            </w:r>
            <w:r>
              <w:rPr>
                <w:rFonts w:hint="eastAsia"/>
                <w:kern w:val="0"/>
                <w:sz w:val="21"/>
                <w:szCs w:val="28"/>
              </w:rPr>
              <w:t>，在潮湿容器、狭小容器内作业小于等于</w:t>
            </w:r>
            <w:r>
              <w:rPr>
                <w:rFonts w:hint="eastAsia"/>
                <w:kern w:val="0"/>
                <w:sz w:val="21"/>
                <w:szCs w:val="28"/>
              </w:rPr>
              <w:t>12V</w:t>
            </w:r>
            <w:r>
              <w:rPr>
                <w:rFonts w:hint="eastAsia"/>
                <w:kern w:val="0"/>
                <w:sz w:val="21"/>
                <w:szCs w:val="28"/>
              </w:rPr>
              <w:t>。</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restart"/>
            <w:vAlign w:val="center"/>
          </w:tcPr>
          <w:p w:rsidR="003F13AB" w:rsidRDefault="00EC6E7E">
            <w:pPr>
              <w:adjustRightInd/>
              <w:spacing w:line="240" w:lineRule="exact"/>
              <w:ind w:firstLineChars="0" w:firstLine="0"/>
              <w:jc w:val="center"/>
              <w:rPr>
                <w:sz w:val="21"/>
                <w:szCs w:val="28"/>
              </w:rPr>
            </w:pPr>
            <w:r>
              <w:rPr>
                <w:sz w:val="21"/>
                <w:szCs w:val="28"/>
              </w:rPr>
              <w:t>作业中</w:t>
            </w:r>
          </w:p>
        </w:tc>
        <w:tc>
          <w:tcPr>
            <w:tcW w:w="1252"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在设备内切割作业后切割物件落下，温度高</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切割作业时，要做好安全防护措施，由专人看护</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未定时检测</w:t>
            </w:r>
          </w:p>
        </w:tc>
        <w:tc>
          <w:tcPr>
            <w:tcW w:w="1206"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人员伤害</w:t>
            </w:r>
          </w:p>
        </w:tc>
        <w:tc>
          <w:tcPr>
            <w:tcW w:w="1760" w:type="pct"/>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作业中加强定点监测，情况异常立即停止作业</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设备内高处作业不系安全带</w:t>
            </w:r>
          </w:p>
        </w:tc>
        <w:tc>
          <w:tcPr>
            <w:tcW w:w="1206"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高空坠落人员伤害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严格检查，违反者，按规定进行处理</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设备内焊接作业，烟雾大</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加强通风、佩戴</w:t>
            </w:r>
            <w:r>
              <w:rPr>
                <w:rFonts w:hint="eastAsia"/>
                <w:kern w:val="0"/>
                <w:sz w:val="21"/>
                <w:szCs w:val="28"/>
              </w:rPr>
              <w:t>劳动</w:t>
            </w:r>
            <w:r>
              <w:rPr>
                <w:kern w:val="0"/>
                <w:sz w:val="21"/>
                <w:szCs w:val="28"/>
              </w:rPr>
              <w:t>防护用品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设备内作业，扳手等工具放置不稳或者把持不牢，造成脱落</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工具放置平稳。</w:t>
            </w:r>
            <w:r>
              <w:rPr>
                <w:kern w:val="0"/>
                <w:sz w:val="21"/>
                <w:szCs w:val="28"/>
              </w:rPr>
              <w:t>佩戴</w:t>
            </w:r>
            <w:r>
              <w:rPr>
                <w:rFonts w:hint="eastAsia"/>
                <w:kern w:val="0"/>
                <w:sz w:val="21"/>
                <w:szCs w:val="28"/>
              </w:rPr>
              <w:t>劳动</w:t>
            </w:r>
            <w:r>
              <w:rPr>
                <w:kern w:val="0"/>
                <w:sz w:val="21"/>
                <w:szCs w:val="28"/>
              </w:rPr>
              <w:t>防护用品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设备内施工粉尘多</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佩戴</w:t>
            </w:r>
            <w:r>
              <w:rPr>
                <w:rFonts w:hint="eastAsia"/>
                <w:kern w:val="0"/>
                <w:sz w:val="21"/>
                <w:szCs w:val="28"/>
              </w:rPr>
              <w:t>劳动</w:t>
            </w:r>
            <w:r>
              <w:rPr>
                <w:kern w:val="0"/>
                <w:sz w:val="21"/>
                <w:szCs w:val="28"/>
              </w:rPr>
              <w:t>防护用品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拆除设备人孔螺栓等配件，不按规定放置，导致高空坠落</w:t>
            </w:r>
          </w:p>
        </w:tc>
        <w:tc>
          <w:tcPr>
            <w:tcW w:w="1206"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集中放置指定地点。由专人看护</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作业工程中出现危险品泄漏、或人员不适</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停止作业，撤离人员</w:t>
            </w:r>
            <w:r>
              <w:rPr>
                <w:kern w:val="0"/>
                <w:sz w:val="21"/>
                <w:szCs w:val="28"/>
              </w:rPr>
              <w:t>佩戴</w:t>
            </w:r>
            <w:r>
              <w:rPr>
                <w:rFonts w:hint="eastAsia"/>
                <w:kern w:val="0"/>
                <w:sz w:val="21"/>
                <w:szCs w:val="28"/>
              </w:rPr>
              <w:t>劳动</w:t>
            </w:r>
            <w:r>
              <w:rPr>
                <w:kern w:val="0"/>
                <w:sz w:val="21"/>
                <w:szCs w:val="28"/>
              </w:rPr>
              <w:t>防护用品</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restart"/>
            <w:vAlign w:val="center"/>
          </w:tcPr>
          <w:p w:rsidR="003F13AB" w:rsidRDefault="00EC6E7E">
            <w:pPr>
              <w:adjustRightInd/>
              <w:spacing w:line="240" w:lineRule="exact"/>
              <w:ind w:firstLineChars="0" w:firstLine="0"/>
              <w:jc w:val="center"/>
              <w:rPr>
                <w:sz w:val="21"/>
                <w:szCs w:val="28"/>
              </w:rPr>
            </w:pPr>
            <w:r>
              <w:rPr>
                <w:sz w:val="21"/>
                <w:szCs w:val="28"/>
              </w:rPr>
              <w:t>完工</w:t>
            </w:r>
            <w:r>
              <w:rPr>
                <w:sz w:val="21"/>
                <w:szCs w:val="28"/>
              </w:rPr>
              <w:lastRenderedPageBreak/>
              <w:t>后</w:t>
            </w:r>
          </w:p>
        </w:tc>
        <w:tc>
          <w:tcPr>
            <w:tcW w:w="1252" w:type="pct"/>
            <w:vAlign w:val="center"/>
          </w:tcPr>
          <w:p w:rsidR="003F13AB" w:rsidRDefault="00EC6E7E">
            <w:pPr>
              <w:widowControl/>
              <w:adjustRightInd/>
              <w:spacing w:line="240" w:lineRule="exact"/>
              <w:ind w:firstLineChars="0" w:firstLine="0"/>
              <w:rPr>
                <w:sz w:val="21"/>
                <w:szCs w:val="28"/>
              </w:rPr>
            </w:pPr>
            <w:r>
              <w:rPr>
                <w:kern w:val="0"/>
                <w:sz w:val="21"/>
                <w:szCs w:val="28"/>
              </w:rPr>
              <w:lastRenderedPageBreak/>
              <w:t>现场没有清理</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人员伤害</w:t>
            </w:r>
          </w:p>
        </w:tc>
        <w:tc>
          <w:tcPr>
            <w:tcW w:w="1760" w:type="pct"/>
            <w:vAlign w:val="center"/>
          </w:tcPr>
          <w:p w:rsidR="003F13AB" w:rsidRDefault="00EC6E7E">
            <w:pPr>
              <w:widowControl/>
              <w:adjustRightInd/>
              <w:spacing w:line="240" w:lineRule="exact"/>
              <w:ind w:firstLineChars="0" w:firstLine="0"/>
              <w:rPr>
                <w:sz w:val="21"/>
                <w:szCs w:val="28"/>
              </w:rPr>
            </w:pPr>
            <w:r>
              <w:rPr>
                <w:kern w:val="0"/>
                <w:sz w:val="21"/>
                <w:szCs w:val="28"/>
              </w:rPr>
              <w:t>及时清理</w:t>
            </w:r>
          </w:p>
        </w:tc>
      </w:tr>
      <w:tr w:rsidR="003F13AB">
        <w:trPr>
          <w:trHeight w:val="23"/>
          <w:jc w:val="center"/>
        </w:trPr>
        <w:tc>
          <w:tcPr>
            <w:tcW w:w="391" w:type="pct"/>
            <w:vMerge/>
          </w:tcPr>
          <w:p w:rsidR="003F13AB" w:rsidRDefault="003F13AB">
            <w:pPr>
              <w:adjustRightInd/>
              <w:spacing w:line="240" w:lineRule="exact"/>
              <w:ind w:firstLineChars="0" w:firstLine="0"/>
              <w:rPr>
                <w:rFonts w:ascii="宋体" w:hAnsi="宋体" w:cs="宋体"/>
                <w:sz w:val="21"/>
                <w:szCs w:val="28"/>
              </w:rPr>
            </w:pPr>
          </w:p>
        </w:tc>
        <w:tc>
          <w:tcPr>
            <w:tcW w:w="391" w:type="pct"/>
            <w:vMerge/>
            <w:vAlign w:val="center"/>
          </w:tcPr>
          <w:p w:rsidR="003F13AB" w:rsidRDefault="003F13AB">
            <w:pPr>
              <w:adjustRightInd/>
              <w:spacing w:line="240" w:lineRule="exact"/>
              <w:ind w:firstLineChars="0" w:firstLine="0"/>
              <w:rPr>
                <w:sz w:val="21"/>
                <w:szCs w:val="28"/>
              </w:rPr>
            </w:pPr>
          </w:p>
        </w:tc>
        <w:tc>
          <w:tcPr>
            <w:tcW w:w="1252" w:type="pct"/>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设备内遗留异物</w:t>
            </w:r>
          </w:p>
        </w:tc>
        <w:tc>
          <w:tcPr>
            <w:tcW w:w="1206" w:type="pct"/>
            <w:vAlign w:val="center"/>
          </w:tcPr>
          <w:p w:rsidR="003F13AB" w:rsidRDefault="00EC6E7E">
            <w:pPr>
              <w:widowControl/>
              <w:adjustRightInd/>
              <w:spacing w:line="240" w:lineRule="exact"/>
              <w:ind w:firstLineChars="0" w:firstLine="0"/>
              <w:rPr>
                <w:sz w:val="21"/>
                <w:szCs w:val="28"/>
              </w:rPr>
            </w:pPr>
            <w:r>
              <w:rPr>
                <w:kern w:val="0"/>
                <w:sz w:val="21"/>
                <w:szCs w:val="28"/>
              </w:rPr>
              <w:t>引发事故、人员伤害</w:t>
            </w:r>
          </w:p>
        </w:tc>
        <w:tc>
          <w:tcPr>
            <w:tcW w:w="1760" w:type="pct"/>
            <w:vAlign w:val="center"/>
          </w:tcPr>
          <w:p w:rsidR="003F13AB" w:rsidRDefault="00EC6E7E">
            <w:pPr>
              <w:widowControl/>
              <w:adjustRightInd/>
              <w:spacing w:line="240" w:lineRule="exact"/>
              <w:ind w:firstLineChars="0" w:firstLine="0"/>
              <w:rPr>
                <w:sz w:val="21"/>
                <w:szCs w:val="28"/>
              </w:rPr>
            </w:pPr>
            <w:r>
              <w:rPr>
                <w:rFonts w:hint="eastAsia"/>
                <w:sz w:val="21"/>
                <w:szCs w:val="28"/>
              </w:rPr>
              <w:t>设备内作业结束后，认真检查设备内外，不得遗留工具等</w:t>
            </w:r>
          </w:p>
        </w:tc>
      </w:tr>
    </w:tbl>
    <w:p w:rsidR="003F13AB" w:rsidRDefault="00EC6E7E">
      <w:pPr>
        <w:ind w:firstLine="560"/>
        <w:rPr>
          <w:color w:val="auto"/>
        </w:rPr>
      </w:pPr>
      <w:r>
        <w:rPr>
          <w:rFonts w:hint="eastAsia"/>
          <w:color w:val="auto"/>
        </w:rPr>
        <w:lastRenderedPageBreak/>
        <w:t>（</w:t>
      </w:r>
      <w:r>
        <w:rPr>
          <w:rFonts w:hint="eastAsia"/>
          <w:color w:val="auto"/>
        </w:rPr>
        <w:t>5</w:t>
      </w:r>
      <w:r>
        <w:rPr>
          <w:rFonts w:hint="eastAsia"/>
          <w:color w:val="auto"/>
        </w:rPr>
        <w:t>）临时用电作业危险性分析</w:t>
      </w:r>
    </w:p>
    <w:p w:rsidR="003F13AB" w:rsidRDefault="00EC6E7E">
      <w:pPr>
        <w:ind w:firstLine="560"/>
        <w:jc w:val="center"/>
        <w:rPr>
          <w:color w:val="auto"/>
        </w:rPr>
      </w:pPr>
      <w:r>
        <w:rPr>
          <w:rFonts w:hint="eastAsia"/>
          <w:color w:val="auto"/>
        </w:rPr>
        <w:t>附表</w:t>
      </w:r>
      <w:r>
        <w:rPr>
          <w:rFonts w:hint="eastAsia"/>
          <w:color w:val="auto"/>
        </w:rPr>
        <w:t xml:space="preserve">2.3-5 </w:t>
      </w:r>
      <w:r>
        <w:rPr>
          <w:rFonts w:hint="eastAsia"/>
          <w:color w:val="auto"/>
        </w:rPr>
        <w:t>临时用电作业危险性分析</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09"/>
        <w:gridCol w:w="2715"/>
        <w:gridCol w:w="1635"/>
        <w:gridCol w:w="3303"/>
      </w:tblGrid>
      <w:tr w:rsidR="003F13AB">
        <w:trPr>
          <w:trHeight w:val="23"/>
          <w:jc w:val="center"/>
        </w:trPr>
        <w:tc>
          <w:tcPr>
            <w:tcW w:w="710" w:type="dxa"/>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作业名称</w:t>
            </w:r>
          </w:p>
        </w:tc>
        <w:tc>
          <w:tcPr>
            <w:tcW w:w="709" w:type="dxa"/>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工作步骤</w:t>
            </w:r>
          </w:p>
        </w:tc>
        <w:tc>
          <w:tcPr>
            <w:tcW w:w="2715" w:type="dxa"/>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危害因素</w:t>
            </w:r>
          </w:p>
        </w:tc>
        <w:tc>
          <w:tcPr>
            <w:tcW w:w="1635" w:type="dxa"/>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可能的后果</w:t>
            </w:r>
          </w:p>
        </w:tc>
        <w:tc>
          <w:tcPr>
            <w:tcW w:w="3303" w:type="dxa"/>
            <w:vAlign w:val="center"/>
          </w:tcPr>
          <w:p w:rsidR="003F13AB" w:rsidRDefault="00EC6E7E">
            <w:pPr>
              <w:adjustRightInd/>
              <w:spacing w:line="240" w:lineRule="exact"/>
              <w:ind w:firstLineChars="0" w:firstLine="0"/>
              <w:jc w:val="center"/>
              <w:rPr>
                <w:rFonts w:ascii="宋体" w:hAnsi="宋体" w:cs="宋体"/>
                <w:b/>
                <w:sz w:val="21"/>
                <w:szCs w:val="28"/>
              </w:rPr>
            </w:pPr>
            <w:r>
              <w:rPr>
                <w:rFonts w:ascii="宋体" w:hAnsi="宋体" w:cs="宋体" w:hint="eastAsia"/>
                <w:b/>
                <w:sz w:val="21"/>
                <w:szCs w:val="28"/>
              </w:rPr>
              <w:t>控制措施</w:t>
            </w:r>
          </w:p>
        </w:tc>
      </w:tr>
      <w:tr w:rsidR="003F13AB">
        <w:trPr>
          <w:trHeight w:val="23"/>
          <w:jc w:val="center"/>
        </w:trPr>
        <w:tc>
          <w:tcPr>
            <w:tcW w:w="710" w:type="dxa"/>
            <w:vMerge w:val="restart"/>
            <w:vAlign w:val="center"/>
          </w:tcPr>
          <w:p w:rsidR="003F13AB" w:rsidRDefault="00EC6E7E">
            <w:pPr>
              <w:adjustRightInd/>
              <w:spacing w:line="240" w:lineRule="exact"/>
              <w:ind w:firstLineChars="0" w:firstLine="0"/>
              <w:jc w:val="center"/>
              <w:rPr>
                <w:sz w:val="21"/>
                <w:szCs w:val="28"/>
              </w:rPr>
            </w:pPr>
            <w:r>
              <w:rPr>
                <w:rFonts w:hint="eastAsia"/>
                <w:sz w:val="21"/>
                <w:szCs w:val="28"/>
              </w:rPr>
              <w:t>临时用电作业</w:t>
            </w:r>
          </w:p>
        </w:tc>
        <w:tc>
          <w:tcPr>
            <w:tcW w:w="709" w:type="dxa"/>
            <w:vMerge w:val="restart"/>
            <w:vAlign w:val="center"/>
          </w:tcPr>
          <w:p w:rsidR="003F13AB" w:rsidRDefault="00EC6E7E">
            <w:pPr>
              <w:adjustRightInd/>
              <w:spacing w:line="240" w:lineRule="exact"/>
              <w:ind w:firstLineChars="0" w:firstLine="0"/>
              <w:jc w:val="center"/>
              <w:rPr>
                <w:sz w:val="21"/>
                <w:szCs w:val="28"/>
              </w:rPr>
            </w:pPr>
            <w:r>
              <w:rPr>
                <w:sz w:val="21"/>
                <w:szCs w:val="28"/>
              </w:rPr>
              <w:t>作业前</w:t>
            </w:r>
          </w:p>
        </w:tc>
        <w:tc>
          <w:tcPr>
            <w:tcW w:w="2715" w:type="dxa"/>
            <w:vAlign w:val="center"/>
          </w:tcPr>
          <w:p w:rsidR="003F13AB" w:rsidRDefault="00EC6E7E">
            <w:pPr>
              <w:adjustRightInd/>
              <w:spacing w:line="240" w:lineRule="exact"/>
              <w:ind w:firstLineChars="0" w:firstLine="0"/>
              <w:rPr>
                <w:sz w:val="21"/>
                <w:szCs w:val="28"/>
              </w:rPr>
            </w:pPr>
            <w:r>
              <w:rPr>
                <w:rFonts w:hint="eastAsia"/>
                <w:sz w:val="21"/>
                <w:szCs w:val="28"/>
              </w:rPr>
              <w:t>不按规定要求办理用电许可证，乱接电源</w:t>
            </w:r>
          </w:p>
        </w:tc>
        <w:tc>
          <w:tcPr>
            <w:tcW w:w="1635" w:type="dxa"/>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adjustRightInd/>
              <w:spacing w:line="240" w:lineRule="exact"/>
              <w:ind w:firstLineChars="0" w:firstLine="0"/>
              <w:rPr>
                <w:sz w:val="21"/>
                <w:szCs w:val="28"/>
              </w:rPr>
            </w:pPr>
            <w:r>
              <w:rPr>
                <w:rFonts w:hint="eastAsia"/>
                <w:sz w:val="21"/>
                <w:szCs w:val="28"/>
              </w:rPr>
              <w:t>严格执行《临时用电作业安全管理制度》</w:t>
            </w:r>
          </w:p>
        </w:tc>
      </w:tr>
      <w:tr w:rsidR="003F13AB">
        <w:trPr>
          <w:trHeight w:val="23"/>
          <w:jc w:val="center"/>
        </w:trPr>
        <w:tc>
          <w:tcPr>
            <w:tcW w:w="710" w:type="dxa"/>
            <w:vMerge/>
            <w:vAlign w:val="center"/>
          </w:tcPr>
          <w:p w:rsidR="003F13AB" w:rsidRDefault="003F13AB">
            <w:pPr>
              <w:adjustRightInd/>
              <w:spacing w:line="240" w:lineRule="exact"/>
              <w:ind w:firstLineChars="0" w:firstLine="0"/>
              <w:jc w:val="center"/>
              <w:rPr>
                <w:sz w:val="21"/>
                <w:szCs w:val="28"/>
              </w:rPr>
            </w:pPr>
          </w:p>
        </w:tc>
        <w:tc>
          <w:tcPr>
            <w:tcW w:w="709" w:type="dxa"/>
            <w:vMerge/>
            <w:vAlign w:val="center"/>
          </w:tcPr>
          <w:p w:rsidR="003F13AB" w:rsidRDefault="003F13AB">
            <w:pPr>
              <w:adjustRightInd/>
              <w:spacing w:line="240" w:lineRule="exact"/>
              <w:ind w:firstLineChars="0" w:firstLine="0"/>
              <w:jc w:val="center"/>
              <w:rPr>
                <w:sz w:val="21"/>
                <w:szCs w:val="28"/>
              </w:rPr>
            </w:pPr>
          </w:p>
        </w:tc>
        <w:tc>
          <w:tcPr>
            <w:tcW w:w="2715" w:type="dxa"/>
            <w:vAlign w:val="center"/>
          </w:tcPr>
          <w:p w:rsidR="003F13AB" w:rsidRDefault="00EC6E7E">
            <w:pPr>
              <w:adjustRightInd/>
              <w:spacing w:line="240" w:lineRule="exact"/>
              <w:ind w:firstLineChars="0" w:firstLine="0"/>
              <w:rPr>
                <w:sz w:val="21"/>
                <w:szCs w:val="28"/>
              </w:rPr>
            </w:pPr>
            <w:r>
              <w:rPr>
                <w:rFonts w:hint="eastAsia"/>
                <w:sz w:val="21"/>
                <w:szCs w:val="28"/>
              </w:rPr>
              <w:t>电工不掌握使用设备的性能或缺乏相应专业知识</w:t>
            </w:r>
          </w:p>
        </w:tc>
        <w:tc>
          <w:tcPr>
            <w:tcW w:w="1635" w:type="dxa"/>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adjustRightInd/>
              <w:spacing w:line="240" w:lineRule="exact"/>
              <w:ind w:firstLineChars="0" w:firstLine="0"/>
              <w:rPr>
                <w:sz w:val="21"/>
                <w:szCs w:val="28"/>
              </w:rPr>
            </w:pPr>
            <w:r>
              <w:rPr>
                <w:rFonts w:hint="eastAsia"/>
                <w:sz w:val="21"/>
                <w:szCs w:val="28"/>
              </w:rPr>
              <w:t>配备专业电工进行作业，严格执行《临时用电作业安全管理制度》</w:t>
            </w:r>
          </w:p>
        </w:tc>
      </w:tr>
      <w:tr w:rsidR="003F13AB">
        <w:trPr>
          <w:trHeight w:val="23"/>
          <w:jc w:val="center"/>
        </w:trPr>
        <w:tc>
          <w:tcPr>
            <w:tcW w:w="710" w:type="dxa"/>
            <w:vMerge/>
            <w:vAlign w:val="center"/>
          </w:tcPr>
          <w:p w:rsidR="003F13AB" w:rsidRDefault="003F13AB">
            <w:pPr>
              <w:adjustRightInd/>
              <w:spacing w:line="240" w:lineRule="exact"/>
              <w:ind w:firstLineChars="0" w:firstLine="0"/>
              <w:jc w:val="center"/>
              <w:rPr>
                <w:sz w:val="21"/>
                <w:szCs w:val="28"/>
              </w:rPr>
            </w:pPr>
          </w:p>
        </w:tc>
        <w:tc>
          <w:tcPr>
            <w:tcW w:w="709" w:type="dxa"/>
            <w:vMerge w:val="restart"/>
            <w:vAlign w:val="center"/>
          </w:tcPr>
          <w:p w:rsidR="003F13AB" w:rsidRDefault="00EC6E7E">
            <w:pPr>
              <w:adjustRightInd/>
              <w:spacing w:line="240" w:lineRule="exact"/>
              <w:ind w:firstLineChars="0" w:firstLine="0"/>
              <w:jc w:val="center"/>
              <w:rPr>
                <w:sz w:val="21"/>
                <w:szCs w:val="28"/>
              </w:rPr>
            </w:pPr>
            <w:r>
              <w:rPr>
                <w:rFonts w:hint="eastAsia"/>
                <w:sz w:val="21"/>
                <w:szCs w:val="28"/>
              </w:rPr>
              <w:t>作业中</w:t>
            </w:r>
          </w:p>
        </w:tc>
        <w:tc>
          <w:tcPr>
            <w:tcW w:w="2715" w:type="dxa"/>
            <w:vAlign w:val="center"/>
          </w:tcPr>
          <w:p w:rsidR="003F13AB" w:rsidRDefault="00EC6E7E">
            <w:pPr>
              <w:adjustRightInd/>
              <w:spacing w:line="240" w:lineRule="exact"/>
              <w:ind w:firstLineChars="0" w:firstLine="0"/>
              <w:rPr>
                <w:sz w:val="21"/>
                <w:szCs w:val="28"/>
              </w:rPr>
            </w:pPr>
            <w:r>
              <w:rPr>
                <w:rFonts w:hint="eastAsia"/>
                <w:sz w:val="21"/>
                <w:szCs w:val="28"/>
              </w:rPr>
              <w:t>电源线路、</w:t>
            </w:r>
            <w:proofErr w:type="gramStart"/>
            <w:r>
              <w:rPr>
                <w:rFonts w:hint="eastAsia"/>
                <w:sz w:val="21"/>
                <w:szCs w:val="28"/>
              </w:rPr>
              <w:t>绝缘不</w:t>
            </w:r>
            <w:proofErr w:type="gramEnd"/>
            <w:r>
              <w:rPr>
                <w:rFonts w:hint="eastAsia"/>
                <w:sz w:val="21"/>
                <w:szCs w:val="28"/>
              </w:rPr>
              <w:t>符合要求，有断裂破损情况</w:t>
            </w:r>
          </w:p>
        </w:tc>
        <w:tc>
          <w:tcPr>
            <w:tcW w:w="1635" w:type="dxa"/>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adjustRightInd/>
              <w:spacing w:line="240" w:lineRule="exact"/>
              <w:ind w:firstLineChars="0" w:firstLine="0"/>
              <w:rPr>
                <w:sz w:val="21"/>
                <w:szCs w:val="28"/>
              </w:rPr>
            </w:pPr>
            <w:r>
              <w:rPr>
                <w:rFonts w:hint="eastAsia"/>
                <w:sz w:val="21"/>
                <w:szCs w:val="28"/>
              </w:rPr>
              <w:t>更换符合标准的电线，严格执行《临时用电作业安全管理制度》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sz w:val="21"/>
                <w:szCs w:val="28"/>
              </w:rPr>
            </w:pPr>
          </w:p>
        </w:tc>
        <w:tc>
          <w:tcPr>
            <w:tcW w:w="709" w:type="dxa"/>
            <w:vMerge/>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adjustRightInd/>
              <w:spacing w:line="240" w:lineRule="exact"/>
              <w:ind w:firstLineChars="0" w:firstLine="0"/>
              <w:rPr>
                <w:sz w:val="21"/>
                <w:szCs w:val="28"/>
              </w:rPr>
            </w:pPr>
            <w:r>
              <w:rPr>
                <w:rFonts w:hint="eastAsia"/>
                <w:sz w:val="21"/>
                <w:szCs w:val="28"/>
              </w:rPr>
              <w:t>电工个人防护用品佩戴不齐或佩戴不当</w:t>
            </w:r>
          </w:p>
        </w:tc>
        <w:tc>
          <w:tcPr>
            <w:tcW w:w="1635" w:type="dxa"/>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adjustRightInd/>
              <w:spacing w:line="240" w:lineRule="exact"/>
              <w:ind w:firstLineChars="0" w:firstLine="0"/>
              <w:rPr>
                <w:sz w:val="21"/>
                <w:szCs w:val="28"/>
              </w:rPr>
            </w:pPr>
            <w:r>
              <w:rPr>
                <w:rFonts w:hint="eastAsia"/>
                <w:sz w:val="21"/>
                <w:szCs w:val="28"/>
              </w:rPr>
              <w:t>必须使用符合要求的防护用品绝缘工具，严格执行《临时用电作业安全管理制度》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sz w:val="21"/>
                <w:szCs w:val="28"/>
              </w:rPr>
            </w:pPr>
          </w:p>
        </w:tc>
        <w:tc>
          <w:tcPr>
            <w:tcW w:w="709" w:type="dxa"/>
            <w:vMerge/>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adjustRightInd/>
              <w:spacing w:line="240" w:lineRule="exact"/>
              <w:ind w:firstLineChars="0" w:firstLine="0"/>
              <w:rPr>
                <w:sz w:val="21"/>
                <w:szCs w:val="28"/>
              </w:rPr>
            </w:pPr>
            <w:r>
              <w:rPr>
                <w:rFonts w:hint="eastAsia"/>
                <w:sz w:val="21"/>
                <w:szCs w:val="28"/>
              </w:rPr>
              <w:t>电箱安装位置不当，现场重要或危险部位，没有醒目电气安全标志</w:t>
            </w:r>
          </w:p>
        </w:tc>
        <w:tc>
          <w:tcPr>
            <w:tcW w:w="1635" w:type="dxa"/>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adjustRightInd/>
              <w:spacing w:line="240" w:lineRule="exact"/>
              <w:ind w:firstLineChars="0" w:firstLine="0"/>
              <w:rPr>
                <w:sz w:val="21"/>
                <w:szCs w:val="28"/>
              </w:rPr>
            </w:pPr>
            <w:r>
              <w:rPr>
                <w:rFonts w:hint="eastAsia"/>
                <w:sz w:val="21"/>
                <w:szCs w:val="28"/>
              </w:rPr>
              <w:t>专业电工负责进行安装，设置明显安全标志，严格执行《临时用电作业安全管理制度》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sz w:val="21"/>
                <w:szCs w:val="28"/>
              </w:rPr>
            </w:pPr>
          </w:p>
        </w:tc>
        <w:tc>
          <w:tcPr>
            <w:tcW w:w="709" w:type="dxa"/>
            <w:vMerge/>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adjustRightInd/>
              <w:spacing w:line="240" w:lineRule="exact"/>
              <w:ind w:firstLineChars="0" w:firstLine="0"/>
              <w:rPr>
                <w:sz w:val="21"/>
                <w:szCs w:val="28"/>
              </w:rPr>
            </w:pPr>
            <w:r>
              <w:rPr>
                <w:rFonts w:hint="eastAsia"/>
                <w:kern w:val="0"/>
                <w:sz w:val="21"/>
                <w:szCs w:val="28"/>
              </w:rPr>
              <w:t>停电时未挂警示牌，带电作业现场无监护人</w:t>
            </w:r>
          </w:p>
        </w:tc>
        <w:tc>
          <w:tcPr>
            <w:tcW w:w="1635" w:type="dxa"/>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悬挂警示牌，安排责任心强的监护人，</w:t>
            </w:r>
            <w:r>
              <w:rPr>
                <w:rFonts w:hint="eastAsia"/>
                <w:sz w:val="21"/>
                <w:szCs w:val="28"/>
              </w:rPr>
              <w:t>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sz w:val="21"/>
                <w:szCs w:val="28"/>
              </w:rPr>
            </w:pPr>
          </w:p>
        </w:tc>
        <w:tc>
          <w:tcPr>
            <w:tcW w:w="709" w:type="dxa"/>
            <w:vMerge/>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adjustRightInd/>
              <w:spacing w:line="240" w:lineRule="exact"/>
              <w:ind w:firstLineChars="0" w:firstLine="0"/>
              <w:rPr>
                <w:sz w:val="21"/>
                <w:szCs w:val="28"/>
              </w:rPr>
            </w:pPr>
            <w:r>
              <w:rPr>
                <w:rFonts w:hint="eastAsia"/>
                <w:sz w:val="21"/>
                <w:szCs w:val="28"/>
              </w:rPr>
              <w:t>电缆过路无保护措施</w:t>
            </w:r>
          </w:p>
        </w:tc>
        <w:tc>
          <w:tcPr>
            <w:tcW w:w="1635" w:type="dxa"/>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电缆</w:t>
            </w:r>
            <w:proofErr w:type="gramStart"/>
            <w:r>
              <w:rPr>
                <w:rFonts w:hint="eastAsia"/>
                <w:kern w:val="0"/>
                <w:sz w:val="21"/>
                <w:szCs w:val="28"/>
              </w:rPr>
              <w:t>进行穿</w:t>
            </w:r>
            <w:proofErr w:type="gramEnd"/>
            <w:r>
              <w:rPr>
                <w:rFonts w:hint="eastAsia"/>
                <w:kern w:val="0"/>
                <w:sz w:val="21"/>
                <w:szCs w:val="28"/>
              </w:rPr>
              <w:t>管埋地保护措施，</w:t>
            </w:r>
            <w:r>
              <w:rPr>
                <w:rFonts w:hint="eastAsia"/>
                <w:sz w:val="21"/>
                <w:szCs w:val="28"/>
              </w:rPr>
              <w:t>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sz w:val="21"/>
                <w:szCs w:val="28"/>
              </w:rPr>
            </w:pPr>
          </w:p>
        </w:tc>
        <w:tc>
          <w:tcPr>
            <w:tcW w:w="709" w:type="dxa"/>
            <w:vMerge/>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adjustRightInd/>
              <w:spacing w:line="240" w:lineRule="exact"/>
              <w:ind w:firstLineChars="0" w:firstLine="0"/>
              <w:rPr>
                <w:sz w:val="21"/>
                <w:szCs w:val="28"/>
              </w:rPr>
            </w:pPr>
            <w:r>
              <w:rPr>
                <w:rFonts w:hint="eastAsia"/>
                <w:sz w:val="21"/>
                <w:szCs w:val="28"/>
              </w:rPr>
              <w:t>搬迁或移动用电设备未切断电源、未经电工妥善处理</w:t>
            </w:r>
          </w:p>
        </w:tc>
        <w:tc>
          <w:tcPr>
            <w:tcW w:w="1635" w:type="dxa"/>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专业电工负责相关事项，</w:t>
            </w:r>
            <w:r>
              <w:rPr>
                <w:rFonts w:hint="eastAsia"/>
                <w:sz w:val="21"/>
                <w:szCs w:val="28"/>
              </w:rPr>
              <w:t>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sz w:val="21"/>
                <w:szCs w:val="28"/>
              </w:rPr>
            </w:pPr>
          </w:p>
        </w:tc>
        <w:tc>
          <w:tcPr>
            <w:tcW w:w="709" w:type="dxa"/>
            <w:vMerge/>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adjustRightInd/>
              <w:spacing w:line="240" w:lineRule="exact"/>
              <w:ind w:firstLineChars="0" w:firstLine="0"/>
              <w:rPr>
                <w:sz w:val="21"/>
                <w:szCs w:val="28"/>
              </w:rPr>
            </w:pPr>
            <w:r>
              <w:rPr>
                <w:rFonts w:hint="eastAsia"/>
                <w:sz w:val="21"/>
                <w:szCs w:val="28"/>
              </w:rPr>
              <w:t>施工用电设备和设施线路裸露，电线老化破皮未包</w:t>
            </w:r>
          </w:p>
        </w:tc>
        <w:tc>
          <w:tcPr>
            <w:tcW w:w="1635" w:type="dxa"/>
            <w:vAlign w:val="center"/>
          </w:tcPr>
          <w:p w:rsidR="003F13AB" w:rsidRDefault="00EC6E7E">
            <w:pPr>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更换符合标准的电线，</w:t>
            </w:r>
            <w:r>
              <w:rPr>
                <w:rFonts w:hint="eastAsia"/>
                <w:sz w:val="21"/>
                <w:szCs w:val="28"/>
              </w:rPr>
              <w:t>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rFonts w:ascii="宋体" w:hAnsi="宋体" w:cs="宋体"/>
                <w:sz w:val="21"/>
                <w:szCs w:val="28"/>
              </w:rPr>
            </w:pPr>
          </w:p>
        </w:tc>
        <w:tc>
          <w:tcPr>
            <w:tcW w:w="709" w:type="dxa"/>
            <w:vMerge/>
            <w:vAlign w:val="center"/>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widowControl/>
              <w:adjustRightInd/>
              <w:spacing w:line="240" w:lineRule="exact"/>
              <w:ind w:firstLineChars="0" w:firstLine="0"/>
              <w:rPr>
                <w:sz w:val="21"/>
                <w:szCs w:val="28"/>
              </w:rPr>
            </w:pPr>
            <w:r>
              <w:rPr>
                <w:rFonts w:hint="eastAsia"/>
                <w:sz w:val="21"/>
                <w:szCs w:val="28"/>
              </w:rPr>
              <w:t>36V</w:t>
            </w:r>
            <w:r>
              <w:rPr>
                <w:rFonts w:hint="eastAsia"/>
                <w:sz w:val="21"/>
                <w:szCs w:val="28"/>
              </w:rPr>
              <w:t>安全电压照明线路混乱和接头处未用绝缘胶布包扎</w:t>
            </w:r>
          </w:p>
        </w:tc>
        <w:tc>
          <w:tcPr>
            <w:tcW w:w="1635" w:type="dxa"/>
            <w:vAlign w:val="center"/>
          </w:tcPr>
          <w:p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sz w:val="21"/>
                <w:szCs w:val="28"/>
              </w:rPr>
            </w:pPr>
            <w:r>
              <w:rPr>
                <w:rFonts w:hint="eastAsia"/>
                <w:sz w:val="21"/>
                <w:szCs w:val="28"/>
              </w:rPr>
              <w:t>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rFonts w:ascii="宋体" w:hAnsi="宋体" w:cs="宋体"/>
                <w:sz w:val="21"/>
                <w:szCs w:val="28"/>
              </w:rPr>
            </w:pPr>
          </w:p>
        </w:tc>
        <w:tc>
          <w:tcPr>
            <w:tcW w:w="709" w:type="dxa"/>
            <w:vMerge/>
            <w:vAlign w:val="center"/>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在潮湿场所不使用安全电压</w:t>
            </w:r>
          </w:p>
        </w:tc>
        <w:tc>
          <w:tcPr>
            <w:tcW w:w="1635" w:type="dxa"/>
            <w:vAlign w:val="center"/>
          </w:tcPr>
          <w:p w:rsidR="003F13AB" w:rsidRDefault="00EC6E7E">
            <w:pPr>
              <w:widowControl/>
              <w:adjustRightInd/>
              <w:spacing w:line="240" w:lineRule="exact"/>
              <w:ind w:firstLineChars="0" w:firstLine="0"/>
              <w:rPr>
                <w:kern w:val="0"/>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按照规定使用安全电压，</w:t>
            </w:r>
            <w:r>
              <w:rPr>
                <w:rFonts w:hint="eastAsia"/>
                <w:sz w:val="21"/>
                <w:szCs w:val="28"/>
              </w:rPr>
              <w:t>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rFonts w:ascii="宋体" w:hAnsi="宋体" w:cs="宋体"/>
                <w:sz w:val="21"/>
                <w:szCs w:val="28"/>
              </w:rPr>
            </w:pPr>
          </w:p>
        </w:tc>
        <w:tc>
          <w:tcPr>
            <w:tcW w:w="709" w:type="dxa"/>
            <w:vMerge/>
            <w:vAlign w:val="center"/>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widowControl/>
              <w:adjustRightInd/>
              <w:spacing w:line="240" w:lineRule="exact"/>
              <w:ind w:firstLineChars="0" w:firstLine="0"/>
              <w:rPr>
                <w:sz w:val="21"/>
                <w:szCs w:val="28"/>
              </w:rPr>
            </w:pPr>
            <w:proofErr w:type="gramStart"/>
            <w:r>
              <w:rPr>
                <w:rFonts w:hint="eastAsia"/>
                <w:kern w:val="0"/>
                <w:sz w:val="21"/>
                <w:szCs w:val="28"/>
              </w:rPr>
              <w:t>开关箱无漏电保护器</w:t>
            </w:r>
            <w:proofErr w:type="gramEnd"/>
            <w:r>
              <w:rPr>
                <w:rFonts w:hint="eastAsia"/>
                <w:kern w:val="0"/>
                <w:sz w:val="21"/>
                <w:szCs w:val="28"/>
              </w:rPr>
              <w:t>或失灵</w:t>
            </w:r>
          </w:p>
        </w:tc>
        <w:tc>
          <w:tcPr>
            <w:tcW w:w="1635" w:type="dxa"/>
            <w:vAlign w:val="center"/>
          </w:tcPr>
          <w:p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严格检查，更换符合标准的保护器，</w:t>
            </w:r>
            <w:r>
              <w:rPr>
                <w:rFonts w:hint="eastAsia"/>
                <w:sz w:val="21"/>
                <w:szCs w:val="28"/>
              </w:rPr>
              <w:t>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rFonts w:ascii="宋体" w:hAnsi="宋体" w:cs="宋体"/>
                <w:sz w:val="21"/>
                <w:szCs w:val="28"/>
              </w:rPr>
            </w:pPr>
          </w:p>
        </w:tc>
        <w:tc>
          <w:tcPr>
            <w:tcW w:w="709" w:type="dxa"/>
            <w:vMerge/>
            <w:vAlign w:val="center"/>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widowControl/>
              <w:adjustRightInd/>
              <w:spacing w:line="240" w:lineRule="exact"/>
              <w:ind w:firstLineChars="0" w:firstLine="0"/>
              <w:rPr>
                <w:sz w:val="21"/>
                <w:szCs w:val="28"/>
              </w:rPr>
            </w:pPr>
            <w:proofErr w:type="gramStart"/>
            <w:r>
              <w:rPr>
                <w:rFonts w:hint="eastAsia"/>
                <w:kern w:val="0"/>
                <w:sz w:val="21"/>
                <w:szCs w:val="28"/>
              </w:rPr>
              <w:t>电箱无门锁</w:t>
            </w:r>
            <w:proofErr w:type="gramEnd"/>
            <w:r>
              <w:rPr>
                <w:rFonts w:hint="eastAsia"/>
                <w:kern w:val="0"/>
                <w:sz w:val="21"/>
                <w:szCs w:val="28"/>
              </w:rPr>
              <w:t>无防雨措施</w:t>
            </w:r>
          </w:p>
        </w:tc>
        <w:tc>
          <w:tcPr>
            <w:tcW w:w="1635" w:type="dxa"/>
            <w:vAlign w:val="center"/>
          </w:tcPr>
          <w:p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sz w:val="21"/>
                <w:szCs w:val="28"/>
              </w:rPr>
            </w:pPr>
            <w:r>
              <w:rPr>
                <w:rFonts w:hint="eastAsia"/>
                <w:sz w:val="21"/>
                <w:szCs w:val="28"/>
              </w:rPr>
              <w:t>增加门锁及防雨措施，严格执行《临时用电作业安全管理制度》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rFonts w:ascii="宋体" w:hAnsi="宋体" w:cs="宋体"/>
                <w:sz w:val="21"/>
                <w:szCs w:val="28"/>
              </w:rPr>
            </w:pPr>
          </w:p>
        </w:tc>
        <w:tc>
          <w:tcPr>
            <w:tcW w:w="709" w:type="dxa"/>
            <w:vMerge/>
            <w:vAlign w:val="center"/>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各种设备未作保护接零或无漏电保护器</w:t>
            </w:r>
          </w:p>
        </w:tc>
        <w:tc>
          <w:tcPr>
            <w:tcW w:w="1635" w:type="dxa"/>
            <w:vAlign w:val="center"/>
          </w:tcPr>
          <w:p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做好保护接零或安装漏电保护器，</w:t>
            </w:r>
            <w:r>
              <w:rPr>
                <w:rFonts w:hint="eastAsia"/>
                <w:sz w:val="21"/>
                <w:szCs w:val="28"/>
              </w:rPr>
              <w:t>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rFonts w:ascii="宋体" w:hAnsi="宋体" w:cs="宋体"/>
                <w:sz w:val="21"/>
                <w:szCs w:val="28"/>
              </w:rPr>
            </w:pPr>
          </w:p>
        </w:tc>
        <w:tc>
          <w:tcPr>
            <w:tcW w:w="709" w:type="dxa"/>
            <w:vMerge/>
            <w:vAlign w:val="center"/>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widowControl/>
              <w:adjustRightInd/>
              <w:spacing w:line="240" w:lineRule="exact"/>
              <w:ind w:firstLineChars="0" w:firstLine="0"/>
              <w:rPr>
                <w:kern w:val="0"/>
                <w:sz w:val="21"/>
                <w:szCs w:val="28"/>
              </w:rPr>
            </w:pPr>
            <w:r>
              <w:rPr>
                <w:rFonts w:hint="eastAsia"/>
                <w:kern w:val="0"/>
                <w:sz w:val="21"/>
                <w:szCs w:val="28"/>
              </w:rPr>
              <w:t>作业条件发生变化</w:t>
            </w:r>
          </w:p>
        </w:tc>
        <w:tc>
          <w:tcPr>
            <w:tcW w:w="1635" w:type="dxa"/>
            <w:vAlign w:val="center"/>
          </w:tcPr>
          <w:p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kern w:val="0"/>
                <w:sz w:val="21"/>
                <w:szCs w:val="28"/>
              </w:rPr>
            </w:pPr>
            <w:r>
              <w:rPr>
                <w:rFonts w:hint="eastAsia"/>
                <w:sz w:val="21"/>
                <w:szCs w:val="28"/>
              </w:rPr>
              <w:t>重新办理用电许可证，严格执行《临时用电作业安全管理制度》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rFonts w:ascii="宋体" w:hAnsi="宋体" w:cs="宋体"/>
                <w:sz w:val="21"/>
                <w:szCs w:val="28"/>
              </w:rPr>
            </w:pPr>
          </w:p>
        </w:tc>
        <w:tc>
          <w:tcPr>
            <w:tcW w:w="709" w:type="dxa"/>
            <w:vMerge w:val="restart"/>
            <w:vAlign w:val="center"/>
          </w:tcPr>
          <w:p w:rsidR="003F13AB" w:rsidRDefault="00EC6E7E">
            <w:pPr>
              <w:adjustRightInd/>
              <w:spacing w:line="240" w:lineRule="exact"/>
              <w:ind w:firstLineChars="0" w:firstLine="0"/>
              <w:jc w:val="center"/>
              <w:rPr>
                <w:sz w:val="21"/>
                <w:szCs w:val="28"/>
              </w:rPr>
            </w:pPr>
            <w:r>
              <w:rPr>
                <w:sz w:val="21"/>
                <w:szCs w:val="28"/>
              </w:rPr>
              <w:t>完工后</w:t>
            </w:r>
          </w:p>
        </w:tc>
        <w:tc>
          <w:tcPr>
            <w:tcW w:w="2715" w:type="dxa"/>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没有及时拆除临时用电设施</w:t>
            </w:r>
          </w:p>
        </w:tc>
        <w:tc>
          <w:tcPr>
            <w:tcW w:w="1635" w:type="dxa"/>
            <w:vAlign w:val="center"/>
          </w:tcPr>
          <w:p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专业电工拆除，</w:t>
            </w:r>
            <w:r>
              <w:rPr>
                <w:rFonts w:hint="eastAsia"/>
                <w:sz w:val="21"/>
                <w:szCs w:val="28"/>
              </w:rPr>
              <w:t>严格执行《临时用电作业安全管理制度》</w:t>
            </w:r>
          </w:p>
        </w:tc>
      </w:tr>
      <w:tr w:rsidR="003F13AB">
        <w:trPr>
          <w:trHeight w:val="23"/>
          <w:jc w:val="center"/>
        </w:trPr>
        <w:tc>
          <w:tcPr>
            <w:tcW w:w="710" w:type="dxa"/>
            <w:vMerge/>
          </w:tcPr>
          <w:p w:rsidR="003F13AB" w:rsidRDefault="003F13AB">
            <w:pPr>
              <w:adjustRightInd/>
              <w:spacing w:line="240" w:lineRule="exact"/>
              <w:ind w:firstLineChars="0" w:firstLine="0"/>
              <w:rPr>
                <w:rFonts w:ascii="宋体" w:hAnsi="宋体" w:cs="宋体"/>
                <w:sz w:val="21"/>
                <w:szCs w:val="28"/>
              </w:rPr>
            </w:pPr>
          </w:p>
        </w:tc>
        <w:tc>
          <w:tcPr>
            <w:tcW w:w="709" w:type="dxa"/>
            <w:vMerge/>
            <w:vAlign w:val="center"/>
          </w:tcPr>
          <w:p w:rsidR="003F13AB" w:rsidRDefault="003F13AB">
            <w:pPr>
              <w:adjustRightInd/>
              <w:spacing w:line="240" w:lineRule="exact"/>
              <w:ind w:firstLineChars="0" w:firstLine="0"/>
              <w:rPr>
                <w:sz w:val="21"/>
                <w:szCs w:val="28"/>
              </w:rPr>
            </w:pPr>
          </w:p>
        </w:tc>
        <w:tc>
          <w:tcPr>
            <w:tcW w:w="2715" w:type="dxa"/>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非电工人员拆除临时用电设施</w:t>
            </w:r>
          </w:p>
        </w:tc>
        <w:tc>
          <w:tcPr>
            <w:tcW w:w="1635" w:type="dxa"/>
            <w:vAlign w:val="center"/>
          </w:tcPr>
          <w:p w:rsidR="003F13AB" w:rsidRDefault="00EC6E7E">
            <w:pPr>
              <w:widowControl/>
              <w:adjustRightInd/>
              <w:spacing w:line="240" w:lineRule="exact"/>
              <w:ind w:firstLineChars="0" w:firstLine="0"/>
              <w:rPr>
                <w:sz w:val="21"/>
                <w:szCs w:val="28"/>
              </w:rPr>
            </w:pPr>
            <w:r>
              <w:rPr>
                <w:rFonts w:hint="eastAsia"/>
                <w:sz w:val="21"/>
                <w:szCs w:val="28"/>
              </w:rPr>
              <w:t>触电、人员伤害</w:t>
            </w:r>
          </w:p>
        </w:tc>
        <w:tc>
          <w:tcPr>
            <w:tcW w:w="3303" w:type="dxa"/>
            <w:vAlign w:val="center"/>
          </w:tcPr>
          <w:p w:rsidR="003F13AB" w:rsidRDefault="00EC6E7E">
            <w:pPr>
              <w:widowControl/>
              <w:adjustRightInd/>
              <w:spacing w:line="240" w:lineRule="exact"/>
              <w:ind w:firstLineChars="0" w:firstLine="0"/>
              <w:rPr>
                <w:sz w:val="21"/>
                <w:szCs w:val="28"/>
              </w:rPr>
            </w:pPr>
            <w:r>
              <w:rPr>
                <w:rFonts w:hint="eastAsia"/>
                <w:kern w:val="0"/>
                <w:sz w:val="21"/>
                <w:szCs w:val="28"/>
              </w:rPr>
              <w:t>严格监督，安排专业电工拆除，</w:t>
            </w:r>
            <w:r>
              <w:rPr>
                <w:rFonts w:hint="eastAsia"/>
                <w:sz w:val="21"/>
                <w:szCs w:val="28"/>
              </w:rPr>
              <w:t>执行《临时用电作业安全管理制度》</w:t>
            </w:r>
          </w:p>
        </w:tc>
      </w:tr>
    </w:tbl>
    <w:p w:rsidR="003F13AB" w:rsidRDefault="003F13AB">
      <w:pPr>
        <w:ind w:firstLine="560"/>
        <w:rPr>
          <w:color w:val="auto"/>
        </w:rPr>
      </w:pPr>
    </w:p>
    <w:p w:rsidR="003F13AB" w:rsidRDefault="00EC6E7E">
      <w:pPr>
        <w:pStyle w:val="2"/>
      </w:pPr>
      <w:bookmarkStart w:id="276" w:name="_Toc187914484"/>
      <w:r>
        <w:rPr>
          <w:rFonts w:hint="eastAsia"/>
        </w:rPr>
        <w:t>2.9 安全管理方面的危险性分析</w:t>
      </w:r>
      <w:bookmarkEnd w:id="276"/>
    </w:p>
    <w:p w:rsidR="003F13AB" w:rsidRDefault="00EC6E7E">
      <w:pPr>
        <w:ind w:firstLine="560"/>
        <w:rPr>
          <w:color w:val="auto"/>
        </w:rPr>
      </w:pPr>
      <w:r>
        <w:rPr>
          <w:rFonts w:hint="eastAsia"/>
          <w:color w:val="auto"/>
        </w:rPr>
        <w:t>设置安全生产管理机构，配备专职的安全管理人员、建立健全各级各</w:t>
      </w:r>
      <w:r>
        <w:rPr>
          <w:rFonts w:hint="eastAsia"/>
          <w:color w:val="auto"/>
        </w:rPr>
        <w:lastRenderedPageBreak/>
        <w:t>类人员的安全生产责任制、安全生产管理制度、完善的事故应急救援体系是企业安全生产、建设的基本保证，安全管理的不到位及人的不安全行为是发生事故的重要因素，以下就其主要表现形式作简要分析。</w:t>
      </w:r>
    </w:p>
    <w:p w:rsidR="003F13AB" w:rsidRDefault="00EC6E7E">
      <w:pPr>
        <w:ind w:firstLine="560"/>
        <w:rPr>
          <w:color w:val="auto"/>
        </w:rPr>
      </w:pPr>
      <w:r>
        <w:rPr>
          <w:rFonts w:hint="eastAsia"/>
          <w:color w:val="auto"/>
        </w:rPr>
        <w:t>（</w:t>
      </w:r>
      <w:r>
        <w:rPr>
          <w:rFonts w:hint="eastAsia"/>
          <w:color w:val="auto"/>
        </w:rPr>
        <w:t>1</w:t>
      </w:r>
      <w:r>
        <w:rPr>
          <w:rFonts w:hint="eastAsia"/>
          <w:color w:val="auto"/>
        </w:rPr>
        <w:t>）企业安全生产管理机构不健全，造成安全生产管理漏洞，因管理不善而酿成事故。</w:t>
      </w:r>
    </w:p>
    <w:p w:rsidR="003F13AB" w:rsidRDefault="00EC6E7E">
      <w:pPr>
        <w:ind w:firstLine="560"/>
        <w:rPr>
          <w:color w:val="auto"/>
        </w:rPr>
      </w:pPr>
      <w:r>
        <w:rPr>
          <w:rFonts w:hint="eastAsia"/>
          <w:color w:val="auto"/>
        </w:rPr>
        <w:t>（</w:t>
      </w:r>
      <w:r>
        <w:rPr>
          <w:rFonts w:hint="eastAsia"/>
          <w:color w:val="auto"/>
        </w:rPr>
        <w:t>2</w:t>
      </w:r>
      <w:r>
        <w:rPr>
          <w:rFonts w:hint="eastAsia"/>
          <w:color w:val="auto"/>
        </w:rPr>
        <w:t>）企业没有健全的规章制度，致使员工在生产作业过程中无章可循而造成事故。</w:t>
      </w:r>
    </w:p>
    <w:p w:rsidR="003F13AB" w:rsidRDefault="00EC6E7E">
      <w:pPr>
        <w:ind w:firstLine="560"/>
        <w:rPr>
          <w:color w:val="auto"/>
        </w:rPr>
      </w:pPr>
      <w:r>
        <w:rPr>
          <w:rFonts w:hint="eastAsia"/>
          <w:color w:val="auto"/>
        </w:rPr>
        <w:t>（</w:t>
      </w:r>
      <w:r>
        <w:rPr>
          <w:rFonts w:hint="eastAsia"/>
          <w:color w:val="auto"/>
        </w:rPr>
        <w:t>3</w:t>
      </w:r>
      <w:r>
        <w:rPr>
          <w:rFonts w:hint="eastAsia"/>
          <w:color w:val="auto"/>
        </w:rPr>
        <w:t>）安全管理规章制度执行力度不够，习惯性违章造成事故。</w:t>
      </w:r>
    </w:p>
    <w:p w:rsidR="003F13AB" w:rsidRDefault="00EC6E7E">
      <w:pPr>
        <w:ind w:firstLine="560"/>
        <w:rPr>
          <w:color w:val="auto"/>
        </w:rPr>
      </w:pPr>
      <w:r>
        <w:rPr>
          <w:rFonts w:hint="eastAsia"/>
          <w:color w:val="auto"/>
        </w:rPr>
        <w:t>（</w:t>
      </w:r>
      <w:r>
        <w:rPr>
          <w:rFonts w:hint="eastAsia"/>
          <w:color w:val="auto"/>
        </w:rPr>
        <w:t>4</w:t>
      </w:r>
      <w:r>
        <w:rPr>
          <w:rFonts w:hint="eastAsia"/>
          <w:color w:val="auto"/>
        </w:rPr>
        <w:t>）若没有制定切实可行的事故应急救援预案，配备必要的应急救援器材，在发生事故时，不能及时救援和控制事故，造成事故扩大。</w:t>
      </w:r>
    </w:p>
    <w:p w:rsidR="003F13AB" w:rsidRDefault="00EC6E7E">
      <w:pPr>
        <w:ind w:firstLine="560"/>
        <w:rPr>
          <w:color w:val="auto"/>
        </w:rPr>
      </w:pPr>
      <w:r>
        <w:rPr>
          <w:rFonts w:hint="eastAsia"/>
          <w:color w:val="auto"/>
        </w:rPr>
        <w:t>（</w:t>
      </w:r>
      <w:r>
        <w:rPr>
          <w:rFonts w:hint="eastAsia"/>
          <w:color w:val="auto"/>
        </w:rPr>
        <w:t>5</w:t>
      </w:r>
      <w:r>
        <w:rPr>
          <w:rFonts w:hint="eastAsia"/>
          <w:color w:val="auto"/>
        </w:rPr>
        <w:t>）若公司主要负责人、安全管理人员、特种作业人员及其他从业人员未按照相关要求进行培训，不具备安全相关知识、能力，在安全管理及人员作业时可能引发事故。</w:t>
      </w:r>
    </w:p>
    <w:p w:rsidR="003F13AB" w:rsidRDefault="00EC6E7E">
      <w:pPr>
        <w:ind w:firstLine="560"/>
        <w:rPr>
          <w:color w:val="auto"/>
        </w:rPr>
      </w:pPr>
      <w:r>
        <w:rPr>
          <w:rFonts w:hint="eastAsia"/>
          <w:color w:val="auto"/>
        </w:rPr>
        <w:t>（</w:t>
      </w:r>
      <w:r>
        <w:rPr>
          <w:rFonts w:hint="eastAsia"/>
          <w:color w:val="auto"/>
        </w:rPr>
        <w:t>6</w:t>
      </w:r>
      <w:r>
        <w:rPr>
          <w:rFonts w:hint="eastAsia"/>
          <w:color w:val="auto"/>
        </w:rPr>
        <w:t>）工作人员忽视规章制度，违章作业。比如作业人员不熟悉操作规程或不按操作规程作业；在缺乏联络的情况下擅自操作；交接班情况了解不清或操作记录不明，使作业人员错误操作；对生产现场的设备、设施及工艺流程不熟悉，选错需要操纵的开关或阀门引起事故；未办动火证违章动火，未办理设备内作业许可证进入设备内作业；生产管理人员不按规程违章指挥引起事故。</w:t>
      </w:r>
    </w:p>
    <w:p w:rsidR="003F13AB" w:rsidRDefault="00EC6E7E">
      <w:pPr>
        <w:ind w:firstLine="560"/>
        <w:rPr>
          <w:color w:val="auto"/>
        </w:rPr>
      </w:pPr>
      <w:r>
        <w:rPr>
          <w:rFonts w:hint="eastAsia"/>
          <w:color w:val="auto"/>
        </w:rPr>
        <w:t>（</w:t>
      </w:r>
      <w:r>
        <w:rPr>
          <w:rFonts w:hint="eastAsia"/>
          <w:color w:val="auto"/>
        </w:rPr>
        <w:t>7</w:t>
      </w:r>
      <w:r>
        <w:rPr>
          <w:rFonts w:hint="eastAsia"/>
          <w:color w:val="auto"/>
        </w:rPr>
        <w:t>）安全检查流于形式，不能常抓不懈，对检查出的问题或隐患不及时整改，最终导致事故。</w:t>
      </w:r>
    </w:p>
    <w:p w:rsidR="003F13AB" w:rsidRDefault="00EC6E7E">
      <w:pPr>
        <w:ind w:firstLine="560"/>
        <w:rPr>
          <w:color w:val="auto"/>
        </w:rPr>
      </w:pPr>
      <w:r>
        <w:rPr>
          <w:rFonts w:hint="eastAsia"/>
          <w:color w:val="auto"/>
        </w:rPr>
        <w:t>（</w:t>
      </w:r>
      <w:r>
        <w:rPr>
          <w:rFonts w:hint="eastAsia"/>
          <w:color w:val="auto"/>
        </w:rPr>
        <w:t>8</w:t>
      </w:r>
      <w:r>
        <w:rPr>
          <w:rFonts w:hint="eastAsia"/>
          <w:color w:val="auto"/>
        </w:rPr>
        <w:t>）未建立安全投入</w:t>
      </w:r>
      <w:proofErr w:type="gramStart"/>
      <w:r>
        <w:rPr>
          <w:rFonts w:hint="eastAsia"/>
          <w:color w:val="auto"/>
        </w:rPr>
        <w:t>长效保障</w:t>
      </w:r>
      <w:proofErr w:type="gramEnd"/>
      <w:r>
        <w:rPr>
          <w:rFonts w:hint="eastAsia"/>
          <w:color w:val="auto"/>
        </w:rPr>
        <w:t>机制，因安全投入不足而致使安全预防措施得不到有效落实，从而引发事故。</w:t>
      </w:r>
    </w:p>
    <w:p w:rsidR="003F13AB" w:rsidRDefault="00EC6E7E">
      <w:pPr>
        <w:ind w:firstLine="560"/>
        <w:rPr>
          <w:color w:val="auto"/>
        </w:rPr>
      </w:pPr>
      <w:r>
        <w:rPr>
          <w:rFonts w:hint="eastAsia"/>
          <w:color w:val="auto"/>
        </w:rPr>
        <w:t>（</w:t>
      </w:r>
      <w:r>
        <w:rPr>
          <w:rFonts w:hint="eastAsia"/>
          <w:color w:val="auto"/>
        </w:rPr>
        <w:t>9</w:t>
      </w:r>
      <w:r>
        <w:rPr>
          <w:rFonts w:hint="eastAsia"/>
          <w:color w:val="auto"/>
        </w:rPr>
        <w:t>）企业主要负责人、安全管理人员缺乏相关安全管理知识、安全意识淡薄等，若存在违章指挥、强令冒险作业等，可能导致安全生产事故。</w:t>
      </w:r>
    </w:p>
    <w:p w:rsidR="003F13AB" w:rsidRDefault="00EC6E7E">
      <w:pPr>
        <w:pStyle w:val="2"/>
      </w:pPr>
      <w:bookmarkStart w:id="277" w:name="_Toc187914485"/>
      <w:r>
        <w:rPr>
          <w:rFonts w:hint="eastAsia"/>
        </w:rPr>
        <w:lastRenderedPageBreak/>
        <w:t>2.10 人员不安全行为危险性分析</w:t>
      </w:r>
      <w:bookmarkEnd w:id="277"/>
    </w:p>
    <w:p w:rsidR="003F13AB" w:rsidRDefault="00EC6E7E">
      <w:pPr>
        <w:ind w:firstLine="560"/>
        <w:rPr>
          <w:color w:val="auto"/>
        </w:rPr>
      </w:pPr>
      <w:r>
        <w:rPr>
          <w:rFonts w:hint="eastAsia"/>
          <w:color w:val="auto"/>
        </w:rPr>
        <w:t>导致人发生不安全（危险）行为的原因大致有以下</w:t>
      </w:r>
      <w:r>
        <w:rPr>
          <w:rFonts w:hint="eastAsia"/>
          <w:color w:val="auto"/>
        </w:rPr>
        <w:t>2</w:t>
      </w:r>
      <w:r>
        <w:rPr>
          <w:rFonts w:hint="eastAsia"/>
          <w:color w:val="auto"/>
        </w:rPr>
        <w:t>个方面：</w:t>
      </w:r>
    </w:p>
    <w:p w:rsidR="003F13AB" w:rsidRDefault="00EC6E7E">
      <w:pPr>
        <w:ind w:firstLine="560"/>
        <w:rPr>
          <w:color w:val="auto"/>
        </w:rPr>
      </w:pPr>
      <w:r>
        <w:rPr>
          <w:rFonts w:hint="eastAsia"/>
          <w:color w:val="auto"/>
        </w:rPr>
        <w:t>（</w:t>
      </w:r>
      <w:r>
        <w:rPr>
          <w:rFonts w:hint="eastAsia"/>
          <w:color w:val="auto"/>
        </w:rPr>
        <w:t>1</w:t>
      </w:r>
      <w:r>
        <w:rPr>
          <w:rFonts w:hint="eastAsia"/>
          <w:color w:val="auto"/>
        </w:rPr>
        <w:t>）心理因素：感情、意识、态度、宗教、心理缺陷、教育背景、民族习惯等方面的因素差异。</w:t>
      </w:r>
    </w:p>
    <w:p w:rsidR="003F13AB" w:rsidRDefault="00EC6E7E">
      <w:pPr>
        <w:ind w:firstLine="560"/>
        <w:rPr>
          <w:color w:val="auto"/>
        </w:rPr>
      </w:pPr>
      <w:r>
        <w:rPr>
          <w:rFonts w:hint="eastAsia"/>
          <w:color w:val="auto"/>
        </w:rPr>
        <w:t>（</w:t>
      </w:r>
      <w:r>
        <w:rPr>
          <w:rFonts w:hint="eastAsia"/>
          <w:color w:val="auto"/>
        </w:rPr>
        <w:t>2</w:t>
      </w:r>
      <w:r>
        <w:rPr>
          <w:rFonts w:hint="eastAsia"/>
          <w:color w:val="auto"/>
        </w:rPr>
        <w:t>）人的生理因素：先天性缺陷，后天性缺陷，视觉、嗅觉、听觉、味觉、触觉感观能量上分配的差异。</w:t>
      </w:r>
    </w:p>
    <w:p w:rsidR="003F13AB" w:rsidRDefault="00EC6E7E">
      <w:pPr>
        <w:ind w:firstLine="560"/>
        <w:rPr>
          <w:color w:val="auto"/>
        </w:rPr>
      </w:pPr>
      <w:r>
        <w:rPr>
          <w:rFonts w:hint="eastAsia"/>
          <w:color w:val="auto"/>
        </w:rPr>
        <w:t>根据《企业职工伤亡事故分类》（</w:t>
      </w:r>
      <w:r>
        <w:rPr>
          <w:rFonts w:hint="eastAsia"/>
          <w:color w:val="auto"/>
        </w:rPr>
        <w:t>GB 6441-1986</w:t>
      </w:r>
      <w:r>
        <w:rPr>
          <w:rFonts w:hint="eastAsia"/>
          <w:color w:val="auto"/>
        </w:rPr>
        <w:t>），项目中人的不安全行为有如下种类：</w:t>
      </w:r>
    </w:p>
    <w:p w:rsidR="003F13AB" w:rsidRDefault="00EC6E7E">
      <w:pPr>
        <w:widowControl/>
        <w:adjustRightInd/>
        <w:snapToGrid/>
        <w:spacing w:line="240" w:lineRule="auto"/>
        <w:ind w:firstLineChars="0" w:firstLine="0"/>
        <w:jc w:val="left"/>
        <w:rPr>
          <w:snapToGrid w:val="0"/>
          <w:color w:val="auto"/>
          <w:kern w:val="0"/>
          <w:szCs w:val="28"/>
        </w:rPr>
      </w:pPr>
      <w:r>
        <w:rPr>
          <w:snapToGrid w:val="0"/>
          <w:color w:val="auto"/>
          <w:kern w:val="0"/>
          <w:szCs w:val="28"/>
        </w:rPr>
        <w:br w:type="page"/>
      </w:r>
    </w:p>
    <w:p w:rsidR="003F13AB" w:rsidRDefault="00EC6E7E">
      <w:pPr>
        <w:topLinePunct/>
        <w:ind w:firstLineChars="0" w:firstLine="0"/>
        <w:jc w:val="center"/>
        <w:rPr>
          <w:rFonts w:ascii="宋体" w:hAnsi="宋体"/>
          <w:color w:val="auto"/>
          <w:szCs w:val="21"/>
        </w:rPr>
      </w:pPr>
      <w:r>
        <w:rPr>
          <w:snapToGrid w:val="0"/>
          <w:color w:val="auto"/>
          <w:kern w:val="0"/>
          <w:szCs w:val="28"/>
        </w:rPr>
        <w:lastRenderedPageBreak/>
        <w:t>附</w:t>
      </w:r>
      <w:r>
        <w:rPr>
          <w:rFonts w:ascii="宋体" w:hAnsi="宋体" w:hint="eastAsia"/>
          <w:color w:val="auto"/>
          <w:szCs w:val="21"/>
        </w:rPr>
        <w:t>表2.3-6  人的不安全行为</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4111"/>
        <w:gridCol w:w="567"/>
        <w:gridCol w:w="3825"/>
      </w:tblGrid>
      <w:tr w:rsidR="003F13AB">
        <w:trPr>
          <w:trHeight w:val="340"/>
          <w:tblHeader/>
          <w:jc w:val="center"/>
        </w:trPr>
        <w:tc>
          <w:tcPr>
            <w:tcW w:w="567"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序号</w:t>
            </w:r>
          </w:p>
        </w:tc>
        <w:tc>
          <w:tcPr>
            <w:tcW w:w="4111"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分  类</w:t>
            </w:r>
          </w:p>
        </w:tc>
        <w:tc>
          <w:tcPr>
            <w:tcW w:w="567"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序号</w:t>
            </w:r>
          </w:p>
        </w:tc>
        <w:tc>
          <w:tcPr>
            <w:tcW w:w="3825" w:type="dxa"/>
            <w:vAlign w:val="center"/>
          </w:tcPr>
          <w:p w:rsidR="003F13AB" w:rsidRDefault="00EC6E7E">
            <w:pPr>
              <w:topLinePunct/>
              <w:spacing w:line="240" w:lineRule="auto"/>
              <w:ind w:firstLineChars="0" w:firstLine="0"/>
              <w:jc w:val="center"/>
              <w:rPr>
                <w:rFonts w:ascii="宋体" w:hAnsi="宋体"/>
                <w:b/>
                <w:color w:val="auto"/>
                <w:sz w:val="21"/>
                <w:szCs w:val="21"/>
              </w:rPr>
            </w:pPr>
            <w:r>
              <w:rPr>
                <w:rFonts w:ascii="宋体" w:hAnsi="宋体" w:hint="eastAsia"/>
                <w:b/>
                <w:color w:val="auto"/>
                <w:sz w:val="21"/>
                <w:szCs w:val="21"/>
              </w:rPr>
              <w:t>分  类</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违反安全技术操作规程、操作错误、忽视安全、忽视警告</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2.3</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调整的错误造成安全装置失效</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1.1</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未经许可开动、关停、移动机器</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3</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使用不安全设备设施(使用无安全装置的设备)</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1.2</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开动、关停机器时未给信号</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4</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手代替工具操作</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1.3</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开关未锁紧，造成意外转动、通电泄漏等</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4.1</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用手代替手动工具</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1.4</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忘记关闭设备</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4.2</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不用夹具固定、用手拿工件进进机加工</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1.5</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忽视警告标志、警告信号</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5</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物体(指成品、半成品、材料、工具和生产用品等)存放不当</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1.6</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操作错误(指按钮、阀门、把柄等的操作)</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6</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冒险进入危险场所</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1.7</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奔跑作业</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7</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机器运转时加油、修理、检查、调整、焊接、清扫等工作</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1.8</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机器超速运转</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8</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有分散注意力行为</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1.9</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酒后作业</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9</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在必须使用个人防护用品用具的作业或场合中，忽视其使用</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1.10</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工件紧固不牢</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10</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不安全装束</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造成安全装置失效</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10.1</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在有旋转零部件的设备旁作业穿过肥大服装</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2.1</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拆除了安全装置</w:t>
            </w:r>
          </w:p>
        </w:tc>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10.2</w:t>
            </w:r>
          </w:p>
        </w:tc>
        <w:tc>
          <w:tcPr>
            <w:tcW w:w="382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操纵带有旋转零部件的设备时戴手套</w:t>
            </w:r>
          </w:p>
        </w:tc>
      </w:tr>
      <w:tr w:rsidR="003F13AB">
        <w:trPr>
          <w:trHeight w:val="340"/>
          <w:jc w:val="center"/>
        </w:trPr>
        <w:tc>
          <w:tcPr>
            <w:tcW w:w="567"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2.2</w:t>
            </w:r>
          </w:p>
        </w:tc>
        <w:tc>
          <w:tcPr>
            <w:tcW w:w="411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安全装置堵塞、失掉了作用</w:t>
            </w:r>
          </w:p>
        </w:tc>
        <w:tc>
          <w:tcPr>
            <w:tcW w:w="567" w:type="dxa"/>
            <w:vAlign w:val="center"/>
          </w:tcPr>
          <w:p w:rsidR="003F13AB" w:rsidRDefault="003F13AB">
            <w:pPr>
              <w:topLinePunct/>
              <w:spacing w:line="240" w:lineRule="auto"/>
              <w:ind w:firstLineChars="0" w:firstLine="0"/>
              <w:jc w:val="center"/>
              <w:rPr>
                <w:rFonts w:ascii="宋体" w:hAnsi="宋体"/>
                <w:color w:val="auto"/>
                <w:sz w:val="21"/>
                <w:szCs w:val="21"/>
              </w:rPr>
            </w:pPr>
          </w:p>
        </w:tc>
        <w:tc>
          <w:tcPr>
            <w:tcW w:w="3825" w:type="dxa"/>
            <w:vAlign w:val="center"/>
          </w:tcPr>
          <w:p w:rsidR="003F13AB" w:rsidRDefault="003F13AB">
            <w:pPr>
              <w:topLinePunct/>
              <w:spacing w:line="240" w:lineRule="auto"/>
              <w:ind w:firstLineChars="0" w:firstLine="0"/>
              <w:rPr>
                <w:rFonts w:ascii="宋体" w:hAnsi="宋体"/>
                <w:color w:val="auto"/>
                <w:sz w:val="21"/>
                <w:szCs w:val="21"/>
              </w:rPr>
            </w:pPr>
          </w:p>
        </w:tc>
      </w:tr>
    </w:tbl>
    <w:p w:rsidR="003F13AB" w:rsidRDefault="00EC6E7E">
      <w:pPr>
        <w:pStyle w:val="2"/>
      </w:pPr>
      <w:bookmarkStart w:id="278" w:name="_Toc166857607"/>
      <w:bookmarkStart w:id="279" w:name="_Toc187914486"/>
      <w:bookmarkStart w:id="280" w:name="_Toc62219368"/>
      <w:r>
        <w:rPr>
          <w:rFonts w:hint="eastAsia"/>
        </w:rPr>
        <w:t>2.11 危险有害因素分布情况</w:t>
      </w:r>
      <w:bookmarkEnd w:id="278"/>
      <w:bookmarkEnd w:id="279"/>
    </w:p>
    <w:p w:rsidR="003F13AB" w:rsidRDefault="00EC6E7E">
      <w:pPr>
        <w:ind w:firstLine="560"/>
        <w:rPr>
          <w:color w:val="auto"/>
        </w:rPr>
      </w:pPr>
      <w:r>
        <w:rPr>
          <w:rFonts w:hint="eastAsia"/>
          <w:color w:val="auto"/>
        </w:rPr>
        <w:t>通过以上危险、有害因素的分析，</w:t>
      </w:r>
      <w:proofErr w:type="gramStart"/>
      <w:r>
        <w:rPr>
          <w:rFonts w:hint="eastAsia"/>
          <w:color w:val="auto"/>
        </w:rPr>
        <w:t>本评价</w:t>
      </w:r>
      <w:proofErr w:type="gramEnd"/>
      <w:r>
        <w:rPr>
          <w:rFonts w:hint="eastAsia"/>
          <w:color w:val="auto"/>
        </w:rPr>
        <w:t>项目存在火灾、爆炸、锅炉爆炸、容器爆炸、高温灼伤和化学灼伤、中毒和窒息、起重伤害、机械伤害、触电、高处坠落、车辆伤害、物体打击、淹溺、噪声等危险、有害因素，各因素在项目工艺或设备设施中的主要</w:t>
      </w:r>
      <w:proofErr w:type="gramStart"/>
      <w:r>
        <w:rPr>
          <w:rFonts w:hint="eastAsia"/>
          <w:color w:val="auto"/>
        </w:rPr>
        <w:t>分布见</w:t>
      </w:r>
      <w:proofErr w:type="gramEnd"/>
      <w:r>
        <w:rPr>
          <w:rFonts w:hint="eastAsia"/>
          <w:color w:val="auto"/>
        </w:rPr>
        <w:t>下表。</w:t>
      </w:r>
    </w:p>
    <w:p w:rsidR="003F13AB" w:rsidRDefault="00EC6E7E">
      <w:pPr>
        <w:topLinePunct/>
        <w:ind w:firstLineChars="0" w:firstLine="0"/>
        <w:jc w:val="center"/>
        <w:rPr>
          <w:rFonts w:ascii="宋体" w:hAnsi="宋体"/>
          <w:color w:val="auto"/>
          <w:szCs w:val="21"/>
        </w:rPr>
      </w:pPr>
      <w:r>
        <w:rPr>
          <w:snapToGrid w:val="0"/>
          <w:color w:val="auto"/>
          <w:kern w:val="0"/>
          <w:szCs w:val="28"/>
        </w:rPr>
        <w:t>附</w:t>
      </w:r>
      <w:r>
        <w:rPr>
          <w:rFonts w:ascii="宋体" w:hAnsi="宋体" w:hint="eastAsia"/>
          <w:color w:val="auto"/>
          <w:szCs w:val="21"/>
        </w:rPr>
        <w:t>表</w:t>
      </w:r>
      <w:r>
        <w:rPr>
          <w:rFonts w:ascii="宋体" w:hAnsi="宋体"/>
          <w:color w:val="auto"/>
          <w:szCs w:val="21"/>
        </w:rPr>
        <w:t>2</w:t>
      </w:r>
      <w:r>
        <w:rPr>
          <w:rFonts w:ascii="宋体" w:hAnsi="宋体" w:hint="eastAsia"/>
          <w:color w:val="auto"/>
          <w:szCs w:val="21"/>
        </w:rPr>
        <w:t>.4</w:t>
      </w:r>
      <w:r>
        <w:rPr>
          <w:rFonts w:ascii="宋体" w:hAnsi="宋体"/>
          <w:color w:val="auto"/>
          <w:szCs w:val="21"/>
        </w:rPr>
        <w:t>-</w:t>
      </w:r>
      <w:r>
        <w:rPr>
          <w:rFonts w:ascii="宋体" w:hAnsi="宋体" w:hint="eastAsia"/>
          <w:color w:val="auto"/>
          <w:szCs w:val="21"/>
        </w:rPr>
        <w:t>1  各危险、有害因素分布表</w:t>
      </w:r>
      <w:bookmarkEnd w:id="28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118"/>
        <w:gridCol w:w="2538"/>
        <w:gridCol w:w="4725"/>
      </w:tblGrid>
      <w:tr w:rsidR="003F13AB">
        <w:tc>
          <w:tcPr>
            <w:tcW w:w="381" w:type="pct"/>
            <w:vAlign w:val="center"/>
          </w:tcPr>
          <w:p w:rsidR="003F13AB" w:rsidRDefault="00EC6E7E">
            <w:pPr>
              <w:spacing w:line="240" w:lineRule="auto"/>
              <w:ind w:firstLineChars="0" w:firstLine="0"/>
              <w:jc w:val="center"/>
              <w:rPr>
                <w:rFonts w:ascii="宋体" w:hAnsi="宋体"/>
                <w:b/>
                <w:color w:val="auto"/>
                <w:spacing w:val="20"/>
                <w:sz w:val="21"/>
                <w:szCs w:val="21"/>
              </w:rPr>
            </w:pPr>
            <w:r>
              <w:rPr>
                <w:rFonts w:ascii="宋体" w:hAnsi="宋体"/>
                <w:b/>
                <w:color w:val="auto"/>
                <w:spacing w:val="20"/>
                <w:sz w:val="21"/>
                <w:szCs w:val="21"/>
              </w:rPr>
              <w:t>序号</w:t>
            </w:r>
          </w:p>
        </w:tc>
        <w:tc>
          <w:tcPr>
            <w:tcW w:w="616" w:type="pct"/>
            <w:vAlign w:val="center"/>
          </w:tcPr>
          <w:p w:rsidR="003F13AB" w:rsidRDefault="00EC6E7E">
            <w:pPr>
              <w:spacing w:line="240" w:lineRule="auto"/>
              <w:ind w:firstLineChars="0" w:firstLine="0"/>
              <w:jc w:val="center"/>
              <w:rPr>
                <w:rFonts w:ascii="宋体" w:hAnsi="宋体"/>
                <w:b/>
                <w:color w:val="auto"/>
                <w:spacing w:val="20"/>
                <w:sz w:val="21"/>
                <w:szCs w:val="21"/>
              </w:rPr>
            </w:pPr>
            <w:r>
              <w:rPr>
                <w:rFonts w:ascii="宋体" w:hAnsi="宋体"/>
                <w:b/>
                <w:color w:val="auto"/>
                <w:spacing w:val="20"/>
                <w:sz w:val="21"/>
                <w:szCs w:val="21"/>
              </w:rPr>
              <w:t>危险有害因素</w:t>
            </w:r>
          </w:p>
        </w:tc>
        <w:tc>
          <w:tcPr>
            <w:tcW w:w="1399" w:type="pct"/>
            <w:vAlign w:val="center"/>
          </w:tcPr>
          <w:p w:rsidR="003F13AB" w:rsidRDefault="00EC6E7E">
            <w:pPr>
              <w:spacing w:line="240" w:lineRule="auto"/>
              <w:ind w:firstLineChars="0" w:firstLine="0"/>
              <w:jc w:val="center"/>
              <w:rPr>
                <w:rFonts w:ascii="宋体" w:hAnsi="宋体"/>
                <w:b/>
                <w:color w:val="auto"/>
                <w:spacing w:val="20"/>
                <w:sz w:val="21"/>
                <w:szCs w:val="21"/>
              </w:rPr>
            </w:pPr>
            <w:r>
              <w:rPr>
                <w:rFonts w:ascii="宋体" w:hAnsi="宋体"/>
                <w:b/>
                <w:color w:val="auto"/>
                <w:spacing w:val="20"/>
                <w:sz w:val="21"/>
                <w:szCs w:val="21"/>
              </w:rPr>
              <w:t>存在部位</w:t>
            </w:r>
          </w:p>
        </w:tc>
        <w:tc>
          <w:tcPr>
            <w:tcW w:w="2604" w:type="pct"/>
            <w:vAlign w:val="center"/>
          </w:tcPr>
          <w:p w:rsidR="003F13AB" w:rsidRDefault="00EC6E7E">
            <w:pPr>
              <w:spacing w:line="240" w:lineRule="auto"/>
              <w:ind w:firstLineChars="0" w:firstLine="0"/>
              <w:jc w:val="center"/>
              <w:rPr>
                <w:rFonts w:ascii="宋体" w:hAnsi="宋体"/>
                <w:b/>
                <w:color w:val="auto"/>
                <w:spacing w:val="20"/>
                <w:sz w:val="21"/>
                <w:szCs w:val="21"/>
              </w:rPr>
            </w:pPr>
            <w:r>
              <w:rPr>
                <w:rFonts w:ascii="宋体" w:hAnsi="宋体"/>
                <w:b/>
                <w:color w:val="auto"/>
                <w:spacing w:val="20"/>
                <w:sz w:val="21"/>
                <w:szCs w:val="21"/>
              </w:rPr>
              <w:t>产生原因</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1</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火灾、爆炸</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燃气锅炉、热风炉、天然气管道等部位；尿素和包装材料存放部位；柴油箱；检修时使用乙炔、氧气部位；用电设备等。</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（1）生产过程中使用的天然气属于易燃气体，柴油属于易燃液体，尿素和包装材料属于可燃物。</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（2）天然气供气系统因管道、阀门缺陷和故障、密封件失效发生泄漏时，遇明火、高热时极易发生燃烧、爆炸。</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（3）生产厂房以及仓库等建筑物内存在大量用电设备，电气系统因短路、过载、接头接触不良、散热不良等原因，会引发电气火灾。</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lastRenderedPageBreak/>
              <w:t>2</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锅炉爆炸</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两套天然气蒸汽锅炉。</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导致锅炉爆炸的原因有：</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（1）制造锅炉的原材料缺陷；</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（2）锅炉设计结构有缺陷，如：开孔、焊缝布置不合理；炉胆与炉筒接管与筒体连接结构不合理等。</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（3）焊接缺陷，特别是焊接裂缝或未焊透。</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（4）装配成型缺陷，如错边或角变形超标。</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（5）运行中超压。造成超压的原因有以下几点：①安全附件不全或失效；②出汽阀关闭或关小；③操作人员脱岗；④违章超压运行。</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（6）锅炉较长时间缺水，锅体温度过高导致机械强度急骤降低的情况下，司炉人员违反操作规程，向炉内进水，引起爆炸。</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（7）锅炉满水事故；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（8）汽水共腾事故；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（9）炉管爆破事故；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（10）水位计损坏事故；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（11）水击事故；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（12）锅炉操作工未持证上岗，违章操作；</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（13）锅炉炉膛及烟道爆炸等。</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3</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容器爆炸</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蒸汽分气缸、连续排污扩容器、定期排污扩容器以及空压机附带的空气储罐等部位。</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天然气蒸汽锅炉配备的蒸汽分气缸、连续排污扩容器、定期排污扩容器以及空压机附带的空气储罐等</w:t>
            </w:r>
            <w:proofErr w:type="gramStart"/>
            <w:r>
              <w:rPr>
                <w:rFonts w:ascii="宋体" w:hAnsi="宋体" w:hint="eastAsia"/>
                <w:color w:val="auto"/>
                <w:spacing w:val="20"/>
                <w:sz w:val="21"/>
                <w:szCs w:val="21"/>
              </w:rPr>
              <w:t>属压力</w:t>
            </w:r>
            <w:proofErr w:type="gramEnd"/>
            <w:r>
              <w:rPr>
                <w:rFonts w:ascii="宋体" w:hAnsi="宋体" w:hint="eastAsia"/>
                <w:color w:val="auto"/>
                <w:spacing w:val="20"/>
                <w:sz w:val="21"/>
                <w:szCs w:val="21"/>
              </w:rPr>
              <w:t>容器，生产过程中若发生操作失误；未按规定进行定期检验；压力表、安全阀未定期校验而失效，致压力表不能正确指示，安全阀超压不能起跳；压力超限等均可导致压力容器超压爆炸。</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4</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高温灼伤和化学灼伤</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蒸汽锅炉、蒸汽管道、热风炉、烘干筒和熔融槽等高温设备和管道部位；尿素、氯化铵、硫酸铵、</w:t>
            </w:r>
            <w:proofErr w:type="gramStart"/>
            <w:r>
              <w:rPr>
                <w:rFonts w:ascii="宋体" w:hAnsi="宋体" w:hint="eastAsia"/>
                <w:color w:val="auto"/>
                <w:spacing w:val="20"/>
                <w:sz w:val="21"/>
                <w:szCs w:val="21"/>
              </w:rPr>
              <w:t>磷酸一铵等</w:t>
            </w:r>
            <w:proofErr w:type="gramEnd"/>
            <w:r>
              <w:rPr>
                <w:rFonts w:ascii="宋体" w:hAnsi="宋体" w:hint="eastAsia"/>
                <w:color w:val="auto"/>
                <w:spacing w:val="20"/>
                <w:sz w:val="21"/>
                <w:szCs w:val="21"/>
              </w:rPr>
              <w:t>使用点。</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厂内有蒸汽锅炉、热风炉、烘干筒和熔融槽，存在高温设备和高温管道，若防护设施设置不当，或未采取有效保温、隔热措施等，或管道发生破裂、爆炸或法兰、阀门等发生泄漏、操作和管理不当或人体不慎接触，均有对作业人员造成灼伤的危险。在对高温设备进行检修、清理时若没有进行充分的降温冷却、个体防护措施不当，都有可能发生高温烫伤的危险。</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（2）生产使用的固体物质尿素、氯化铵、硫酸铵、磷酸</w:t>
            </w:r>
            <w:proofErr w:type="gramStart"/>
            <w:r>
              <w:rPr>
                <w:rFonts w:ascii="宋体" w:hAnsi="宋体" w:hint="eastAsia"/>
                <w:color w:val="auto"/>
                <w:spacing w:val="20"/>
                <w:sz w:val="21"/>
                <w:szCs w:val="21"/>
              </w:rPr>
              <w:t>一</w:t>
            </w:r>
            <w:proofErr w:type="gramEnd"/>
            <w:r>
              <w:rPr>
                <w:rFonts w:ascii="宋体" w:hAnsi="宋体" w:hint="eastAsia"/>
                <w:color w:val="auto"/>
                <w:spacing w:val="20"/>
                <w:sz w:val="21"/>
                <w:szCs w:val="21"/>
              </w:rPr>
              <w:t>铵对眼</w:t>
            </w:r>
            <w:proofErr w:type="gramStart"/>
            <w:r>
              <w:rPr>
                <w:rFonts w:ascii="宋体" w:hAnsi="宋体" w:hint="eastAsia"/>
                <w:color w:val="auto"/>
                <w:spacing w:val="20"/>
                <w:sz w:val="21"/>
                <w:szCs w:val="21"/>
              </w:rPr>
              <w:t>睛和</w:t>
            </w:r>
            <w:proofErr w:type="gramEnd"/>
            <w:r>
              <w:rPr>
                <w:rFonts w:ascii="宋体" w:hAnsi="宋体" w:hint="eastAsia"/>
                <w:color w:val="auto"/>
                <w:spacing w:val="20"/>
                <w:sz w:val="21"/>
                <w:szCs w:val="21"/>
              </w:rPr>
              <w:t>皮肤有腐蚀刺激性，若这些物质粉尘不慎接触现场巡检和维护人员的眼睛和皮肤，可能导致化学灼伤事故。</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5</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中毒和窒息</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柴油、锅炉的燃气和烟气、天然气存在部位；地下水池等有限空间。</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（1）柴油具有刺激性毒性。吸入可引起吸入性肺炎，皮肤接触可引起接触性皮炎、油性痤疮。柴油废气可引起眼鼻刺激症状、头痛及头晕。</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（2）锅炉的燃气和烟气成分十分复杂，含有甲烷、一氧化碳、硫化氢气体、二氧化碳、烃类、氮氧化物等有害气体，均可能</w:t>
            </w:r>
            <w:r>
              <w:rPr>
                <w:rFonts w:ascii="宋体" w:hAnsi="宋体" w:hint="eastAsia"/>
                <w:color w:val="auto"/>
                <w:spacing w:val="20"/>
                <w:sz w:val="21"/>
                <w:szCs w:val="21"/>
              </w:rPr>
              <w:lastRenderedPageBreak/>
              <w:t>造成人员中毒和窒息伤害事故。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（3）天然气供气系统发生泄漏时，在泄漏点附近可能造成人员中毒和窒息伤害事故。</w:t>
            </w:r>
          </w:p>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（4）在进入烟道、设备、高塔、水池等有限空间作业时，若未进行气体置换和气体分析；与作业区域连接的设备、管道等未采取有效的隔断措施；个人防护措施不到位等；泄漏等常会引发中毒和窒息事故。</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lastRenderedPageBreak/>
              <w:t>6</w:t>
            </w:r>
          </w:p>
        </w:tc>
        <w:tc>
          <w:tcPr>
            <w:tcW w:w="616"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z w:val="21"/>
                <w:szCs w:val="21"/>
              </w:rPr>
              <w:t>起重伤害</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提升机设备周围。</w:t>
            </w:r>
          </w:p>
        </w:tc>
        <w:tc>
          <w:tcPr>
            <w:tcW w:w="2604"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pacing w:val="20"/>
                <w:sz w:val="21"/>
                <w:szCs w:val="21"/>
              </w:rPr>
              <w:t>生产过程中存在提升机等设备，存在发生起重伤害的可能。</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7</w:t>
            </w:r>
          </w:p>
        </w:tc>
        <w:tc>
          <w:tcPr>
            <w:tcW w:w="616" w:type="pct"/>
            <w:vAlign w:val="center"/>
          </w:tcPr>
          <w:p w:rsidR="003F13AB" w:rsidRDefault="00EC6E7E">
            <w:pPr>
              <w:spacing w:line="240" w:lineRule="auto"/>
              <w:ind w:firstLineChars="0" w:firstLine="0"/>
              <w:jc w:val="center"/>
              <w:rPr>
                <w:rFonts w:ascii="宋体" w:hAnsi="宋体"/>
                <w:color w:val="auto"/>
                <w:sz w:val="21"/>
                <w:szCs w:val="21"/>
                <w:lang w:eastAsia="zh-Hans"/>
              </w:rPr>
            </w:pPr>
            <w:r>
              <w:rPr>
                <w:rFonts w:ascii="宋体" w:hAnsi="宋体" w:hint="eastAsia"/>
                <w:color w:val="auto"/>
                <w:sz w:val="21"/>
                <w:szCs w:val="21"/>
              </w:rPr>
              <w:t>机械伤害</w:t>
            </w:r>
          </w:p>
        </w:tc>
        <w:tc>
          <w:tcPr>
            <w:tcW w:w="1399" w:type="pct"/>
            <w:vAlign w:val="center"/>
          </w:tcPr>
          <w:p w:rsidR="003F13AB" w:rsidRDefault="00EC6E7E">
            <w:pPr>
              <w:spacing w:line="240" w:lineRule="auto"/>
              <w:ind w:firstLineChars="0" w:firstLine="0"/>
              <w:rPr>
                <w:rFonts w:ascii="宋体" w:hAnsi="宋体"/>
                <w:color w:val="auto"/>
                <w:spacing w:val="20"/>
                <w:sz w:val="21"/>
                <w:szCs w:val="21"/>
              </w:rPr>
            </w:pPr>
            <w:r>
              <w:rPr>
                <w:rFonts w:ascii="宋体" w:hAnsi="宋体" w:hint="eastAsia"/>
                <w:color w:val="auto"/>
                <w:sz w:val="21"/>
                <w:szCs w:val="21"/>
                <w:lang w:eastAsia="zh-Hans"/>
              </w:rPr>
              <w:t>破碎机、造粒机、搅拌机等设备转（传）动处。</w:t>
            </w:r>
          </w:p>
        </w:tc>
        <w:tc>
          <w:tcPr>
            <w:tcW w:w="2604" w:type="pct"/>
            <w:vAlign w:val="center"/>
          </w:tcPr>
          <w:p w:rsidR="003F13AB" w:rsidRDefault="00EC6E7E">
            <w:pPr>
              <w:pStyle w:val="Default1"/>
              <w:rPr>
                <w:rFonts w:ascii="宋体" w:hAnsi="宋体" w:hint="default"/>
                <w:sz w:val="21"/>
                <w:szCs w:val="21"/>
              </w:rPr>
            </w:pPr>
            <w:r>
              <w:rPr>
                <w:rFonts w:ascii="宋体" w:hAnsi="宋体"/>
                <w:color w:val="auto"/>
                <w:spacing w:val="20"/>
                <w:kern w:val="2"/>
                <w:sz w:val="21"/>
                <w:szCs w:val="21"/>
              </w:rPr>
              <w:t>生产系统中存在较多的机械设备，如破碎机、造粒机、搅拌机等，机械设备的传动轴、皮带轮及其它传动部件均可能对操作人员造成意外伤害。</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8</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触电</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sz w:val="21"/>
                <w:szCs w:val="21"/>
              </w:rPr>
              <w:t>控制间和变、配电间，电气设备、移动电气设备、照明线路及照明器具等周围。</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（1）由于违章作业或线路老化；</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（2）用电设备绝缘失效；</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（3）电气线路、设备超负荷使用；</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（4）未装设漏电保护装置或漏电保护装置失效；</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（5）电气设备保护接地不良等，电气设备漏电造成人体与带电体直接接触或人体接近高压带电体，使人体流过超过承受阈值的电流而造成的伤害。</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9</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高处坠落</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sz w:val="21"/>
                <w:szCs w:val="21"/>
              </w:rPr>
              <w:t>所有2m以上建</w:t>
            </w:r>
            <w:r>
              <w:rPr>
                <w:rFonts w:ascii="宋体" w:hAnsi="宋体"/>
                <w:sz w:val="21"/>
                <w:szCs w:val="21"/>
              </w:rPr>
              <w:t>（构</w:t>
            </w:r>
            <w:r>
              <w:rPr>
                <w:rFonts w:ascii="宋体" w:hAnsi="宋体" w:hint="eastAsia"/>
                <w:sz w:val="21"/>
                <w:szCs w:val="21"/>
              </w:rPr>
              <w:t>）</w:t>
            </w:r>
            <w:r>
              <w:rPr>
                <w:rFonts w:ascii="宋体" w:hAnsi="宋体"/>
                <w:sz w:val="21"/>
                <w:szCs w:val="21"/>
              </w:rPr>
              <w:t>筑物</w:t>
            </w:r>
            <w:r>
              <w:rPr>
                <w:rFonts w:ascii="宋体" w:hAnsi="宋体" w:hint="eastAsia"/>
                <w:sz w:val="21"/>
                <w:szCs w:val="21"/>
              </w:rPr>
              <w:t>；锅炉房、设备、</w:t>
            </w:r>
            <w:proofErr w:type="gramStart"/>
            <w:r>
              <w:rPr>
                <w:rFonts w:ascii="宋体" w:hAnsi="宋体" w:hint="eastAsia"/>
                <w:sz w:val="21"/>
                <w:szCs w:val="21"/>
              </w:rPr>
              <w:t>平台等临空</w:t>
            </w:r>
            <w:proofErr w:type="gramEnd"/>
            <w:r>
              <w:rPr>
                <w:rFonts w:ascii="宋体" w:hAnsi="宋体"/>
                <w:sz w:val="21"/>
                <w:szCs w:val="21"/>
              </w:rPr>
              <w:t>区域。</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生产厂房的设备为多层布置，操作、巡检或维修的人员在高度2m以上空间作业时，未设置安全护栏、操作平台、走梯等，或者这些设施存在缺陷，再加上高处作业时未采取有效的安全防护措施或个人无防范意识，在锅炉房、设备、</w:t>
            </w:r>
            <w:proofErr w:type="gramStart"/>
            <w:r>
              <w:rPr>
                <w:rFonts w:ascii="宋体" w:hAnsi="宋体"/>
                <w:color w:val="auto"/>
                <w:spacing w:val="20"/>
                <w:kern w:val="2"/>
                <w:sz w:val="21"/>
                <w:szCs w:val="21"/>
              </w:rPr>
              <w:t>平台等临空</w:t>
            </w:r>
            <w:proofErr w:type="gramEnd"/>
            <w:r>
              <w:rPr>
                <w:rFonts w:ascii="宋体" w:hAnsi="宋体"/>
                <w:color w:val="auto"/>
                <w:spacing w:val="20"/>
                <w:kern w:val="2"/>
                <w:sz w:val="21"/>
                <w:szCs w:val="21"/>
              </w:rPr>
              <w:t>部位进行操作、巡检或维修的人员有可能发生高处坠落的可能。</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10</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车辆伤害</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sz w:val="21"/>
                <w:szCs w:val="21"/>
              </w:rPr>
              <w:t>原辅材料和成品装卸区域、原料仓库、丙类仓库及成品仓库叉车运输通道、厂区</w:t>
            </w:r>
            <w:r>
              <w:rPr>
                <w:rFonts w:ascii="宋体" w:hAnsi="宋体"/>
                <w:sz w:val="21"/>
                <w:szCs w:val="21"/>
              </w:rPr>
              <w:t>道路、</w:t>
            </w:r>
            <w:r>
              <w:rPr>
                <w:rFonts w:ascii="宋体" w:hAnsi="宋体" w:hint="eastAsia"/>
                <w:sz w:val="21"/>
                <w:szCs w:val="21"/>
              </w:rPr>
              <w:t>停车场等。</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厂内设有厂区道路，公司生产期间的叉车在仓库及车间内运行、物资运输车辆出入频繁，大型货运车辆较多，可能导致车辆伤害事故的发生。</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11</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物体打击</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sz w:val="21"/>
                <w:szCs w:val="21"/>
              </w:rPr>
              <w:t>设备需检修时、厂房装卸区、生产装置区平台。</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（1）工具零件、砖瓦、木块等物从高处掉落伤人；</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（2）人为乱扔杂物伤人；</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（3）起重吊装物品掉落伤人；</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（4）设备带病运行伤人；</w:t>
            </w:r>
          </w:p>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（5）设备运行中违章操作；</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12</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淹溺</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sz w:val="21"/>
                <w:szCs w:val="21"/>
              </w:rPr>
              <w:t>地下消防水池、事故池、循环水池</w:t>
            </w:r>
            <w:proofErr w:type="gramStart"/>
            <w:r>
              <w:rPr>
                <w:rFonts w:ascii="宋体" w:hAnsi="宋体" w:hint="eastAsia"/>
                <w:sz w:val="21"/>
                <w:szCs w:val="21"/>
              </w:rPr>
              <w:t>等池类</w:t>
            </w:r>
            <w:proofErr w:type="gramEnd"/>
            <w:r>
              <w:rPr>
                <w:rFonts w:ascii="宋体" w:hAnsi="宋体" w:hint="eastAsia"/>
                <w:sz w:val="21"/>
                <w:szCs w:val="21"/>
              </w:rPr>
              <w:t>。</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厂内有消防水池、循环水池</w:t>
            </w:r>
            <w:proofErr w:type="gramStart"/>
            <w:r>
              <w:rPr>
                <w:rFonts w:ascii="宋体" w:hAnsi="宋体"/>
                <w:color w:val="auto"/>
                <w:spacing w:val="20"/>
                <w:kern w:val="2"/>
                <w:sz w:val="21"/>
                <w:szCs w:val="21"/>
              </w:rPr>
              <w:t>等池类</w:t>
            </w:r>
            <w:proofErr w:type="gramEnd"/>
            <w:r>
              <w:rPr>
                <w:rFonts w:ascii="宋体" w:hAnsi="宋体"/>
                <w:color w:val="auto"/>
                <w:spacing w:val="20"/>
                <w:kern w:val="2"/>
                <w:sz w:val="21"/>
                <w:szCs w:val="21"/>
              </w:rPr>
              <w:t>，若池边盖板、护栏等防护设施不全或失效，可能导致人员不慎跌落发生淹溺事故。</w:t>
            </w:r>
          </w:p>
        </w:tc>
      </w:tr>
      <w:tr w:rsidR="003F13AB">
        <w:tc>
          <w:tcPr>
            <w:tcW w:w="381" w:type="pct"/>
            <w:vAlign w:val="center"/>
          </w:tcPr>
          <w:p w:rsidR="003F13AB" w:rsidRDefault="00EC6E7E">
            <w:pPr>
              <w:spacing w:line="240" w:lineRule="auto"/>
              <w:ind w:firstLineChars="0" w:firstLine="0"/>
              <w:jc w:val="center"/>
              <w:rPr>
                <w:rFonts w:ascii="宋体" w:hAnsi="宋体"/>
                <w:color w:val="auto"/>
                <w:spacing w:val="20"/>
                <w:sz w:val="21"/>
                <w:szCs w:val="21"/>
              </w:rPr>
            </w:pPr>
            <w:r>
              <w:rPr>
                <w:rFonts w:ascii="宋体" w:hAnsi="宋体" w:hint="eastAsia"/>
                <w:color w:val="auto"/>
                <w:spacing w:val="20"/>
                <w:sz w:val="21"/>
                <w:szCs w:val="21"/>
              </w:rPr>
              <w:t>13</w:t>
            </w:r>
          </w:p>
        </w:tc>
        <w:tc>
          <w:tcPr>
            <w:tcW w:w="616" w:type="pct"/>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噪声</w:t>
            </w:r>
          </w:p>
        </w:tc>
        <w:tc>
          <w:tcPr>
            <w:tcW w:w="1399" w:type="pct"/>
            <w:vAlign w:val="center"/>
          </w:tcPr>
          <w:p w:rsidR="003F13AB" w:rsidRDefault="00EC6E7E">
            <w:pPr>
              <w:spacing w:line="240" w:lineRule="auto"/>
              <w:ind w:firstLineChars="0" w:firstLine="0"/>
              <w:rPr>
                <w:rFonts w:ascii="宋体" w:hAnsi="宋体"/>
                <w:color w:val="auto"/>
                <w:sz w:val="21"/>
                <w:szCs w:val="21"/>
                <w:lang w:eastAsia="zh-Hans"/>
              </w:rPr>
            </w:pPr>
            <w:r>
              <w:rPr>
                <w:rFonts w:ascii="宋体" w:hAnsi="宋体" w:hint="eastAsia"/>
                <w:color w:val="auto"/>
                <w:spacing w:val="20"/>
                <w:sz w:val="21"/>
                <w:szCs w:val="21"/>
              </w:rPr>
              <w:t>空压机、斗提机</w:t>
            </w:r>
            <w:r>
              <w:rPr>
                <w:rFonts w:ascii="宋体" w:hAnsi="宋体"/>
                <w:color w:val="auto"/>
                <w:spacing w:val="20"/>
                <w:sz w:val="21"/>
                <w:szCs w:val="21"/>
              </w:rPr>
              <w:t>、破碎机、运输皮带、锅炉、热风炉、风机、各类泵等设备周围。</w:t>
            </w:r>
          </w:p>
        </w:tc>
        <w:tc>
          <w:tcPr>
            <w:tcW w:w="2604" w:type="pct"/>
            <w:vAlign w:val="center"/>
          </w:tcPr>
          <w:p w:rsidR="003F13AB" w:rsidRDefault="00EC6E7E">
            <w:pPr>
              <w:pStyle w:val="Default1"/>
              <w:rPr>
                <w:rFonts w:ascii="宋体" w:hAnsi="宋体" w:hint="default"/>
                <w:color w:val="auto"/>
                <w:spacing w:val="20"/>
                <w:kern w:val="2"/>
                <w:sz w:val="21"/>
                <w:szCs w:val="21"/>
              </w:rPr>
            </w:pPr>
            <w:r>
              <w:rPr>
                <w:rFonts w:ascii="宋体" w:hAnsi="宋体"/>
                <w:color w:val="auto"/>
                <w:spacing w:val="20"/>
                <w:kern w:val="2"/>
                <w:sz w:val="21"/>
                <w:szCs w:val="21"/>
              </w:rPr>
              <w:t>项目的噪声主要来源于空压机、斗提机、破碎机、运输皮带、锅炉、热风炉、风机、各类泵等设备运转时产生的噪声。</w:t>
            </w:r>
          </w:p>
        </w:tc>
      </w:tr>
    </w:tbl>
    <w:p w:rsidR="003F13AB" w:rsidRDefault="003F13AB">
      <w:pPr>
        <w:pStyle w:val="Default1"/>
        <w:rPr>
          <w:rFonts w:hint="default"/>
        </w:rPr>
      </w:pPr>
    </w:p>
    <w:p w:rsidR="003F13AB" w:rsidRDefault="00EC6E7E">
      <w:pPr>
        <w:pStyle w:val="2"/>
      </w:pPr>
      <w:bookmarkStart w:id="281" w:name="_Toc166857608"/>
      <w:bookmarkStart w:id="282" w:name="_Toc187914487"/>
      <w:r>
        <w:rPr>
          <w:rFonts w:hint="eastAsia"/>
        </w:rPr>
        <w:lastRenderedPageBreak/>
        <w:t>2.12 危险化学品重大危险源辨识</w:t>
      </w:r>
      <w:bookmarkEnd w:id="281"/>
      <w:bookmarkEnd w:id="282"/>
    </w:p>
    <w:p w:rsidR="003F13AB" w:rsidRDefault="00EC6E7E">
      <w:pPr>
        <w:ind w:firstLine="560"/>
        <w:rPr>
          <w:color w:val="auto"/>
        </w:rPr>
      </w:pPr>
      <w:r>
        <w:rPr>
          <w:rFonts w:hint="eastAsia"/>
          <w:color w:val="auto"/>
        </w:rPr>
        <w:t>根据《危险化学品重大危险源辨识》（</w:t>
      </w:r>
      <w:r>
        <w:rPr>
          <w:rFonts w:hint="eastAsia"/>
          <w:color w:val="auto"/>
        </w:rPr>
        <w:t>GB18218-2018</w:t>
      </w:r>
      <w:r>
        <w:rPr>
          <w:rFonts w:hint="eastAsia"/>
          <w:color w:val="auto"/>
        </w:rPr>
        <w:t>）辨识。</w:t>
      </w:r>
    </w:p>
    <w:p w:rsidR="003F13AB" w:rsidRDefault="00EC6E7E">
      <w:pPr>
        <w:ind w:firstLine="560"/>
        <w:rPr>
          <w:color w:val="auto"/>
        </w:rPr>
      </w:pPr>
      <w:r>
        <w:rPr>
          <w:color w:val="auto"/>
        </w:rPr>
        <w:t>（</w:t>
      </w:r>
      <w:r>
        <w:rPr>
          <w:color w:val="auto"/>
        </w:rPr>
        <w:t>1</w:t>
      </w:r>
      <w:r>
        <w:rPr>
          <w:color w:val="auto"/>
        </w:rPr>
        <w:t>）辨识的依据、方法</w:t>
      </w:r>
    </w:p>
    <w:p w:rsidR="003F13AB" w:rsidRDefault="00EC6E7E">
      <w:pPr>
        <w:ind w:firstLine="560"/>
        <w:rPr>
          <w:color w:val="auto"/>
        </w:rPr>
      </w:pPr>
      <w:r>
        <w:rPr>
          <w:rFonts w:hint="eastAsia"/>
          <w:color w:val="auto"/>
        </w:rPr>
        <w:t>危险化学品重大危险源是指长期地或</w:t>
      </w:r>
      <w:proofErr w:type="gramStart"/>
      <w:r>
        <w:rPr>
          <w:rFonts w:hint="eastAsia"/>
          <w:color w:val="auto"/>
        </w:rPr>
        <w:t>临时地</w:t>
      </w:r>
      <w:proofErr w:type="gramEnd"/>
      <w:r>
        <w:rPr>
          <w:rFonts w:hint="eastAsia"/>
          <w:color w:val="auto"/>
        </w:rPr>
        <w:t>生产、储存、使用和经营危险化学品，且危险化学品的数量等于或超过临界量的单元。</w:t>
      </w:r>
    </w:p>
    <w:p w:rsidR="003F13AB" w:rsidRDefault="00EC6E7E">
      <w:pPr>
        <w:ind w:firstLine="560"/>
        <w:rPr>
          <w:color w:val="auto"/>
        </w:rPr>
      </w:pPr>
      <w:r>
        <w:rPr>
          <w:rFonts w:hint="eastAsia"/>
          <w:color w:val="auto"/>
        </w:rPr>
        <w:t>危险化学品应依据其危险特性及其数量进行重大危险源辨识，具体见表</w:t>
      </w:r>
      <w:r>
        <w:rPr>
          <w:rFonts w:hint="eastAsia"/>
          <w:color w:val="auto"/>
        </w:rPr>
        <w:t>1</w:t>
      </w:r>
      <w:r>
        <w:rPr>
          <w:rFonts w:hint="eastAsia"/>
          <w:color w:val="auto"/>
        </w:rPr>
        <w:t>和表</w:t>
      </w:r>
      <w:r>
        <w:rPr>
          <w:rFonts w:hint="eastAsia"/>
          <w:color w:val="auto"/>
        </w:rPr>
        <w:t>2</w:t>
      </w:r>
      <w:r>
        <w:rPr>
          <w:rFonts w:hint="eastAsia"/>
          <w:color w:val="auto"/>
        </w:rPr>
        <w:t>。危险化学品的纯物质及其混合物应按</w:t>
      </w:r>
      <w:r>
        <w:rPr>
          <w:rFonts w:hint="eastAsia"/>
          <w:color w:val="auto"/>
        </w:rPr>
        <w:t>GB30000.2</w:t>
      </w:r>
      <w:r>
        <w:rPr>
          <w:rFonts w:hint="eastAsia"/>
          <w:color w:val="auto"/>
        </w:rPr>
        <w:t>、</w:t>
      </w:r>
      <w:r>
        <w:rPr>
          <w:rFonts w:hint="eastAsia"/>
          <w:color w:val="auto"/>
        </w:rPr>
        <w:t>GB30000.3</w:t>
      </w:r>
      <w:r>
        <w:rPr>
          <w:rFonts w:hint="eastAsia"/>
          <w:color w:val="auto"/>
        </w:rPr>
        <w:t>、</w:t>
      </w:r>
      <w:r>
        <w:rPr>
          <w:rFonts w:hint="eastAsia"/>
          <w:color w:val="auto"/>
        </w:rPr>
        <w:t>GB30000.4</w:t>
      </w:r>
      <w:r>
        <w:rPr>
          <w:rFonts w:hint="eastAsia"/>
          <w:color w:val="auto"/>
        </w:rPr>
        <w:t>、</w:t>
      </w:r>
      <w:r>
        <w:rPr>
          <w:rFonts w:hint="eastAsia"/>
          <w:color w:val="auto"/>
        </w:rPr>
        <w:t>GB30000.5</w:t>
      </w:r>
      <w:r>
        <w:rPr>
          <w:rFonts w:hint="eastAsia"/>
          <w:color w:val="auto"/>
        </w:rPr>
        <w:t>、</w:t>
      </w:r>
      <w:r>
        <w:rPr>
          <w:rFonts w:hint="eastAsia"/>
          <w:color w:val="auto"/>
        </w:rPr>
        <w:t>GB30000.7</w:t>
      </w:r>
      <w:r>
        <w:rPr>
          <w:rFonts w:hint="eastAsia"/>
          <w:color w:val="auto"/>
        </w:rPr>
        <w:t>、</w:t>
      </w:r>
      <w:r>
        <w:rPr>
          <w:rFonts w:hint="eastAsia"/>
          <w:color w:val="auto"/>
        </w:rPr>
        <w:t>GB30000.8</w:t>
      </w:r>
      <w:r>
        <w:rPr>
          <w:rFonts w:hint="eastAsia"/>
          <w:color w:val="auto"/>
        </w:rPr>
        <w:t>、</w:t>
      </w:r>
      <w:r>
        <w:rPr>
          <w:rFonts w:hint="eastAsia"/>
          <w:color w:val="auto"/>
        </w:rPr>
        <w:t>GB30000.9</w:t>
      </w:r>
      <w:r>
        <w:rPr>
          <w:rFonts w:hint="eastAsia"/>
          <w:color w:val="auto"/>
        </w:rPr>
        <w:t>、</w:t>
      </w:r>
      <w:r>
        <w:rPr>
          <w:rFonts w:hint="eastAsia"/>
          <w:color w:val="auto"/>
        </w:rPr>
        <w:t>GB30000.10</w:t>
      </w:r>
      <w:r>
        <w:rPr>
          <w:rFonts w:hint="eastAsia"/>
          <w:color w:val="auto"/>
        </w:rPr>
        <w:t>、</w:t>
      </w:r>
      <w:r>
        <w:rPr>
          <w:rFonts w:hint="eastAsia"/>
          <w:color w:val="auto"/>
        </w:rPr>
        <w:t>GB30000.11</w:t>
      </w:r>
      <w:r>
        <w:rPr>
          <w:rFonts w:hint="eastAsia"/>
          <w:color w:val="auto"/>
        </w:rPr>
        <w:t>、</w:t>
      </w:r>
      <w:r>
        <w:rPr>
          <w:rFonts w:hint="eastAsia"/>
          <w:color w:val="auto"/>
        </w:rPr>
        <w:t>GB30000.12</w:t>
      </w:r>
      <w:r>
        <w:rPr>
          <w:rFonts w:hint="eastAsia"/>
          <w:color w:val="auto"/>
        </w:rPr>
        <w:t>、</w:t>
      </w:r>
      <w:r>
        <w:rPr>
          <w:rFonts w:hint="eastAsia"/>
          <w:color w:val="auto"/>
        </w:rPr>
        <w:t>GB30000.13</w:t>
      </w:r>
      <w:r>
        <w:rPr>
          <w:rFonts w:hint="eastAsia"/>
          <w:color w:val="auto"/>
        </w:rPr>
        <w:t>、</w:t>
      </w:r>
      <w:r>
        <w:rPr>
          <w:rFonts w:hint="eastAsia"/>
          <w:color w:val="auto"/>
        </w:rPr>
        <w:t>GB30000.14</w:t>
      </w:r>
      <w:r>
        <w:rPr>
          <w:rFonts w:hint="eastAsia"/>
          <w:color w:val="auto"/>
        </w:rPr>
        <w:t>、</w:t>
      </w:r>
      <w:r>
        <w:rPr>
          <w:rFonts w:hint="eastAsia"/>
          <w:color w:val="auto"/>
        </w:rPr>
        <w:t>GB30000.15</w:t>
      </w:r>
      <w:r>
        <w:rPr>
          <w:rFonts w:hint="eastAsia"/>
          <w:color w:val="auto"/>
        </w:rPr>
        <w:t>、</w:t>
      </w:r>
      <w:r>
        <w:rPr>
          <w:rFonts w:hint="eastAsia"/>
          <w:color w:val="auto"/>
        </w:rPr>
        <w:t>GB30000.16</w:t>
      </w:r>
      <w:r>
        <w:rPr>
          <w:rFonts w:hint="eastAsia"/>
          <w:color w:val="auto"/>
        </w:rPr>
        <w:t>、</w:t>
      </w:r>
      <w:r>
        <w:rPr>
          <w:rFonts w:hint="eastAsia"/>
          <w:color w:val="auto"/>
        </w:rPr>
        <w:t>GB30000.18</w:t>
      </w:r>
      <w:r>
        <w:rPr>
          <w:rFonts w:hint="eastAsia"/>
          <w:color w:val="auto"/>
        </w:rPr>
        <w:t>的规定进行分类。危险化学品重大危险源可分为生产单元危险化学品重大危险源和储存单元危险化学品重大危险源。</w:t>
      </w:r>
    </w:p>
    <w:p w:rsidR="003F13AB" w:rsidRDefault="00EC6E7E">
      <w:pPr>
        <w:ind w:firstLine="560"/>
        <w:rPr>
          <w:color w:val="auto"/>
        </w:rPr>
      </w:pPr>
      <w:r>
        <w:rPr>
          <w:rFonts w:hint="eastAsia"/>
          <w:color w:val="auto"/>
        </w:rPr>
        <w:t>生产单元、储存单元内存在的危险化学品的数量等于或超过《危险化学品重大危险源辨识》</w:t>
      </w:r>
      <w:r>
        <w:rPr>
          <w:rFonts w:hint="eastAsia"/>
          <w:color w:val="auto"/>
        </w:rPr>
        <w:t>GB18218-2018</w:t>
      </w:r>
      <w:r>
        <w:rPr>
          <w:rFonts w:hint="eastAsia"/>
          <w:color w:val="auto"/>
        </w:rPr>
        <w:t>表</w:t>
      </w:r>
      <w:r>
        <w:rPr>
          <w:rFonts w:hint="eastAsia"/>
          <w:color w:val="auto"/>
        </w:rPr>
        <w:t>1</w:t>
      </w:r>
      <w:r>
        <w:rPr>
          <w:rFonts w:hint="eastAsia"/>
          <w:color w:val="auto"/>
        </w:rPr>
        <w:t>、表</w:t>
      </w:r>
      <w:r>
        <w:rPr>
          <w:rFonts w:hint="eastAsia"/>
          <w:color w:val="auto"/>
        </w:rPr>
        <w:t>2</w:t>
      </w:r>
      <w:r>
        <w:rPr>
          <w:rFonts w:hint="eastAsia"/>
          <w:color w:val="auto"/>
        </w:rPr>
        <w:t>规定的临界量，即被定义为重大危险源。单元内存在的危险化学品的数量根据危险化学品种类的多少区分为以下两种情况：</w:t>
      </w:r>
    </w:p>
    <w:p w:rsidR="003F13AB" w:rsidRDefault="00EC6E7E">
      <w:pPr>
        <w:ind w:firstLine="560"/>
        <w:rPr>
          <w:color w:val="auto"/>
        </w:rPr>
      </w:pPr>
      <w:r>
        <w:rPr>
          <w:rFonts w:hint="eastAsia"/>
          <w:color w:val="auto"/>
        </w:rPr>
        <w:t>1</w:t>
      </w:r>
      <w:r>
        <w:rPr>
          <w:color w:val="auto"/>
        </w:rPr>
        <w:t>）</w:t>
      </w:r>
      <w:r>
        <w:rPr>
          <w:rFonts w:hint="eastAsia"/>
          <w:color w:val="auto"/>
        </w:rPr>
        <w:t>生产单元、储存单元内存在的危险化学品为单一品种时，该危险化学品的数量即为单元</w:t>
      </w:r>
      <w:proofErr w:type="gramStart"/>
      <w:r>
        <w:rPr>
          <w:rFonts w:hint="eastAsia"/>
          <w:color w:val="auto"/>
        </w:rPr>
        <w:t>内危险</w:t>
      </w:r>
      <w:proofErr w:type="gramEnd"/>
      <w:r>
        <w:rPr>
          <w:rFonts w:hint="eastAsia"/>
          <w:color w:val="auto"/>
        </w:rPr>
        <w:t>化学品的总量，若等于或超过相应的临界量，则定义为重大危险源。</w:t>
      </w:r>
    </w:p>
    <w:p w:rsidR="003F13AB" w:rsidRDefault="00EC6E7E">
      <w:pPr>
        <w:ind w:firstLine="560"/>
        <w:rPr>
          <w:color w:val="auto"/>
        </w:rPr>
      </w:pPr>
      <w:r>
        <w:rPr>
          <w:rFonts w:hint="eastAsia"/>
          <w:color w:val="auto"/>
        </w:rPr>
        <w:t>2</w:t>
      </w:r>
      <w:r>
        <w:rPr>
          <w:color w:val="auto"/>
        </w:rPr>
        <w:t>）</w:t>
      </w:r>
      <w:r>
        <w:rPr>
          <w:rFonts w:hint="eastAsia"/>
          <w:color w:val="auto"/>
        </w:rPr>
        <w:t>生产单元、储存单元内存在的危险化学品为多品种时，按下式进行计算，若满足公式，则定义为重大危险源</w:t>
      </w:r>
      <w:r>
        <w:rPr>
          <w:color w:val="auto"/>
        </w:rPr>
        <w:t>：</w:t>
      </w:r>
    </w:p>
    <w:p w:rsidR="003F13AB" w:rsidRDefault="00EC6E7E">
      <w:pPr>
        <w:adjustRightInd/>
        <w:ind w:firstLine="560"/>
        <w:rPr>
          <w:rFonts w:ascii="宋体" w:hAnsi="宋体" w:cs="宋体"/>
          <w:color w:val="auto"/>
          <w:szCs w:val="28"/>
        </w:rPr>
      </w:pPr>
      <w:r>
        <w:rPr>
          <w:rFonts w:ascii="宋体" w:hAnsi="宋体" w:cs="宋体" w:hint="eastAsia"/>
          <w:color w:val="auto"/>
          <w:szCs w:val="28"/>
        </w:rPr>
        <w:t>S=</w:t>
      </w:r>
      <w:r>
        <w:rPr>
          <w:rFonts w:ascii="宋体" w:hAnsi="宋体" w:cs="宋体"/>
          <w:color w:val="auto"/>
          <w:szCs w:val="28"/>
        </w:rPr>
        <w:t>q</w:t>
      </w:r>
      <w:r>
        <w:rPr>
          <w:rFonts w:ascii="宋体" w:hAnsi="宋体" w:cs="宋体"/>
          <w:color w:val="auto"/>
          <w:szCs w:val="28"/>
          <w:vertAlign w:val="subscript"/>
        </w:rPr>
        <w:t>1</w:t>
      </w:r>
      <w:r>
        <w:rPr>
          <w:rFonts w:ascii="宋体" w:hAnsi="宋体" w:cs="宋体"/>
          <w:color w:val="auto"/>
          <w:szCs w:val="28"/>
        </w:rPr>
        <w:t>/Q</w:t>
      </w:r>
      <w:r>
        <w:rPr>
          <w:rFonts w:ascii="宋体" w:hAnsi="宋体" w:cs="宋体"/>
          <w:color w:val="auto"/>
          <w:szCs w:val="28"/>
          <w:vertAlign w:val="subscript"/>
        </w:rPr>
        <w:t xml:space="preserve">1 </w:t>
      </w:r>
      <w:r>
        <w:rPr>
          <w:rFonts w:ascii="宋体" w:hAnsi="宋体" w:cs="宋体"/>
          <w:color w:val="auto"/>
          <w:szCs w:val="28"/>
        </w:rPr>
        <w:t>+ q</w:t>
      </w:r>
      <w:r>
        <w:rPr>
          <w:rFonts w:ascii="宋体" w:hAnsi="宋体" w:cs="宋体"/>
          <w:color w:val="auto"/>
          <w:szCs w:val="28"/>
          <w:vertAlign w:val="subscript"/>
        </w:rPr>
        <w:t>2</w:t>
      </w:r>
      <w:r>
        <w:rPr>
          <w:rFonts w:ascii="宋体" w:hAnsi="宋体" w:cs="宋体"/>
          <w:color w:val="auto"/>
          <w:szCs w:val="28"/>
        </w:rPr>
        <w:t>/Q</w:t>
      </w:r>
      <w:r>
        <w:rPr>
          <w:rFonts w:ascii="宋体" w:hAnsi="宋体" w:cs="宋体"/>
          <w:color w:val="auto"/>
          <w:szCs w:val="28"/>
          <w:vertAlign w:val="subscript"/>
        </w:rPr>
        <w:t xml:space="preserve">2 </w:t>
      </w:r>
      <w:r>
        <w:rPr>
          <w:rFonts w:ascii="宋体" w:hAnsi="宋体" w:cs="宋体"/>
          <w:color w:val="auto"/>
          <w:szCs w:val="28"/>
        </w:rPr>
        <w:t>+ … + q</w:t>
      </w:r>
      <w:r>
        <w:rPr>
          <w:rFonts w:ascii="宋体" w:hAnsi="宋体" w:cs="宋体"/>
          <w:color w:val="auto"/>
          <w:szCs w:val="28"/>
          <w:vertAlign w:val="subscript"/>
        </w:rPr>
        <w:t>n</w:t>
      </w:r>
      <w:r>
        <w:rPr>
          <w:rFonts w:ascii="宋体" w:hAnsi="宋体" w:cs="宋体"/>
          <w:color w:val="auto"/>
          <w:szCs w:val="28"/>
        </w:rPr>
        <w:t>/Q</w:t>
      </w:r>
      <w:r>
        <w:rPr>
          <w:rFonts w:ascii="宋体" w:hAnsi="宋体" w:cs="宋体"/>
          <w:color w:val="auto"/>
          <w:szCs w:val="28"/>
          <w:vertAlign w:val="subscript"/>
        </w:rPr>
        <w:t>n</w:t>
      </w:r>
      <w:r>
        <w:rPr>
          <w:rFonts w:ascii="宋体" w:hAnsi="宋体" w:cs="宋体"/>
          <w:color w:val="auto"/>
          <w:szCs w:val="28"/>
        </w:rPr>
        <w:t xml:space="preserve"> ≥1  </w:t>
      </w:r>
    </w:p>
    <w:p w:rsidR="003F13AB" w:rsidRDefault="00EC6E7E">
      <w:pPr>
        <w:adjustRightInd/>
        <w:ind w:firstLine="560"/>
        <w:rPr>
          <w:rFonts w:ascii="宋体" w:hAnsi="宋体" w:cs="宋体"/>
          <w:color w:val="auto"/>
          <w:szCs w:val="28"/>
        </w:rPr>
      </w:pPr>
      <w:r>
        <w:rPr>
          <w:rFonts w:ascii="宋体" w:hAnsi="宋体" w:cs="宋体"/>
          <w:color w:val="auto"/>
          <w:szCs w:val="28"/>
        </w:rPr>
        <w:t>式中：</w:t>
      </w:r>
    </w:p>
    <w:p w:rsidR="003F13AB" w:rsidRDefault="00EC6E7E">
      <w:pPr>
        <w:adjustRightInd/>
        <w:ind w:firstLine="560"/>
        <w:rPr>
          <w:rFonts w:ascii="宋体" w:hAnsi="宋体" w:cs="宋体"/>
          <w:color w:val="auto"/>
          <w:szCs w:val="28"/>
        </w:rPr>
      </w:pPr>
      <w:r>
        <w:rPr>
          <w:rFonts w:ascii="宋体" w:hAnsi="宋体" w:cs="宋体" w:hint="eastAsia"/>
          <w:color w:val="auto"/>
          <w:szCs w:val="28"/>
        </w:rPr>
        <w:t xml:space="preserve">S  </w:t>
      </w:r>
      <w:r>
        <w:rPr>
          <w:rFonts w:ascii="宋体" w:hAnsi="宋体" w:cs="宋体"/>
          <w:color w:val="auto"/>
          <w:szCs w:val="28"/>
        </w:rPr>
        <w:t>——</w:t>
      </w:r>
      <w:proofErr w:type="gramStart"/>
      <w:r>
        <w:rPr>
          <w:rFonts w:ascii="宋体" w:hAnsi="宋体" w:cs="宋体"/>
          <w:color w:val="auto"/>
          <w:szCs w:val="28"/>
        </w:rPr>
        <w:t>—————</w:t>
      </w:r>
      <w:proofErr w:type="gramEnd"/>
      <w:r>
        <w:rPr>
          <w:rFonts w:ascii="宋体" w:hAnsi="宋体" w:cs="宋体" w:hint="eastAsia"/>
          <w:color w:val="auto"/>
          <w:szCs w:val="28"/>
        </w:rPr>
        <w:t>辨识指标；</w:t>
      </w:r>
    </w:p>
    <w:p w:rsidR="003F13AB" w:rsidRDefault="00EC6E7E">
      <w:pPr>
        <w:adjustRightInd/>
        <w:ind w:firstLine="560"/>
        <w:rPr>
          <w:rFonts w:ascii="宋体" w:hAnsi="宋体" w:cs="宋体"/>
          <w:color w:val="auto"/>
          <w:szCs w:val="28"/>
        </w:rPr>
      </w:pPr>
      <w:r>
        <w:rPr>
          <w:rFonts w:ascii="宋体" w:hAnsi="宋体" w:cs="宋体"/>
          <w:color w:val="auto"/>
          <w:szCs w:val="28"/>
        </w:rPr>
        <w:t>q</w:t>
      </w:r>
      <w:r>
        <w:rPr>
          <w:rFonts w:ascii="宋体" w:hAnsi="宋体" w:cs="宋体"/>
          <w:color w:val="auto"/>
          <w:szCs w:val="28"/>
          <w:vertAlign w:val="subscript"/>
        </w:rPr>
        <w:t>1</w:t>
      </w:r>
      <w:proofErr w:type="gramStart"/>
      <w:r>
        <w:rPr>
          <w:rFonts w:ascii="宋体" w:hAnsi="宋体" w:cs="宋体"/>
          <w:color w:val="auto"/>
          <w:szCs w:val="28"/>
        </w:rPr>
        <w:t>,q</w:t>
      </w:r>
      <w:r>
        <w:rPr>
          <w:rFonts w:ascii="宋体" w:hAnsi="宋体" w:cs="宋体"/>
          <w:color w:val="auto"/>
          <w:szCs w:val="28"/>
          <w:vertAlign w:val="subscript"/>
        </w:rPr>
        <w:t>2</w:t>
      </w:r>
      <w:proofErr w:type="gramEnd"/>
      <w:r>
        <w:rPr>
          <w:rFonts w:ascii="宋体" w:hAnsi="宋体" w:cs="宋体"/>
          <w:color w:val="auto"/>
          <w:szCs w:val="28"/>
        </w:rPr>
        <w:t>,…,q</w:t>
      </w:r>
      <w:r>
        <w:rPr>
          <w:rFonts w:ascii="宋体" w:hAnsi="宋体" w:cs="宋体"/>
          <w:color w:val="auto"/>
          <w:szCs w:val="28"/>
          <w:vertAlign w:val="subscript"/>
        </w:rPr>
        <w:t>n</w:t>
      </w:r>
      <w:r>
        <w:rPr>
          <w:rFonts w:ascii="宋体" w:hAnsi="宋体" w:cs="宋体"/>
          <w:color w:val="auto"/>
          <w:szCs w:val="28"/>
        </w:rPr>
        <w:t xml:space="preserve"> ————每种危险化学品实际存在量，单位为吨（t）；</w:t>
      </w:r>
    </w:p>
    <w:p w:rsidR="003F13AB" w:rsidRDefault="00EC6E7E">
      <w:pPr>
        <w:adjustRightInd/>
        <w:ind w:firstLine="560"/>
        <w:rPr>
          <w:rFonts w:ascii="宋体" w:hAnsi="宋体" w:cs="宋体"/>
          <w:color w:val="auto"/>
          <w:szCs w:val="28"/>
        </w:rPr>
      </w:pPr>
      <w:r>
        <w:rPr>
          <w:rFonts w:ascii="宋体" w:hAnsi="宋体" w:cs="宋体"/>
          <w:color w:val="auto"/>
          <w:szCs w:val="28"/>
        </w:rPr>
        <w:t>Q</w:t>
      </w:r>
      <w:r>
        <w:rPr>
          <w:rFonts w:ascii="宋体" w:hAnsi="宋体" w:cs="宋体"/>
          <w:color w:val="auto"/>
          <w:szCs w:val="28"/>
          <w:vertAlign w:val="subscript"/>
        </w:rPr>
        <w:t>1</w:t>
      </w:r>
      <w:proofErr w:type="gramStart"/>
      <w:r>
        <w:rPr>
          <w:rFonts w:ascii="宋体" w:hAnsi="宋体" w:cs="宋体"/>
          <w:color w:val="auto"/>
          <w:szCs w:val="28"/>
        </w:rPr>
        <w:t>,Q</w:t>
      </w:r>
      <w:r>
        <w:rPr>
          <w:rFonts w:ascii="宋体" w:hAnsi="宋体" w:cs="宋体"/>
          <w:color w:val="auto"/>
          <w:szCs w:val="28"/>
          <w:vertAlign w:val="subscript"/>
        </w:rPr>
        <w:t>2</w:t>
      </w:r>
      <w:proofErr w:type="gramEnd"/>
      <w:r>
        <w:rPr>
          <w:rFonts w:ascii="宋体" w:hAnsi="宋体" w:cs="宋体"/>
          <w:color w:val="auto"/>
          <w:szCs w:val="28"/>
        </w:rPr>
        <w:t>,…,Q</w:t>
      </w:r>
      <w:r>
        <w:rPr>
          <w:rFonts w:ascii="宋体" w:hAnsi="宋体" w:cs="宋体"/>
          <w:color w:val="auto"/>
          <w:szCs w:val="28"/>
          <w:vertAlign w:val="subscript"/>
        </w:rPr>
        <w:t>n</w:t>
      </w:r>
      <w:r>
        <w:rPr>
          <w:rFonts w:ascii="宋体" w:hAnsi="宋体" w:cs="宋体"/>
          <w:color w:val="auto"/>
          <w:szCs w:val="28"/>
        </w:rPr>
        <w:t>————与各危险化学品相对应的临界量，单位为吨（t）。</w:t>
      </w:r>
    </w:p>
    <w:p w:rsidR="003F13AB" w:rsidRDefault="00EC6E7E">
      <w:pPr>
        <w:ind w:firstLine="560"/>
        <w:rPr>
          <w:color w:val="auto"/>
        </w:rPr>
      </w:pPr>
      <w:r>
        <w:rPr>
          <w:color w:val="auto"/>
        </w:rPr>
        <w:lastRenderedPageBreak/>
        <w:t>（</w:t>
      </w:r>
      <w:r>
        <w:rPr>
          <w:color w:val="auto"/>
        </w:rPr>
        <w:t>2</w:t>
      </w:r>
      <w:r>
        <w:rPr>
          <w:color w:val="auto"/>
        </w:rPr>
        <w:t>）辨识过程</w:t>
      </w:r>
    </w:p>
    <w:p w:rsidR="003F13AB" w:rsidRDefault="00EC6E7E">
      <w:pPr>
        <w:ind w:firstLine="560"/>
        <w:rPr>
          <w:color w:val="auto"/>
        </w:rPr>
      </w:pPr>
      <w:r>
        <w:rPr>
          <w:rFonts w:hint="eastAsia"/>
          <w:color w:val="auto"/>
        </w:rPr>
        <w:t>公司生产过程涉及的危险化学品中锅炉、热风炉使用的天然气以及柴油发电机使用的柴油在重大危险源辨识范围内。</w:t>
      </w:r>
    </w:p>
    <w:p w:rsidR="003F13AB" w:rsidRDefault="00EC6E7E">
      <w:pPr>
        <w:ind w:firstLine="560"/>
        <w:rPr>
          <w:color w:val="auto"/>
        </w:rPr>
      </w:pPr>
      <w:r>
        <w:rPr>
          <w:rFonts w:hint="eastAsia"/>
          <w:color w:val="auto"/>
        </w:rPr>
        <w:t>厂内天然气仅存在于调压站、天然气管道和燃烧器内，为一个生产单元，总量约为</w:t>
      </w:r>
      <w:r>
        <w:rPr>
          <w:rFonts w:hint="eastAsia"/>
          <w:color w:val="auto"/>
        </w:rPr>
        <w:t>40kg</w:t>
      </w:r>
      <w:r>
        <w:rPr>
          <w:rFonts w:hint="eastAsia"/>
          <w:color w:val="auto"/>
        </w:rPr>
        <w:t>；厂内柴油仅存在于柴油发电机附属的柴油箱内，为一个储存单元，柴油箱体积为</w:t>
      </w:r>
      <w:r>
        <w:rPr>
          <w:rFonts w:hint="eastAsia"/>
          <w:color w:val="auto"/>
        </w:rPr>
        <w:t>1m</w:t>
      </w:r>
      <w:r>
        <w:rPr>
          <w:rFonts w:hint="eastAsia"/>
          <w:color w:val="auto"/>
          <w:vertAlign w:val="superscript"/>
        </w:rPr>
        <w:t>3</w:t>
      </w:r>
      <w:r>
        <w:rPr>
          <w:rFonts w:hint="eastAsia"/>
          <w:color w:val="auto"/>
        </w:rPr>
        <w:t>，故储存的柴油量约为</w:t>
      </w:r>
      <w:r>
        <w:rPr>
          <w:rFonts w:hint="eastAsia"/>
          <w:color w:val="auto"/>
        </w:rPr>
        <w:t>0.8t</w:t>
      </w:r>
      <w:r>
        <w:rPr>
          <w:rFonts w:hint="eastAsia"/>
          <w:color w:val="auto"/>
        </w:rPr>
        <w:t>。</w:t>
      </w:r>
    </w:p>
    <w:p w:rsidR="003F13AB" w:rsidRDefault="00EC6E7E">
      <w:pPr>
        <w:ind w:firstLine="560"/>
        <w:rPr>
          <w:color w:val="auto"/>
        </w:rPr>
      </w:pPr>
      <w:r>
        <w:rPr>
          <w:rFonts w:hint="eastAsia"/>
          <w:color w:val="auto"/>
        </w:rPr>
        <w:t>根据《危险化学品重大危险源辨识》（</w:t>
      </w:r>
      <w:r>
        <w:rPr>
          <w:rFonts w:hint="eastAsia"/>
          <w:color w:val="auto"/>
        </w:rPr>
        <w:t>GB18218-2018</w:t>
      </w:r>
      <w:r>
        <w:rPr>
          <w:rFonts w:hint="eastAsia"/>
          <w:color w:val="auto"/>
        </w:rPr>
        <w:t>）规定，天然气临界量为</w:t>
      </w:r>
      <w:r>
        <w:rPr>
          <w:rFonts w:hint="eastAsia"/>
          <w:color w:val="auto"/>
        </w:rPr>
        <w:t>50t</w:t>
      </w:r>
      <w:r>
        <w:rPr>
          <w:rFonts w:hint="eastAsia"/>
          <w:color w:val="auto"/>
        </w:rPr>
        <w:t>，公司生产单元天然气存在量远小于</w:t>
      </w:r>
      <w:r>
        <w:rPr>
          <w:rFonts w:hint="eastAsia"/>
          <w:color w:val="auto"/>
        </w:rPr>
        <w:t>50t</w:t>
      </w:r>
      <w:r>
        <w:rPr>
          <w:rFonts w:hint="eastAsia"/>
          <w:color w:val="auto"/>
        </w:rPr>
        <w:t>；柴油临界量为</w:t>
      </w:r>
      <w:r>
        <w:rPr>
          <w:rFonts w:hint="eastAsia"/>
          <w:color w:val="auto"/>
        </w:rPr>
        <w:t>5000t</w:t>
      </w:r>
      <w:r>
        <w:rPr>
          <w:rFonts w:hint="eastAsia"/>
          <w:color w:val="auto"/>
        </w:rPr>
        <w:t>，公司储存单元柴油存在量远小于</w:t>
      </w:r>
      <w:r>
        <w:rPr>
          <w:rFonts w:hint="eastAsia"/>
          <w:color w:val="auto"/>
        </w:rPr>
        <w:t>5000t</w:t>
      </w:r>
      <w:r>
        <w:rPr>
          <w:rFonts w:hint="eastAsia"/>
          <w:color w:val="auto"/>
        </w:rPr>
        <w:t>。</w:t>
      </w:r>
    </w:p>
    <w:p w:rsidR="003F13AB" w:rsidRDefault="00EC6E7E">
      <w:pPr>
        <w:ind w:firstLine="560"/>
        <w:rPr>
          <w:color w:val="auto"/>
        </w:rPr>
      </w:pPr>
      <w:r>
        <w:rPr>
          <w:rFonts w:hint="eastAsia"/>
          <w:color w:val="auto"/>
        </w:rPr>
        <w:t>（</w:t>
      </w:r>
      <w:r>
        <w:rPr>
          <w:rFonts w:hint="eastAsia"/>
          <w:color w:val="auto"/>
        </w:rPr>
        <w:t>3</w:t>
      </w:r>
      <w:r>
        <w:rPr>
          <w:rFonts w:hint="eastAsia"/>
          <w:color w:val="auto"/>
        </w:rPr>
        <w:t>）重大危险源辨识结果</w:t>
      </w:r>
    </w:p>
    <w:p w:rsidR="003F13AB" w:rsidRDefault="00EC6E7E">
      <w:pPr>
        <w:ind w:firstLine="560"/>
        <w:rPr>
          <w:szCs w:val="28"/>
        </w:rPr>
      </w:pPr>
      <w:r>
        <w:rPr>
          <w:rFonts w:hint="eastAsia"/>
          <w:color w:val="auto"/>
        </w:rPr>
        <w:t>公司存在危险化学品重大危险源辨识范围内的一个的生产单元（天然气配送系统）和一个储存单元（柴油箱），该生产单元和储存单元均</w:t>
      </w:r>
      <w:r>
        <w:rPr>
          <w:rFonts w:ascii="宋体" w:hAnsi="宋体"/>
          <w:b/>
          <w:szCs w:val="28"/>
        </w:rPr>
        <w:t>未构成危险化学品重大危险源。</w:t>
      </w:r>
    </w:p>
    <w:p w:rsidR="003F13AB" w:rsidRDefault="00EC6E7E">
      <w:pPr>
        <w:pStyle w:val="2"/>
      </w:pPr>
      <w:bookmarkStart w:id="283" w:name="_Toc187914488"/>
      <w:bookmarkStart w:id="284" w:name="_Toc166857609"/>
      <w:r>
        <w:rPr>
          <w:rFonts w:hint="eastAsia"/>
        </w:rPr>
        <w:t>2.13 剧毒化学品、易制毒化学品和监控化学品、易制</w:t>
      </w:r>
      <w:proofErr w:type="gramStart"/>
      <w:r>
        <w:rPr>
          <w:rFonts w:hint="eastAsia"/>
        </w:rPr>
        <w:t>爆</w:t>
      </w:r>
      <w:proofErr w:type="gramEnd"/>
      <w:r>
        <w:rPr>
          <w:rFonts w:hint="eastAsia"/>
        </w:rPr>
        <w:t>危险化学品以及重点监管危险化学品辨识</w:t>
      </w:r>
      <w:bookmarkEnd w:id="283"/>
      <w:bookmarkEnd w:id="284"/>
    </w:p>
    <w:p w:rsidR="003F13AB" w:rsidRDefault="00EC6E7E">
      <w:pPr>
        <w:ind w:firstLine="560"/>
        <w:rPr>
          <w:color w:val="auto"/>
        </w:rPr>
      </w:pPr>
      <w:r>
        <w:rPr>
          <w:rFonts w:hint="eastAsia"/>
          <w:color w:val="auto"/>
        </w:rPr>
        <w:t>根据《危险化学品目录》（</w:t>
      </w:r>
      <w:r>
        <w:rPr>
          <w:rFonts w:hint="eastAsia"/>
          <w:color w:val="auto"/>
        </w:rPr>
        <w:t>2022</w:t>
      </w:r>
      <w:r>
        <w:rPr>
          <w:rFonts w:hint="eastAsia"/>
          <w:color w:val="auto"/>
        </w:rPr>
        <w:t>年调整版），本项目涉及的主要危险化学品为：天然气、柴油。</w:t>
      </w:r>
    </w:p>
    <w:p w:rsidR="003F13AB" w:rsidRDefault="00EC6E7E">
      <w:pPr>
        <w:ind w:firstLine="560"/>
        <w:rPr>
          <w:color w:val="auto"/>
        </w:rPr>
      </w:pPr>
      <w:r>
        <w:rPr>
          <w:rFonts w:hint="eastAsia"/>
          <w:color w:val="auto"/>
        </w:rPr>
        <w:t>根据《危险化学品目录》（</w:t>
      </w:r>
      <w:r>
        <w:rPr>
          <w:rFonts w:hint="eastAsia"/>
          <w:color w:val="auto"/>
        </w:rPr>
        <w:t>2022</w:t>
      </w:r>
      <w:r>
        <w:rPr>
          <w:rFonts w:hint="eastAsia"/>
          <w:color w:val="auto"/>
        </w:rPr>
        <w:t>年调整版）的相关规定，本项目不涉及剧毒化学品。</w:t>
      </w:r>
    </w:p>
    <w:p w:rsidR="003F13AB" w:rsidRDefault="00EC6E7E">
      <w:pPr>
        <w:ind w:firstLine="560"/>
        <w:rPr>
          <w:color w:val="auto"/>
        </w:rPr>
      </w:pPr>
      <w:r>
        <w:rPr>
          <w:rFonts w:hint="eastAsia"/>
          <w:color w:val="auto"/>
        </w:rPr>
        <w:t>根据《易制毒化学品管理条例》（中华人民共和国国务院令第</w:t>
      </w:r>
      <w:r>
        <w:rPr>
          <w:rFonts w:hint="eastAsia"/>
          <w:color w:val="auto"/>
        </w:rPr>
        <w:t>445</w:t>
      </w:r>
      <w:r>
        <w:rPr>
          <w:rFonts w:hint="eastAsia"/>
          <w:color w:val="auto"/>
        </w:rPr>
        <w:t>号，第</w:t>
      </w:r>
      <w:r>
        <w:rPr>
          <w:rFonts w:hint="eastAsia"/>
          <w:color w:val="auto"/>
        </w:rPr>
        <w:t>653</w:t>
      </w:r>
      <w:r>
        <w:rPr>
          <w:rFonts w:hint="eastAsia"/>
          <w:color w:val="auto"/>
        </w:rPr>
        <w:t>号第一次修订，第</w:t>
      </w:r>
      <w:r>
        <w:rPr>
          <w:rFonts w:hint="eastAsia"/>
          <w:color w:val="auto"/>
        </w:rPr>
        <w:t>666</w:t>
      </w:r>
      <w:r>
        <w:rPr>
          <w:rFonts w:hint="eastAsia"/>
          <w:color w:val="auto"/>
        </w:rPr>
        <w:t>号第二次修订，第</w:t>
      </w:r>
      <w:r>
        <w:rPr>
          <w:rFonts w:hint="eastAsia"/>
          <w:color w:val="auto"/>
        </w:rPr>
        <w:t>703</w:t>
      </w:r>
      <w:r>
        <w:rPr>
          <w:rFonts w:hint="eastAsia"/>
          <w:color w:val="auto"/>
        </w:rPr>
        <w:t>号第三次修订，</w:t>
      </w:r>
      <w:r>
        <w:rPr>
          <w:rFonts w:hint="eastAsia"/>
          <w:color w:val="auto"/>
        </w:rPr>
        <w:t>2018</w:t>
      </w:r>
      <w:r>
        <w:rPr>
          <w:rFonts w:hint="eastAsia"/>
          <w:color w:val="auto"/>
        </w:rPr>
        <w:t>年</w:t>
      </w:r>
      <w:r>
        <w:rPr>
          <w:rFonts w:hint="eastAsia"/>
          <w:color w:val="auto"/>
        </w:rPr>
        <w:t>9</w:t>
      </w:r>
      <w:r>
        <w:rPr>
          <w:rFonts w:hint="eastAsia"/>
          <w:color w:val="auto"/>
        </w:rPr>
        <w:t>月</w:t>
      </w:r>
      <w:r>
        <w:rPr>
          <w:rFonts w:hint="eastAsia"/>
          <w:color w:val="auto"/>
        </w:rPr>
        <w:t>18</w:t>
      </w:r>
      <w:r>
        <w:rPr>
          <w:rFonts w:hint="eastAsia"/>
          <w:color w:val="auto"/>
        </w:rPr>
        <w:t>日起施行）、《云南省易制毒特殊化学物品管理条例》</w:t>
      </w:r>
      <w:r>
        <w:rPr>
          <w:rFonts w:hint="eastAsia"/>
          <w:color w:val="auto"/>
        </w:rPr>
        <w:t>(</w:t>
      </w:r>
      <w:r>
        <w:rPr>
          <w:rFonts w:hint="eastAsia"/>
          <w:color w:val="auto"/>
        </w:rPr>
        <w:t>云南省人大常委会公告第</w:t>
      </w:r>
      <w:r>
        <w:rPr>
          <w:rFonts w:hint="eastAsia"/>
          <w:color w:val="auto"/>
        </w:rPr>
        <w:t>71</w:t>
      </w:r>
      <w:r>
        <w:rPr>
          <w:rFonts w:hint="eastAsia"/>
          <w:color w:val="auto"/>
        </w:rPr>
        <w:t>号</w:t>
      </w:r>
      <w:r>
        <w:rPr>
          <w:rFonts w:hint="eastAsia"/>
          <w:color w:val="auto"/>
        </w:rPr>
        <w:t>)</w:t>
      </w:r>
      <w:r>
        <w:rPr>
          <w:rFonts w:hint="eastAsia"/>
          <w:color w:val="auto"/>
        </w:rPr>
        <w:t>的相关规定，本项目不涉及易制毒化学品。</w:t>
      </w:r>
    </w:p>
    <w:p w:rsidR="003F13AB" w:rsidRDefault="00EC6E7E">
      <w:pPr>
        <w:ind w:firstLine="560"/>
        <w:rPr>
          <w:color w:val="auto"/>
        </w:rPr>
      </w:pPr>
      <w:r>
        <w:rPr>
          <w:rFonts w:hint="eastAsia"/>
          <w:color w:val="auto"/>
        </w:rPr>
        <w:t>根据《各类监控化学品名录》（中华人民共和国工业和信息化部令第</w:t>
      </w:r>
      <w:r>
        <w:rPr>
          <w:rFonts w:hint="eastAsia"/>
          <w:color w:val="auto"/>
        </w:rPr>
        <w:t>52</w:t>
      </w:r>
      <w:r>
        <w:rPr>
          <w:rFonts w:hint="eastAsia"/>
          <w:color w:val="auto"/>
        </w:rPr>
        <w:t>号）有关规定，本项目不涉及监控化学品。</w:t>
      </w:r>
    </w:p>
    <w:p w:rsidR="003F13AB" w:rsidRDefault="00EC6E7E">
      <w:pPr>
        <w:ind w:firstLine="560"/>
        <w:rPr>
          <w:color w:val="auto"/>
        </w:rPr>
      </w:pPr>
      <w:r>
        <w:rPr>
          <w:rFonts w:hint="eastAsia"/>
          <w:color w:val="auto"/>
        </w:rPr>
        <w:lastRenderedPageBreak/>
        <w:t>根据《特别管控危险化学品目录（第一版）》（应急管理部</w:t>
      </w:r>
      <w:r>
        <w:rPr>
          <w:rFonts w:hint="eastAsia"/>
          <w:color w:val="auto"/>
        </w:rPr>
        <w:t>2020</w:t>
      </w:r>
      <w:r>
        <w:rPr>
          <w:rFonts w:hint="eastAsia"/>
          <w:color w:val="auto"/>
        </w:rPr>
        <w:t>年第</w:t>
      </w:r>
      <w:r>
        <w:rPr>
          <w:rFonts w:hint="eastAsia"/>
          <w:color w:val="auto"/>
        </w:rPr>
        <w:t>1</w:t>
      </w:r>
      <w:r>
        <w:rPr>
          <w:rFonts w:hint="eastAsia"/>
          <w:color w:val="auto"/>
        </w:rPr>
        <w:t>号）的相关规定，本项目不涉及特别管</w:t>
      </w:r>
      <w:proofErr w:type="gramStart"/>
      <w:r>
        <w:rPr>
          <w:rFonts w:hint="eastAsia"/>
          <w:color w:val="auto"/>
        </w:rPr>
        <w:t>控危险</w:t>
      </w:r>
      <w:proofErr w:type="gramEnd"/>
      <w:r>
        <w:rPr>
          <w:rFonts w:hint="eastAsia"/>
          <w:color w:val="auto"/>
        </w:rPr>
        <w:t>化学品。</w:t>
      </w:r>
    </w:p>
    <w:p w:rsidR="003F13AB" w:rsidRDefault="00EC6E7E">
      <w:pPr>
        <w:ind w:firstLine="560"/>
        <w:rPr>
          <w:color w:val="auto"/>
        </w:rPr>
      </w:pPr>
      <w:r>
        <w:rPr>
          <w:rFonts w:hint="eastAsia"/>
          <w:color w:val="auto"/>
        </w:rPr>
        <w:t>根据《国家安全监管总局关于公布首批重点监管的危险化学品名录的通知》（安监总管三〔</w:t>
      </w:r>
      <w:r>
        <w:rPr>
          <w:rFonts w:hint="eastAsia"/>
          <w:color w:val="auto"/>
        </w:rPr>
        <w:t>2011</w:t>
      </w:r>
      <w:r>
        <w:rPr>
          <w:rFonts w:hint="eastAsia"/>
          <w:color w:val="auto"/>
        </w:rPr>
        <w:t>〕</w:t>
      </w:r>
      <w:r>
        <w:rPr>
          <w:rFonts w:hint="eastAsia"/>
          <w:color w:val="auto"/>
        </w:rPr>
        <w:t>95</w:t>
      </w:r>
      <w:r>
        <w:rPr>
          <w:rFonts w:hint="eastAsia"/>
          <w:color w:val="auto"/>
        </w:rPr>
        <w:t>号）和《国家安全监管总局关于公布第二批重点监管危险化学品名录的通知》，项目锅炉使用的燃料天然气被列入了《首批重点监管的危险化学品名录》，应采取相应措施并按照相关要求进行重点监管。</w:t>
      </w:r>
    </w:p>
    <w:p w:rsidR="003F13AB" w:rsidRDefault="00EC6E7E">
      <w:pPr>
        <w:ind w:firstLine="560"/>
        <w:rPr>
          <w:color w:val="auto"/>
        </w:rPr>
      </w:pPr>
      <w:r>
        <w:rPr>
          <w:rFonts w:hint="eastAsia"/>
          <w:color w:val="auto"/>
        </w:rPr>
        <w:t>根据《首批重点监管的危险化工工艺目录》（安监总管三〔</w:t>
      </w:r>
      <w:r>
        <w:rPr>
          <w:rFonts w:hint="eastAsia"/>
          <w:color w:val="auto"/>
        </w:rPr>
        <w:t>2009</w:t>
      </w:r>
      <w:r>
        <w:rPr>
          <w:rFonts w:hint="eastAsia"/>
          <w:color w:val="auto"/>
        </w:rPr>
        <w:t>〕</w:t>
      </w:r>
      <w:r>
        <w:rPr>
          <w:rFonts w:hint="eastAsia"/>
          <w:color w:val="auto"/>
        </w:rPr>
        <w:t>116</w:t>
      </w:r>
      <w:r>
        <w:rPr>
          <w:rFonts w:hint="eastAsia"/>
          <w:color w:val="auto"/>
        </w:rPr>
        <w:t>号）、《第二批重点监管的危险化工工艺目录》（安监总管三〔</w:t>
      </w:r>
      <w:r>
        <w:rPr>
          <w:rFonts w:hint="eastAsia"/>
          <w:color w:val="auto"/>
        </w:rPr>
        <w:t>2</w:t>
      </w:r>
      <w:r>
        <w:rPr>
          <w:color w:val="auto"/>
        </w:rPr>
        <w:t>013</w:t>
      </w:r>
      <w:r>
        <w:rPr>
          <w:rFonts w:hint="eastAsia"/>
          <w:color w:val="auto"/>
        </w:rPr>
        <w:t>〕</w:t>
      </w:r>
      <w:r>
        <w:rPr>
          <w:color w:val="auto"/>
        </w:rPr>
        <w:t>3</w:t>
      </w:r>
      <w:r>
        <w:rPr>
          <w:rFonts w:hint="eastAsia"/>
          <w:color w:val="auto"/>
        </w:rPr>
        <w:t>号）的有关规定，本项目不涉及重点监管的危险化工工艺。</w:t>
      </w:r>
    </w:p>
    <w:p w:rsidR="003F13AB" w:rsidRDefault="00EC6E7E">
      <w:pPr>
        <w:ind w:firstLine="560"/>
        <w:rPr>
          <w:color w:val="auto"/>
        </w:rPr>
      </w:pPr>
      <w:r>
        <w:rPr>
          <w:color w:val="auto"/>
        </w:rPr>
        <w:t>根据中华人民共和国公安部公告《易制爆危险化学品名录》（</w:t>
      </w:r>
      <w:r>
        <w:rPr>
          <w:color w:val="auto"/>
        </w:rPr>
        <w:t>2017</w:t>
      </w:r>
      <w:r>
        <w:rPr>
          <w:color w:val="auto"/>
        </w:rPr>
        <w:t>年版）</w:t>
      </w:r>
      <w:r>
        <w:rPr>
          <w:rFonts w:hint="eastAsia"/>
          <w:color w:val="auto"/>
        </w:rPr>
        <w:t>、《易制爆危险化学品治安管理办法》（公安部令</w:t>
      </w:r>
      <w:r>
        <w:rPr>
          <w:rFonts w:hint="eastAsia"/>
          <w:color w:val="auto"/>
        </w:rPr>
        <w:t>154</w:t>
      </w:r>
      <w:r>
        <w:rPr>
          <w:rFonts w:hint="eastAsia"/>
          <w:color w:val="auto"/>
        </w:rPr>
        <w:t>号）</w:t>
      </w:r>
      <w:r>
        <w:rPr>
          <w:color w:val="auto"/>
        </w:rPr>
        <w:t>的相关规定，本项目不</w:t>
      </w:r>
      <w:r>
        <w:rPr>
          <w:rFonts w:hint="eastAsia"/>
          <w:color w:val="auto"/>
        </w:rPr>
        <w:t>涉及易制</w:t>
      </w:r>
      <w:proofErr w:type="gramStart"/>
      <w:r>
        <w:rPr>
          <w:rFonts w:hint="eastAsia"/>
          <w:color w:val="auto"/>
        </w:rPr>
        <w:t>爆</w:t>
      </w:r>
      <w:proofErr w:type="gramEnd"/>
      <w:r>
        <w:rPr>
          <w:rFonts w:hint="eastAsia"/>
          <w:color w:val="auto"/>
        </w:rPr>
        <w:t>危险</w:t>
      </w:r>
      <w:r>
        <w:rPr>
          <w:color w:val="auto"/>
        </w:rPr>
        <w:t>化学品</w:t>
      </w:r>
      <w:r>
        <w:rPr>
          <w:rFonts w:hint="eastAsia"/>
          <w:color w:val="auto"/>
        </w:rPr>
        <w:t>。</w:t>
      </w:r>
    </w:p>
    <w:p w:rsidR="003F13AB" w:rsidRDefault="00EC6E7E">
      <w:pPr>
        <w:pStyle w:val="2"/>
      </w:pPr>
      <w:bookmarkStart w:id="285" w:name="_Toc187914489"/>
      <w:bookmarkStart w:id="286" w:name="_Toc166857610"/>
      <w:r>
        <w:rPr>
          <w:rFonts w:hint="eastAsia"/>
        </w:rPr>
        <w:t>2.14淘汰落后危险化学品安全生产工艺技术设备辨识</w:t>
      </w:r>
      <w:bookmarkEnd w:id="285"/>
      <w:bookmarkEnd w:id="286"/>
    </w:p>
    <w:p w:rsidR="003F13AB" w:rsidRDefault="00EC6E7E">
      <w:pPr>
        <w:spacing w:line="500" w:lineRule="exact"/>
        <w:ind w:firstLine="560"/>
      </w:pPr>
      <w:r>
        <w:rPr>
          <w:rFonts w:hint="eastAsia"/>
        </w:rPr>
        <w:t>根据《淘汰落后危险化学品安全生产工艺技术设备目录（第一批）》（应急厅〔</w:t>
      </w:r>
      <w:r>
        <w:rPr>
          <w:rFonts w:hint="eastAsia"/>
        </w:rPr>
        <w:t>2020</w:t>
      </w:r>
      <w:r>
        <w:rPr>
          <w:rFonts w:hint="eastAsia"/>
        </w:rPr>
        <w:t>〕</w:t>
      </w:r>
      <w:r>
        <w:rPr>
          <w:rFonts w:hint="eastAsia"/>
        </w:rPr>
        <w:t>38</w:t>
      </w:r>
      <w:r>
        <w:rPr>
          <w:rFonts w:hint="eastAsia"/>
        </w:rPr>
        <w:t>号，</w:t>
      </w:r>
      <w:r>
        <w:rPr>
          <w:rFonts w:hint="eastAsia"/>
        </w:rPr>
        <w:t>2020</w:t>
      </w:r>
      <w:r>
        <w:rPr>
          <w:rFonts w:hint="eastAsia"/>
        </w:rPr>
        <w:t>年</w:t>
      </w:r>
      <w:r>
        <w:rPr>
          <w:rFonts w:hint="eastAsia"/>
        </w:rPr>
        <w:t>10</w:t>
      </w:r>
      <w:r>
        <w:rPr>
          <w:rFonts w:hint="eastAsia"/>
        </w:rPr>
        <w:t>月</w:t>
      </w:r>
      <w:r>
        <w:rPr>
          <w:rFonts w:hint="eastAsia"/>
        </w:rPr>
        <w:t>23</w:t>
      </w:r>
      <w:r>
        <w:rPr>
          <w:rFonts w:hint="eastAsia"/>
        </w:rPr>
        <w:t>日公布）、应急管理部办公厅关于印发《淘汰落后危险化学品安全生产工艺技术设备目录（第二批）》的通知（应急厅〔</w:t>
      </w:r>
      <w:r>
        <w:rPr>
          <w:rFonts w:hint="eastAsia"/>
        </w:rPr>
        <w:t>2024</w:t>
      </w:r>
      <w:r>
        <w:rPr>
          <w:rFonts w:hint="eastAsia"/>
        </w:rPr>
        <w:t>〕</w:t>
      </w:r>
      <w:r>
        <w:rPr>
          <w:rFonts w:hint="eastAsia"/>
        </w:rPr>
        <w:t>86</w:t>
      </w:r>
      <w:r>
        <w:rPr>
          <w:rFonts w:hint="eastAsia"/>
        </w:rPr>
        <w:t>号）有关规定，云南农家乐农业集团有限公司年产</w:t>
      </w:r>
      <w:proofErr w:type="gramStart"/>
      <w:r>
        <w:rPr>
          <w:rFonts w:hint="eastAsia"/>
        </w:rPr>
        <w:t>50</w:t>
      </w:r>
      <w:r>
        <w:rPr>
          <w:rFonts w:hint="eastAsia"/>
        </w:rPr>
        <w:t>万吨缓控释</w:t>
      </w:r>
      <w:proofErr w:type="gramEnd"/>
      <w:r>
        <w:rPr>
          <w:rFonts w:hint="eastAsia"/>
        </w:rPr>
        <w:t>肥料、水溶肥料、专用肥料生产基地建设项目安全生产工艺技术设备不涉及淘汰落后危险化学品安全生产工艺技术设备的内容。</w:t>
      </w:r>
    </w:p>
    <w:p w:rsidR="003F13AB" w:rsidRDefault="00EC6E7E">
      <w:pPr>
        <w:widowControl/>
        <w:adjustRightInd/>
        <w:snapToGrid/>
        <w:spacing w:line="240" w:lineRule="auto"/>
        <w:ind w:firstLineChars="0" w:firstLine="0"/>
        <w:jc w:val="left"/>
        <w:rPr>
          <w:rFonts w:ascii="宋体" w:hAnsi="宋体"/>
          <w:szCs w:val="28"/>
        </w:rPr>
      </w:pPr>
      <w:r>
        <w:rPr>
          <w:rFonts w:ascii="宋体" w:hAnsi="宋体"/>
          <w:szCs w:val="28"/>
        </w:rPr>
        <w:br w:type="page"/>
      </w:r>
    </w:p>
    <w:p w:rsidR="003F13AB" w:rsidRDefault="00EC6E7E">
      <w:pPr>
        <w:spacing w:line="500" w:lineRule="exact"/>
        <w:ind w:firstLine="560"/>
        <w:jc w:val="center"/>
        <w:rPr>
          <w:rFonts w:ascii="宋体" w:hAnsi="宋体"/>
          <w:szCs w:val="28"/>
        </w:rPr>
      </w:pPr>
      <w:r>
        <w:rPr>
          <w:rFonts w:ascii="宋体" w:hAnsi="宋体"/>
          <w:szCs w:val="28"/>
        </w:rPr>
        <w:lastRenderedPageBreak/>
        <w:t>表2.</w:t>
      </w:r>
      <w:r>
        <w:rPr>
          <w:rFonts w:ascii="宋体" w:hAnsi="宋体" w:hint="eastAsia"/>
          <w:szCs w:val="28"/>
        </w:rPr>
        <w:t>14</w:t>
      </w:r>
      <w:r>
        <w:rPr>
          <w:rFonts w:ascii="宋体" w:hAnsi="宋体"/>
          <w:szCs w:val="28"/>
        </w:rPr>
        <w:t>-1 淘汰落后危险化学品安全生产工艺技术设备目录（第一批）辨识</w:t>
      </w:r>
    </w:p>
    <w:tbl>
      <w:tblPr>
        <w:tblW w:w="9072" w:type="dxa"/>
        <w:jc w:val="center"/>
        <w:shd w:val="clear" w:color="auto" w:fill="FFFFFF"/>
        <w:tblLayout w:type="fixed"/>
        <w:tblCellMar>
          <w:left w:w="0" w:type="dxa"/>
          <w:right w:w="0" w:type="dxa"/>
        </w:tblCellMar>
        <w:tblLook w:val="04A0" w:firstRow="1" w:lastRow="0" w:firstColumn="1" w:lastColumn="0" w:noHBand="0" w:noVBand="1"/>
      </w:tblPr>
      <w:tblGrid>
        <w:gridCol w:w="364"/>
        <w:gridCol w:w="1494"/>
        <w:gridCol w:w="1776"/>
        <w:gridCol w:w="597"/>
        <w:gridCol w:w="1062"/>
        <w:gridCol w:w="1281"/>
        <w:gridCol w:w="1365"/>
        <w:gridCol w:w="1133"/>
      </w:tblGrid>
      <w:tr w:rsidR="003F13AB">
        <w:trPr>
          <w:trHeight w:val="653"/>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b/>
                <w:color w:val="333333"/>
                <w:kern w:val="0"/>
                <w:sz w:val="21"/>
                <w:szCs w:val="21"/>
              </w:rPr>
            </w:pPr>
            <w:r>
              <w:rPr>
                <w:rFonts w:ascii="宋体" w:hAnsi="宋体" w:cs="宋体" w:hint="eastAsia"/>
                <w:b/>
                <w:color w:val="333333"/>
                <w:kern w:val="0"/>
                <w:sz w:val="21"/>
                <w:szCs w:val="21"/>
              </w:rPr>
              <w:t>序号</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b/>
                <w:color w:val="333333"/>
                <w:kern w:val="0"/>
                <w:sz w:val="21"/>
                <w:szCs w:val="21"/>
              </w:rPr>
            </w:pPr>
            <w:r>
              <w:rPr>
                <w:rFonts w:ascii="宋体" w:hAnsi="宋体" w:cs="宋体" w:hint="eastAsia"/>
                <w:b/>
                <w:color w:val="333333"/>
                <w:kern w:val="0"/>
                <w:sz w:val="21"/>
                <w:szCs w:val="21"/>
              </w:rPr>
              <w:t>淘汰落后工艺技术装备名称</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b/>
                <w:color w:val="333333"/>
                <w:kern w:val="0"/>
                <w:sz w:val="21"/>
                <w:szCs w:val="21"/>
              </w:rPr>
            </w:pPr>
            <w:r>
              <w:rPr>
                <w:rFonts w:ascii="宋体" w:hAnsi="宋体" w:cs="宋体" w:hint="eastAsia"/>
                <w:b/>
                <w:color w:val="333333"/>
                <w:kern w:val="0"/>
                <w:sz w:val="21"/>
                <w:szCs w:val="21"/>
              </w:rPr>
              <w:t>淘汰原因</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b/>
                <w:color w:val="333333"/>
                <w:kern w:val="0"/>
                <w:sz w:val="21"/>
                <w:szCs w:val="21"/>
              </w:rPr>
            </w:pPr>
            <w:r>
              <w:rPr>
                <w:rFonts w:ascii="宋体" w:hAnsi="宋体" w:cs="宋体" w:hint="eastAsia"/>
                <w:b/>
                <w:color w:val="333333"/>
                <w:kern w:val="0"/>
                <w:sz w:val="21"/>
                <w:szCs w:val="21"/>
              </w:rPr>
              <w:t>淘汰</w:t>
            </w:r>
          </w:p>
          <w:p w:rsidR="003F13AB" w:rsidRDefault="00EC6E7E">
            <w:pPr>
              <w:widowControl/>
              <w:spacing w:line="240" w:lineRule="auto"/>
              <w:ind w:firstLineChars="0" w:firstLine="0"/>
              <w:jc w:val="center"/>
              <w:rPr>
                <w:rFonts w:ascii="宋体" w:hAnsi="宋体" w:cs="宋体"/>
                <w:b/>
                <w:color w:val="333333"/>
                <w:kern w:val="0"/>
                <w:sz w:val="21"/>
                <w:szCs w:val="21"/>
              </w:rPr>
            </w:pPr>
            <w:r>
              <w:rPr>
                <w:rFonts w:ascii="宋体" w:hAnsi="宋体" w:cs="宋体" w:hint="eastAsia"/>
                <w:b/>
                <w:color w:val="333333"/>
                <w:kern w:val="0"/>
                <w:sz w:val="21"/>
                <w:szCs w:val="21"/>
              </w:rPr>
              <w:t>类型</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b/>
                <w:color w:val="333333"/>
                <w:kern w:val="0"/>
                <w:sz w:val="21"/>
                <w:szCs w:val="21"/>
              </w:rPr>
            </w:pPr>
            <w:r>
              <w:rPr>
                <w:rFonts w:ascii="宋体" w:hAnsi="宋体" w:cs="宋体" w:hint="eastAsia"/>
                <w:b/>
                <w:color w:val="333333"/>
                <w:kern w:val="0"/>
                <w:sz w:val="21"/>
                <w:szCs w:val="21"/>
              </w:rPr>
              <w:t>限制范围</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b/>
                <w:color w:val="333333"/>
                <w:kern w:val="0"/>
                <w:sz w:val="21"/>
                <w:szCs w:val="21"/>
              </w:rPr>
            </w:pPr>
            <w:r>
              <w:rPr>
                <w:rFonts w:ascii="宋体" w:hAnsi="宋体" w:cs="宋体" w:hint="eastAsia"/>
                <w:b/>
                <w:color w:val="333333"/>
                <w:kern w:val="0"/>
                <w:sz w:val="21"/>
                <w:szCs w:val="21"/>
              </w:rPr>
              <w:t>代替的技术</w:t>
            </w:r>
          </w:p>
          <w:p w:rsidR="003F13AB" w:rsidRDefault="00EC6E7E">
            <w:pPr>
              <w:widowControl/>
              <w:spacing w:line="240" w:lineRule="auto"/>
              <w:ind w:firstLineChars="0" w:firstLine="0"/>
              <w:jc w:val="center"/>
              <w:rPr>
                <w:rFonts w:ascii="宋体" w:hAnsi="宋体" w:cs="宋体"/>
                <w:b/>
                <w:color w:val="333333"/>
                <w:kern w:val="0"/>
                <w:sz w:val="21"/>
                <w:szCs w:val="21"/>
              </w:rPr>
            </w:pPr>
            <w:r>
              <w:rPr>
                <w:rFonts w:ascii="宋体" w:hAnsi="宋体" w:cs="宋体" w:hint="eastAsia"/>
                <w:b/>
                <w:color w:val="333333"/>
                <w:kern w:val="0"/>
                <w:sz w:val="21"/>
                <w:szCs w:val="21"/>
              </w:rPr>
              <w:t>或装备名称</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b/>
                <w:color w:val="333333"/>
                <w:kern w:val="0"/>
                <w:sz w:val="21"/>
                <w:szCs w:val="21"/>
              </w:rPr>
            </w:pPr>
            <w:r>
              <w:rPr>
                <w:rFonts w:ascii="宋体" w:hAnsi="宋体" w:cs="宋体" w:hint="eastAsia"/>
                <w:b/>
                <w:color w:val="333333"/>
                <w:kern w:val="0"/>
                <w:sz w:val="21"/>
                <w:szCs w:val="21"/>
              </w:rPr>
              <w:t>依据</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b/>
                <w:color w:val="333333"/>
                <w:kern w:val="0"/>
                <w:sz w:val="21"/>
                <w:szCs w:val="21"/>
              </w:rPr>
            </w:pPr>
            <w:r>
              <w:rPr>
                <w:rFonts w:ascii="宋体" w:hAnsi="宋体" w:cs="宋体" w:hint="eastAsia"/>
                <w:b/>
                <w:color w:val="444444"/>
                <w:kern w:val="0"/>
                <w:sz w:val="21"/>
                <w:szCs w:val="21"/>
                <w:lang w:bidi="ar"/>
              </w:rPr>
              <w:t>检查内容</w:t>
            </w:r>
          </w:p>
        </w:tc>
      </w:tr>
      <w:tr w:rsidR="003F13AB">
        <w:trPr>
          <w:trHeight w:val="392"/>
          <w:tblHeader/>
          <w:jc w:val="center"/>
        </w:trPr>
        <w:tc>
          <w:tcPr>
            <w:tcW w:w="9072" w:type="dxa"/>
            <w:gridSpan w:val="8"/>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一、淘汰落后的工艺技术</w:t>
            </w:r>
          </w:p>
        </w:tc>
      </w:tr>
      <w:tr w:rsidR="003F13AB">
        <w:trPr>
          <w:trHeight w:val="810"/>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1</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采用氨冷冻盐水的氯气液化工艺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氨漏入盐水中形成氨盐，再漏入液氯中，形成三氯化氮，易发生爆炸。</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两年内改造完毕</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环保型冷冻剂</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《安全生产法》第三十五条</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850"/>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2</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用火直接加热的涂料用树脂生产工艺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安全风险大。</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 </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 </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列入国家发展改革委《产业结构调整指导目录（2019年本）》“淘汰类”</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850"/>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3</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常压固定床间歇煤气化工艺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自动化程度相对较低，人工加煤、下灰时易发生火灾、爆炸、灼烫等事故。</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新、扩建项目禁止采用</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新型煤气化技术</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《安全生产法》第三十五条</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850"/>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4</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常压中和法硝酸铵生产工艺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常压反应釜内物料量大，反应速度慢且不均匀，尾气逸出量大，安全风险大。</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三聚氰胺尾气综合利用项目除外</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加压中和法或管式反应器法硝酸铵生产工艺</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《安全生产法》第三十五条</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430"/>
          <w:tblHeader/>
          <w:jc w:val="center"/>
        </w:trPr>
        <w:tc>
          <w:tcPr>
            <w:tcW w:w="9072" w:type="dxa"/>
            <w:gridSpan w:val="8"/>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二、淘汰落后的设备</w:t>
            </w:r>
          </w:p>
        </w:tc>
      </w:tr>
      <w:tr w:rsidR="003F13AB">
        <w:trPr>
          <w:trHeight w:val="664"/>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1</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敞开式离心机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缺乏有效密封，工作过程中物料及</w:t>
            </w:r>
            <w:proofErr w:type="gramStart"/>
            <w:r>
              <w:rPr>
                <w:rFonts w:ascii="宋体" w:hAnsi="宋体" w:cs="宋体" w:hint="eastAsia"/>
                <w:color w:val="333333"/>
                <w:kern w:val="0"/>
                <w:sz w:val="21"/>
                <w:szCs w:val="21"/>
              </w:rPr>
              <w:t>蒸气</w:t>
            </w:r>
            <w:proofErr w:type="gramEnd"/>
            <w:r>
              <w:rPr>
                <w:rFonts w:ascii="宋体" w:hAnsi="宋体" w:cs="宋体" w:hint="eastAsia"/>
                <w:color w:val="333333"/>
                <w:kern w:val="0"/>
                <w:sz w:val="21"/>
                <w:szCs w:val="21"/>
              </w:rPr>
              <w:t>逸出带来的安全风险高。</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涉及易燃、有毒物料禁用</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密闭式离心机</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《安全生产法》第三十五条</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850"/>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2</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多节钟罩的氯乙烯气柜</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气柜导轨容易发生卡涩，使物料泄漏。</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新、扩建项目禁止，现有多节气</w:t>
            </w:r>
            <w:proofErr w:type="gramStart"/>
            <w:r>
              <w:rPr>
                <w:rFonts w:ascii="宋体" w:hAnsi="宋体" w:cs="宋体" w:hint="eastAsia"/>
                <w:color w:val="333333"/>
                <w:kern w:val="0"/>
                <w:sz w:val="21"/>
                <w:szCs w:val="21"/>
              </w:rPr>
              <w:t>柜按照单节气柜改造</w:t>
            </w:r>
            <w:proofErr w:type="gramEnd"/>
            <w:r>
              <w:rPr>
                <w:rFonts w:ascii="宋体" w:hAnsi="宋体" w:cs="宋体" w:hint="eastAsia"/>
                <w:color w:val="333333"/>
                <w:kern w:val="0"/>
                <w:sz w:val="21"/>
                <w:szCs w:val="21"/>
              </w:rPr>
              <w:t>运行</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proofErr w:type="gramStart"/>
            <w:r>
              <w:rPr>
                <w:rFonts w:ascii="宋体" w:hAnsi="宋体" w:cs="宋体" w:hint="eastAsia"/>
                <w:color w:val="333333"/>
                <w:kern w:val="0"/>
                <w:sz w:val="21"/>
                <w:szCs w:val="21"/>
              </w:rPr>
              <w:t>单节钟罩</w:t>
            </w:r>
            <w:proofErr w:type="gramEnd"/>
            <w:r>
              <w:rPr>
                <w:rFonts w:ascii="宋体" w:hAnsi="宋体" w:cs="宋体" w:hint="eastAsia"/>
                <w:color w:val="333333"/>
                <w:kern w:val="0"/>
                <w:sz w:val="21"/>
                <w:szCs w:val="21"/>
              </w:rPr>
              <w:t>气柜</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《安全生产法》第三十五条</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431"/>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3</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煤制甲醇装置气体净化工序三元换热器</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在此环境下，易发生腐蚀造成泄漏。</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 </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常规列管换热器、板式换热器等</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《安全生产法》第三十五条</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850"/>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4</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未设置密闭及自动吸收系统的液氯储存仓库</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安全风险高，易发生中毒事故。</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一年内改造完毕</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仓库密闭，并设置与报警</w:t>
            </w:r>
            <w:proofErr w:type="gramStart"/>
            <w:r>
              <w:rPr>
                <w:rFonts w:ascii="宋体" w:hAnsi="宋体" w:cs="宋体" w:hint="eastAsia"/>
                <w:color w:val="333333"/>
                <w:kern w:val="0"/>
                <w:sz w:val="21"/>
                <w:szCs w:val="21"/>
              </w:rPr>
              <w:t>联锁</w:t>
            </w:r>
            <w:proofErr w:type="gramEnd"/>
            <w:r>
              <w:rPr>
                <w:rFonts w:ascii="宋体" w:hAnsi="宋体" w:cs="宋体" w:hint="eastAsia"/>
                <w:color w:val="333333"/>
                <w:kern w:val="0"/>
                <w:sz w:val="21"/>
                <w:szCs w:val="21"/>
              </w:rPr>
              <w:t>的自动吸收装置</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《危险化学品企业安全隐患排查治理导则》</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510"/>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lastRenderedPageBreak/>
              <w:t>5</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采用明火高温加热方式生产石油制品的</w:t>
            </w:r>
            <w:proofErr w:type="gramStart"/>
            <w:r>
              <w:rPr>
                <w:rFonts w:ascii="宋体" w:hAnsi="宋体" w:cs="宋体" w:hint="eastAsia"/>
                <w:color w:val="333333"/>
                <w:kern w:val="0"/>
                <w:sz w:val="21"/>
                <w:szCs w:val="21"/>
              </w:rPr>
              <w:t>釜</w:t>
            </w:r>
            <w:proofErr w:type="gramEnd"/>
            <w:r>
              <w:rPr>
                <w:rFonts w:ascii="宋体" w:hAnsi="宋体" w:cs="宋体" w:hint="eastAsia"/>
                <w:color w:val="333333"/>
                <w:kern w:val="0"/>
                <w:sz w:val="21"/>
                <w:szCs w:val="21"/>
              </w:rPr>
              <w:t>式蒸馏装置</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安全风险高，易发生火灾爆炸事故。</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 </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常减压蒸馏塔</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列入国家发展改革委《产业结构调整指导目录（2019年本）》“淘汰类”</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850"/>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6</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开放式（又称敞开式）、内燃式（又称半密闭式或半开放式）电石炉</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安全风险高，易发生火灾、爆炸、灼烫事故。</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 </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密闭式电石炉</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电石行业产业政策</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850"/>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7</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无火焰监测和熄火保护系统的燃气加热炉、导热油炉</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燃气加热炉、导热油炉缺乏火焰监测和熄火保护系统的，容易导致炉膛爆炸。</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限制</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一年内改造完毕，科研实验用炉不受限制</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带有火焰监测和熄火保护系统的燃气加热炉、导热油炉</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Pr="00F9729A" w:rsidRDefault="00EC6E7E">
            <w:pPr>
              <w:widowControl/>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《安全生产法》第三十五条</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Pr="00F9729A" w:rsidRDefault="00EC6E7E">
            <w:pPr>
              <w:widowControl/>
              <w:adjustRightInd/>
              <w:snapToGrid/>
              <w:spacing w:line="240" w:lineRule="auto"/>
              <w:ind w:firstLineChars="0" w:firstLine="0"/>
              <w:jc w:val="center"/>
              <w:rPr>
                <w:rFonts w:ascii="宋体" w:hAnsi="宋体" w:cs="宋体"/>
                <w:color w:val="auto"/>
                <w:kern w:val="0"/>
                <w:sz w:val="21"/>
                <w:szCs w:val="21"/>
                <w:lang w:bidi="ar"/>
              </w:rPr>
            </w:pPr>
            <w:r w:rsidRPr="00F9729A">
              <w:rPr>
                <w:rFonts w:ascii="宋体" w:hAnsi="宋体" w:cs="宋体" w:hint="eastAsia"/>
                <w:color w:val="auto"/>
                <w:kern w:val="0"/>
                <w:sz w:val="21"/>
                <w:szCs w:val="21"/>
                <w:lang w:bidi="ar"/>
              </w:rPr>
              <w:t>项目使用的燃气锅炉、热风炉设置有火焰监测和熄火保护系统</w:t>
            </w:r>
          </w:p>
        </w:tc>
      </w:tr>
      <w:tr w:rsidR="003F13AB">
        <w:trPr>
          <w:trHeight w:val="850"/>
          <w:tblHeader/>
          <w:jc w:val="center"/>
        </w:trPr>
        <w:tc>
          <w:tcPr>
            <w:tcW w:w="36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8</w:t>
            </w:r>
          </w:p>
        </w:tc>
        <w:tc>
          <w:tcPr>
            <w:tcW w:w="1494"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液化烃、液氯、液氨管道用软管</w:t>
            </w:r>
          </w:p>
        </w:tc>
        <w:tc>
          <w:tcPr>
            <w:tcW w:w="1776"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缺乏检测要求，安全可靠性低。</w:t>
            </w:r>
          </w:p>
        </w:tc>
        <w:tc>
          <w:tcPr>
            <w:tcW w:w="597"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jc w:val="center"/>
              <w:rPr>
                <w:rFonts w:ascii="宋体" w:hAnsi="宋体" w:cs="宋体"/>
                <w:color w:val="333333"/>
                <w:kern w:val="0"/>
                <w:sz w:val="21"/>
                <w:szCs w:val="21"/>
              </w:rPr>
            </w:pPr>
            <w:r>
              <w:rPr>
                <w:rFonts w:ascii="宋体" w:hAnsi="宋体" w:cs="宋体" w:hint="eastAsia"/>
                <w:color w:val="333333"/>
                <w:kern w:val="0"/>
                <w:sz w:val="21"/>
                <w:szCs w:val="21"/>
              </w:rPr>
              <w:t>禁止</w:t>
            </w:r>
          </w:p>
        </w:tc>
        <w:tc>
          <w:tcPr>
            <w:tcW w:w="1062"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码头使用的金属软管和电子级产品使用的软管除外</w:t>
            </w:r>
          </w:p>
        </w:tc>
        <w:tc>
          <w:tcPr>
            <w:tcW w:w="1281"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金属</w:t>
            </w:r>
            <w:proofErr w:type="gramStart"/>
            <w:r>
              <w:rPr>
                <w:rFonts w:ascii="宋体" w:hAnsi="宋体" w:cs="宋体" w:hint="eastAsia"/>
                <w:color w:val="333333"/>
                <w:kern w:val="0"/>
                <w:sz w:val="21"/>
                <w:szCs w:val="21"/>
              </w:rPr>
              <w:t>制压力</w:t>
            </w:r>
            <w:proofErr w:type="gramEnd"/>
            <w:r>
              <w:rPr>
                <w:rFonts w:ascii="宋体" w:hAnsi="宋体" w:cs="宋体" w:hint="eastAsia"/>
                <w:color w:val="333333"/>
                <w:kern w:val="0"/>
                <w:sz w:val="21"/>
                <w:szCs w:val="21"/>
              </w:rPr>
              <w:t>管道或万向充装系统</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spacing w:line="240" w:lineRule="auto"/>
              <w:ind w:firstLineChars="0" w:firstLine="0"/>
              <w:rPr>
                <w:rFonts w:ascii="宋体" w:hAnsi="宋体" w:cs="宋体"/>
                <w:color w:val="333333"/>
                <w:kern w:val="0"/>
                <w:sz w:val="21"/>
                <w:szCs w:val="21"/>
              </w:rPr>
            </w:pPr>
            <w:r>
              <w:rPr>
                <w:rFonts w:ascii="宋体" w:hAnsi="宋体" w:cs="宋体" w:hint="eastAsia"/>
                <w:color w:val="333333"/>
                <w:kern w:val="0"/>
                <w:sz w:val="21"/>
                <w:szCs w:val="21"/>
              </w:rPr>
              <w:t>《石油化工企业设计防火规范》（GB 50160-2008）（2018版）</w:t>
            </w:r>
          </w:p>
        </w:tc>
        <w:tc>
          <w:tcPr>
            <w:tcW w:w="1133" w:type="dxa"/>
            <w:tcBorders>
              <w:top w:val="single" w:sz="6" w:space="0" w:color="000000"/>
              <w:left w:val="single" w:sz="6" w:space="0" w:color="000000"/>
              <w:bottom w:val="single" w:sz="6" w:space="0" w:color="000000"/>
              <w:right w:val="single" w:sz="6" w:space="0" w:color="000000"/>
            </w:tcBorders>
            <w:shd w:val="clear" w:color="auto" w:fill="FFFFFF"/>
            <w:tcMar>
              <w:top w:w="8" w:type="dxa"/>
              <w:left w:w="8" w:type="dxa"/>
              <w:bottom w:w="8" w:type="dxa"/>
              <w:right w:w="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bl>
    <w:p w:rsidR="003F13AB" w:rsidRDefault="003F13AB">
      <w:pPr>
        <w:pStyle w:val="Default1"/>
        <w:ind w:firstLine="560"/>
        <w:jc w:val="center"/>
        <w:rPr>
          <w:rFonts w:ascii="宋体" w:hAnsi="宋体" w:hint="default"/>
          <w:sz w:val="28"/>
          <w:szCs w:val="28"/>
        </w:rPr>
      </w:pPr>
    </w:p>
    <w:p w:rsidR="003F13AB" w:rsidRDefault="00EC6E7E">
      <w:pPr>
        <w:pStyle w:val="Default1"/>
        <w:ind w:firstLine="560"/>
        <w:jc w:val="center"/>
        <w:rPr>
          <w:rFonts w:ascii="宋体" w:hAnsi="宋体" w:hint="default"/>
          <w:sz w:val="28"/>
          <w:szCs w:val="28"/>
        </w:rPr>
      </w:pPr>
      <w:r>
        <w:rPr>
          <w:rFonts w:ascii="宋体" w:hAnsi="宋体"/>
          <w:sz w:val="28"/>
          <w:szCs w:val="28"/>
        </w:rPr>
        <w:t>表2.7-2 淘汰落后危险化学品安全生产工艺技术设备目录（第二批）辨识</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1"/>
        <w:gridCol w:w="1268"/>
        <w:gridCol w:w="3280"/>
        <w:gridCol w:w="713"/>
        <w:gridCol w:w="1397"/>
        <w:gridCol w:w="1159"/>
        <w:gridCol w:w="744"/>
      </w:tblGrid>
      <w:tr w:rsidR="003F13AB">
        <w:trPr>
          <w:jc w:val="center"/>
        </w:trPr>
        <w:tc>
          <w:tcPr>
            <w:tcW w:w="281"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b/>
                <w:sz w:val="21"/>
                <w:szCs w:val="21"/>
              </w:rPr>
            </w:pPr>
            <w:r>
              <w:rPr>
                <w:rFonts w:ascii="宋体" w:hAnsi="宋体" w:cs="宋体" w:hint="eastAsia"/>
                <w:b/>
                <w:color w:val="444444"/>
                <w:kern w:val="0"/>
                <w:sz w:val="21"/>
                <w:szCs w:val="21"/>
                <w:lang w:bidi="ar"/>
              </w:rPr>
              <w:t>序号</w:t>
            </w:r>
          </w:p>
        </w:tc>
        <w:tc>
          <w:tcPr>
            <w:tcW w:w="69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b/>
                <w:sz w:val="21"/>
                <w:szCs w:val="21"/>
              </w:rPr>
            </w:pPr>
            <w:r>
              <w:rPr>
                <w:rFonts w:ascii="宋体" w:hAnsi="宋体" w:cs="宋体" w:hint="eastAsia"/>
                <w:b/>
                <w:color w:val="444444"/>
                <w:kern w:val="0"/>
                <w:sz w:val="21"/>
                <w:szCs w:val="21"/>
                <w:lang w:bidi="ar"/>
              </w:rPr>
              <w:t>淘汰落后工艺技术</w:t>
            </w:r>
          </w:p>
          <w:p w:rsidR="003F13AB" w:rsidRDefault="00EC6E7E">
            <w:pPr>
              <w:widowControl/>
              <w:adjustRightInd/>
              <w:snapToGrid/>
              <w:spacing w:line="240" w:lineRule="auto"/>
              <w:ind w:firstLineChars="0" w:firstLine="0"/>
              <w:jc w:val="center"/>
              <w:rPr>
                <w:rFonts w:ascii="宋体" w:hAnsi="宋体" w:cs="宋体"/>
                <w:b/>
                <w:sz w:val="21"/>
                <w:szCs w:val="21"/>
              </w:rPr>
            </w:pPr>
            <w:r>
              <w:rPr>
                <w:rFonts w:ascii="宋体" w:hAnsi="宋体" w:cs="宋体" w:hint="eastAsia"/>
                <w:b/>
                <w:color w:val="444444"/>
                <w:kern w:val="0"/>
                <w:sz w:val="21"/>
                <w:szCs w:val="21"/>
                <w:lang w:bidi="ar"/>
              </w:rPr>
              <w:t>设备名称</w:t>
            </w:r>
          </w:p>
        </w:tc>
        <w:tc>
          <w:tcPr>
            <w:tcW w:w="1807"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b/>
                <w:sz w:val="21"/>
                <w:szCs w:val="21"/>
              </w:rPr>
            </w:pPr>
            <w:r>
              <w:rPr>
                <w:rFonts w:ascii="宋体" w:hAnsi="宋体" w:cs="宋体" w:hint="eastAsia"/>
                <w:b/>
                <w:color w:val="444444"/>
                <w:kern w:val="0"/>
                <w:sz w:val="21"/>
                <w:szCs w:val="21"/>
                <w:lang w:bidi="ar"/>
              </w:rPr>
              <w:t>淘汰原因</w:t>
            </w:r>
          </w:p>
        </w:tc>
        <w:tc>
          <w:tcPr>
            <w:tcW w:w="393"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b/>
                <w:sz w:val="21"/>
                <w:szCs w:val="21"/>
              </w:rPr>
            </w:pPr>
            <w:r>
              <w:rPr>
                <w:rFonts w:ascii="宋体" w:hAnsi="宋体" w:cs="宋体" w:hint="eastAsia"/>
                <w:b/>
                <w:color w:val="444444"/>
                <w:kern w:val="0"/>
                <w:sz w:val="21"/>
                <w:szCs w:val="21"/>
                <w:lang w:bidi="ar"/>
              </w:rPr>
              <w:t>淘汰类型</w:t>
            </w:r>
          </w:p>
        </w:tc>
        <w:tc>
          <w:tcPr>
            <w:tcW w:w="769"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b/>
                <w:sz w:val="21"/>
                <w:szCs w:val="21"/>
              </w:rPr>
            </w:pPr>
            <w:r>
              <w:rPr>
                <w:rFonts w:ascii="宋体" w:hAnsi="宋体" w:cs="宋体" w:hint="eastAsia"/>
                <w:b/>
                <w:color w:val="444444"/>
                <w:kern w:val="0"/>
                <w:sz w:val="21"/>
                <w:szCs w:val="21"/>
                <w:lang w:bidi="ar"/>
              </w:rPr>
              <w:t>限制范围</w:t>
            </w:r>
          </w:p>
        </w:tc>
        <w:tc>
          <w:tcPr>
            <w:tcW w:w="63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b/>
                <w:sz w:val="21"/>
                <w:szCs w:val="21"/>
              </w:rPr>
            </w:pPr>
            <w:r>
              <w:rPr>
                <w:rFonts w:ascii="宋体" w:hAnsi="宋体" w:cs="宋体" w:hint="eastAsia"/>
                <w:b/>
                <w:color w:val="444444"/>
                <w:kern w:val="0"/>
                <w:sz w:val="21"/>
                <w:szCs w:val="21"/>
                <w:lang w:bidi="ar"/>
              </w:rPr>
              <w:t>依据</w:t>
            </w:r>
          </w:p>
        </w:tc>
        <w:tc>
          <w:tcPr>
            <w:tcW w:w="410"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b/>
                <w:color w:val="444444"/>
                <w:kern w:val="0"/>
                <w:sz w:val="21"/>
                <w:szCs w:val="21"/>
                <w:lang w:bidi="ar"/>
              </w:rPr>
            </w:pPr>
            <w:r>
              <w:rPr>
                <w:rFonts w:ascii="宋体" w:hAnsi="宋体" w:cs="宋体" w:hint="eastAsia"/>
                <w:b/>
                <w:color w:val="444444"/>
                <w:kern w:val="0"/>
                <w:sz w:val="21"/>
                <w:szCs w:val="21"/>
                <w:lang w:bidi="ar"/>
              </w:rPr>
              <w:t>检查内容</w:t>
            </w:r>
          </w:p>
        </w:tc>
      </w:tr>
      <w:tr w:rsidR="003F13AB">
        <w:trPr>
          <w:jc w:val="center"/>
        </w:trPr>
        <w:tc>
          <w:tcPr>
            <w:tcW w:w="281"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1</w:t>
            </w:r>
          </w:p>
        </w:tc>
        <w:tc>
          <w:tcPr>
            <w:tcW w:w="69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酸碱交替的固定床过氧化氢生产工艺</w:t>
            </w:r>
          </w:p>
        </w:tc>
        <w:tc>
          <w:tcPr>
            <w:tcW w:w="1807"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过氧化氢溶液或含有过氧化氢的工作液误入碱性环境中，或者碱性物料窜入含有过氧化氢的环境中，均会导致过氧化氢急剧分解甚至爆炸，安全风险高。</w:t>
            </w:r>
          </w:p>
        </w:tc>
        <w:tc>
          <w:tcPr>
            <w:tcW w:w="393"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禁止</w:t>
            </w:r>
          </w:p>
        </w:tc>
        <w:tc>
          <w:tcPr>
            <w:tcW w:w="769"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新（扩）建项目禁用，现有项目五年内改造完毕</w:t>
            </w:r>
          </w:p>
        </w:tc>
        <w:tc>
          <w:tcPr>
            <w:tcW w:w="63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安全生产法第三十八条</w:t>
            </w:r>
          </w:p>
        </w:tc>
        <w:tc>
          <w:tcPr>
            <w:tcW w:w="410"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jc w:val="center"/>
        </w:trPr>
        <w:tc>
          <w:tcPr>
            <w:tcW w:w="281"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2</w:t>
            </w:r>
          </w:p>
        </w:tc>
        <w:tc>
          <w:tcPr>
            <w:tcW w:w="69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有机硅浆渣</w:t>
            </w:r>
            <w:proofErr w:type="gramStart"/>
            <w:r>
              <w:rPr>
                <w:rFonts w:ascii="宋体" w:hAnsi="宋体" w:cs="宋体" w:hint="eastAsia"/>
                <w:color w:val="444444"/>
                <w:kern w:val="0"/>
                <w:sz w:val="21"/>
                <w:szCs w:val="21"/>
                <w:lang w:bidi="ar"/>
              </w:rPr>
              <w:t>人工扒渣卸料</w:t>
            </w:r>
            <w:proofErr w:type="gramEnd"/>
            <w:r>
              <w:rPr>
                <w:rFonts w:ascii="宋体" w:hAnsi="宋体" w:cs="宋体" w:hint="eastAsia"/>
                <w:color w:val="444444"/>
                <w:kern w:val="0"/>
                <w:sz w:val="21"/>
                <w:szCs w:val="21"/>
                <w:lang w:bidi="ar"/>
              </w:rPr>
              <w:t>技术和敞开式浆渣水解技术</w:t>
            </w:r>
          </w:p>
        </w:tc>
        <w:tc>
          <w:tcPr>
            <w:tcW w:w="1807"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人工</w:t>
            </w:r>
            <w:proofErr w:type="gramStart"/>
            <w:r>
              <w:rPr>
                <w:rFonts w:ascii="宋体" w:hAnsi="宋体" w:cs="宋体" w:hint="eastAsia"/>
                <w:color w:val="444444"/>
                <w:kern w:val="0"/>
                <w:sz w:val="21"/>
                <w:szCs w:val="21"/>
                <w:lang w:bidi="ar"/>
              </w:rPr>
              <w:t>扒渣过程</w:t>
            </w:r>
            <w:proofErr w:type="gramEnd"/>
            <w:r>
              <w:rPr>
                <w:rFonts w:ascii="宋体" w:hAnsi="宋体" w:cs="宋体" w:hint="eastAsia"/>
                <w:color w:val="444444"/>
                <w:kern w:val="0"/>
                <w:sz w:val="21"/>
                <w:szCs w:val="21"/>
                <w:lang w:bidi="ar"/>
              </w:rPr>
              <w:t>中，有机硅浆渣中的氯硅烷与空气中的水分发生反应生成腐蚀性盐酸酸雾，且</w:t>
            </w:r>
            <w:proofErr w:type="gramStart"/>
            <w:r>
              <w:rPr>
                <w:rFonts w:ascii="宋体" w:hAnsi="宋体" w:cs="宋体" w:hint="eastAsia"/>
                <w:color w:val="444444"/>
                <w:kern w:val="0"/>
                <w:sz w:val="21"/>
                <w:szCs w:val="21"/>
                <w:lang w:bidi="ar"/>
              </w:rPr>
              <w:t>浆渣遇空气</w:t>
            </w:r>
            <w:proofErr w:type="gramEnd"/>
            <w:r>
              <w:rPr>
                <w:rFonts w:ascii="宋体" w:hAnsi="宋体" w:cs="宋体" w:hint="eastAsia"/>
                <w:color w:val="444444"/>
                <w:kern w:val="0"/>
                <w:sz w:val="21"/>
                <w:szCs w:val="21"/>
                <w:lang w:bidi="ar"/>
              </w:rPr>
              <w:t>可能发生自燃。敞开式浆渣水解工艺中，</w:t>
            </w:r>
            <w:proofErr w:type="gramStart"/>
            <w:r>
              <w:rPr>
                <w:rFonts w:ascii="宋体" w:hAnsi="宋体" w:cs="宋体" w:hint="eastAsia"/>
                <w:color w:val="444444"/>
                <w:kern w:val="0"/>
                <w:sz w:val="21"/>
                <w:szCs w:val="21"/>
                <w:lang w:bidi="ar"/>
              </w:rPr>
              <w:t>浆渣与碱性</w:t>
            </w:r>
            <w:proofErr w:type="gramEnd"/>
            <w:r>
              <w:rPr>
                <w:rFonts w:ascii="宋体" w:hAnsi="宋体" w:cs="宋体" w:hint="eastAsia"/>
                <w:color w:val="444444"/>
                <w:kern w:val="0"/>
                <w:sz w:val="21"/>
                <w:szCs w:val="21"/>
                <w:lang w:bidi="ar"/>
              </w:rPr>
              <w:t>水发生反应会释放出氯化氢气体和氢气，氯化氢气体在空气中会形成腐蚀性盐酸酸雾，氢气易积聚引发火灾爆炸事故，安全风险高。</w:t>
            </w:r>
          </w:p>
        </w:tc>
        <w:tc>
          <w:tcPr>
            <w:tcW w:w="393"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禁止</w:t>
            </w:r>
          </w:p>
        </w:tc>
        <w:tc>
          <w:tcPr>
            <w:tcW w:w="769"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新（扩）建项目禁用，现有项目二年内改造完毕</w:t>
            </w:r>
          </w:p>
        </w:tc>
        <w:tc>
          <w:tcPr>
            <w:tcW w:w="63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安全生产法第三十八条</w:t>
            </w:r>
          </w:p>
        </w:tc>
        <w:tc>
          <w:tcPr>
            <w:tcW w:w="410"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965"/>
          <w:jc w:val="center"/>
        </w:trPr>
        <w:tc>
          <w:tcPr>
            <w:tcW w:w="281"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3</w:t>
            </w:r>
          </w:p>
        </w:tc>
        <w:tc>
          <w:tcPr>
            <w:tcW w:w="69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间歇碳化法碳酸锶、碳酸</w:t>
            </w:r>
            <w:proofErr w:type="gramStart"/>
            <w:r>
              <w:rPr>
                <w:rFonts w:ascii="宋体" w:hAnsi="宋体" w:cs="宋体" w:hint="eastAsia"/>
                <w:color w:val="444444"/>
                <w:kern w:val="0"/>
                <w:sz w:val="21"/>
                <w:szCs w:val="21"/>
                <w:lang w:bidi="ar"/>
              </w:rPr>
              <w:t>钡</w:t>
            </w:r>
            <w:proofErr w:type="gramEnd"/>
            <w:r>
              <w:rPr>
                <w:rFonts w:ascii="宋体" w:hAnsi="宋体" w:cs="宋体" w:hint="eastAsia"/>
                <w:color w:val="444444"/>
                <w:kern w:val="0"/>
                <w:sz w:val="21"/>
                <w:szCs w:val="21"/>
                <w:lang w:bidi="ar"/>
              </w:rPr>
              <w:t>生产工艺（使用硫化氢湿式气柜的）</w:t>
            </w:r>
          </w:p>
        </w:tc>
        <w:tc>
          <w:tcPr>
            <w:tcW w:w="1807"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间歇碳化法碳酸锶、碳酸</w:t>
            </w:r>
            <w:proofErr w:type="gramStart"/>
            <w:r>
              <w:rPr>
                <w:rFonts w:ascii="宋体" w:hAnsi="宋体" w:cs="宋体" w:hint="eastAsia"/>
                <w:color w:val="444444"/>
                <w:kern w:val="0"/>
                <w:sz w:val="21"/>
                <w:szCs w:val="21"/>
                <w:lang w:bidi="ar"/>
              </w:rPr>
              <w:t>钡</w:t>
            </w:r>
            <w:proofErr w:type="gramEnd"/>
            <w:r>
              <w:rPr>
                <w:rFonts w:ascii="宋体" w:hAnsi="宋体" w:cs="宋体" w:hint="eastAsia"/>
                <w:color w:val="444444"/>
                <w:kern w:val="0"/>
                <w:sz w:val="21"/>
                <w:szCs w:val="21"/>
                <w:lang w:bidi="ar"/>
              </w:rPr>
              <w:t>生产工艺采用湿式气柜储存硫化氢，易造成气柜腐蚀、卡顿，因密封失效引发硫化氢泄漏中毒事故。</w:t>
            </w:r>
          </w:p>
        </w:tc>
        <w:tc>
          <w:tcPr>
            <w:tcW w:w="393"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禁止</w:t>
            </w:r>
          </w:p>
        </w:tc>
        <w:tc>
          <w:tcPr>
            <w:tcW w:w="769"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新（扩）建项目禁用，现有碳酸</w:t>
            </w:r>
            <w:proofErr w:type="gramStart"/>
            <w:r>
              <w:rPr>
                <w:rFonts w:ascii="宋体" w:hAnsi="宋体" w:cs="宋体" w:hint="eastAsia"/>
                <w:color w:val="444444"/>
                <w:kern w:val="0"/>
                <w:sz w:val="21"/>
                <w:szCs w:val="21"/>
                <w:lang w:bidi="ar"/>
              </w:rPr>
              <w:t>锶</w:t>
            </w:r>
            <w:proofErr w:type="gramEnd"/>
            <w:r>
              <w:rPr>
                <w:rFonts w:ascii="宋体" w:hAnsi="宋体" w:cs="宋体" w:hint="eastAsia"/>
                <w:color w:val="444444"/>
                <w:kern w:val="0"/>
                <w:sz w:val="21"/>
                <w:szCs w:val="21"/>
                <w:lang w:bidi="ar"/>
              </w:rPr>
              <w:t>间歇碳化法生产工艺一年内改造完毕，现</w:t>
            </w:r>
            <w:r>
              <w:rPr>
                <w:rFonts w:ascii="宋体" w:hAnsi="宋体" w:cs="宋体" w:hint="eastAsia"/>
                <w:color w:val="444444"/>
                <w:kern w:val="0"/>
                <w:sz w:val="21"/>
                <w:szCs w:val="21"/>
                <w:lang w:bidi="ar"/>
              </w:rPr>
              <w:lastRenderedPageBreak/>
              <w:t>有碳酸</w:t>
            </w:r>
            <w:proofErr w:type="gramStart"/>
            <w:r>
              <w:rPr>
                <w:rFonts w:ascii="宋体" w:hAnsi="宋体" w:cs="宋体" w:hint="eastAsia"/>
                <w:color w:val="444444"/>
                <w:kern w:val="0"/>
                <w:sz w:val="21"/>
                <w:szCs w:val="21"/>
                <w:lang w:bidi="ar"/>
              </w:rPr>
              <w:t>钡</w:t>
            </w:r>
            <w:proofErr w:type="gramEnd"/>
            <w:r>
              <w:rPr>
                <w:rFonts w:ascii="宋体" w:hAnsi="宋体" w:cs="宋体" w:hint="eastAsia"/>
                <w:color w:val="444444"/>
                <w:kern w:val="0"/>
                <w:sz w:val="21"/>
                <w:szCs w:val="21"/>
                <w:lang w:bidi="ar"/>
              </w:rPr>
              <w:t>间歇碳化法生产工艺二年内改造完毕</w:t>
            </w:r>
          </w:p>
        </w:tc>
        <w:tc>
          <w:tcPr>
            <w:tcW w:w="63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lastRenderedPageBreak/>
              <w:t>安全生产法第三十八条</w:t>
            </w:r>
          </w:p>
        </w:tc>
        <w:tc>
          <w:tcPr>
            <w:tcW w:w="410"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1851"/>
          <w:jc w:val="center"/>
        </w:trPr>
        <w:tc>
          <w:tcPr>
            <w:tcW w:w="281"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lastRenderedPageBreak/>
              <w:t>4</w:t>
            </w:r>
          </w:p>
        </w:tc>
        <w:tc>
          <w:tcPr>
            <w:tcW w:w="69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间歇或半间歇</w:t>
            </w:r>
            <w:proofErr w:type="gramStart"/>
            <w:r>
              <w:rPr>
                <w:rFonts w:ascii="宋体" w:hAnsi="宋体" w:cs="宋体" w:hint="eastAsia"/>
                <w:color w:val="444444"/>
                <w:kern w:val="0"/>
                <w:sz w:val="21"/>
                <w:szCs w:val="21"/>
                <w:lang w:bidi="ar"/>
              </w:rPr>
              <w:t>釜</w:t>
            </w:r>
            <w:proofErr w:type="gramEnd"/>
            <w:r>
              <w:rPr>
                <w:rFonts w:ascii="宋体" w:hAnsi="宋体" w:cs="宋体" w:hint="eastAsia"/>
                <w:color w:val="444444"/>
                <w:kern w:val="0"/>
                <w:sz w:val="21"/>
                <w:szCs w:val="21"/>
                <w:lang w:bidi="ar"/>
              </w:rPr>
              <w:t>式硝化工艺</w:t>
            </w:r>
          </w:p>
        </w:tc>
        <w:tc>
          <w:tcPr>
            <w:tcW w:w="1807"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间歇和半间歇</w:t>
            </w:r>
            <w:proofErr w:type="gramStart"/>
            <w:r>
              <w:rPr>
                <w:rFonts w:ascii="宋体" w:hAnsi="宋体" w:cs="宋体" w:hint="eastAsia"/>
                <w:color w:val="444444"/>
                <w:kern w:val="0"/>
                <w:sz w:val="21"/>
                <w:szCs w:val="21"/>
                <w:lang w:bidi="ar"/>
              </w:rPr>
              <w:t>釜</w:t>
            </w:r>
            <w:proofErr w:type="gramEnd"/>
            <w:r>
              <w:rPr>
                <w:rFonts w:ascii="宋体" w:hAnsi="宋体" w:cs="宋体" w:hint="eastAsia"/>
                <w:color w:val="444444"/>
                <w:kern w:val="0"/>
                <w:sz w:val="21"/>
                <w:szCs w:val="21"/>
                <w:lang w:bidi="ar"/>
              </w:rPr>
              <w:t>式硝化生产工艺机械化自动化程度低，反应釜</w:t>
            </w:r>
            <w:proofErr w:type="gramStart"/>
            <w:r>
              <w:rPr>
                <w:rFonts w:ascii="宋体" w:hAnsi="宋体" w:cs="宋体" w:hint="eastAsia"/>
                <w:color w:val="444444"/>
                <w:kern w:val="0"/>
                <w:sz w:val="21"/>
                <w:szCs w:val="21"/>
                <w:lang w:bidi="ar"/>
              </w:rPr>
              <w:t>内危险</w:t>
            </w:r>
            <w:proofErr w:type="gramEnd"/>
            <w:r>
              <w:rPr>
                <w:rFonts w:ascii="宋体" w:hAnsi="宋体" w:cs="宋体" w:hint="eastAsia"/>
                <w:color w:val="444444"/>
                <w:kern w:val="0"/>
                <w:sz w:val="21"/>
                <w:szCs w:val="21"/>
                <w:lang w:bidi="ar"/>
              </w:rPr>
              <w:t>物料数量多，一旦反应失控发生火灾爆炸事故，易造成重大人员伤亡。</w:t>
            </w:r>
          </w:p>
        </w:tc>
        <w:tc>
          <w:tcPr>
            <w:tcW w:w="393"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限制</w:t>
            </w:r>
          </w:p>
        </w:tc>
        <w:tc>
          <w:tcPr>
            <w:tcW w:w="769"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硝基苯等27种化学品（清单见表后注释）禁用，二年内改造完毕</w:t>
            </w:r>
          </w:p>
        </w:tc>
        <w:tc>
          <w:tcPr>
            <w:tcW w:w="63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安全生产法第三十八条</w:t>
            </w:r>
          </w:p>
        </w:tc>
        <w:tc>
          <w:tcPr>
            <w:tcW w:w="410"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2184"/>
          <w:jc w:val="center"/>
        </w:trPr>
        <w:tc>
          <w:tcPr>
            <w:tcW w:w="281"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5</w:t>
            </w:r>
          </w:p>
        </w:tc>
        <w:tc>
          <w:tcPr>
            <w:tcW w:w="69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无冷却措施的内注</w:t>
            </w:r>
            <w:proofErr w:type="gramStart"/>
            <w:r>
              <w:rPr>
                <w:rFonts w:ascii="宋体" w:hAnsi="宋体" w:cs="宋体" w:hint="eastAsia"/>
                <w:color w:val="444444"/>
                <w:kern w:val="0"/>
                <w:sz w:val="21"/>
                <w:szCs w:val="21"/>
                <w:lang w:bidi="ar"/>
              </w:rPr>
              <w:t>导热油式电加热</w:t>
            </w:r>
            <w:proofErr w:type="gramEnd"/>
            <w:r>
              <w:rPr>
                <w:rFonts w:ascii="宋体" w:hAnsi="宋体" w:cs="宋体" w:hint="eastAsia"/>
                <w:color w:val="444444"/>
                <w:kern w:val="0"/>
                <w:sz w:val="21"/>
                <w:szCs w:val="21"/>
                <w:lang w:bidi="ar"/>
              </w:rPr>
              <w:t>反应釜（油浴反应釜、油浴锅）</w:t>
            </w:r>
          </w:p>
        </w:tc>
        <w:tc>
          <w:tcPr>
            <w:tcW w:w="1807"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靠自然冷却降温无法满足紧急降温需求，一旦反应釜超温，易发生火灾爆炸事故。</w:t>
            </w:r>
          </w:p>
        </w:tc>
        <w:tc>
          <w:tcPr>
            <w:tcW w:w="393"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限制</w:t>
            </w:r>
          </w:p>
        </w:tc>
        <w:tc>
          <w:tcPr>
            <w:tcW w:w="769"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涉及重点监管危险化工工艺的反应釜禁用，在役设备一年内更换完毕</w:t>
            </w:r>
          </w:p>
        </w:tc>
        <w:tc>
          <w:tcPr>
            <w:tcW w:w="63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安全生产法第三十八条</w:t>
            </w:r>
          </w:p>
        </w:tc>
        <w:tc>
          <w:tcPr>
            <w:tcW w:w="410"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trHeight w:val="1366"/>
          <w:jc w:val="center"/>
        </w:trPr>
        <w:tc>
          <w:tcPr>
            <w:tcW w:w="281"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6</w:t>
            </w:r>
          </w:p>
        </w:tc>
        <w:tc>
          <w:tcPr>
            <w:tcW w:w="69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油库的内浮顶储罐采用浅盘式或敞口隔</w:t>
            </w:r>
            <w:proofErr w:type="gramStart"/>
            <w:r>
              <w:rPr>
                <w:rFonts w:ascii="宋体" w:hAnsi="宋体" w:cs="宋体" w:hint="eastAsia"/>
                <w:color w:val="444444"/>
                <w:kern w:val="0"/>
                <w:sz w:val="21"/>
                <w:szCs w:val="21"/>
                <w:lang w:bidi="ar"/>
              </w:rPr>
              <w:t>舱式内</w:t>
            </w:r>
            <w:proofErr w:type="gramEnd"/>
            <w:r>
              <w:rPr>
                <w:rFonts w:ascii="宋体" w:hAnsi="宋体" w:cs="宋体" w:hint="eastAsia"/>
                <w:color w:val="444444"/>
                <w:kern w:val="0"/>
                <w:sz w:val="21"/>
                <w:szCs w:val="21"/>
                <w:lang w:bidi="ar"/>
              </w:rPr>
              <w:t>浮顶</w:t>
            </w:r>
          </w:p>
        </w:tc>
        <w:tc>
          <w:tcPr>
            <w:tcW w:w="1807"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浅盘式或敞口隔</w:t>
            </w:r>
            <w:proofErr w:type="gramStart"/>
            <w:r>
              <w:rPr>
                <w:rFonts w:ascii="宋体" w:hAnsi="宋体" w:cs="宋体" w:hint="eastAsia"/>
                <w:color w:val="444444"/>
                <w:kern w:val="0"/>
                <w:sz w:val="21"/>
                <w:szCs w:val="21"/>
                <w:lang w:bidi="ar"/>
              </w:rPr>
              <w:t>舱式内</w:t>
            </w:r>
            <w:proofErr w:type="gramEnd"/>
            <w:r>
              <w:rPr>
                <w:rFonts w:ascii="宋体" w:hAnsi="宋体" w:cs="宋体" w:hint="eastAsia"/>
                <w:color w:val="444444"/>
                <w:kern w:val="0"/>
                <w:sz w:val="21"/>
                <w:szCs w:val="21"/>
                <w:lang w:bidi="ar"/>
              </w:rPr>
              <w:t>浮顶安全性能差，易沉盘，引发火灾爆炸事故。</w:t>
            </w:r>
          </w:p>
        </w:tc>
        <w:tc>
          <w:tcPr>
            <w:tcW w:w="393"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禁止</w:t>
            </w:r>
          </w:p>
        </w:tc>
        <w:tc>
          <w:tcPr>
            <w:tcW w:w="769"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取得危险化学品经营许可证的油库禁用，在役设备二年内改造完毕</w:t>
            </w:r>
          </w:p>
        </w:tc>
        <w:tc>
          <w:tcPr>
            <w:tcW w:w="63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《石油库设计规范》（GB 50074-2014）第6.1.7条</w:t>
            </w:r>
          </w:p>
        </w:tc>
        <w:tc>
          <w:tcPr>
            <w:tcW w:w="410"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r w:rsidR="003F13AB">
        <w:trPr>
          <w:jc w:val="center"/>
        </w:trPr>
        <w:tc>
          <w:tcPr>
            <w:tcW w:w="281"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7</w:t>
            </w:r>
          </w:p>
        </w:tc>
        <w:tc>
          <w:tcPr>
            <w:tcW w:w="69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单端面机械密封离心泵和填料密封离心泵（液下泵除外）</w:t>
            </w:r>
          </w:p>
        </w:tc>
        <w:tc>
          <w:tcPr>
            <w:tcW w:w="1807"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left"/>
              <w:rPr>
                <w:rFonts w:ascii="宋体" w:hAnsi="宋体" w:cs="宋体"/>
                <w:sz w:val="21"/>
                <w:szCs w:val="21"/>
              </w:rPr>
            </w:pPr>
            <w:r>
              <w:rPr>
                <w:rFonts w:ascii="宋体" w:hAnsi="宋体" w:cs="宋体" w:hint="eastAsia"/>
                <w:color w:val="444444"/>
                <w:kern w:val="0"/>
                <w:sz w:val="21"/>
                <w:szCs w:val="21"/>
                <w:lang w:bidi="ar"/>
              </w:rPr>
              <w:t>单端面机械密封离心泵和填料密封离心泵可靠性低，易因密封失效而发生泄漏，造成火灾爆炸、中毒事故。</w:t>
            </w:r>
          </w:p>
        </w:tc>
        <w:tc>
          <w:tcPr>
            <w:tcW w:w="393"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禁止</w:t>
            </w:r>
          </w:p>
        </w:tc>
        <w:tc>
          <w:tcPr>
            <w:tcW w:w="769"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甲</w:t>
            </w:r>
            <w:r>
              <w:rPr>
                <w:rFonts w:ascii="宋体" w:hAnsi="宋体" w:cs="宋体" w:hint="eastAsia"/>
                <w:color w:val="444444"/>
                <w:kern w:val="0"/>
                <w:sz w:val="21"/>
                <w:szCs w:val="21"/>
                <w:vertAlign w:val="subscript"/>
                <w:lang w:bidi="ar"/>
              </w:rPr>
              <w:t>A</w:t>
            </w:r>
            <w:r>
              <w:rPr>
                <w:rFonts w:ascii="宋体" w:hAnsi="宋体" w:cs="宋体" w:hint="eastAsia"/>
                <w:color w:val="444444"/>
                <w:kern w:val="0"/>
                <w:sz w:val="21"/>
                <w:szCs w:val="21"/>
                <w:lang w:bidi="ar"/>
              </w:rPr>
              <w:t>类、极度危害、高度危害和操作温度超过自燃点的危险化学品禁用，在役设备三年内更换完毕</w:t>
            </w:r>
          </w:p>
        </w:tc>
        <w:tc>
          <w:tcPr>
            <w:tcW w:w="638"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sz w:val="21"/>
                <w:szCs w:val="21"/>
              </w:rPr>
            </w:pPr>
            <w:r>
              <w:rPr>
                <w:rFonts w:ascii="宋体" w:hAnsi="宋体" w:cs="宋体" w:hint="eastAsia"/>
                <w:color w:val="444444"/>
                <w:kern w:val="0"/>
                <w:sz w:val="21"/>
                <w:szCs w:val="21"/>
                <w:lang w:bidi="ar"/>
              </w:rPr>
              <w:t>《国家安全监管总局关于加强化工企业泄漏管理的指导意见》（安监总管三〔2014〕94号）</w:t>
            </w:r>
          </w:p>
        </w:tc>
        <w:tc>
          <w:tcPr>
            <w:tcW w:w="410" w:type="pct"/>
            <w:shd w:val="clear" w:color="auto" w:fill="auto"/>
            <w:tcMar>
              <w:left w:w="108" w:type="dxa"/>
              <w:right w:w="108" w:type="dxa"/>
            </w:tcMar>
            <w:vAlign w:val="center"/>
          </w:tcPr>
          <w:p w:rsidR="003F13AB" w:rsidRDefault="00EC6E7E">
            <w:pPr>
              <w:widowControl/>
              <w:adjustRightInd/>
              <w:snapToGrid/>
              <w:spacing w:line="240" w:lineRule="auto"/>
              <w:ind w:firstLineChars="0" w:firstLine="0"/>
              <w:jc w:val="center"/>
              <w:rPr>
                <w:rFonts w:ascii="宋体" w:hAnsi="宋体" w:cs="宋体"/>
                <w:color w:val="444444"/>
                <w:kern w:val="0"/>
                <w:sz w:val="21"/>
                <w:szCs w:val="21"/>
                <w:lang w:bidi="ar"/>
              </w:rPr>
            </w:pPr>
            <w:r>
              <w:rPr>
                <w:rFonts w:ascii="宋体" w:hAnsi="宋体" w:cs="宋体" w:hint="eastAsia"/>
                <w:color w:val="444444"/>
                <w:kern w:val="0"/>
                <w:sz w:val="21"/>
                <w:szCs w:val="21"/>
                <w:lang w:bidi="ar"/>
              </w:rPr>
              <w:t>不涉及</w:t>
            </w:r>
          </w:p>
        </w:tc>
      </w:tr>
    </w:tbl>
    <w:p w:rsidR="003F13AB" w:rsidRDefault="003F13AB">
      <w:pPr>
        <w:ind w:firstLine="560"/>
      </w:pPr>
    </w:p>
    <w:p w:rsidR="003F13AB" w:rsidRDefault="00EC6E7E">
      <w:pPr>
        <w:pStyle w:val="2"/>
      </w:pPr>
      <w:bookmarkStart w:id="287" w:name="_Toc187914490"/>
      <w:bookmarkStart w:id="288" w:name="_Toc166857611"/>
      <w:r>
        <w:rPr>
          <w:rFonts w:hint="eastAsia"/>
        </w:rPr>
        <w:t>2.15事故案例</w:t>
      </w:r>
      <w:bookmarkEnd w:id="287"/>
      <w:bookmarkEnd w:id="288"/>
    </w:p>
    <w:p w:rsidR="003F13AB" w:rsidRDefault="00EC6E7E">
      <w:pPr>
        <w:pStyle w:val="3"/>
      </w:pPr>
      <w:bookmarkStart w:id="289" w:name="_Toc187914491"/>
      <w:r>
        <w:rPr>
          <w:rFonts w:hint="eastAsia"/>
        </w:rPr>
        <w:t>2.15.1事故案例背景</w:t>
      </w:r>
      <w:bookmarkEnd w:id="289"/>
    </w:p>
    <w:p w:rsidR="003F13AB" w:rsidRDefault="00EC6E7E">
      <w:pPr>
        <w:ind w:firstLine="560"/>
        <w:rPr>
          <w:color w:val="auto"/>
        </w:rPr>
      </w:pPr>
      <w:r>
        <w:rPr>
          <w:rFonts w:hint="eastAsia"/>
          <w:color w:val="auto"/>
        </w:rPr>
        <w:t>2020</w:t>
      </w:r>
      <w:r>
        <w:rPr>
          <w:rFonts w:hint="eastAsia"/>
          <w:color w:val="auto"/>
        </w:rPr>
        <w:t>年</w:t>
      </w:r>
      <w:r>
        <w:rPr>
          <w:rFonts w:hint="eastAsia"/>
          <w:color w:val="auto"/>
        </w:rPr>
        <w:t>12</w:t>
      </w:r>
      <w:r>
        <w:rPr>
          <w:rFonts w:hint="eastAsia"/>
          <w:color w:val="auto"/>
        </w:rPr>
        <w:t>月</w:t>
      </w:r>
      <w:r>
        <w:rPr>
          <w:rFonts w:hint="eastAsia"/>
          <w:color w:val="auto"/>
        </w:rPr>
        <w:t>22</w:t>
      </w:r>
      <w:r>
        <w:rPr>
          <w:rFonts w:hint="eastAsia"/>
          <w:color w:val="auto"/>
        </w:rPr>
        <w:t>日，南宁市</w:t>
      </w:r>
      <w:proofErr w:type="gramStart"/>
      <w:r>
        <w:rPr>
          <w:rFonts w:hint="eastAsia"/>
          <w:color w:val="auto"/>
        </w:rPr>
        <w:t>英德肥业有限公司</w:t>
      </w:r>
      <w:proofErr w:type="gramEnd"/>
      <w:r>
        <w:rPr>
          <w:rFonts w:hint="eastAsia"/>
          <w:color w:val="auto"/>
        </w:rPr>
        <w:t>组织员工对工厂糖蜜罐的存</w:t>
      </w:r>
      <w:proofErr w:type="gramStart"/>
      <w:r>
        <w:rPr>
          <w:rFonts w:hint="eastAsia"/>
          <w:color w:val="auto"/>
        </w:rPr>
        <w:t>渣进行</w:t>
      </w:r>
      <w:proofErr w:type="gramEnd"/>
      <w:r>
        <w:rPr>
          <w:rFonts w:hint="eastAsia"/>
          <w:color w:val="auto"/>
        </w:rPr>
        <w:t>清理，清理工作前需要将罐体钢板切开一个预切口。当天参加糖蜜罐清理预切口切割工作人员在副厂长王平华的组织指挥下李小秋负责开铲车，刘陌生负责用钢丝绳将铲车与预切口钢板连接固定好以便将钢板</w:t>
      </w:r>
      <w:r>
        <w:rPr>
          <w:rFonts w:hint="eastAsia"/>
          <w:color w:val="auto"/>
        </w:rPr>
        <w:lastRenderedPageBreak/>
        <w:t>拉走，</w:t>
      </w:r>
      <w:proofErr w:type="gramStart"/>
      <w:r>
        <w:rPr>
          <w:rFonts w:hint="eastAsia"/>
          <w:color w:val="auto"/>
        </w:rPr>
        <w:t>韦庆尤负责</w:t>
      </w:r>
      <w:proofErr w:type="gramEnd"/>
      <w:r>
        <w:rPr>
          <w:rFonts w:hint="eastAsia"/>
          <w:color w:val="auto"/>
        </w:rPr>
        <w:t>用氧乙炔切割枪切割糖蜜罐预切口。上午</w:t>
      </w:r>
      <w:r>
        <w:rPr>
          <w:rFonts w:hint="eastAsia"/>
          <w:color w:val="auto"/>
        </w:rPr>
        <w:t>10</w:t>
      </w:r>
      <w:r>
        <w:rPr>
          <w:rFonts w:hint="eastAsia"/>
          <w:color w:val="auto"/>
        </w:rPr>
        <w:t>时</w:t>
      </w:r>
      <w:r>
        <w:rPr>
          <w:rFonts w:hint="eastAsia"/>
          <w:color w:val="auto"/>
        </w:rPr>
        <w:t>35</w:t>
      </w:r>
      <w:r>
        <w:rPr>
          <w:rFonts w:hint="eastAsia"/>
          <w:color w:val="auto"/>
        </w:rPr>
        <w:t>分，糖蜜罐预切口四周已切割完还剩底部</w:t>
      </w:r>
      <w:r>
        <w:rPr>
          <w:rFonts w:hint="eastAsia"/>
          <w:color w:val="auto"/>
        </w:rPr>
        <w:t>10</w:t>
      </w:r>
      <w:r>
        <w:rPr>
          <w:rFonts w:hint="eastAsia"/>
          <w:color w:val="auto"/>
        </w:rPr>
        <w:t>厘米左右没有切开，王平华发现连接铲车与预切口钢板的两条钢丝绳一短一长，他示意旁边的人员远离罐体后，自己上前检查钢丝绳连接是否牢固，就在这时预切口的钢板突然从罐体崩出打击到王平华身上，受打击作用王平华脸部碰到停靠在旁边的铲车斗上并倒在地面上，同时罐体内的原料</w:t>
      </w:r>
      <w:proofErr w:type="gramStart"/>
      <w:r>
        <w:rPr>
          <w:rFonts w:hint="eastAsia"/>
          <w:color w:val="auto"/>
        </w:rPr>
        <w:t>浆</w:t>
      </w:r>
      <w:proofErr w:type="gramEnd"/>
      <w:r>
        <w:rPr>
          <w:rFonts w:hint="eastAsia"/>
          <w:color w:val="auto"/>
        </w:rPr>
        <w:t>不断的涌出并将他冲出</w:t>
      </w:r>
      <w:r>
        <w:rPr>
          <w:rFonts w:hint="eastAsia"/>
          <w:color w:val="auto"/>
        </w:rPr>
        <w:t>5</w:t>
      </w:r>
      <w:r>
        <w:rPr>
          <w:rFonts w:hint="eastAsia"/>
          <w:color w:val="auto"/>
        </w:rPr>
        <w:t>米多远。</w:t>
      </w:r>
    </w:p>
    <w:p w:rsidR="003F13AB" w:rsidRDefault="00EC6E7E">
      <w:pPr>
        <w:pStyle w:val="3"/>
      </w:pPr>
      <w:bookmarkStart w:id="290" w:name="_Toc187914492"/>
      <w:r>
        <w:rPr>
          <w:rFonts w:hint="eastAsia"/>
        </w:rPr>
        <w:t>2.15.2案例原因分析</w:t>
      </w:r>
      <w:bookmarkEnd w:id="290"/>
    </w:p>
    <w:p w:rsidR="003F13AB" w:rsidRDefault="00EC6E7E">
      <w:pPr>
        <w:ind w:firstLine="560"/>
        <w:rPr>
          <w:color w:val="auto"/>
        </w:rPr>
      </w:pPr>
      <w:r>
        <w:rPr>
          <w:rFonts w:hint="eastAsia"/>
          <w:color w:val="auto"/>
        </w:rPr>
        <w:t>（</w:t>
      </w:r>
      <w:r>
        <w:rPr>
          <w:rFonts w:hint="eastAsia"/>
          <w:color w:val="auto"/>
        </w:rPr>
        <w:t>1</w:t>
      </w:r>
      <w:r>
        <w:rPr>
          <w:rFonts w:hint="eastAsia"/>
          <w:color w:val="auto"/>
        </w:rPr>
        <w:t>）直接原因</w:t>
      </w:r>
    </w:p>
    <w:p w:rsidR="003F13AB" w:rsidRDefault="00EC6E7E">
      <w:pPr>
        <w:ind w:firstLine="560"/>
        <w:rPr>
          <w:color w:val="auto"/>
        </w:rPr>
      </w:pPr>
      <w:r>
        <w:rPr>
          <w:rFonts w:hint="eastAsia"/>
          <w:color w:val="auto"/>
        </w:rPr>
        <w:t>王平华，作为副厂长现场作业组织者和指挥者安全意识淡薄，站在危险的位置，对安全预判不足，在未采取防护</w:t>
      </w:r>
      <w:proofErr w:type="gramStart"/>
      <w:r>
        <w:rPr>
          <w:rFonts w:hint="eastAsia"/>
          <w:color w:val="auto"/>
        </w:rPr>
        <w:t>措</w:t>
      </w:r>
      <w:proofErr w:type="gramEnd"/>
      <w:r>
        <w:rPr>
          <w:rFonts w:hint="eastAsia"/>
          <w:color w:val="auto"/>
        </w:rPr>
        <w:t>的情况下施冒险作业，致使事故发生。</w:t>
      </w:r>
    </w:p>
    <w:p w:rsidR="003F13AB" w:rsidRDefault="00EC6E7E">
      <w:pPr>
        <w:ind w:firstLine="560"/>
        <w:rPr>
          <w:color w:val="auto"/>
        </w:rPr>
      </w:pPr>
      <w:r>
        <w:rPr>
          <w:rFonts w:hint="eastAsia"/>
          <w:color w:val="auto"/>
        </w:rPr>
        <w:t>（</w:t>
      </w:r>
      <w:r>
        <w:rPr>
          <w:rFonts w:hint="eastAsia"/>
          <w:color w:val="auto"/>
        </w:rPr>
        <w:t>2</w:t>
      </w:r>
      <w:r>
        <w:rPr>
          <w:rFonts w:hint="eastAsia"/>
          <w:color w:val="auto"/>
        </w:rPr>
        <w:t>）间接原因</w:t>
      </w:r>
    </w:p>
    <w:p w:rsidR="003F13AB" w:rsidRDefault="00EC6E7E">
      <w:pPr>
        <w:ind w:firstLine="560"/>
        <w:rPr>
          <w:color w:val="auto"/>
        </w:rPr>
      </w:pPr>
      <w:r>
        <w:rPr>
          <w:rFonts w:hint="eastAsia"/>
          <w:color w:val="auto"/>
        </w:rPr>
        <w:t>南宁市</w:t>
      </w:r>
      <w:proofErr w:type="gramStart"/>
      <w:r>
        <w:rPr>
          <w:rFonts w:hint="eastAsia"/>
          <w:color w:val="auto"/>
        </w:rPr>
        <w:t>英德肥业有限公司</w:t>
      </w:r>
      <w:proofErr w:type="gramEnd"/>
      <w:r>
        <w:rPr>
          <w:rFonts w:hint="eastAsia"/>
          <w:color w:val="auto"/>
        </w:rPr>
        <w:t>，该公司未履行安全生产主体职责；在工人进行</w:t>
      </w:r>
      <w:r>
        <w:rPr>
          <w:rFonts w:hint="eastAsia"/>
          <w:color w:val="auto"/>
        </w:rPr>
        <w:t>2#</w:t>
      </w:r>
      <w:r>
        <w:rPr>
          <w:rFonts w:hint="eastAsia"/>
          <w:color w:val="auto"/>
        </w:rPr>
        <w:t>糖蜜罐清理作业时未做好安全防护；安全教育不到位；安全生产隐患排查不力，未能及时消除生产隐患，及时消除生产安全事故隐患，是致使事故发生的重要原因。</w:t>
      </w:r>
    </w:p>
    <w:p w:rsidR="003F13AB" w:rsidRDefault="00EC6E7E">
      <w:pPr>
        <w:ind w:firstLine="560"/>
        <w:rPr>
          <w:color w:val="auto"/>
        </w:rPr>
      </w:pPr>
      <w:proofErr w:type="gramStart"/>
      <w:r>
        <w:rPr>
          <w:rFonts w:hint="eastAsia"/>
          <w:color w:val="auto"/>
        </w:rPr>
        <w:t>严雨桐</w:t>
      </w:r>
      <w:proofErr w:type="gramEnd"/>
      <w:r>
        <w:rPr>
          <w:rFonts w:hint="eastAsia"/>
          <w:color w:val="auto"/>
        </w:rPr>
        <w:t>，南宁市</w:t>
      </w:r>
      <w:proofErr w:type="gramStart"/>
      <w:r>
        <w:rPr>
          <w:rFonts w:hint="eastAsia"/>
          <w:color w:val="auto"/>
        </w:rPr>
        <w:t>英德肥业有限公司</w:t>
      </w:r>
      <w:proofErr w:type="gramEnd"/>
      <w:r>
        <w:rPr>
          <w:rFonts w:hint="eastAsia"/>
          <w:color w:val="auto"/>
        </w:rPr>
        <w:t>黎塘厂厂长，未认真履行法定职责，未能有效督促、检查安全生产工作；在工人进行</w:t>
      </w:r>
      <w:r>
        <w:rPr>
          <w:rFonts w:hint="eastAsia"/>
          <w:color w:val="auto"/>
        </w:rPr>
        <w:t>2#</w:t>
      </w:r>
      <w:r>
        <w:rPr>
          <w:rFonts w:hint="eastAsia"/>
          <w:color w:val="auto"/>
        </w:rPr>
        <w:t>糖蜜罐清理作业时，未能及时发现并消除生产安全事故隐患；未组织制定和实施该公司安全生产教育和培训计划。</w:t>
      </w:r>
    </w:p>
    <w:p w:rsidR="003F13AB" w:rsidRDefault="00EC6E7E">
      <w:pPr>
        <w:ind w:firstLine="560"/>
        <w:rPr>
          <w:color w:val="auto"/>
        </w:rPr>
      </w:pPr>
      <w:r>
        <w:rPr>
          <w:rFonts w:hint="eastAsia"/>
          <w:color w:val="auto"/>
        </w:rPr>
        <w:t>韦炜，南宁市</w:t>
      </w:r>
      <w:proofErr w:type="gramStart"/>
      <w:r>
        <w:rPr>
          <w:rFonts w:hint="eastAsia"/>
          <w:color w:val="auto"/>
        </w:rPr>
        <w:t>英德肥业有限公司</w:t>
      </w:r>
      <w:proofErr w:type="gramEnd"/>
      <w:r>
        <w:rPr>
          <w:rFonts w:hint="eastAsia"/>
          <w:color w:val="auto"/>
        </w:rPr>
        <w:t>生产车间主任兼安全员，未认真履行职责，现场监管缺失，对作业人员的违章违规行为没有及时发现、制止和纠正。</w:t>
      </w:r>
    </w:p>
    <w:p w:rsidR="003F13AB" w:rsidRDefault="00EC6E7E">
      <w:pPr>
        <w:pStyle w:val="3"/>
      </w:pPr>
      <w:bookmarkStart w:id="291" w:name="_Toc187914493"/>
      <w:r>
        <w:rPr>
          <w:rFonts w:hint="eastAsia"/>
        </w:rPr>
        <w:t>2.15.3事故防范和整改措施</w:t>
      </w:r>
      <w:bookmarkEnd w:id="291"/>
    </w:p>
    <w:p w:rsidR="003F13AB" w:rsidRDefault="00EC6E7E">
      <w:pPr>
        <w:ind w:firstLine="560"/>
        <w:rPr>
          <w:color w:val="auto"/>
        </w:rPr>
      </w:pPr>
      <w:r>
        <w:rPr>
          <w:rFonts w:hint="eastAsia"/>
          <w:color w:val="auto"/>
        </w:rPr>
        <w:t>要深刻吸取事故教训，依法履行安全生产主体责任，建立健全安全生</w:t>
      </w:r>
      <w:r>
        <w:rPr>
          <w:rFonts w:hint="eastAsia"/>
          <w:color w:val="auto"/>
        </w:rPr>
        <w:lastRenderedPageBreak/>
        <w:t>产规章制度和操作规程；加强落实安全管理人员职责和安全生产教育培训；全面开展隐患排查治理，配备安全防护设施，整改各类安全隐患。</w:t>
      </w:r>
    </w:p>
    <w:p w:rsidR="003F13AB" w:rsidRDefault="003F13AB">
      <w:pPr>
        <w:pStyle w:val="Style2"/>
        <w:topLinePunct/>
        <w:spacing w:line="520" w:lineRule="exact"/>
        <w:ind w:firstLine="560"/>
        <w:rPr>
          <w:rFonts w:ascii="宋体" w:hAnsi="宋体"/>
          <w:color w:val="auto"/>
          <w:szCs w:val="28"/>
        </w:rPr>
        <w:sectPr w:rsidR="003F13AB">
          <w:pgSz w:w="11906" w:h="16838"/>
          <w:pgMar w:top="1418" w:right="1418" w:bottom="1588" w:left="1418" w:header="851" w:footer="992" w:gutter="0"/>
          <w:cols w:space="425"/>
          <w:docGrid w:linePitch="381"/>
        </w:sectPr>
      </w:pPr>
    </w:p>
    <w:p w:rsidR="003F13AB" w:rsidRDefault="00EC6E7E">
      <w:pPr>
        <w:pStyle w:val="1"/>
        <w:keepNext w:val="0"/>
        <w:keepLines w:val="0"/>
        <w:textAlignment w:val="center"/>
        <w:rPr>
          <w:rFonts w:ascii="宋体" w:hAnsi="宋体"/>
          <w:b/>
          <w:bCs w:val="0"/>
          <w:color w:val="auto"/>
          <w:szCs w:val="20"/>
        </w:rPr>
      </w:pPr>
      <w:bookmarkStart w:id="292" w:name="_Toc166857612"/>
      <w:bookmarkStart w:id="293" w:name="_Toc187914494"/>
      <w:r>
        <w:rPr>
          <w:rFonts w:ascii="宋体" w:hAnsi="宋体" w:hint="eastAsia"/>
          <w:b/>
          <w:bCs w:val="0"/>
          <w:color w:val="auto"/>
          <w:szCs w:val="20"/>
        </w:rPr>
        <w:lastRenderedPageBreak/>
        <w:t>附件3  选用的安全评价方法简介</w:t>
      </w:r>
      <w:bookmarkEnd w:id="292"/>
      <w:bookmarkEnd w:id="293"/>
    </w:p>
    <w:p w:rsidR="003F13AB" w:rsidRDefault="00EC6E7E">
      <w:pPr>
        <w:pStyle w:val="2"/>
      </w:pPr>
      <w:bookmarkStart w:id="294" w:name="_Toc166857613"/>
      <w:bookmarkStart w:id="295" w:name="_Toc187914495"/>
      <w:r>
        <w:rPr>
          <w:rFonts w:hint="eastAsia"/>
        </w:rPr>
        <w:t>3.1 安全检查表法</w:t>
      </w:r>
      <w:bookmarkEnd w:id="294"/>
      <w:bookmarkEnd w:id="295"/>
    </w:p>
    <w:p w:rsidR="003F13AB" w:rsidRDefault="00EC6E7E">
      <w:pPr>
        <w:ind w:firstLine="560"/>
        <w:rPr>
          <w:color w:val="auto"/>
        </w:rPr>
      </w:pPr>
      <w:r>
        <w:rPr>
          <w:rFonts w:hint="eastAsia"/>
          <w:color w:val="auto"/>
        </w:rPr>
        <w:t>安全检查表评价法（</w:t>
      </w:r>
      <w:r>
        <w:rPr>
          <w:rFonts w:hint="eastAsia"/>
          <w:color w:val="auto"/>
        </w:rPr>
        <w:t>Safety Check List</w:t>
      </w:r>
      <w:r>
        <w:rPr>
          <w:rFonts w:hint="eastAsia"/>
          <w:color w:val="auto"/>
        </w:rPr>
        <w:t>，简称</w:t>
      </w:r>
      <w:r>
        <w:rPr>
          <w:rFonts w:hint="eastAsia"/>
          <w:color w:val="auto"/>
        </w:rPr>
        <w:t>SCL</w:t>
      </w:r>
      <w:r>
        <w:rPr>
          <w:rFonts w:hint="eastAsia"/>
          <w:color w:val="auto"/>
        </w:rPr>
        <w:t>），是安全评价的常规方法，具有简便、实用、有效的特点，常常用于对安全生产管理，对熟知的工艺设计、物料、设备或操作规程进行分析，也可用于新开发工艺过程的早期阶段，识别和消除在类似系统的多年操作中所发现的危险。这种方法主要是依据国家、地区、行业等相关的标准、法规编制检查表，针对检查内容判断是否、有无，从而找出系统中存在的缺陷、疏漏、隐患、问题，并提出在工程设计、建设或运行过程中应注意的问题。</w:t>
      </w:r>
    </w:p>
    <w:p w:rsidR="003F13AB" w:rsidRDefault="00EC6E7E">
      <w:pPr>
        <w:pStyle w:val="2"/>
      </w:pPr>
      <w:bookmarkStart w:id="296" w:name="_Toc187914496"/>
      <w:bookmarkStart w:id="297" w:name="_Toc166857615"/>
      <w:r>
        <w:rPr>
          <w:rFonts w:hint="eastAsia"/>
        </w:rPr>
        <w:t>3.2 安全检查表法（SCL）</w:t>
      </w:r>
      <w:bookmarkEnd w:id="296"/>
      <w:bookmarkEnd w:id="297"/>
    </w:p>
    <w:p w:rsidR="003F13AB" w:rsidRDefault="00EC6E7E">
      <w:pPr>
        <w:ind w:firstLine="560"/>
      </w:pPr>
      <w:r>
        <w:rPr>
          <w:rFonts w:hint="eastAsia"/>
        </w:rPr>
        <w:t>为了系统地识别工厂、车间、工段或装置、设备以及各种操作管理和组织中的不安全因素，事先将要检查的项目，以提问方式编制成表，以便进行系统检查和避免遗漏，这种表叫做安全检查表。</w:t>
      </w:r>
    </w:p>
    <w:p w:rsidR="003F13AB" w:rsidRDefault="00EC6E7E">
      <w:pPr>
        <w:ind w:firstLine="560"/>
      </w:pPr>
      <w:r>
        <w:rPr>
          <w:rFonts w:hint="eastAsia"/>
        </w:rPr>
        <w:t>安全检查表种类多、适用面广、使用方便，可根据不同的要求制定不同的检查表进行检查，因此，它作为一种定性安全评价方法有着广泛的应用。</w:t>
      </w:r>
    </w:p>
    <w:p w:rsidR="003F13AB" w:rsidRDefault="00EC6E7E">
      <w:pPr>
        <w:ind w:firstLine="560"/>
      </w:pPr>
      <w:r>
        <w:rPr>
          <w:rFonts w:hint="eastAsia"/>
        </w:rPr>
        <w:t>安全检查表主要有以下优点：</w:t>
      </w:r>
    </w:p>
    <w:p w:rsidR="003F13AB" w:rsidRDefault="00EC6E7E">
      <w:pPr>
        <w:ind w:firstLine="560"/>
      </w:pPr>
      <w:r>
        <w:rPr>
          <w:rFonts w:hint="eastAsia"/>
        </w:rPr>
        <w:t>（</w:t>
      </w:r>
      <w:r>
        <w:rPr>
          <w:rFonts w:hint="eastAsia"/>
        </w:rPr>
        <w:t>1</w:t>
      </w:r>
      <w:r>
        <w:rPr>
          <w:rFonts w:hint="eastAsia"/>
        </w:rPr>
        <w:t>）检查项目系统、完整，可以做到不遗漏任何能导致危险的关键因素，因而能保证安全检查的质量。</w:t>
      </w:r>
    </w:p>
    <w:p w:rsidR="003F13AB" w:rsidRDefault="00EC6E7E">
      <w:pPr>
        <w:ind w:firstLine="560"/>
      </w:pPr>
      <w:r>
        <w:rPr>
          <w:rFonts w:hint="eastAsia"/>
        </w:rPr>
        <w:t>（</w:t>
      </w:r>
      <w:r>
        <w:rPr>
          <w:rFonts w:hint="eastAsia"/>
        </w:rPr>
        <w:t>2</w:t>
      </w:r>
      <w:r>
        <w:rPr>
          <w:rFonts w:hint="eastAsia"/>
        </w:rPr>
        <w:t>）可以根据已有的规章制度、标准、规程等，检查执行情况，得出准确的评价。</w:t>
      </w:r>
    </w:p>
    <w:p w:rsidR="003F13AB" w:rsidRDefault="00EC6E7E">
      <w:pPr>
        <w:ind w:firstLine="560"/>
      </w:pPr>
      <w:r>
        <w:rPr>
          <w:rFonts w:hint="eastAsia"/>
        </w:rPr>
        <w:t>（</w:t>
      </w:r>
      <w:r>
        <w:rPr>
          <w:rFonts w:hint="eastAsia"/>
        </w:rPr>
        <w:t>3</w:t>
      </w:r>
      <w:r>
        <w:rPr>
          <w:rFonts w:hint="eastAsia"/>
        </w:rPr>
        <w:t>）安全检查表采用提问的方式，有问有答，给人的印象深刻，能使人知道如何做才是正确的，因而可起到安全教育的作用。</w:t>
      </w:r>
      <w:r>
        <w:rPr>
          <w:rFonts w:hint="eastAsia"/>
        </w:rPr>
        <w:t xml:space="preserve">  </w:t>
      </w:r>
    </w:p>
    <w:p w:rsidR="003F13AB" w:rsidRDefault="00EC6E7E">
      <w:pPr>
        <w:ind w:firstLine="560"/>
      </w:pPr>
      <w:r>
        <w:rPr>
          <w:rFonts w:hint="eastAsia"/>
        </w:rPr>
        <w:t>（</w:t>
      </w:r>
      <w:r>
        <w:rPr>
          <w:rFonts w:hint="eastAsia"/>
        </w:rPr>
        <w:t>4</w:t>
      </w:r>
      <w:r>
        <w:rPr>
          <w:rFonts w:hint="eastAsia"/>
        </w:rPr>
        <w:t>）编制安全检查表的过程本身就是一个系统安全分析的过程，可使检查人员对系统的认识更深刻，更便于发现危险因素。</w:t>
      </w:r>
    </w:p>
    <w:p w:rsidR="003F13AB" w:rsidRDefault="00EC6E7E">
      <w:pPr>
        <w:ind w:firstLine="560"/>
      </w:pPr>
      <w:r>
        <w:rPr>
          <w:rFonts w:hint="eastAsia"/>
        </w:rPr>
        <w:t>编制安全检查表的主要依据是：</w:t>
      </w:r>
      <w:r>
        <w:rPr>
          <w:rFonts w:hint="eastAsia"/>
        </w:rPr>
        <w:t xml:space="preserve">  </w:t>
      </w:r>
    </w:p>
    <w:p w:rsidR="003F13AB" w:rsidRDefault="00EC6E7E">
      <w:pPr>
        <w:ind w:firstLine="560"/>
      </w:pPr>
      <w:r>
        <w:rPr>
          <w:rFonts w:hint="eastAsia"/>
        </w:rPr>
        <w:t>（</w:t>
      </w:r>
      <w:r>
        <w:rPr>
          <w:rFonts w:hint="eastAsia"/>
        </w:rPr>
        <w:t>1</w:t>
      </w:r>
      <w:r>
        <w:rPr>
          <w:rFonts w:hint="eastAsia"/>
        </w:rPr>
        <w:t>）有关标准、规程、规范及规定。为了便于工作，将检查条款的出处</w:t>
      </w:r>
      <w:r>
        <w:rPr>
          <w:rFonts w:hint="eastAsia"/>
        </w:rPr>
        <w:lastRenderedPageBreak/>
        <w:t>加以注明国家及有关部门发布了一些不同的安全标准及文件，以便能尽快统一不同的意见。</w:t>
      </w:r>
    </w:p>
    <w:p w:rsidR="003F13AB" w:rsidRDefault="00EC6E7E">
      <w:pPr>
        <w:ind w:firstLine="560"/>
      </w:pPr>
      <w:r>
        <w:rPr>
          <w:rFonts w:hint="eastAsia"/>
        </w:rPr>
        <w:t>（</w:t>
      </w:r>
      <w:r>
        <w:rPr>
          <w:rFonts w:hint="eastAsia"/>
        </w:rPr>
        <w:t>2</w:t>
      </w:r>
      <w:r>
        <w:rPr>
          <w:rFonts w:hint="eastAsia"/>
        </w:rPr>
        <w:t>）国内外事故案例。</w:t>
      </w:r>
    </w:p>
    <w:p w:rsidR="003F13AB" w:rsidRDefault="00EC6E7E">
      <w:pPr>
        <w:ind w:firstLine="560"/>
      </w:pPr>
      <w:r>
        <w:rPr>
          <w:rFonts w:hint="eastAsia"/>
        </w:rPr>
        <w:t>（</w:t>
      </w:r>
      <w:r>
        <w:rPr>
          <w:rFonts w:hint="eastAsia"/>
        </w:rPr>
        <w:t>3</w:t>
      </w:r>
      <w:r>
        <w:rPr>
          <w:rFonts w:hint="eastAsia"/>
        </w:rPr>
        <w:t>）通过系统安全分析确定的危险部位及防范措施，也是制定安全检查表的依据。</w:t>
      </w:r>
    </w:p>
    <w:p w:rsidR="003F13AB" w:rsidRDefault="00EC6E7E">
      <w:pPr>
        <w:pStyle w:val="2"/>
      </w:pPr>
      <w:bookmarkStart w:id="298" w:name="_Toc187914497"/>
      <w:bookmarkStart w:id="299" w:name="_Toc166857616"/>
      <w:r>
        <w:t>3.</w:t>
      </w:r>
      <w:r>
        <w:rPr>
          <w:rFonts w:hint="eastAsia"/>
        </w:rPr>
        <w:t>3</w:t>
      </w:r>
      <w:r>
        <w:t xml:space="preserve"> </w:t>
      </w:r>
      <w:r>
        <w:rPr>
          <w:rFonts w:hint="eastAsia"/>
        </w:rPr>
        <w:t>“</w:t>
      </w:r>
      <w:proofErr w:type="gramStart"/>
      <w:r>
        <w:rPr>
          <w:rFonts w:hint="eastAsia"/>
        </w:rPr>
        <w:t>蒸气</w:t>
      </w:r>
      <w:proofErr w:type="gramEnd"/>
      <w:r>
        <w:rPr>
          <w:rFonts w:hint="eastAsia"/>
        </w:rPr>
        <w:t>云雾爆炸伤害模型计算法”评价方法</w:t>
      </w:r>
      <w:bookmarkEnd w:id="298"/>
      <w:bookmarkEnd w:id="299"/>
    </w:p>
    <w:p w:rsidR="003F13AB" w:rsidRDefault="00EC6E7E">
      <w:pPr>
        <w:adjustRightInd/>
        <w:spacing w:line="500" w:lineRule="exact"/>
        <w:ind w:firstLineChars="0" w:firstLine="561"/>
        <w:rPr>
          <w:color w:val="auto"/>
          <w:szCs w:val="20"/>
        </w:rPr>
      </w:pPr>
      <w:r>
        <w:rPr>
          <w:color w:val="auto"/>
          <w:szCs w:val="20"/>
        </w:rPr>
        <w:t>用</w:t>
      </w:r>
      <w:r>
        <w:rPr>
          <w:color w:val="auto"/>
          <w:szCs w:val="20"/>
        </w:rPr>
        <w:t>TNT</w:t>
      </w:r>
      <w:r>
        <w:rPr>
          <w:color w:val="auto"/>
          <w:szCs w:val="20"/>
        </w:rPr>
        <w:t>当量法来预测</w:t>
      </w:r>
      <w:proofErr w:type="gramStart"/>
      <w:r>
        <w:rPr>
          <w:color w:val="auto"/>
          <w:szCs w:val="20"/>
        </w:rPr>
        <w:t>蒸气</w:t>
      </w:r>
      <w:proofErr w:type="gramEnd"/>
      <w:r>
        <w:rPr>
          <w:color w:val="auto"/>
          <w:szCs w:val="20"/>
        </w:rPr>
        <w:t>云雾爆炸严重度的原理是：假定一定百分比的</w:t>
      </w:r>
      <w:proofErr w:type="gramStart"/>
      <w:r>
        <w:rPr>
          <w:color w:val="auto"/>
          <w:szCs w:val="20"/>
        </w:rPr>
        <w:t>蒸气</w:t>
      </w:r>
      <w:proofErr w:type="gramEnd"/>
      <w:r>
        <w:rPr>
          <w:color w:val="auto"/>
          <w:szCs w:val="20"/>
        </w:rPr>
        <w:t>云雾参与了爆炸，对形成冲击波有实际贡献，并以</w:t>
      </w:r>
      <w:r>
        <w:rPr>
          <w:color w:val="auto"/>
          <w:szCs w:val="20"/>
        </w:rPr>
        <w:t>TNT</w:t>
      </w:r>
      <w:r>
        <w:rPr>
          <w:color w:val="auto"/>
          <w:szCs w:val="20"/>
        </w:rPr>
        <w:t>当量来表示</w:t>
      </w:r>
      <w:proofErr w:type="gramStart"/>
      <w:r>
        <w:rPr>
          <w:color w:val="auto"/>
          <w:szCs w:val="20"/>
        </w:rPr>
        <w:t>蒸气</w:t>
      </w:r>
      <w:proofErr w:type="gramEnd"/>
      <w:r>
        <w:rPr>
          <w:color w:val="auto"/>
          <w:szCs w:val="20"/>
        </w:rPr>
        <w:t>云雾爆炸的威力。</w:t>
      </w:r>
      <w:r>
        <w:rPr>
          <w:rFonts w:hint="eastAsia"/>
          <w:color w:val="auto"/>
          <w:szCs w:val="20"/>
        </w:rPr>
        <w:t>确定</w:t>
      </w:r>
      <w:proofErr w:type="gramStart"/>
      <w:r>
        <w:rPr>
          <w:rFonts w:hint="eastAsia"/>
          <w:color w:val="auto"/>
          <w:szCs w:val="20"/>
        </w:rPr>
        <w:t>蒸气</w:t>
      </w:r>
      <w:proofErr w:type="gramEnd"/>
      <w:r>
        <w:rPr>
          <w:rFonts w:hint="eastAsia"/>
          <w:color w:val="auto"/>
          <w:szCs w:val="20"/>
        </w:rPr>
        <w:t>云雾爆炸的</w:t>
      </w:r>
      <w:r>
        <w:rPr>
          <w:rFonts w:hint="eastAsia"/>
          <w:color w:val="auto"/>
          <w:szCs w:val="20"/>
        </w:rPr>
        <w:t>TNT</w:t>
      </w:r>
      <w:r>
        <w:rPr>
          <w:rFonts w:hint="eastAsia"/>
          <w:color w:val="auto"/>
          <w:szCs w:val="20"/>
        </w:rPr>
        <w:t>当量后，利用冲击波伤害、破坏准则进行</w:t>
      </w:r>
      <w:proofErr w:type="gramStart"/>
      <w:r>
        <w:rPr>
          <w:rFonts w:hint="eastAsia"/>
          <w:color w:val="auto"/>
          <w:szCs w:val="20"/>
        </w:rPr>
        <w:t>蒸气</w:t>
      </w:r>
      <w:proofErr w:type="gramEnd"/>
      <w:r>
        <w:rPr>
          <w:rFonts w:hint="eastAsia"/>
          <w:color w:val="auto"/>
          <w:szCs w:val="20"/>
        </w:rPr>
        <w:t>云雾爆炸事故所产生的伤害、破坏程度进行定量分析及评价。</w:t>
      </w:r>
    </w:p>
    <w:p w:rsidR="003F13AB" w:rsidRDefault="00EC6E7E">
      <w:pPr>
        <w:pStyle w:val="1"/>
        <w:keepNext w:val="0"/>
        <w:keepLines w:val="0"/>
        <w:textAlignment w:val="center"/>
        <w:rPr>
          <w:rFonts w:ascii="宋体" w:hAnsi="宋体"/>
          <w:b/>
          <w:bCs w:val="0"/>
          <w:color w:val="auto"/>
          <w:szCs w:val="20"/>
        </w:rPr>
      </w:pPr>
      <w:bookmarkStart w:id="300" w:name="_Toc187914498"/>
      <w:bookmarkStart w:id="301" w:name="_Toc166857617"/>
      <w:r>
        <w:rPr>
          <w:rFonts w:ascii="宋体" w:hAnsi="宋体" w:hint="eastAsia"/>
          <w:b/>
          <w:bCs w:val="0"/>
          <w:color w:val="auto"/>
          <w:szCs w:val="20"/>
        </w:rPr>
        <w:lastRenderedPageBreak/>
        <w:t>附件4 固有危险程度定量分析评价</w:t>
      </w:r>
      <w:bookmarkEnd w:id="300"/>
      <w:bookmarkEnd w:id="301"/>
    </w:p>
    <w:p w:rsidR="003F13AB" w:rsidRDefault="00EC6E7E">
      <w:pPr>
        <w:pStyle w:val="2"/>
      </w:pPr>
      <w:bookmarkStart w:id="302" w:name="_Toc166857618"/>
      <w:bookmarkStart w:id="303" w:name="_Toc187914499"/>
      <w:r>
        <w:rPr>
          <w:rFonts w:hint="eastAsia"/>
        </w:rPr>
        <w:t>4.1锅炉爆炸事故后果模拟分析</w:t>
      </w:r>
      <w:bookmarkEnd w:id="302"/>
      <w:bookmarkEnd w:id="303"/>
    </w:p>
    <w:p w:rsidR="003F13AB" w:rsidRDefault="00EC6E7E">
      <w:pPr>
        <w:tabs>
          <w:tab w:val="left" w:pos="960"/>
        </w:tabs>
        <w:ind w:firstLine="560"/>
        <w:rPr>
          <w:rFonts w:ascii="宋体" w:hAnsi="宋体"/>
          <w:bCs/>
          <w:color w:val="auto"/>
          <w:szCs w:val="28"/>
        </w:rPr>
      </w:pPr>
      <w:r>
        <w:rPr>
          <w:rFonts w:hint="eastAsia"/>
        </w:rPr>
        <w:t>锅炉爆炸对周围环境产生破坏的能量来自两方面：①锅筒内的高压蒸汽膨胀。由于锅炉爆炸是在极短的时间内发生的，高压蒸汽来不及与外界热交换，释放的能量可视为绝热膨胀所作的功。②饱和水迅速汽化、继续膨胀所作的功。当锅筒破裂、筒内液面压力瞬时下降为大气压，原工作压力下高于</w:t>
      </w:r>
      <w:r>
        <w:rPr>
          <w:rFonts w:hint="eastAsia"/>
        </w:rPr>
        <w:t>100</w:t>
      </w:r>
      <w:r>
        <w:rPr>
          <w:rFonts w:hint="eastAsia"/>
        </w:rPr>
        <w:t>℃的饱和</w:t>
      </w:r>
      <w:proofErr w:type="gramStart"/>
      <w:r>
        <w:rPr>
          <w:rFonts w:hint="eastAsia"/>
        </w:rPr>
        <w:t>水此时</w:t>
      </w:r>
      <w:proofErr w:type="gramEnd"/>
      <w:r>
        <w:rPr>
          <w:rFonts w:hint="eastAsia"/>
        </w:rPr>
        <w:t>变得极不稳定，变成在大气压下难以存在的“过饱和水”</w:t>
      </w:r>
      <w:r>
        <w:rPr>
          <w:rFonts w:hint="eastAsia"/>
        </w:rPr>
        <w:t>,</w:t>
      </w:r>
      <w:r>
        <w:rPr>
          <w:rFonts w:hint="eastAsia"/>
        </w:rPr>
        <w:t>其中一部分即瞬时汽化，体积骤然膨胀许多倍，在容器周围空间形成爆炸。两者相比，后者所产生的能量远远大于前者。爆炸能量在向外释放时以冲击波能量、碎片能量和容器残余变形能量等三种形式表现出来。据介绍，后二者所消耗的能量只占总爆炸能量的</w:t>
      </w:r>
      <w:r>
        <w:rPr>
          <w:rFonts w:hint="eastAsia"/>
        </w:rPr>
        <w:t>3%</w:t>
      </w:r>
      <w:r>
        <w:rPr>
          <w:rFonts w:hint="eastAsia"/>
        </w:rPr>
        <w:t>～</w:t>
      </w:r>
      <w:r>
        <w:rPr>
          <w:rFonts w:hint="eastAsia"/>
        </w:rPr>
        <w:t>15%</w:t>
      </w:r>
      <w:r>
        <w:rPr>
          <w:rFonts w:hint="eastAsia"/>
        </w:rPr>
        <w:t>，也就是说大部分能量是产生空气冲击波。</w:t>
      </w:r>
      <w:r>
        <w:rPr>
          <w:rFonts w:ascii="宋体" w:hAnsi="宋体" w:hint="eastAsia"/>
          <w:bCs/>
          <w:color w:val="auto"/>
          <w:szCs w:val="28"/>
        </w:rPr>
        <w:t>本项目最大锅炉15</w:t>
      </w:r>
      <w:r>
        <w:rPr>
          <w:rFonts w:ascii="宋体" w:hAnsi="宋体"/>
          <w:bCs/>
          <w:color w:val="auto"/>
          <w:szCs w:val="28"/>
        </w:rPr>
        <w:t>t/h</w:t>
      </w:r>
      <w:r>
        <w:rPr>
          <w:rFonts w:ascii="宋体" w:hAnsi="宋体" w:hint="eastAsia"/>
          <w:bCs/>
          <w:color w:val="auto"/>
          <w:szCs w:val="28"/>
        </w:rPr>
        <w:t>的燃气锅炉</w:t>
      </w:r>
      <w:proofErr w:type="gramStart"/>
      <w:r>
        <w:rPr>
          <w:rFonts w:ascii="宋体" w:hAnsi="宋体" w:hint="eastAsia"/>
          <w:bCs/>
          <w:color w:val="auto"/>
          <w:szCs w:val="28"/>
        </w:rPr>
        <w:t>锅筒总容量</w:t>
      </w:r>
      <w:proofErr w:type="gramEnd"/>
      <w:r>
        <w:rPr>
          <w:rFonts w:ascii="宋体" w:hAnsi="宋体" w:hint="eastAsia"/>
          <w:bCs/>
          <w:color w:val="auto"/>
          <w:szCs w:val="28"/>
        </w:rPr>
        <w:t>为15</w:t>
      </w:r>
      <w:r>
        <w:rPr>
          <w:rFonts w:ascii="宋体" w:hAnsi="宋体"/>
          <w:bCs/>
          <w:color w:val="auto"/>
          <w:szCs w:val="28"/>
        </w:rPr>
        <w:t>m</w:t>
      </w:r>
      <w:r>
        <w:rPr>
          <w:rFonts w:ascii="宋体" w:hAnsi="宋体"/>
          <w:bCs/>
          <w:color w:val="auto"/>
          <w:szCs w:val="28"/>
          <w:vertAlign w:val="superscript"/>
        </w:rPr>
        <w:t>3</w:t>
      </w:r>
      <w:r>
        <w:rPr>
          <w:rFonts w:ascii="宋体" w:hAnsi="宋体" w:hint="eastAsia"/>
          <w:bCs/>
          <w:color w:val="auto"/>
          <w:szCs w:val="28"/>
        </w:rPr>
        <w:t>，其中饱和水量按11.25</w:t>
      </w:r>
      <w:r>
        <w:rPr>
          <w:rFonts w:ascii="宋体" w:hAnsi="宋体"/>
          <w:bCs/>
          <w:color w:val="auto"/>
          <w:szCs w:val="28"/>
        </w:rPr>
        <w:t>m</w:t>
      </w:r>
      <w:r>
        <w:rPr>
          <w:rFonts w:ascii="宋体" w:hAnsi="宋体"/>
          <w:bCs/>
          <w:color w:val="auto"/>
          <w:szCs w:val="28"/>
          <w:vertAlign w:val="superscript"/>
        </w:rPr>
        <w:t>3</w:t>
      </w:r>
      <w:r>
        <w:rPr>
          <w:rFonts w:ascii="宋体" w:hAnsi="宋体" w:hint="eastAsia"/>
          <w:bCs/>
          <w:color w:val="auto"/>
          <w:szCs w:val="28"/>
        </w:rPr>
        <w:t>，饱和蒸汽按3.75</w:t>
      </w:r>
      <w:r>
        <w:rPr>
          <w:rFonts w:ascii="宋体" w:hAnsi="宋体"/>
          <w:bCs/>
          <w:color w:val="auto"/>
          <w:szCs w:val="28"/>
        </w:rPr>
        <w:t>m</w:t>
      </w:r>
      <w:r>
        <w:rPr>
          <w:rFonts w:ascii="宋体" w:hAnsi="宋体"/>
          <w:bCs/>
          <w:color w:val="auto"/>
          <w:szCs w:val="28"/>
          <w:vertAlign w:val="superscript"/>
        </w:rPr>
        <w:t>3</w:t>
      </w:r>
      <w:r>
        <w:rPr>
          <w:rFonts w:ascii="宋体" w:hAnsi="宋体" w:hint="eastAsia"/>
          <w:bCs/>
          <w:color w:val="auto"/>
          <w:szCs w:val="28"/>
        </w:rPr>
        <w:t>，计算额定工作压力</w:t>
      </w:r>
      <w:r>
        <w:rPr>
          <w:rFonts w:ascii="宋体" w:hAnsi="宋体"/>
          <w:bCs/>
          <w:color w:val="auto"/>
          <w:szCs w:val="28"/>
        </w:rPr>
        <w:t>1.25MPa</w:t>
      </w:r>
      <w:r>
        <w:rPr>
          <w:rFonts w:ascii="宋体" w:hAnsi="宋体" w:hint="eastAsia"/>
          <w:bCs/>
          <w:color w:val="auto"/>
          <w:szCs w:val="28"/>
        </w:rPr>
        <w:t>，计算其爆炸时对周围人员及建筑物的伤害</w:t>
      </w:r>
      <w:r>
        <w:rPr>
          <w:rFonts w:ascii="宋体" w:hAnsi="宋体"/>
          <w:bCs/>
          <w:color w:val="auto"/>
          <w:szCs w:val="28"/>
        </w:rPr>
        <w:t>(</w:t>
      </w:r>
      <w:r>
        <w:rPr>
          <w:rFonts w:ascii="宋体" w:hAnsi="宋体" w:hint="eastAsia"/>
          <w:bCs/>
          <w:color w:val="auto"/>
          <w:szCs w:val="28"/>
        </w:rPr>
        <w:t>破坏</w:t>
      </w:r>
      <w:r>
        <w:rPr>
          <w:rFonts w:ascii="宋体" w:hAnsi="宋体"/>
          <w:bCs/>
          <w:color w:val="auto"/>
          <w:szCs w:val="28"/>
        </w:rPr>
        <w:t>)</w:t>
      </w:r>
      <w:r>
        <w:rPr>
          <w:rFonts w:ascii="宋体" w:hAnsi="宋体" w:hint="eastAsia"/>
          <w:bCs/>
          <w:color w:val="auto"/>
          <w:szCs w:val="28"/>
        </w:rPr>
        <w:t>作用，可按下列程序进行：</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（1）锅炉爆炸能量</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计算锅炉爆炸产生的能量</w:t>
      </w:r>
      <w:r>
        <w:rPr>
          <w:rFonts w:ascii="宋体" w:hAnsi="宋体"/>
          <w:bCs/>
          <w:color w:val="auto"/>
          <w:szCs w:val="28"/>
        </w:rPr>
        <w:t>:</w:t>
      </w:r>
    </w:p>
    <w:p w:rsidR="003F13AB" w:rsidRDefault="00EC6E7E">
      <w:pPr>
        <w:tabs>
          <w:tab w:val="left" w:pos="960"/>
        </w:tabs>
        <w:ind w:firstLine="560"/>
        <w:rPr>
          <w:rFonts w:ascii="宋体" w:hAnsi="宋体"/>
          <w:bCs/>
          <w:color w:val="auto"/>
          <w:szCs w:val="28"/>
          <w:vertAlign w:val="subscript"/>
        </w:rPr>
      </w:pPr>
      <w:r>
        <w:rPr>
          <w:rFonts w:ascii="宋体" w:hAnsi="宋体" w:hint="eastAsia"/>
          <w:bCs/>
          <w:color w:val="auto"/>
          <w:szCs w:val="28"/>
        </w:rPr>
        <w:t>Ｅ</w:t>
      </w:r>
      <w:r>
        <w:rPr>
          <w:rFonts w:ascii="宋体" w:hAnsi="宋体"/>
          <w:bCs/>
          <w:color w:val="auto"/>
          <w:szCs w:val="28"/>
        </w:rPr>
        <w:t>=</w:t>
      </w:r>
      <w:r>
        <w:rPr>
          <w:rFonts w:ascii="宋体" w:hAnsi="宋体" w:hint="eastAsia"/>
          <w:bCs/>
          <w:color w:val="auto"/>
          <w:szCs w:val="28"/>
        </w:rPr>
        <w:t>Ｅ</w:t>
      </w:r>
      <w:r>
        <w:rPr>
          <w:rFonts w:ascii="宋体" w:hAnsi="宋体" w:hint="eastAsia"/>
          <w:bCs/>
          <w:color w:val="auto"/>
          <w:szCs w:val="28"/>
          <w:vertAlign w:val="subscript"/>
        </w:rPr>
        <w:t>Ｓ</w:t>
      </w:r>
      <w:r>
        <w:rPr>
          <w:rFonts w:ascii="宋体" w:hAnsi="宋体"/>
          <w:bCs/>
          <w:color w:val="auto"/>
          <w:szCs w:val="28"/>
        </w:rPr>
        <w:t>+</w:t>
      </w:r>
      <w:r>
        <w:rPr>
          <w:rFonts w:ascii="宋体" w:hAnsi="宋体" w:hint="eastAsia"/>
          <w:bCs/>
          <w:color w:val="auto"/>
          <w:szCs w:val="28"/>
        </w:rPr>
        <w:t>Ｅ</w:t>
      </w:r>
      <w:r>
        <w:rPr>
          <w:rFonts w:ascii="宋体" w:hAnsi="宋体" w:hint="eastAsia"/>
          <w:bCs/>
          <w:color w:val="auto"/>
          <w:szCs w:val="28"/>
          <w:vertAlign w:val="subscript"/>
        </w:rPr>
        <w:t>Ｗ</w:t>
      </w:r>
      <w:r>
        <w:rPr>
          <w:rFonts w:ascii="宋体" w:hAnsi="宋体"/>
          <w:bCs/>
          <w:color w:val="auto"/>
          <w:szCs w:val="28"/>
        </w:rPr>
        <w:t>=</w:t>
      </w:r>
      <w:r>
        <w:rPr>
          <w:rFonts w:ascii="宋体" w:hAnsi="宋体" w:hint="eastAsia"/>
          <w:bCs/>
          <w:color w:val="auto"/>
          <w:szCs w:val="28"/>
        </w:rPr>
        <w:t>Ｖ</w:t>
      </w:r>
      <w:r>
        <w:rPr>
          <w:rFonts w:ascii="宋体" w:hAnsi="宋体" w:hint="eastAsia"/>
          <w:bCs/>
          <w:color w:val="auto"/>
          <w:szCs w:val="28"/>
          <w:vertAlign w:val="subscript"/>
        </w:rPr>
        <w:t>Ｓ</w:t>
      </w:r>
      <w:r>
        <w:rPr>
          <w:rFonts w:ascii="宋体" w:hAnsi="宋体"/>
          <w:bCs/>
          <w:color w:val="auto"/>
          <w:szCs w:val="28"/>
        </w:rPr>
        <w:t>*</w:t>
      </w:r>
      <w:r>
        <w:rPr>
          <w:rFonts w:ascii="宋体" w:hAnsi="宋体" w:hint="eastAsia"/>
          <w:bCs/>
          <w:color w:val="auto"/>
          <w:szCs w:val="28"/>
        </w:rPr>
        <w:t>Ｃ</w:t>
      </w:r>
      <w:r>
        <w:rPr>
          <w:rFonts w:ascii="宋体" w:hAnsi="宋体" w:hint="eastAsia"/>
          <w:bCs/>
          <w:color w:val="auto"/>
          <w:szCs w:val="28"/>
          <w:vertAlign w:val="subscript"/>
        </w:rPr>
        <w:t>Ｓ</w:t>
      </w:r>
      <w:r>
        <w:rPr>
          <w:rFonts w:ascii="宋体" w:hAnsi="宋体"/>
          <w:bCs/>
          <w:color w:val="auto"/>
          <w:szCs w:val="28"/>
        </w:rPr>
        <w:t>+</w:t>
      </w:r>
      <w:r>
        <w:rPr>
          <w:rFonts w:ascii="宋体" w:hAnsi="宋体" w:hint="eastAsia"/>
          <w:bCs/>
          <w:color w:val="auto"/>
          <w:szCs w:val="28"/>
        </w:rPr>
        <w:t>Ｖ</w:t>
      </w:r>
      <w:r>
        <w:rPr>
          <w:rFonts w:ascii="宋体" w:hAnsi="宋体" w:hint="eastAsia"/>
          <w:bCs/>
          <w:color w:val="auto"/>
          <w:szCs w:val="28"/>
          <w:vertAlign w:val="subscript"/>
        </w:rPr>
        <w:t>Ｗ</w:t>
      </w:r>
      <w:r>
        <w:rPr>
          <w:rFonts w:ascii="宋体" w:hAnsi="宋体"/>
          <w:bCs/>
          <w:color w:val="auto"/>
          <w:szCs w:val="28"/>
        </w:rPr>
        <w:t>*</w:t>
      </w:r>
      <w:r>
        <w:rPr>
          <w:rFonts w:ascii="宋体" w:hAnsi="宋体" w:hint="eastAsia"/>
          <w:bCs/>
          <w:color w:val="auto"/>
          <w:szCs w:val="28"/>
        </w:rPr>
        <w:t>Ｃ</w:t>
      </w:r>
      <w:r>
        <w:rPr>
          <w:rFonts w:ascii="宋体" w:hAnsi="宋体" w:hint="eastAsia"/>
          <w:bCs/>
          <w:color w:val="auto"/>
          <w:szCs w:val="28"/>
          <w:vertAlign w:val="subscript"/>
        </w:rPr>
        <w:t>Ｗ</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式中</w:t>
      </w:r>
      <w:r>
        <w:rPr>
          <w:rFonts w:ascii="宋体" w:hAnsi="宋体"/>
          <w:bCs/>
          <w:color w:val="auto"/>
          <w:szCs w:val="28"/>
        </w:rPr>
        <w:t>,</w:t>
      </w:r>
      <w:r>
        <w:rPr>
          <w:rFonts w:ascii="宋体" w:hAnsi="宋体" w:hint="eastAsia"/>
          <w:bCs/>
          <w:color w:val="auto"/>
          <w:szCs w:val="28"/>
        </w:rPr>
        <w:t>Ｅ</w:t>
      </w:r>
      <w:r>
        <w:rPr>
          <w:rFonts w:ascii="宋体" w:hAnsi="宋体"/>
          <w:bCs/>
          <w:color w:val="auto"/>
          <w:szCs w:val="28"/>
        </w:rPr>
        <w:t>——</w:t>
      </w:r>
      <w:r>
        <w:rPr>
          <w:rFonts w:ascii="宋体" w:hAnsi="宋体" w:hint="eastAsia"/>
          <w:bCs/>
          <w:color w:val="auto"/>
          <w:szCs w:val="28"/>
        </w:rPr>
        <w:t>总释放能量；</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Ｅ</w:t>
      </w:r>
      <w:r>
        <w:rPr>
          <w:rFonts w:ascii="宋体" w:hAnsi="宋体" w:hint="eastAsia"/>
          <w:bCs/>
          <w:color w:val="auto"/>
          <w:szCs w:val="28"/>
          <w:vertAlign w:val="subscript"/>
        </w:rPr>
        <w:t>Ｓ</w:t>
      </w:r>
      <w:r>
        <w:rPr>
          <w:rFonts w:ascii="宋体" w:hAnsi="宋体"/>
          <w:bCs/>
          <w:color w:val="auto"/>
          <w:szCs w:val="28"/>
        </w:rPr>
        <w:t>——</w:t>
      </w:r>
      <w:r>
        <w:rPr>
          <w:rFonts w:ascii="宋体" w:hAnsi="宋体" w:hint="eastAsia"/>
          <w:bCs/>
          <w:color w:val="auto"/>
          <w:szCs w:val="28"/>
        </w:rPr>
        <w:t>爆炸能量蒸汽；</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Ｅ</w:t>
      </w:r>
      <w:r>
        <w:rPr>
          <w:rFonts w:ascii="宋体" w:hAnsi="宋体" w:hint="eastAsia"/>
          <w:bCs/>
          <w:color w:val="auto"/>
          <w:szCs w:val="28"/>
          <w:vertAlign w:val="subscript"/>
        </w:rPr>
        <w:t>Ｗ</w:t>
      </w:r>
      <w:r>
        <w:rPr>
          <w:rFonts w:ascii="宋体" w:hAnsi="宋体"/>
          <w:bCs/>
          <w:color w:val="auto"/>
          <w:szCs w:val="28"/>
        </w:rPr>
        <w:t>——</w:t>
      </w:r>
      <w:r>
        <w:rPr>
          <w:rFonts w:ascii="宋体" w:hAnsi="宋体" w:hint="eastAsia"/>
          <w:bCs/>
          <w:color w:val="auto"/>
          <w:szCs w:val="28"/>
        </w:rPr>
        <w:t>饱和水爆炸能量；</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Ｖ</w:t>
      </w:r>
      <w:r>
        <w:rPr>
          <w:rFonts w:ascii="宋体" w:hAnsi="宋体" w:hint="eastAsia"/>
          <w:bCs/>
          <w:color w:val="auto"/>
          <w:szCs w:val="28"/>
          <w:vertAlign w:val="subscript"/>
        </w:rPr>
        <w:t>Ｓ</w:t>
      </w:r>
      <w:r>
        <w:rPr>
          <w:rFonts w:ascii="宋体" w:hAnsi="宋体"/>
          <w:bCs/>
          <w:color w:val="auto"/>
          <w:szCs w:val="28"/>
        </w:rPr>
        <w:t>——</w:t>
      </w:r>
      <w:r>
        <w:rPr>
          <w:rFonts w:ascii="宋体" w:hAnsi="宋体" w:hint="eastAsia"/>
          <w:bCs/>
          <w:color w:val="auto"/>
          <w:szCs w:val="28"/>
        </w:rPr>
        <w:t>蒸汽体积；</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Ｖ</w:t>
      </w:r>
      <w:r>
        <w:rPr>
          <w:rFonts w:ascii="宋体" w:hAnsi="宋体" w:hint="eastAsia"/>
          <w:bCs/>
          <w:color w:val="auto"/>
          <w:szCs w:val="28"/>
          <w:vertAlign w:val="subscript"/>
        </w:rPr>
        <w:t>Ｗ</w:t>
      </w:r>
      <w:r>
        <w:rPr>
          <w:rFonts w:ascii="宋体" w:hAnsi="宋体"/>
          <w:bCs/>
          <w:color w:val="auto"/>
          <w:szCs w:val="28"/>
        </w:rPr>
        <w:t>——</w:t>
      </w:r>
      <w:r>
        <w:rPr>
          <w:rFonts w:ascii="宋体" w:hAnsi="宋体" w:hint="eastAsia"/>
          <w:bCs/>
          <w:color w:val="auto"/>
          <w:szCs w:val="28"/>
        </w:rPr>
        <w:t>饱和水体积；</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Ｃ</w:t>
      </w:r>
      <w:r>
        <w:rPr>
          <w:rFonts w:ascii="宋体" w:hAnsi="宋体" w:hint="eastAsia"/>
          <w:bCs/>
          <w:color w:val="auto"/>
          <w:szCs w:val="28"/>
          <w:vertAlign w:val="subscript"/>
        </w:rPr>
        <w:t>Ｓ</w:t>
      </w:r>
      <w:r>
        <w:rPr>
          <w:rFonts w:ascii="宋体" w:hAnsi="宋体"/>
          <w:bCs/>
          <w:color w:val="auto"/>
          <w:szCs w:val="28"/>
        </w:rPr>
        <w:t>——</w:t>
      </w:r>
      <w:r>
        <w:rPr>
          <w:rFonts w:ascii="宋体" w:hAnsi="宋体" w:hint="eastAsia"/>
          <w:bCs/>
          <w:color w:val="auto"/>
          <w:szCs w:val="28"/>
        </w:rPr>
        <w:t>蒸汽爆炸能量系数；</w:t>
      </w:r>
    </w:p>
    <w:p w:rsidR="003F13AB" w:rsidRDefault="00EC6E7E">
      <w:pPr>
        <w:ind w:firstLine="560"/>
      </w:pPr>
      <w:r>
        <w:rPr>
          <w:rFonts w:ascii="宋体" w:hAnsi="宋体" w:hint="eastAsia"/>
          <w:bCs/>
          <w:color w:val="auto"/>
          <w:szCs w:val="28"/>
        </w:rPr>
        <w:t>Ｃ</w:t>
      </w:r>
      <w:r>
        <w:rPr>
          <w:rFonts w:ascii="宋体" w:hAnsi="宋体" w:hint="eastAsia"/>
          <w:bCs/>
          <w:color w:val="auto"/>
          <w:szCs w:val="28"/>
          <w:vertAlign w:val="subscript"/>
        </w:rPr>
        <w:t>Ｗ</w:t>
      </w:r>
      <w:r>
        <w:rPr>
          <w:rFonts w:ascii="宋体" w:hAnsi="宋体"/>
          <w:bCs/>
          <w:color w:val="auto"/>
          <w:szCs w:val="28"/>
        </w:rPr>
        <w:t>——</w:t>
      </w:r>
      <w:r>
        <w:rPr>
          <w:rFonts w:ascii="宋体" w:hAnsi="宋体" w:hint="eastAsia"/>
          <w:bCs/>
          <w:color w:val="auto"/>
          <w:szCs w:val="28"/>
        </w:rPr>
        <w:t>饱和水爆炸能量系数。</w:t>
      </w:r>
    </w:p>
    <w:p w:rsidR="003F13AB" w:rsidRDefault="00EC6E7E">
      <w:pPr>
        <w:spacing w:line="500" w:lineRule="exact"/>
        <w:ind w:firstLine="560"/>
        <w:jc w:val="center"/>
      </w:pPr>
      <w:r>
        <w:rPr>
          <w:rFonts w:hint="eastAsia"/>
        </w:rPr>
        <w:t>附表</w:t>
      </w:r>
      <w:r>
        <w:rPr>
          <w:rFonts w:hint="eastAsia"/>
        </w:rPr>
        <w:t xml:space="preserve">3.1-1 </w:t>
      </w:r>
      <w:r>
        <w:rPr>
          <w:rFonts w:hint="eastAsia"/>
        </w:rPr>
        <w:t>常用压力下</w:t>
      </w:r>
      <w:r>
        <w:rPr>
          <w:rFonts w:hint="eastAsia"/>
        </w:rPr>
        <w:t>CS</w:t>
      </w:r>
      <w:r>
        <w:rPr>
          <w:rFonts w:hint="eastAsia"/>
        </w:rPr>
        <w:t>、</w:t>
      </w:r>
      <w:r>
        <w:rPr>
          <w:rFonts w:hint="eastAsia"/>
        </w:rPr>
        <w:t>CW</w:t>
      </w:r>
      <w:r>
        <w:rPr>
          <w:rFonts w:hint="eastAsia"/>
        </w:rPr>
        <w:t>值（</w:t>
      </w:r>
      <w:r>
        <w:rPr>
          <w:rFonts w:hint="eastAsia"/>
        </w:rPr>
        <w:t>kJ/m</w:t>
      </w:r>
      <w:r>
        <w:rPr>
          <w:rFonts w:hint="eastAsia"/>
          <w:vertAlign w:val="superscript"/>
        </w:rPr>
        <w:t>3</w:t>
      </w:r>
      <w:r>
        <w:rPr>
          <w:rFonts w:hint="eastAsia"/>
        </w:rPr>
        <w:t>）</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1316"/>
        <w:gridCol w:w="1350"/>
        <w:gridCol w:w="1417"/>
        <w:gridCol w:w="1417"/>
        <w:gridCol w:w="1533"/>
      </w:tblGrid>
      <w:tr w:rsidR="003F13AB">
        <w:trPr>
          <w:trHeight w:val="354"/>
        </w:trPr>
        <w:tc>
          <w:tcPr>
            <w:tcW w:w="2367" w:type="dxa"/>
          </w:tcPr>
          <w:p w:rsidR="003F13AB" w:rsidRDefault="00EC6E7E">
            <w:pPr>
              <w:adjustRightInd/>
              <w:spacing w:line="300" w:lineRule="exact"/>
              <w:ind w:firstLineChars="0" w:firstLine="0"/>
              <w:rPr>
                <w:rFonts w:ascii="宋体" w:hAnsi="宋体"/>
                <w:sz w:val="21"/>
                <w:szCs w:val="21"/>
              </w:rPr>
            </w:pPr>
            <w:r>
              <w:rPr>
                <w:rFonts w:ascii="宋体" w:hAnsi="宋体" w:hint="eastAsia"/>
                <w:sz w:val="21"/>
                <w:szCs w:val="21"/>
              </w:rPr>
              <w:t>能量系数表压力（</w:t>
            </w:r>
            <w:r>
              <w:rPr>
                <w:rFonts w:ascii="宋体" w:hAnsi="宋体"/>
                <w:sz w:val="21"/>
                <w:szCs w:val="21"/>
              </w:rPr>
              <w:t>MPa</w:t>
            </w:r>
            <w:r>
              <w:rPr>
                <w:rFonts w:ascii="宋体" w:hAnsi="宋体" w:hint="eastAsia"/>
                <w:sz w:val="21"/>
                <w:szCs w:val="21"/>
              </w:rPr>
              <w:t>）</w:t>
            </w:r>
          </w:p>
        </w:tc>
        <w:tc>
          <w:tcPr>
            <w:tcW w:w="1316"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0.5</w:t>
            </w:r>
          </w:p>
        </w:tc>
        <w:tc>
          <w:tcPr>
            <w:tcW w:w="1350"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0.8</w:t>
            </w:r>
          </w:p>
        </w:tc>
        <w:tc>
          <w:tcPr>
            <w:tcW w:w="1417"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1.3</w:t>
            </w:r>
          </w:p>
        </w:tc>
        <w:tc>
          <w:tcPr>
            <w:tcW w:w="1417"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2.5</w:t>
            </w:r>
          </w:p>
        </w:tc>
        <w:tc>
          <w:tcPr>
            <w:tcW w:w="1533"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3.0</w:t>
            </w:r>
          </w:p>
        </w:tc>
      </w:tr>
      <w:tr w:rsidR="003F13AB">
        <w:trPr>
          <w:trHeight w:val="420"/>
        </w:trPr>
        <w:tc>
          <w:tcPr>
            <w:tcW w:w="2367"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lastRenderedPageBreak/>
              <w:t>C</w:t>
            </w:r>
            <w:r>
              <w:rPr>
                <w:rFonts w:ascii="宋体" w:hAnsi="宋体"/>
                <w:sz w:val="21"/>
                <w:szCs w:val="21"/>
                <w:vertAlign w:val="subscript"/>
              </w:rPr>
              <w:t>S</w:t>
            </w:r>
            <w:r>
              <w:rPr>
                <w:rFonts w:ascii="宋体" w:hAnsi="宋体"/>
                <w:sz w:val="21"/>
                <w:szCs w:val="21"/>
              </w:rPr>
              <w:t>(kJ/m</w:t>
            </w:r>
            <w:r>
              <w:rPr>
                <w:rFonts w:ascii="宋体" w:hAnsi="宋体"/>
                <w:sz w:val="21"/>
                <w:szCs w:val="21"/>
                <w:vertAlign w:val="superscript"/>
              </w:rPr>
              <w:t>3</w:t>
            </w:r>
            <w:r>
              <w:rPr>
                <w:rFonts w:ascii="宋体" w:hAnsi="宋体"/>
                <w:sz w:val="21"/>
                <w:szCs w:val="21"/>
              </w:rPr>
              <w:t>)</w:t>
            </w:r>
          </w:p>
        </w:tc>
        <w:tc>
          <w:tcPr>
            <w:tcW w:w="1316"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8.31</w:t>
            </w:r>
            <w:r>
              <w:rPr>
                <w:rFonts w:ascii="宋体" w:hAnsi="宋体" w:hint="eastAsia"/>
                <w:sz w:val="21"/>
                <w:szCs w:val="21"/>
              </w:rPr>
              <w:t>×</w:t>
            </w:r>
            <w:r>
              <w:rPr>
                <w:rFonts w:ascii="宋体" w:hAnsi="宋体"/>
                <w:sz w:val="21"/>
                <w:szCs w:val="21"/>
              </w:rPr>
              <w:t>10</w:t>
            </w:r>
            <w:r>
              <w:rPr>
                <w:rFonts w:ascii="宋体" w:hAnsi="宋体"/>
                <w:sz w:val="21"/>
                <w:szCs w:val="21"/>
                <w:vertAlign w:val="superscript"/>
              </w:rPr>
              <w:t>2</w:t>
            </w:r>
          </w:p>
        </w:tc>
        <w:tc>
          <w:tcPr>
            <w:tcW w:w="1350"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1.5</w:t>
            </w:r>
            <w:r>
              <w:rPr>
                <w:rFonts w:ascii="宋体" w:hAnsi="宋体" w:hint="eastAsia"/>
                <w:sz w:val="21"/>
                <w:szCs w:val="21"/>
              </w:rPr>
              <w:t>×</w:t>
            </w:r>
            <w:r>
              <w:rPr>
                <w:rFonts w:ascii="宋体" w:hAnsi="宋体"/>
                <w:sz w:val="21"/>
                <w:szCs w:val="21"/>
              </w:rPr>
              <w:t>10</w:t>
            </w:r>
            <w:r>
              <w:rPr>
                <w:rFonts w:ascii="宋体" w:hAnsi="宋体"/>
                <w:sz w:val="21"/>
                <w:szCs w:val="21"/>
                <w:vertAlign w:val="superscript"/>
              </w:rPr>
              <w:t>3</w:t>
            </w:r>
          </w:p>
        </w:tc>
        <w:tc>
          <w:tcPr>
            <w:tcW w:w="1417"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2.75</w:t>
            </w:r>
            <w:r>
              <w:rPr>
                <w:rFonts w:ascii="宋体" w:hAnsi="宋体" w:hint="eastAsia"/>
                <w:sz w:val="21"/>
                <w:szCs w:val="21"/>
              </w:rPr>
              <w:t>×</w:t>
            </w:r>
            <w:r>
              <w:rPr>
                <w:rFonts w:ascii="宋体" w:hAnsi="宋体"/>
                <w:sz w:val="21"/>
                <w:szCs w:val="21"/>
              </w:rPr>
              <w:t>10</w:t>
            </w:r>
            <w:r>
              <w:rPr>
                <w:rFonts w:ascii="宋体" w:hAnsi="宋体"/>
                <w:sz w:val="21"/>
                <w:szCs w:val="21"/>
                <w:vertAlign w:val="superscript"/>
              </w:rPr>
              <w:t>3</w:t>
            </w:r>
          </w:p>
        </w:tc>
        <w:tc>
          <w:tcPr>
            <w:tcW w:w="1417"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6.24</w:t>
            </w:r>
            <w:r>
              <w:rPr>
                <w:rFonts w:ascii="宋体" w:hAnsi="宋体" w:hint="eastAsia"/>
                <w:sz w:val="21"/>
                <w:szCs w:val="21"/>
              </w:rPr>
              <w:t>×</w:t>
            </w:r>
            <w:r>
              <w:rPr>
                <w:rFonts w:ascii="宋体" w:hAnsi="宋体"/>
                <w:sz w:val="21"/>
                <w:szCs w:val="21"/>
              </w:rPr>
              <w:t>10</w:t>
            </w:r>
            <w:r>
              <w:rPr>
                <w:rFonts w:ascii="宋体" w:hAnsi="宋体"/>
                <w:sz w:val="21"/>
                <w:szCs w:val="21"/>
                <w:vertAlign w:val="superscript"/>
              </w:rPr>
              <w:t>3</w:t>
            </w:r>
          </w:p>
        </w:tc>
        <w:tc>
          <w:tcPr>
            <w:tcW w:w="1533"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7.77</w:t>
            </w:r>
            <w:r>
              <w:rPr>
                <w:rFonts w:ascii="宋体" w:hAnsi="宋体" w:hint="eastAsia"/>
                <w:sz w:val="21"/>
                <w:szCs w:val="21"/>
              </w:rPr>
              <w:t>×</w:t>
            </w:r>
            <w:r>
              <w:rPr>
                <w:rFonts w:ascii="宋体" w:hAnsi="宋体"/>
                <w:sz w:val="21"/>
                <w:szCs w:val="21"/>
              </w:rPr>
              <w:t>10</w:t>
            </w:r>
            <w:r>
              <w:rPr>
                <w:rFonts w:ascii="宋体" w:hAnsi="宋体"/>
                <w:sz w:val="21"/>
                <w:szCs w:val="21"/>
                <w:vertAlign w:val="superscript"/>
              </w:rPr>
              <w:t>3</w:t>
            </w:r>
          </w:p>
        </w:tc>
      </w:tr>
      <w:tr w:rsidR="003F13AB">
        <w:tc>
          <w:tcPr>
            <w:tcW w:w="2367"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C</w:t>
            </w:r>
            <w:r>
              <w:rPr>
                <w:rFonts w:ascii="宋体" w:hAnsi="宋体"/>
                <w:sz w:val="21"/>
                <w:szCs w:val="21"/>
                <w:vertAlign w:val="subscript"/>
              </w:rPr>
              <w:t>W</w:t>
            </w:r>
            <w:r>
              <w:rPr>
                <w:rFonts w:ascii="宋体" w:hAnsi="宋体"/>
                <w:sz w:val="21"/>
                <w:szCs w:val="21"/>
              </w:rPr>
              <w:t>((kJ/m</w:t>
            </w:r>
            <w:r>
              <w:rPr>
                <w:rFonts w:ascii="宋体" w:hAnsi="宋体"/>
                <w:sz w:val="21"/>
                <w:szCs w:val="21"/>
                <w:vertAlign w:val="superscript"/>
              </w:rPr>
              <w:t>3</w:t>
            </w:r>
            <w:r>
              <w:rPr>
                <w:rFonts w:ascii="宋体" w:hAnsi="宋体"/>
                <w:sz w:val="21"/>
                <w:szCs w:val="21"/>
              </w:rPr>
              <w:t>)</w:t>
            </w:r>
          </w:p>
        </w:tc>
        <w:tc>
          <w:tcPr>
            <w:tcW w:w="1316"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3.25</w:t>
            </w:r>
            <w:r>
              <w:rPr>
                <w:rFonts w:ascii="宋体" w:hAnsi="宋体" w:hint="eastAsia"/>
                <w:sz w:val="21"/>
                <w:szCs w:val="21"/>
              </w:rPr>
              <w:t>×</w:t>
            </w:r>
            <w:r>
              <w:rPr>
                <w:rFonts w:ascii="宋体" w:hAnsi="宋体"/>
                <w:sz w:val="21"/>
                <w:szCs w:val="21"/>
              </w:rPr>
              <w:t>1</w:t>
            </w:r>
            <w:r>
              <w:rPr>
                <w:rFonts w:ascii="宋体" w:hAnsi="宋体"/>
                <w:sz w:val="21"/>
                <w:szCs w:val="21"/>
                <w:vertAlign w:val="superscript"/>
              </w:rPr>
              <w:t>04</w:t>
            </w:r>
          </w:p>
        </w:tc>
        <w:tc>
          <w:tcPr>
            <w:tcW w:w="1350"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4.56</w:t>
            </w:r>
            <w:r>
              <w:rPr>
                <w:rFonts w:ascii="宋体" w:hAnsi="宋体" w:hint="eastAsia"/>
                <w:sz w:val="21"/>
                <w:szCs w:val="21"/>
              </w:rPr>
              <w:t>×</w:t>
            </w:r>
            <w:r>
              <w:rPr>
                <w:rFonts w:ascii="宋体" w:hAnsi="宋体"/>
                <w:sz w:val="21"/>
                <w:szCs w:val="21"/>
              </w:rPr>
              <w:t>10</w:t>
            </w:r>
            <w:r>
              <w:rPr>
                <w:rFonts w:ascii="宋体" w:hAnsi="宋体"/>
                <w:sz w:val="21"/>
                <w:szCs w:val="21"/>
                <w:vertAlign w:val="superscript"/>
              </w:rPr>
              <w:t>4</w:t>
            </w:r>
          </w:p>
        </w:tc>
        <w:tc>
          <w:tcPr>
            <w:tcW w:w="1417"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6.35</w:t>
            </w:r>
            <w:r>
              <w:rPr>
                <w:rFonts w:ascii="宋体" w:hAnsi="宋体" w:hint="eastAsia"/>
                <w:sz w:val="21"/>
                <w:szCs w:val="21"/>
              </w:rPr>
              <w:t>×</w:t>
            </w:r>
            <w:r>
              <w:rPr>
                <w:rFonts w:ascii="宋体" w:hAnsi="宋体"/>
                <w:sz w:val="21"/>
                <w:szCs w:val="21"/>
              </w:rPr>
              <w:t>10</w:t>
            </w:r>
            <w:r>
              <w:rPr>
                <w:rFonts w:ascii="宋体" w:hAnsi="宋体"/>
                <w:sz w:val="21"/>
                <w:szCs w:val="21"/>
                <w:vertAlign w:val="superscript"/>
              </w:rPr>
              <w:t>4</w:t>
            </w:r>
          </w:p>
        </w:tc>
        <w:tc>
          <w:tcPr>
            <w:tcW w:w="1417"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9.56</w:t>
            </w:r>
            <w:r>
              <w:rPr>
                <w:rFonts w:ascii="宋体" w:hAnsi="宋体" w:hint="eastAsia"/>
                <w:sz w:val="21"/>
                <w:szCs w:val="21"/>
              </w:rPr>
              <w:t>×</w:t>
            </w:r>
            <w:r>
              <w:rPr>
                <w:rFonts w:ascii="宋体" w:hAnsi="宋体"/>
                <w:sz w:val="21"/>
                <w:szCs w:val="21"/>
              </w:rPr>
              <w:t>10</w:t>
            </w:r>
            <w:r>
              <w:rPr>
                <w:rFonts w:ascii="宋体" w:hAnsi="宋体"/>
                <w:sz w:val="21"/>
                <w:szCs w:val="21"/>
                <w:vertAlign w:val="superscript"/>
              </w:rPr>
              <w:t>4</w:t>
            </w:r>
          </w:p>
        </w:tc>
        <w:tc>
          <w:tcPr>
            <w:tcW w:w="1533" w:type="dxa"/>
          </w:tcPr>
          <w:p w:rsidR="003F13AB" w:rsidRDefault="00EC6E7E">
            <w:pPr>
              <w:adjustRightInd/>
              <w:snapToGrid/>
              <w:spacing w:line="300" w:lineRule="exact"/>
              <w:ind w:firstLineChars="0" w:firstLine="0"/>
              <w:rPr>
                <w:rFonts w:ascii="宋体" w:hAnsi="宋体"/>
                <w:sz w:val="21"/>
                <w:szCs w:val="21"/>
              </w:rPr>
            </w:pPr>
            <w:r>
              <w:rPr>
                <w:rFonts w:ascii="宋体" w:hAnsi="宋体"/>
                <w:sz w:val="21"/>
                <w:szCs w:val="21"/>
              </w:rPr>
              <w:t>1.06</w:t>
            </w:r>
            <w:r>
              <w:rPr>
                <w:rFonts w:ascii="宋体" w:hAnsi="宋体" w:hint="eastAsia"/>
                <w:sz w:val="21"/>
                <w:szCs w:val="21"/>
              </w:rPr>
              <w:t>×</w:t>
            </w:r>
            <w:r>
              <w:rPr>
                <w:rFonts w:ascii="宋体" w:hAnsi="宋体"/>
                <w:sz w:val="21"/>
                <w:szCs w:val="21"/>
              </w:rPr>
              <w:t>10</w:t>
            </w:r>
            <w:r>
              <w:rPr>
                <w:rFonts w:ascii="宋体" w:hAnsi="宋体"/>
                <w:sz w:val="21"/>
                <w:szCs w:val="21"/>
                <w:vertAlign w:val="superscript"/>
              </w:rPr>
              <w:t>5</w:t>
            </w:r>
          </w:p>
        </w:tc>
      </w:tr>
    </w:tbl>
    <w:p w:rsidR="003F13AB" w:rsidRDefault="00EC6E7E">
      <w:pPr>
        <w:tabs>
          <w:tab w:val="left" w:pos="960"/>
        </w:tabs>
        <w:ind w:firstLine="560"/>
        <w:rPr>
          <w:rFonts w:ascii="宋体" w:hAnsi="宋体"/>
          <w:bCs/>
          <w:color w:val="auto"/>
          <w:szCs w:val="28"/>
        </w:rPr>
      </w:pPr>
      <w:r>
        <w:rPr>
          <w:rFonts w:ascii="宋体" w:hAnsi="宋体" w:hint="eastAsia"/>
          <w:bCs/>
          <w:color w:val="auto"/>
          <w:szCs w:val="28"/>
        </w:rPr>
        <w:t>根据内插法计算1.25MPa压力时C</w:t>
      </w:r>
      <w:r>
        <w:rPr>
          <w:rFonts w:ascii="宋体" w:hAnsi="宋体" w:hint="eastAsia"/>
          <w:bCs/>
          <w:color w:val="auto"/>
          <w:szCs w:val="28"/>
          <w:vertAlign w:val="subscript"/>
        </w:rPr>
        <w:t>S</w:t>
      </w:r>
      <w:r>
        <w:rPr>
          <w:rFonts w:ascii="宋体" w:hAnsi="宋体" w:hint="eastAsia"/>
          <w:bCs/>
          <w:color w:val="auto"/>
          <w:szCs w:val="28"/>
        </w:rPr>
        <w:t>值为2.64×10</w:t>
      </w:r>
      <w:r>
        <w:rPr>
          <w:rFonts w:ascii="宋体" w:hAnsi="宋体" w:hint="eastAsia"/>
          <w:bCs/>
          <w:color w:val="auto"/>
          <w:szCs w:val="28"/>
          <w:vertAlign w:val="superscript"/>
        </w:rPr>
        <w:t>3</w:t>
      </w:r>
      <w:r>
        <w:rPr>
          <w:rFonts w:ascii="宋体" w:hAnsi="宋体"/>
          <w:bCs/>
          <w:color w:val="auto"/>
          <w:szCs w:val="28"/>
        </w:rPr>
        <w:t>kJ/m</w:t>
      </w:r>
      <w:r>
        <w:rPr>
          <w:rFonts w:ascii="宋体" w:hAnsi="宋体"/>
          <w:bCs/>
          <w:color w:val="auto"/>
          <w:szCs w:val="28"/>
          <w:vertAlign w:val="superscript"/>
        </w:rPr>
        <w:t>3</w:t>
      </w:r>
      <w:r>
        <w:rPr>
          <w:rFonts w:ascii="宋体" w:hAnsi="宋体" w:hint="eastAsia"/>
          <w:bCs/>
          <w:color w:val="auto"/>
          <w:szCs w:val="28"/>
        </w:rPr>
        <w:t>,C</w:t>
      </w:r>
      <w:r>
        <w:rPr>
          <w:rFonts w:ascii="宋体" w:hAnsi="宋体" w:hint="eastAsia"/>
          <w:bCs/>
          <w:color w:val="auto"/>
          <w:szCs w:val="28"/>
          <w:vertAlign w:val="subscript"/>
        </w:rPr>
        <w:t>W</w:t>
      </w:r>
      <w:r>
        <w:rPr>
          <w:rFonts w:ascii="宋体" w:hAnsi="宋体" w:hint="eastAsia"/>
          <w:bCs/>
          <w:color w:val="auto"/>
          <w:szCs w:val="28"/>
        </w:rPr>
        <w:t>值为6.11×10</w:t>
      </w:r>
      <w:r>
        <w:rPr>
          <w:rFonts w:ascii="宋体" w:hAnsi="宋体" w:hint="eastAsia"/>
          <w:bCs/>
          <w:color w:val="auto"/>
          <w:szCs w:val="28"/>
          <w:vertAlign w:val="superscript"/>
        </w:rPr>
        <w:t>4</w:t>
      </w:r>
      <w:r>
        <w:rPr>
          <w:rFonts w:ascii="宋体" w:hAnsi="宋体"/>
          <w:bCs/>
          <w:color w:val="auto"/>
          <w:szCs w:val="28"/>
        </w:rPr>
        <w:t>kJ/m</w:t>
      </w:r>
      <w:r>
        <w:rPr>
          <w:rFonts w:ascii="宋体" w:hAnsi="宋体"/>
          <w:bCs/>
          <w:color w:val="auto"/>
          <w:szCs w:val="28"/>
          <w:vertAlign w:val="superscript"/>
        </w:rPr>
        <w:t>3</w:t>
      </w:r>
      <w:r>
        <w:rPr>
          <w:rFonts w:ascii="宋体" w:hAnsi="宋体" w:hint="eastAsia"/>
          <w:bCs/>
          <w:color w:val="auto"/>
          <w:szCs w:val="28"/>
        </w:rPr>
        <w:t>。</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该锅炉</w:t>
      </w:r>
      <w:proofErr w:type="gramStart"/>
      <w:r>
        <w:rPr>
          <w:rFonts w:ascii="宋体" w:hAnsi="宋体" w:hint="eastAsia"/>
          <w:bCs/>
          <w:color w:val="auto"/>
          <w:szCs w:val="28"/>
        </w:rPr>
        <w:t>爆炸总释放</w:t>
      </w:r>
      <w:proofErr w:type="gramEnd"/>
      <w:r>
        <w:rPr>
          <w:rFonts w:ascii="宋体" w:hAnsi="宋体" w:hint="eastAsia"/>
          <w:bCs/>
          <w:color w:val="auto"/>
          <w:szCs w:val="28"/>
        </w:rPr>
        <w:t>能量为</w:t>
      </w:r>
      <w:r>
        <w:rPr>
          <w:rFonts w:ascii="宋体" w:hAnsi="宋体"/>
          <w:bCs/>
          <w:color w:val="auto"/>
          <w:szCs w:val="28"/>
        </w:rPr>
        <w:t>:</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Ｅ</w:t>
      </w:r>
      <w:r>
        <w:rPr>
          <w:rFonts w:ascii="宋体" w:hAnsi="宋体"/>
          <w:bCs/>
          <w:color w:val="auto"/>
          <w:szCs w:val="28"/>
        </w:rPr>
        <w:t>=</w:t>
      </w:r>
      <w:r>
        <w:rPr>
          <w:rFonts w:ascii="宋体" w:hAnsi="宋体" w:hint="eastAsia"/>
          <w:bCs/>
          <w:color w:val="auto"/>
          <w:szCs w:val="28"/>
        </w:rPr>
        <w:t>3.75×2.64×10</w:t>
      </w:r>
      <w:r>
        <w:rPr>
          <w:rFonts w:ascii="宋体" w:hAnsi="宋体" w:hint="eastAsia"/>
          <w:bCs/>
          <w:color w:val="auto"/>
          <w:szCs w:val="28"/>
          <w:vertAlign w:val="superscript"/>
        </w:rPr>
        <w:t>3</w:t>
      </w:r>
      <w:r>
        <w:rPr>
          <w:rFonts w:ascii="宋体" w:hAnsi="宋体"/>
          <w:bCs/>
          <w:color w:val="auto"/>
          <w:szCs w:val="28"/>
        </w:rPr>
        <w:t>+</w:t>
      </w:r>
      <w:r>
        <w:rPr>
          <w:rFonts w:ascii="宋体" w:hAnsi="宋体" w:hint="eastAsia"/>
          <w:bCs/>
          <w:color w:val="auto"/>
          <w:szCs w:val="28"/>
        </w:rPr>
        <w:t>11.25×6.11×10</w:t>
      </w:r>
      <w:r>
        <w:rPr>
          <w:rFonts w:ascii="宋体" w:hAnsi="宋体" w:hint="eastAsia"/>
          <w:bCs/>
          <w:color w:val="auto"/>
          <w:szCs w:val="28"/>
          <w:vertAlign w:val="superscript"/>
        </w:rPr>
        <w:t>4</w:t>
      </w:r>
      <w:r>
        <w:rPr>
          <w:rFonts w:ascii="宋体" w:hAnsi="宋体"/>
          <w:bCs/>
          <w:color w:val="auto"/>
          <w:szCs w:val="28"/>
        </w:rPr>
        <w:t>=</w:t>
      </w:r>
      <w:r>
        <w:rPr>
          <w:rFonts w:ascii="宋体" w:hAnsi="宋体" w:hint="eastAsia"/>
          <w:bCs/>
          <w:color w:val="auto"/>
          <w:szCs w:val="28"/>
        </w:rPr>
        <w:t>697275</w:t>
      </w:r>
      <w:r>
        <w:rPr>
          <w:rFonts w:ascii="宋体" w:hAnsi="宋体"/>
          <w:bCs/>
          <w:color w:val="auto"/>
          <w:szCs w:val="28"/>
        </w:rPr>
        <w:t>(kJ)</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（2）锅炉爆炸能量换算成</w:t>
      </w:r>
      <w:r>
        <w:rPr>
          <w:rFonts w:ascii="宋体" w:hAnsi="宋体"/>
          <w:bCs/>
          <w:color w:val="auto"/>
          <w:szCs w:val="28"/>
        </w:rPr>
        <w:t>TNT</w:t>
      </w:r>
      <w:r>
        <w:rPr>
          <w:rFonts w:ascii="宋体" w:hAnsi="宋体" w:hint="eastAsia"/>
          <w:bCs/>
          <w:color w:val="auto"/>
          <w:szCs w:val="28"/>
        </w:rPr>
        <w:t>当量</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将锅炉爆炸能量Ｅ换算成</w:t>
      </w:r>
      <w:r>
        <w:rPr>
          <w:rFonts w:ascii="宋体" w:hAnsi="宋体"/>
          <w:bCs/>
          <w:color w:val="auto"/>
          <w:szCs w:val="28"/>
        </w:rPr>
        <w:t>TNT</w:t>
      </w:r>
      <w:r>
        <w:rPr>
          <w:rFonts w:ascii="宋体" w:hAnsi="宋体" w:hint="eastAsia"/>
          <w:bCs/>
          <w:color w:val="auto"/>
          <w:szCs w:val="28"/>
        </w:rPr>
        <w:t>当量ｑ，其关系式为</w:t>
      </w:r>
      <w:r>
        <w:rPr>
          <w:rFonts w:ascii="宋体" w:hAnsi="宋体"/>
          <w:bCs/>
          <w:color w:val="auto"/>
          <w:szCs w:val="28"/>
        </w:rPr>
        <w:t>:</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ｑ</w:t>
      </w:r>
      <w:r>
        <w:rPr>
          <w:rFonts w:ascii="宋体" w:hAnsi="宋体"/>
          <w:bCs/>
          <w:color w:val="auto"/>
          <w:szCs w:val="28"/>
        </w:rPr>
        <w:t>=</w:t>
      </w:r>
      <w:r>
        <w:rPr>
          <w:rFonts w:ascii="宋体" w:hAnsi="宋体" w:hint="eastAsia"/>
          <w:bCs/>
          <w:color w:val="auto"/>
          <w:szCs w:val="28"/>
        </w:rPr>
        <w:t>Ｅ</w:t>
      </w:r>
      <w:r>
        <w:rPr>
          <w:rFonts w:ascii="宋体" w:hAnsi="宋体"/>
          <w:bCs/>
          <w:color w:val="auto"/>
          <w:szCs w:val="28"/>
        </w:rPr>
        <w:t>/</w:t>
      </w:r>
      <w:r>
        <w:rPr>
          <w:rFonts w:ascii="宋体" w:hAnsi="宋体" w:hint="eastAsia"/>
          <w:bCs/>
          <w:color w:val="auto"/>
          <w:szCs w:val="28"/>
        </w:rPr>
        <w:t>ｑ</w:t>
      </w:r>
      <w:r>
        <w:rPr>
          <w:rFonts w:ascii="宋体" w:hAnsi="宋体"/>
          <w:bCs/>
          <w:color w:val="auto"/>
          <w:szCs w:val="28"/>
        </w:rPr>
        <w:t>(TNT)</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式中</w:t>
      </w:r>
      <w:r>
        <w:rPr>
          <w:rFonts w:ascii="宋体" w:hAnsi="宋体"/>
          <w:bCs/>
          <w:color w:val="auto"/>
          <w:szCs w:val="28"/>
        </w:rPr>
        <w:t>,</w:t>
      </w:r>
      <w:r>
        <w:rPr>
          <w:rFonts w:ascii="宋体" w:hAnsi="宋体" w:hint="eastAsia"/>
          <w:bCs/>
          <w:color w:val="auto"/>
          <w:szCs w:val="28"/>
        </w:rPr>
        <w:t>ｑ</w:t>
      </w:r>
      <w:r>
        <w:rPr>
          <w:rFonts w:ascii="宋体" w:hAnsi="宋体"/>
          <w:bCs/>
          <w:color w:val="auto"/>
          <w:szCs w:val="28"/>
        </w:rPr>
        <w:t>(TNT)</w:t>
      </w:r>
      <w:r>
        <w:rPr>
          <w:rFonts w:ascii="宋体" w:hAnsi="宋体" w:hint="eastAsia"/>
          <w:bCs/>
          <w:color w:val="auto"/>
          <w:szCs w:val="28"/>
        </w:rPr>
        <w:t>为</w:t>
      </w:r>
      <w:r>
        <w:rPr>
          <w:rFonts w:ascii="宋体" w:hAnsi="宋体"/>
          <w:bCs/>
          <w:color w:val="auto"/>
          <w:szCs w:val="28"/>
        </w:rPr>
        <w:t>1kg</w:t>
      </w:r>
      <w:r>
        <w:rPr>
          <w:rFonts w:ascii="宋体" w:hAnsi="宋体" w:hint="eastAsia"/>
          <w:bCs/>
          <w:color w:val="auto"/>
          <w:szCs w:val="28"/>
        </w:rPr>
        <w:t>，</w:t>
      </w:r>
      <w:r>
        <w:rPr>
          <w:rFonts w:ascii="宋体" w:hAnsi="宋体"/>
          <w:bCs/>
          <w:color w:val="auto"/>
          <w:szCs w:val="28"/>
        </w:rPr>
        <w:t>TNT</w:t>
      </w:r>
      <w:r>
        <w:rPr>
          <w:rFonts w:ascii="宋体" w:hAnsi="宋体" w:hint="eastAsia"/>
          <w:bCs/>
          <w:color w:val="auto"/>
          <w:szCs w:val="28"/>
        </w:rPr>
        <w:t>的爆炸能量，取平均爆破为</w:t>
      </w:r>
      <w:r>
        <w:rPr>
          <w:rFonts w:ascii="宋体" w:hAnsi="宋体"/>
          <w:bCs/>
          <w:color w:val="auto"/>
          <w:szCs w:val="28"/>
        </w:rPr>
        <w:t>4500kJ</w:t>
      </w:r>
      <w:r>
        <w:rPr>
          <w:rFonts w:ascii="宋体" w:hAnsi="宋体" w:hint="eastAsia"/>
          <w:bCs/>
          <w:color w:val="auto"/>
          <w:szCs w:val="28"/>
        </w:rPr>
        <w:t>计算。</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ｑ</w:t>
      </w:r>
      <w:r>
        <w:rPr>
          <w:rFonts w:ascii="宋体" w:hAnsi="宋体"/>
          <w:bCs/>
          <w:color w:val="auto"/>
          <w:szCs w:val="28"/>
        </w:rPr>
        <w:t>=</w:t>
      </w:r>
      <w:r>
        <w:rPr>
          <w:rFonts w:ascii="宋体" w:hAnsi="宋体" w:hint="eastAsia"/>
          <w:bCs/>
          <w:color w:val="auto"/>
          <w:szCs w:val="28"/>
        </w:rPr>
        <w:t>697275</w:t>
      </w:r>
      <w:r>
        <w:rPr>
          <w:rFonts w:ascii="宋体" w:hAnsi="宋体"/>
          <w:bCs/>
          <w:color w:val="auto"/>
          <w:szCs w:val="28"/>
        </w:rPr>
        <w:t>/4500</w:t>
      </w:r>
      <w:r>
        <w:rPr>
          <w:rFonts w:ascii="宋体" w:hAnsi="宋体" w:hint="eastAsia"/>
          <w:bCs/>
          <w:color w:val="auto"/>
          <w:szCs w:val="28"/>
        </w:rPr>
        <w:t>=154.95</w:t>
      </w:r>
      <w:r>
        <w:rPr>
          <w:rFonts w:ascii="宋体" w:hAnsi="宋体"/>
          <w:bCs/>
          <w:color w:val="auto"/>
          <w:szCs w:val="28"/>
        </w:rPr>
        <w:t>(kg)</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即该锅炉爆炸相当于154.95</w:t>
      </w:r>
      <w:r>
        <w:rPr>
          <w:rFonts w:ascii="宋体" w:hAnsi="宋体"/>
          <w:bCs/>
          <w:color w:val="auto"/>
          <w:szCs w:val="28"/>
        </w:rPr>
        <w:t>kgTNT</w:t>
      </w:r>
      <w:r>
        <w:rPr>
          <w:rFonts w:ascii="宋体" w:hAnsi="宋体" w:hint="eastAsia"/>
          <w:bCs/>
          <w:color w:val="auto"/>
          <w:szCs w:val="28"/>
        </w:rPr>
        <w:t>炸药的爆炸能量，因而对周围环境能产生较大的破坏力。</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（3）爆炸试验的模拟比</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爆炸试验的模拟比</w:t>
      </w:r>
    </w:p>
    <w:p w:rsidR="003F13AB" w:rsidRDefault="00EC6E7E">
      <w:pPr>
        <w:tabs>
          <w:tab w:val="left" w:pos="960"/>
        </w:tabs>
        <w:ind w:firstLine="560"/>
        <w:rPr>
          <w:rFonts w:ascii="宋体" w:hAnsi="宋体"/>
          <w:bCs/>
          <w:color w:val="auto"/>
          <w:szCs w:val="28"/>
          <w:vertAlign w:val="superscript"/>
        </w:rPr>
      </w:pPr>
      <w:r>
        <w:rPr>
          <w:rFonts w:ascii="宋体" w:hAnsi="宋体" w:hint="eastAsia"/>
          <w:bCs/>
          <w:color w:val="auto"/>
          <w:szCs w:val="28"/>
        </w:rPr>
        <w:t>ａ</w:t>
      </w:r>
      <w:r>
        <w:rPr>
          <w:rFonts w:ascii="宋体" w:hAnsi="宋体"/>
          <w:bCs/>
          <w:color w:val="auto"/>
          <w:szCs w:val="28"/>
        </w:rPr>
        <w:t>=(</w:t>
      </w:r>
      <w:r>
        <w:rPr>
          <w:rFonts w:ascii="宋体" w:hAnsi="宋体" w:hint="eastAsia"/>
          <w:bCs/>
          <w:color w:val="auto"/>
          <w:szCs w:val="28"/>
        </w:rPr>
        <w:t>ｑ</w:t>
      </w:r>
      <w:r>
        <w:rPr>
          <w:rFonts w:ascii="宋体" w:hAnsi="宋体"/>
          <w:bCs/>
          <w:color w:val="auto"/>
          <w:szCs w:val="28"/>
        </w:rPr>
        <w:t>/</w:t>
      </w:r>
      <w:r>
        <w:rPr>
          <w:rFonts w:ascii="宋体" w:hAnsi="宋体" w:hint="eastAsia"/>
          <w:bCs/>
          <w:color w:val="auto"/>
          <w:szCs w:val="28"/>
        </w:rPr>
        <w:t>ｑ</w:t>
      </w:r>
      <w:r>
        <w:rPr>
          <w:rFonts w:ascii="宋体" w:hAnsi="宋体"/>
          <w:bCs/>
          <w:color w:val="auto"/>
          <w:szCs w:val="28"/>
          <w:vertAlign w:val="subscript"/>
        </w:rPr>
        <w:t>0</w:t>
      </w:r>
      <w:r>
        <w:rPr>
          <w:rFonts w:ascii="宋体" w:hAnsi="宋体"/>
          <w:bCs/>
          <w:color w:val="auto"/>
          <w:szCs w:val="28"/>
        </w:rPr>
        <w:t>)</w:t>
      </w:r>
      <w:r>
        <w:rPr>
          <w:rFonts w:ascii="宋体" w:hAnsi="宋体"/>
          <w:bCs/>
          <w:color w:val="auto"/>
          <w:szCs w:val="28"/>
          <w:vertAlign w:val="superscript"/>
        </w:rPr>
        <w:t>1/3</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式中</w:t>
      </w:r>
      <w:r>
        <w:rPr>
          <w:rFonts w:ascii="宋体" w:hAnsi="宋体"/>
          <w:bCs/>
          <w:color w:val="auto"/>
          <w:szCs w:val="28"/>
        </w:rPr>
        <w:t>,</w:t>
      </w:r>
      <w:r>
        <w:rPr>
          <w:rFonts w:ascii="宋体" w:hAnsi="宋体" w:hint="eastAsia"/>
          <w:bCs/>
          <w:color w:val="auto"/>
          <w:szCs w:val="28"/>
        </w:rPr>
        <w:t>ａ</w:t>
      </w:r>
      <w:r>
        <w:rPr>
          <w:rFonts w:ascii="宋体" w:hAnsi="宋体"/>
          <w:bCs/>
          <w:color w:val="auto"/>
          <w:szCs w:val="28"/>
        </w:rPr>
        <w:t>——</w:t>
      </w:r>
      <w:r>
        <w:rPr>
          <w:rFonts w:ascii="宋体" w:hAnsi="宋体" w:hint="eastAsia"/>
          <w:bCs/>
          <w:color w:val="auto"/>
          <w:szCs w:val="28"/>
        </w:rPr>
        <w:t>炸药爆炸试验的模拟比；</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ｑ</w:t>
      </w:r>
      <w:r>
        <w:rPr>
          <w:rFonts w:ascii="宋体" w:hAnsi="宋体"/>
          <w:bCs/>
          <w:color w:val="auto"/>
          <w:szCs w:val="28"/>
          <w:vertAlign w:val="subscript"/>
        </w:rPr>
        <w:t>0</w:t>
      </w:r>
      <w:r>
        <w:rPr>
          <w:rFonts w:ascii="宋体" w:hAnsi="宋体"/>
          <w:bCs/>
          <w:color w:val="auto"/>
          <w:szCs w:val="28"/>
        </w:rPr>
        <w:t>——</w:t>
      </w:r>
      <w:r>
        <w:rPr>
          <w:rFonts w:ascii="宋体" w:hAnsi="宋体" w:hint="eastAsia"/>
          <w:bCs/>
          <w:color w:val="auto"/>
          <w:szCs w:val="28"/>
        </w:rPr>
        <w:t>为取</w:t>
      </w:r>
      <w:r>
        <w:rPr>
          <w:rFonts w:ascii="宋体" w:hAnsi="宋体"/>
          <w:bCs/>
          <w:color w:val="auto"/>
          <w:szCs w:val="28"/>
        </w:rPr>
        <w:t>1000kgTNT</w:t>
      </w:r>
    </w:p>
    <w:p w:rsidR="003F13AB" w:rsidRDefault="00EC6E7E">
      <w:pPr>
        <w:tabs>
          <w:tab w:val="left" w:pos="960"/>
        </w:tabs>
        <w:ind w:firstLine="560"/>
        <w:rPr>
          <w:rFonts w:ascii="宋体" w:hAnsi="宋体"/>
          <w:bCs/>
          <w:color w:val="auto"/>
          <w:szCs w:val="28"/>
        </w:rPr>
      </w:pPr>
      <w:r>
        <w:rPr>
          <w:rFonts w:ascii="宋体" w:hAnsi="宋体" w:hint="eastAsia"/>
          <w:bCs/>
          <w:color w:val="auto"/>
          <w:szCs w:val="28"/>
        </w:rPr>
        <w:t>a＝（</w:t>
      </w:r>
      <w:r>
        <w:rPr>
          <w:rFonts w:ascii="宋体" w:hAnsi="宋体"/>
          <w:bCs/>
          <w:color w:val="auto"/>
          <w:szCs w:val="28"/>
        </w:rPr>
        <w:t>q/q</w:t>
      </w:r>
      <w:r>
        <w:rPr>
          <w:rFonts w:ascii="宋体" w:hAnsi="宋体"/>
          <w:bCs/>
          <w:color w:val="auto"/>
          <w:szCs w:val="28"/>
          <w:vertAlign w:val="subscript"/>
        </w:rPr>
        <w:t>0</w:t>
      </w:r>
      <w:r>
        <w:rPr>
          <w:rFonts w:ascii="宋体" w:hAnsi="宋体" w:hint="eastAsia"/>
          <w:bCs/>
          <w:color w:val="auto"/>
          <w:szCs w:val="28"/>
        </w:rPr>
        <w:t>）</w:t>
      </w:r>
      <w:r>
        <w:rPr>
          <w:rFonts w:ascii="宋体" w:hAnsi="宋体"/>
          <w:bCs/>
          <w:color w:val="auto"/>
          <w:szCs w:val="28"/>
          <w:vertAlign w:val="superscript"/>
        </w:rPr>
        <w:t>1/3</w:t>
      </w:r>
      <w:r>
        <w:rPr>
          <w:rFonts w:ascii="宋体" w:hAnsi="宋体" w:hint="eastAsia"/>
          <w:bCs/>
          <w:color w:val="auto"/>
          <w:szCs w:val="28"/>
        </w:rPr>
        <w:t>＝</w:t>
      </w:r>
      <w:r>
        <w:rPr>
          <w:rFonts w:ascii="宋体" w:hAnsi="宋体"/>
          <w:bCs/>
          <w:color w:val="auto"/>
          <w:szCs w:val="28"/>
        </w:rPr>
        <w:t>0.1q</w:t>
      </w:r>
      <w:r>
        <w:rPr>
          <w:rFonts w:ascii="宋体" w:hAnsi="宋体"/>
          <w:bCs/>
          <w:color w:val="auto"/>
          <w:szCs w:val="28"/>
          <w:vertAlign w:val="superscript"/>
        </w:rPr>
        <w:t>1/3</w:t>
      </w:r>
      <w:r>
        <w:rPr>
          <w:rFonts w:ascii="宋体" w:hAnsi="宋体" w:hint="eastAsia"/>
          <w:bCs/>
          <w:color w:val="auto"/>
          <w:szCs w:val="28"/>
        </w:rPr>
        <w:t>＝</w:t>
      </w:r>
      <w:r>
        <w:rPr>
          <w:rFonts w:ascii="宋体" w:hAnsi="宋体"/>
          <w:bCs/>
          <w:color w:val="auto"/>
          <w:szCs w:val="28"/>
        </w:rPr>
        <w:t>0.1</w:t>
      </w:r>
      <w:r>
        <w:rPr>
          <w:rFonts w:ascii="宋体" w:hAnsi="宋体" w:hint="eastAsia"/>
          <w:bCs/>
          <w:color w:val="auto"/>
          <w:szCs w:val="28"/>
        </w:rPr>
        <w:t>×（154.95）</w:t>
      </w:r>
      <w:r>
        <w:rPr>
          <w:rFonts w:ascii="宋体" w:hAnsi="宋体"/>
          <w:bCs/>
          <w:color w:val="auto"/>
          <w:szCs w:val="28"/>
          <w:vertAlign w:val="superscript"/>
        </w:rPr>
        <w:t>1/3</w:t>
      </w:r>
      <w:r>
        <w:rPr>
          <w:rFonts w:ascii="宋体" w:hAnsi="宋体" w:hint="eastAsia"/>
          <w:bCs/>
          <w:color w:val="auto"/>
          <w:szCs w:val="28"/>
        </w:rPr>
        <w:t>＝</w:t>
      </w:r>
      <w:r>
        <w:rPr>
          <w:rFonts w:ascii="宋体" w:hAnsi="宋体"/>
          <w:bCs/>
          <w:color w:val="auto"/>
          <w:szCs w:val="28"/>
        </w:rPr>
        <w:t>0.</w:t>
      </w:r>
      <w:r>
        <w:rPr>
          <w:rFonts w:ascii="宋体" w:hAnsi="宋体" w:hint="eastAsia"/>
          <w:bCs/>
          <w:color w:val="auto"/>
          <w:szCs w:val="28"/>
        </w:rPr>
        <w:t>537</w:t>
      </w:r>
    </w:p>
    <w:p w:rsidR="003F13AB" w:rsidRDefault="00EC6E7E">
      <w:pPr>
        <w:tabs>
          <w:tab w:val="left" w:pos="960"/>
        </w:tabs>
        <w:ind w:firstLine="560"/>
        <w:rPr>
          <w:rFonts w:ascii="宋体" w:hAnsi="宋体"/>
          <w:bCs/>
          <w:color w:val="auto"/>
          <w:szCs w:val="28"/>
          <w:vertAlign w:val="subscript"/>
        </w:rPr>
      </w:pPr>
      <w:r>
        <w:rPr>
          <w:rFonts w:ascii="宋体" w:hAnsi="宋体" w:hint="eastAsia"/>
          <w:bCs/>
          <w:color w:val="auto"/>
          <w:szCs w:val="28"/>
        </w:rPr>
        <w:t>（4）求模拟爆炸试验中的相当距离Ｒ</w:t>
      </w:r>
    </w:p>
    <w:p w:rsidR="003F13AB" w:rsidRDefault="00EC6E7E">
      <w:pPr>
        <w:pStyle w:val="Default1"/>
        <w:spacing w:line="360" w:lineRule="auto"/>
        <w:ind w:firstLineChars="200" w:firstLine="560"/>
        <w:jc w:val="both"/>
        <w:rPr>
          <w:rFonts w:ascii="宋体" w:hAnsi="宋体" w:hint="default"/>
          <w:bCs/>
          <w:color w:val="auto"/>
          <w:kern w:val="2"/>
          <w:sz w:val="28"/>
          <w:szCs w:val="28"/>
        </w:rPr>
      </w:pPr>
      <w:r>
        <w:rPr>
          <w:rFonts w:ascii="宋体" w:hAnsi="宋体"/>
          <w:bCs/>
          <w:color w:val="auto"/>
          <w:kern w:val="2"/>
          <w:sz w:val="28"/>
          <w:szCs w:val="28"/>
        </w:rPr>
        <w:t>在1000kg TNT模拟爆炸试验中的相当距离R</w:t>
      </w:r>
      <w:r>
        <w:rPr>
          <w:rFonts w:ascii="宋体" w:hAnsi="宋体"/>
          <w:bCs/>
          <w:color w:val="auto"/>
          <w:kern w:val="2"/>
          <w:sz w:val="28"/>
          <w:szCs w:val="28"/>
          <w:vertAlign w:val="subscript"/>
        </w:rPr>
        <w:t>0</w:t>
      </w:r>
      <w:r>
        <w:rPr>
          <w:rFonts w:ascii="宋体" w:hAnsi="宋体"/>
          <w:bCs/>
          <w:color w:val="auto"/>
          <w:kern w:val="2"/>
          <w:sz w:val="28"/>
          <w:szCs w:val="28"/>
        </w:rPr>
        <w:t>=R/a。根据公式R=a×R</w:t>
      </w:r>
      <w:r>
        <w:rPr>
          <w:rFonts w:ascii="宋体" w:hAnsi="宋体"/>
          <w:bCs/>
          <w:color w:val="auto"/>
          <w:kern w:val="2"/>
          <w:sz w:val="28"/>
          <w:szCs w:val="28"/>
          <w:vertAlign w:val="subscript"/>
        </w:rPr>
        <w:t>0</w:t>
      </w:r>
      <w:r>
        <w:rPr>
          <w:rFonts w:ascii="宋体" w:hAnsi="宋体"/>
          <w:bCs/>
          <w:color w:val="auto"/>
          <w:kern w:val="2"/>
          <w:sz w:val="28"/>
          <w:szCs w:val="28"/>
        </w:rPr>
        <w:t>，人员伤害超压准则及建筑物破坏的超压准则，即可计算出锅炉爆炸时,其冲击波超压能量造成人员伤害及建筑物损坏的距离R值，见附表4.1-2、附表4.1-3。</w:t>
      </w:r>
    </w:p>
    <w:p w:rsidR="003F13AB" w:rsidRDefault="00EC6E7E">
      <w:pPr>
        <w:widowControl/>
        <w:adjustRightInd/>
        <w:snapToGrid/>
        <w:spacing w:line="240" w:lineRule="auto"/>
        <w:ind w:firstLineChars="0" w:firstLine="0"/>
        <w:jc w:val="left"/>
        <w:rPr>
          <w:rFonts w:ascii="宋体" w:hAnsi="宋体"/>
          <w:color w:val="auto"/>
          <w:szCs w:val="28"/>
        </w:rPr>
      </w:pPr>
      <w:r>
        <w:rPr>
          <w:rFonts w:ascii="宋体" w:hAnsi="宋体"/>
          <w:color w:val="auto"/>
          <w:szCs w:val="28"/>
        </w:rPr>
        <w:br w:type="page"/>
      </w:r>
    </w:p>
    <w:p w:rsidR="003F13AB" w:rsidRDefault="00EC6E7E">
      <w:pPr>
        <w:ind w:firstLine="560"/>
        <w:jc w:val="center"/>
        <w:textAlignment w:val="center"/>
        <w:rPr>
          <w:rFonts w:ascii="宋体" w:hAnsi="宋体"/>
          <w:color w:val="auto"/>
          <w:szCs w:val="28"/>
        </w:rPr>
      </w:pPr>
      <w:r>
        <w:rPr>
          <w:rFonts w:ascii="宋体" w:hAnsi="宋体" w:hint="eastAsia"/>
          <w:color w:val="auto"/>
          <w:szCs w:val="28"/>
        </w:rPr>
        <w:lastRenderedPageBreak/>
        <w:t>附表4</w:t>
      </w:r>
      <w:r>
        <w:rPr>
          <w:rFonts w:ascii="宋体" w:hAnsi="宋体"/>
          <w:color w:val="auto"/>
          <w:szCs w:val="28"/>
        </w:rPr>
        <w:t>.</w:t>
      </w:r>
      <w:r>
        <w:rPr>
          <w:rFonts w:ascii="宋体" w:hAnsi="宋体" w:hint="eastAsia"/>
          <w:color w:val="auto"/>
          <w:szCs w:val="28"/>
        </w:rPr>
        <w:t>1-</w:t>
      </w:r>
      <w:r>
        <w:rPr>
          <w:rFonts w:ascii="宋体" w:hAnsi="宋体"/>
          <w:color w:val="auto"/>
          <w:szCs w:val="28"/>
        </w:rPr>
        <w:t>2</w:t>
      </w:r>
      <w:r>
        <w:rPr>
          <w:rFonts w:ascii="宋体" w:hAnsi="宋体" w:hint="eastAsia"/>
          <w:color w:val="auto"/>
          <w:szCs w:val="28"/>
        </w:rPr>
        <w:t xml:space="preserve"> 冲击波超压对人体的伤害作用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3922"/>
        <w:gridCol w:w="1502"/>
        <w:gridCol w:w="1394"/>
      </w:tblGrid>
      <w:tr w:rsidR="003F13AB">
        <w:trPr>
          <w:jc w:val="center"/>
        </w:trPr>
        <w:tc>
          <w:tcPr>
            <w:tcW w:w="1704"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超压Δ</w:t>
            </w:r>
            <w:r>
              <w:rPr>
                <w:rFonts w:ascii="宋体" w:hAnsi="宋体"/>
                <w:sz w:val="21"/>
                <w:szCs w:val="21"/>
              </w:rPr>
              <w:t>P/MPa</w:t>
            </w:r>
          </w:p>
        </w:tc>
        <w:tc>
          <w:tcPr>
            <w:tcW w:w="3922" w:type="dxa"/>
            <w:vAlign w:val="center"/>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伤害程度</w:t>
            </w:r>
          </w:p>
        </w:tc>
        <w:tc>
          <w:tcPr>
            <w:tcW w:w="1502" w:type="dxa"/>
            <w:vAlign w:val="center"/>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R</w:t>
            </w:r>
            <w:r>
              <w:rPr>
                <w:rFonts w:ascii="宋体" w:hAnsi="宋体"/>
                <w:sz w:val="21"/>
                <w:szCs w:val="21"/>
                <w:vertAlign w:val="subscript"/>
              </w:rPr>
              <w:t>0</w:t>
            </w:r>
            <w:r>
              <w:rPr>
                <w:rFonts w:ascii="宋体" w:hAnsi="宋体"/>
                <w:sz w:val="21"/>
                <w:szCs w:val="21"/>
              </w:rPr>
              <w:t>/m</w:t>
            </w:r>
          </w:p>
        </w:tc>
        <w:tc>
          <w:tcPr>
            <w:tcW w:w="1394" w:type="dxa"/>
            <w:vAlign w:val="center"/>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R/m</w:t>
            </w:r>
          </w:p>
        </w:tc>
      </w:tr>
      <w:tr w:rsidR="003F13AB">
        <w:trPr>
          <w:jc w:val="center"/>
        </w:trPr>
        <w:tc>
          <w:tcPr>
            <w:tcW w:w="1704"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0.02</w:t>
            </w:r>
            <w:r>
              <w:rPr>
                <w:rFonts w:ascii="宋体" w:hAnsi="宋体" w:hint="eastAsia"/>
                <w:sz w:val="21"/>
                <w:szCs w:val="21"/>
              </w:rPr>
              <w:t>～</w:t>
            </w:r>
            <w:r>
              <w:rPr>
                <w:rFonts w:ascii="宋体" w:hAnsi="宋体"/>
                <w:sz w:val="21"/>
                <w:szCs w:val="21"/>
              </w:rPr>
              <w:t>0.03</w:t>
            </w:r>
          </w:p>
        </w:tc>
        <w:tc>
          <w:tcPr>
            <w:tcW w:w="3922"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轻微损伤</w:t>
            </w:r>
          </w:p>
        </w:tc>
        <w:tc>
          <w:tcPr>
            <w:tcW w:w="1502"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55</w:t>
            </w:r>
          </w:p>
        </w:tc>
        <w:tc>
          <w:tcPr>
            <w:tcW w:w="1394"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≤29.5</w:t>
            </w:r>
          </w:p>
        </w:tc>
      </w:tr>
      <w:tr w:rsidR="003F13AB">
        <w:trPr>
          <w:jc w:val="center"/>
        </w:trPr>
        <w:tc>
          <w:tcPr>
            <w:tcW w:w="1704"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00.03</w:t>
            </w:r>
            <w:r>
              <w:rPr>
                <w:rFonts w:ascii="宋体" w:hAnsi="宋体" w:hint="eastAsia"/>
                <w:sz w:val="21"/>
                <w:szCs w:val="21"/>
              </w:rPr>
              <w:t>～</w:t>
            </w:r>
            <w:r>
              <w:rPr>
                <w:rFonts w:ascii="宋体" w:hAnsi="宋体"/>
                <w:sz w:val="21"/>
                <w:szCs w:val="21"/>
              </w:rPr>
              <w:t>0.05</w:t>
            </w:r>
          </w:p>
        </w:tc>
        <w:tc>
          <w:tcPr>
            <w:tcW w:w="3922"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听觉器官损伤</w:t>
            </w:r>
            <w:r>
              <w:rPr>
                <w:rFonts w:ascii="宋体" w:hAnsi="宋体"/>
                <w:sz w:val="21"/>
                <w:szCs w:val="21"/>
              </w:rPr>
              <w:t>,</w:t>
            </w:r>
            <w:r>
              <w:rPr>
                <w:rFonts w:ascii="宋体" w:hAnsi="宋体" w:hint="eastAsia"/>
                <w:sz w:val="21"/>
                <w:szCs w:val="21"/>
              </w:rPr>
              <w:t>内脏轻微出血</w:t>
            </w:r>
            <w:r>
              <w:rPr>
                <w:rFonts w:ascii="宋体" w:hAnsi="宋体"/>
                <w:sz w:val="21"/>
                <w:szCs w:val="21"/>
              </w:rPr>
              <w:t>,</w:t>
            </w:r>
            <w:r>
              <w:rPr>
                <w:rFonts w:ascii="宋体" w:hAnsi="宋体" w:hint="eastAsia"/>
                <w:sz w:val="21"/>
                <w:szCs w:val="21"/>
              </w:rPr>
              <w:t>骨折</w:t>
            </w:r>
          </w:p>
        </w:tc>
        <w:tc>
          <w:tcPr>
            <w:tcW w:w="1502"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42</w:t>
            </w:r>
          </w:p>
        </w:tc>
        <w:tc>
          <w:tcPr>
            <w:tcW w:w="1394"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≤22.6</w:t>
            </w:r>
          </w:p>
        </w:tc>
      </w:tr>
      <w:tr w:rsidR="003F13AB">
        <w:trPr>
          <w:jc w:val="center"/>
        </w:trPr>
        <w:tc>
          <w:tcPr>
            <w:tcW w:w="1704"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0.05</w:t>
            </w:r>
            <w:r>
              <w:rPr>
                <w:rFonts w:ascii="宋体" w:hAnsi="宋体" w:hint="eastAsia"/>
                <w:sz w:val="21"/>
                <w:szCs w:val="21"/>
              </w:rPr>
              <w:t>～</w:t>
            </w:r>
            <w:r>
              <w:rPr>
                <w:rFonts w:ascii="宋体" w:hAnsi="宋体"/>
                <w:sz w:val="21"/>
                <w:szCs w:val="21"/>
              </w:rPr>
              <w:t>0.10</w:t>
            </w:r>
          </w:p>
        </w:tc>
        <w:tc>
          <w:tcPr>
            <w:tcW w:w="3922"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内脏严重损伤</w:t>
            </w:r>
            <w:r>
              <w:rPr>
                <w:rFonts w:ascii="宋体" w:hAnsi="宋体"/>
                <w:sz w:val="21"/>
                <w:szCs w:val="21"/>
              </w:rPr>
              <w:t>,</w:t>
            </w:r>
            <w:r>
              <w:rPr>
                <w:rFonts w:ascii="宋体" w:hAnsi="宋体" w:hint="eastAsia"/>
                <w:sz w:val="21"/>
                <w:szCs w:val="21"/>
              </w:rPr>
              <w:t>可引起死亡</w:t>
            </w:r>
          </w:p>
        </w:tc>
        <w:tc>
          <w:tcPr>
            <w:tcW w:w="1502"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33</w:t>
            </w:r>
          </w:p>
        </w:tc>
        <w:tc>
          <w:tcPr>
            <w:tcW w:w="1394"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≤17.7</w:t>
            </w:r>
          </w:p>
        </w:tc>
      </w:tr>
      <w:tr w:rsidR="003F13AB">
        <w:trPr>
          <w:jc w:val="center"/>
        </w:trPr>
        <w:tc>
          <w:tcPr>
            <w:tcW w:w="1704"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&gt;0.10</w:t>
            </w:r>
          </w:p>
        </w:tc>
        <w:tc>
          <w:tcPr>
            <w:tcW w:w="3922"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大部分人员死亡</w:t>
            </w:r>
          </w:p>
        </w:tc>
        <w:tc>
          <w:tcPr>
            <w:tcW w:w="1502"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23</w:t>
            </w:r>
          </w:p>
        </w:tc>
        <w:tc>
          <w:tcPr>
            <w:tcW w:w="1394"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≤12.4</w:t>
            </w:r>
          </w:p>
        </w:tc>
      </w:tr>
    </w:tbl>
    <w:p w:rsidR="003F13AB" w:rsidRDefault="00EC6E7E">
      <w:pPr>
        <w:spacing w:line="500" w:lineRule="exact"/>
        <w:ind w:firstLine="560"/>
        <w:jc w:val="center"/>
        <w:textAlignment w:val="center"/>
        <w:rPr>
          <w:rFonts w:ascii="宋体" w:hAnsi="宋体"/>
          <w:color w:val="auto"/>
          <w:szCs w:val="28"/>
        </w:rPr>
      </w:pPr>
      <w:r>
        <w:rPr>
          <w:rFonts w:ascii="宋体" w:hAnsi="宋体" w:hint="eastAsia"/>
          <w:color w:val="auto"/>
          <w:szCs w:val="28"/>
        </w:rPr>
        <w:t>表4</w:t>
      </w:r>
      <w:r>
        <w:rPr>
          <w:rFonts w:ascii="宋体" w:hAnsi="宋体"/>
          <w:color w:val="auto"/>
          <w:szCs w:val="28"/>
        </w:rPr>
        <w:t>.</w:t>
      </w:r>
      <w:r>
        <w:rPr>
          <w:rFonts w:ascii="宋体" w:hAnsi="宋体" w:hint="eastAsia"/>
          <w:color w:val="auto"/>
          <w:szCs w:val="28"/>
        </w:rPr>
        <w:t>1</w:t>
      </w:r>
      <w:r>
        <w:rPr>
          <w:rFonts w:ascii="宋体" w:hAnsi="宋体"/>
          <w:color w:val="auto"/>
          <w:szCs w:val="28"/>
        </w:rPr>
        <w:t>-3</w:t>
      </w:r>
      <w:r>
        <w:rPr>
          <w:rFonts w:ascii="宋体" w:hAnsi="宋体" w:hint="eastAsia"/>
          <w:color w:val="auto"/>
          <w:szCs w:val="28"/>
        </w:rPr>
        <w:t xml:space="preserve"> 冲击波超压对建筑物的破坏作用</w:t>
      </w:r>
    </w:p>
    <w:tbl>
      <w:tblPr>
        <w:tblW w:w="8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3736"/>
        <w:gridCol w:w="1620"/>
        <w:gridCol w:w="1141"/>
      </w:tblGrid>
      <w:tr w:rsidR="003F13AB">
        <w:trPr>
          <w:jc w:val="center"/>
        </w:trPr>
        <w:tc>
          <w:tcPr>
            <w:tcW w:w="1938"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超压Δ</w:t>
            </w:r>
            <w:r>
              <w:rPr>
                <w:rFonts w:ascii="宋体" w:hAnsi="宋体"/>
                <w:sz w:val="21"/>
                <w:szCs w:val="21"/>
              </w:rPr>
              <w:t>P/MPa</w:t>
            </w:r>
          </w:p>
        </w:tc>
        <w:tc>
          <w:tcPr>
            <w:tcW w:w="3736" w:type="dxa"/>
            <w:vAlign w:val="center"/>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损坏程度</w:t>
            </w:r>
          </w:p>
        </w:tc>
        <w:tc>
          <w:tcPr>
            <w:tcW w:w="1620" w:type="dxa"/>
            <w:vAlign w:val="center"/>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R</w:t>
            </w:r>
            <w:r>
              <w:rPr>
                <w:rFonts w:ascii="宋体" w:hAnsi="宋体"/>
                <w:sz w:val="21"/>
                <w:szCs w:val="21"/>
                <w:vertAlign w:val="subscript"/>
              </w:rPr>
              <w:t>0</w:t>
            </w:r>
            <w:r>
              <w:rPr>
                <w:rFonts w:ascii="宋体" w:hAnsi="宋体"/>
                <w:sz w:val="21"/>
                <w:szCs w:val="21"/>
              </w:rPr>
              <w:t>/m</w:t>
            </w:r>
          </w:p>
        </w:tc>
        <w:tc>
          <w:tcPr>
            <w:tcW w:w="1141" w:type="dxa"/>
            <w:vAlign w:val="center"/>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R/m</w:t>
            </w:r>
          </w:p>
        </w:tc>
      </w:tr>
      <w:tr w:rsidR="003F13AB">
        <w:trPr>
          <w:jc w:val="center"/>
        </w:trPr>
        <w:tc>
          <w:tcPr>
            <w:tcW w:w="1938"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0.015</w:t>
            </w:r>
            <w:r>
              <w:rPr>
                <w:rFonts w:ascii="宋体" w:hAnsi="宋体" w:hint="eastAsia"/>
                <w:sz w:val="21"/>
                <w:szCs w:val="21"/>
              </w:rPr>
              <w:t>～</w:t>
            </w:r>
            <w:r>
              <w:rPr>
                <w:rFonts w:ascii="宋体" w:hAnsi="宋体"/>
                <w:sz w:val="21"/>
                <w:szCs w:val="21"/>
              </w:rPr>
              <w:t>0.02</w:t>
            </w:r>
          </w:p>
        </w:tc>
        <w:tc>
          <w:tcPr>
            <w:tcW w:w="3736"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窗框损坏</w:t>
            </w:r>
          </w:p>
        </w:tc>
        <w:tc>
          <w:tcPr>
            <w:tcW w:w="1620"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68</w:t>
            </w:r>
          </w:p>
        </w:tc>
        <w:tc>
          <w:tcPr>
            <w:tcW w:w="1141"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≤36.5</w:t>
            </w:r>
          </w:p>
        </w:tc>
      </w:tr>
      <w:tr w:rsidR="003F13AB">
        <w:trPr>
          <w:jc w:val="center"/>
        </w:trPr>
        <w:tc>
          <w:tcPr>
            <w:tcW w:w="1938"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0.02</w:t>
            </w:r>
            <w:r>
              <w:rPr>
                <w:rFonts w:ascii="宋体" w:hAnsi="宋体" w:hint="eastAsia"/>
                <w:sz w:val="21"/>
                <w:szCs w:val="21"/>
              </w:rPr>
              <w:t>～</w:t>
            </w:r>
            <w:r>
              <w:rPr>
                <w:rFonts w:ascii="宋体" w:hAnsi="宋体"/>
                <w:sz w:val="21"/>
                <w:szCs w:val="21"/>
              </w:rPr>
              <w:t>0.03</w:t>
            </w:r>
          </w:p>
        </w:tc>
        <w:tc>
          <w:tcPr>
            <w:tcW w:w="3736"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墙裂缝</w:t>
            </w:r>
          </w:p>
        </w:tc>
        <w:tc>
          <w:tcPr>
            <w:tcW w:w="1620"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55</w:t>
            </w:r>
          </w:p>
        </w:tc>
        <w:tc>
          <w:tcPr>
            <w:tcW w:w="1141"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≤29.5</w:t>
            </w:r>
          </w:p>
        </w:tc>
      </w:tr>
      <w:tr w:rsidR="003F13AB">
        <w:trPr>
          <w:jc w:val="center"/>
        </w:trPr>
        <w:tc>
          <w:tcPr>
            <w:tcW w:w="1938"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0.04</w:t>
            </w:r>
            <w:r>
              <w:rPr>
                <w:rFonts w:ascii="宋体" w:hAnsi="宋体" w:hint="eastAsia"/>
                <w:sz w:val="21"/>
                <w:szCs w:val="21"/>
              </w:rPr>
              <w:t>～</w:t>
            </w:r>
            <w:r>
              <w:rPr>
                <w:rFonts w:ascii="宋体" w:hAnsi="宋体"/>
                <w:sz w:val="21"/>
                <w:szCs w:val="21"/>
              </w:rPr>
              <w:t>0.05</w:t>
            </w:r>
          </w:p>
        </w:tc>
        <w:tc>
          <w:tcPr>
            <w:tcW w:w="3736" w:type="dxa"/>
          </w:tcPr>
          <w:p w:rsidR="003F13AB" w:rsidRDefault="00EC6E7E">
            <w:pPr>
              <w:adjustRightInd/>
              <w:snapToGrid/>
              <w:spacing w:line="240" w:lineRule="auto"/>
              <w:ind w:firstLineChars="0" w:firstLine="0"/>
              <w:jc w:val="center"/>
              <w:rPr>
                <w:rFonts w:ascii="宋体" w:hAnsi="宋体"/>
                <w:sz w:val="21"/>
                <w:szCs w:val="21"/>
              </w:rPr>
            </w:pPr>
            <w:proofErr w:type="gramStart"/>
            <w:r>
              <w:rPr>
                <w:rFonts w:ascii="宋体" w:hAnsi="宋体" w:hint="eastAsia"/>
                <w:sz w:val="21"/>
                <w:szCs w:val="21"/>
              </w:rPr>
              <w:t>墙大裂缝</w:t>
            </w:r>
            <w:proofErr w:type="gramEnd"/>
            <w:r>
              <w:rPr>
                <w:rFonts w:ascii="宋体" w:hAnsi="宋体"/>
                <w:sz w:val="21"/>
                <w:szCs w:val="21"/>
              </w:rPr>
              <w:t>,</w:t>
            </w:r>
            <w:r>
              <w:rPr>
                <w:rFonts w:ascii="宋体" w:hAnsi="宋体" w:hint="eastAsia"/>
                <w:sz w:val="21"/>
                <w:szCs w:val="21"/>
              </w:rPr>
              <w:t>屋瓦掉下</w:t>
            </w:r>
          </w:p>
        </w:tc>
        <w:tc>
          <w:tcPr>
            <w:tcW w:w="1620"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37</w:t>
            </w:r>
          </w:p>
        </w:tc>
        <w:tc>
          <w:tcPr>
            <w:tcW w:w="1141"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≤19.9</w:t>
            </w:r>
          </w:p>
        </w:tc>
      </w:tr>
      <w:tr w:rsidR="003F13AB">
        <w:trPr>
          <w:jc w:val="center"/>
        </w:trPr>
        <w:tc>
          <w:tcPr>
            <w:tcW w:w="1938"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0.06</w:t>
            </w:r>
            <w:r>
              <w:rPr>
                <w:rFonts w:ascii="宋体" w:hAnsi="宋体" w:hint="eastAsia"/>
                <w:sz w:val="21"/>
                <w:szCs w:val="21"/>
              </w:rPr>
              <w:t>～</w:t>
            </w:r>
            <w:r>
              <w:rPr>
                <w:rFonts w:ascii="宋体" w:hAnsi="宋体"/>
                <w:sz w:val="21"/>
                <w:szCs w:val="21"/>
              </w:rPr>
              <w:t>0.07</w:t>
            </w:r>
          </w:p>
        </w:tc>
        <w:tc>
          <w:tcPr>
            <w:tcW w:w="3736"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木建筑厂房房柱折断</w:t>
            </w:r>
            <w:r>
              <w:rPr>
                <w:rFonts w:ascii="宋体" w:hAnsi="宋体"/>
                <w:sz w:val="21"/>
                <w:szCs w:val="21"/>
              </w:rPr>
              <w:t>,</w:t>
            </w:r>
            <w:r>
              <w:rPr>
                <w:rFonts w:ascii="宋体" w:hAnsi="宋体" w:hint="eastAsia"/>
                <w:sz w:val="21"/>
                <w:szCs w:val="21"/>
              </w:rPr>
              <w:t>房架松动</w:t>
            </w:r>
          </w:p>
        </w:tc>
        <w:tc>
          <w:tcPr>
            <w:tcW w:w="1620"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29</w:t>
            </w:r>
          </w:p>
        </w:tc>
        <w:tc>
          <w:tcPr>
            <w:tcW w:w="1141"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≤15.6</w:t>
            </w:r>
          </w:p>
        </w:tc>
      </w:tr>
      <w:tr w:rsidR="003F13AB">
        <w:trPr>
          <w:jc w:val="center"/>
        </w:trPr>
        <w:tc>
          <w:tcPr>
            <w:tcW w:w="1938"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0.07</w:t>
            </w:r>
            <w:r>
              <w:rPr>
                <w:rFonts w:ascii="宋体" w:hAnsi="宋体" w:hint="eastAsia"/>
                <w:sz w:val="21"/>
                <w:szCs w:val="21"/>
              </w:rPr>
              <w:t>～</w:t>
            </w:r>
            <w:r>
              <w:rPr>
                <w:rFonts w:ascii="宋体" w:hAnsi="宋体"/>
                <w:sz w:val="21"/>
                <w:szCs w:val="21"/>
              </w:rPr>
              <w:t>0.10</w:t>
            </w:r>
          </w:p>
        </w:tc>
        <w:tc>
          <w:tcPr>
            <w:tcW w:w="3736"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砖墙倒塌</w:t>
            </w:r>
          </w:p>
        </w:tc>
        <w:tc>
          <w:tcPr>
            <w:tcW w:w="1620"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27</w:t>
            </w:r>
          </w:p>
        </w:tc>
        <w:tc>
          <w:tcPr>
            <w:tcW w:w="1141"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≤14.5</w:t>
            </w:r>
          </w:p>
        </w:tc>
      </w:tr>
      <w:tr w:rsidR="003F13AB">
        <w:trPr>
          <w:jc w:val="center"/>
        </w:trPr>
        <w:tc>
          <w:tcPr>
            <w:tcW w:w="1938"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0.10</w:t>
            </w:r>
            <w:r>
              <w:rPr>
                <w:rFonts w:ascii="宋体" w:hAnsi="宋体" w:hint="eastAsia"/>
                <w:sz w:val="21"/>
                <w:szCs w:val="21"/>
              </w:rPr>
              <w:t>～</w:t>
            </w:r>
            <w:r>
              <w:rPr>
                <w:rFonts w:ascii="宋体" w:hAnsi="宋体"/>
                <w:sz w:val="21"/>
                <w:szCs w:val="21"/>
              </w:rPr>
              <w:t>0.20</w:t>
            </w:r>
          </w:p>
        </w:tc>
        <w:tc>
          <w:tcPr>
            <w:tcW w:w="3736"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防震钢筋混凝土破坏</w:t>
            </w:r>
            <w:r>
              <w:rPr>
                <w:rFonts w:ascii="宋体" w:hAnsi="宋体"/>
                <w:sz w:val="21"/>
                <w:szCs w:val="21"/>
              </w:rPr>
              <w:t>,</w:t>
            </w:r>
            <w:r>
              <w:rPr>
                <w:rFonts w:ascii="宋体" w:hAnsi="宋体" w:hint="eastAsia"/>
                <w:sz w:val="21"/>
                <w:szCs w:val="21"/>
              </w:rPr>
              <w:t>小房屋倒塌</w:t>
            </w:r>
          </w:p>
        </w:tc>
        <w:tc>
          <w:tcPr>
            <w:tcW w:w="1620"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23</w:t>
            </w:r>
          </w:p>
        </w:tc>
        <w:tc>
          <w:tcPr>
            <w:tcW w:w="1141"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≤12.4</w:t>
            </w:r>
          </w:p>
        </w:tc>
      </w:tr>
      <w:tr w:rsidR="003F13AB">
        <w:trPr>
          <w:jc w:val="center"/>
        </w:trPr>
        <w:tc>
          <w:tcPr>
            <w:tcW w:w="1938"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sz w:val="21"/>
                <w:szCs w:val="21"/>
              </w:rPr>
              <w:t>0.20</w:t>
            </w:r>
            <w:r>
              <w:rPr>
                <w:rFonts w:ascii="宋体" w:hAnsi="宋体" w:hint="eastAsia"/>
                <w:sz w:val="21"/>
                <w:szCs w:val="21"/>
              </w:rPr>
              <w:t>～</w:t>
            </w:r>
            <w:r>
              <w:rPr>
                <w:rFonts w:ascii="宋体" w:hAnsi="宋体"/>
                <w:sz w:val="21"/>
                <w:szCs w:val="21"/>
              </w:rPr>
              <w:t>0.30</w:t>
            </w:r>
          </w:p>
        </w:tc>
        <w:tc>
          <w:tcPr>
            <w:tcW w:w="3736"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大型钢架结构破坏</w:t>
            </w:r>
          </w:p>
        </w:tc>
        <w:tc>
          <w:tcPr>
            <w:tcW w:w="1620"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w:t>
            </w:r>
            <w:r>
              <w:rPr>
                <w:rFonts w:ascii="宋体" w:hAnsi="宋体"/>
                <w:sz w:val="21"/>
                <w:szCs w:val="21"/>
              </w:rPr>
              <w:t>17</w:t>
            </w:r>
          </w:p>
        </w:tc>
        <w:tc>
          <w:tcPr>
            <w:tcW w:w="1141" w:type="dxa"/>
          </w:tcPr>
          <w:p w:rsidR="003F13AB" w:rsidRDefault="00EC6E7E">
            <w:pPr>
              <w:adjustRightInd/>
              <w:snapToGrid/>
              <w:spacing w:line="240" w:lineRule="auto"/>
              <w:ind w:firstLineChars="0" w:firstLine="0"/>
              <w:jc w:val="center"/>
              <w:rPr>
                <w:rFonts w:ascii="宋体" w:hAnsi="宋体"/>
                <w:sz w:val="21"/>
                <w:szCs w:val="21"/>
              </w:rPr>
            </w:pPr>
            <w:r>
              <w:rPr>
                <w:rFonts w:ascii="宋体" w:hAnsi="宋体" w:hint="eastAsia"/>
                <w:sz w:val="21"/>
                <w:szCs w:val="21"/>
              </w:rPr>
              <w:t>≤9.1</w:t>
            </w:r>
          </w:p>
        </w:tc>
      </w:tr>
    </w:tbl>
    <w:p w:rsidR="003F13AB" w:rsidRDefault="00EC6E7E">
      <w:pPr>
        <w:pStyle w:val="Default1"/>
        <w:spacing w:line="360" w:lineRule="auto"/>
        <w:ind w:firstLineChars="200" w:firstLine="560"/>
        <w:jc w:val="both"/>
        <w:rPr>
          <w:rFonts w:ascii="宋体" w:hAnsi="宋体" w:hint="default"/>
          <w:kern w:val="2"/>
          <w:sz w:val="28"/>
          <w:szCs w:val="28"/>
        </w:rPr>
      </w:pPr>
      <w:r>
        <w:rPr>
          <w:rFonts w:ascii="宋体" w:hAnsi="宋体"/>
          <w:kern w:val="2"/>
          <w:sz w:val="28"/>
          <w:szCs w:val="28"/>
        </w:rPr>
        <w:t>由此可见，该锅炉发生爆炸时，距爆炸中心12.4m以内的人员将大部分死亡，影响半径大于29.5米无损伤。对建筑物的破坏作用为影响半径9.1米范围内大型钢架结构破坏；对影响半径36.5米以远的建构筑物无影响。因此，在项目运行中须加强天然气锅炉日常安全生产管理、检查和定期检测，以确保锅炉的安全运行。</w:t>
      </w:r>
    </w:p>
    <w:p w:rsidR="003F13AB" w:rsidRDefault="00EC6E7E">
      <w:pPr>
        <w:pStyle w:val="1"/>
        <w:keepNext w:val="0"/>
        <w:keepLines w:val="0"/>
        <w:textAlignment w:val="center"/>
        <w:rPr>
          <w:rFonts w:ascii="宋体" w:hAnsi="宋体"/>
          <w:b/>
          <w:bCs w:val="0"/>
          <w:color w:val="auto"/>
          <w:szCs w:val="20"/>
        </w:rPr>
      </w:pPr>
      <w:bookmarkStart w:id="304" w:name="_Toc166857619"/>
      <w:bookmarkStart w:id="305" w:name="_Toc187914500"/>
      <w:r>
        <w:rPr>
          <w:rFonts w:ascii="宋体" w:hAnsi="宋体" w:hint="eastAsia"/>
          <w:b/>
          <w:bCs w:val="0"/>
          <w:color w:val="auto"/>
          <w:szCs w:val="20"/>
        </w:rPr>
        <w:lastRenderedPageBreak/>
        <w:t>附件5  “三同时”符合性评价及安全对策措施落实情况分析单元</w:t>
      </w:r>
      <w:bookmarkEnd w:id="304"/>
      <w:bookmarkEnd w:id="305"/>
    </w:p>
    <w:p w:rsidR="003F13AB" w:rsidRDefault="00EC6E7E">
      <w:pPr>
        <w:pStyle w:val="2"/>
      </w:pPr>
      <w:bookmarkStart w:id="306" w:name="_Toc166857620"/>
      <w:bookmarkStart w:id="307" w:name="_Toc187914501"/>
      <w:r>
        <w:rPr>
          <w:rFonts w:hint="eastAsia"/>
        </w:rPr>
        <w:t>5.1 “三同时”符合性分析评价</w:t>
      </w:r>
      <w:bookmarkEnd w:id="306"/>
      <w:bookmarkEnd w:id="307"/>
    </w:p>
    <w:p w:rsidR="003F13AB" w:rsidRDefault="00EC6E7E">
      <w:pPr>
        <w:ind w:firstLine="560"/>
        <w:rPr>
          <w:color w:val="auto"/>
          <w:sz w:val="24"/>
        </w:rPr>
      </w:pPr>
      <w:r>
        <w:rPr>
          <w:color w:val="auto"/>
        </w:rPr>
        <w:t>根据</w:t>
      </w:r>
      <w:r>
        <w:rPr>
          <w:rFonts w:hint="eastAsia"/>
          <w:color w:val="auto"/>
        </w:rPr>
        <w:t>《中华人民共和国安全生产法（</w:t>
      </w:r>
      <w:r>
        <w:rPr>
          <w:rFonts w:hint="eastAsia"/>
          <w:color w:val="auto"/>
        </w:rPr>
        <w:t>2021</w:t>
      </w:r>
      <w:r>
        <w:rPr>
          <w:rFonts w:hint="eastAsia"/>
          <w:color w:val="auto"/>
        </w:rPr>
        <w:t>年修订）》（中华人民共和国主席令第八十八号修订后公布，</w:t>
      </w:r>
      <w:r>
        <w:rPr>
          <w:rFonts w:hint="eastAsia"/>
          <w:color w:val="auto"/>
        </w:rPr>
        <w:t>2021</w:t>
      </w:r>
      <w:r>
        <w:rPr>
          <w:rFonts w:hint="eastAsia"/>
          <w:color w:val="auto"/>
        </w:rPr>
        <w:t>年</w:t>
      </w:r>
      <w:r>
        <w:rPr>
          <w:rFonts w:hint="eastAsia"/>
          <w:color w:val="auto"/>
        </w:rPr>
        <w:t>9</w:t>
      </w:r>
      <w:r>
        <w:rPr>
          <w:rFonts w:hint="eastAsia"/>
          <w:color w:val="auto"/>
        </w:rPr>
        <w:t>月</w:t>
      </w:r>
      <w:r>
        <w:rPr>
          <w:rFonts w:hint="eastAsia"/>
          <w:color w:val="auto"/>
        </w:rPr>
        <w:t>1</w:t>
      </w:r>
      <w:r>
        <w:rPr>
          <w:rFonts w:hint="eastAsia"/>
          <w:color w:val="auto"/>
        </w:rPr>
        <w:t>日施行）</w:t>
      </w:r>
      <w:r>
        <w:rPr>
          <w:color w:val="auto"/>
        </w:rPr>
        <w:t>、《</w:t>
      </w:r>
      <w:r>
        <w:rPr>
          <w:color w:val="auto"/>
          <w:kern w:val="0"/>
        </w:rPr>
        <w:t>建设项目安全设施</w:t>
      </w:r>
      <w:r>
        <w:rPr>
          <w:rFonts w:hint="eastAsia"/>
          <w:color w:val="auto"/>
          <w:kern w:val="0"/>
        </w:rPr>
        <w:t>“</w:t>
      </w:r>
      <w:r>
        <w:rPr>
          <w:color w:val="auto"/>
          <w:kern w:val="0"/>
        </w:rPr>
        <w:t>三同时</w:t>
      </w:r>
      <w:r>
        <w:rPr>
          <w:rFonts w:hint="eastAsia"/>
          <w:color w:val="auto"/>
          <w:kern w:val="0"/>
        </w:rPr>
        <w:t>”</w:t>
      </w:r>
      <w:r>
        <w:rPr>
          <w:color w:val="auto"/>
          <w:kern w:val="0"/>
        </w:rPr>
        <w:t>监督管理办法》（</w:t>
      </w:r>
      <w:r>
        <w:rPr>
          <w:bCs/>
          <w:color w:val="auto"/>
        </w:rPr>
        <w:t>国家安监总局令第</w:t>
      </w:r>
      <w:r>
        <w:rPr>
          <w:bCs/>
          <w:color w:val="auto"/>
        </w:rPr>
        <w:t>36</w:t>
      </w:r>
      <w:r>
        <w:rPr>
          <w:bCs/>
          <w:color w:val="auto"/>
        </w:rPr>
        <w:t>号</w:t>
      </w:r>
      <w:r>
        <w:rPr>
          <w:color w:val="auto"/>
          <w:kern w:val="0"/>
        </w:rPr>
        <w:t>，</w:t>
      </w:r>
      <w:r>
        <w:rPr>
          <w:bCs/>
          <w:color w:val="auto"/>
        </w:rPr>
        <w:t>国家安监总局令第</w:t>
      </w:r>
      <w:r>
        <w:rPr>
          <w:bCs/>
          <w:color w:val="auto"/>
        </w:rPr>
        <w:t>77</w:t>
      </w:r>
      <w:r>
        <w:rPr>
          <w:bCs/>
          <w:color w:val="auto"/>
        </w:rPr>
        <w:t>号修改</w:t>
      </w:r>
      <w:r>
        <w:rPr>
          <w:color w:val="auto"/>
          <w:kern w:val="0"/>
        </w:rPr>
        <w:t>）</w:t>
      </w:r>
      <w:r>
        <w:rPr>
          <w:color w:val="auto"/>
        </w:rPr>
        <w:t>等法律、规范的要求，对该</w:t>
      </w:r>
      <w:r>
        <w:rPr>
          <w:rFonts w:hint="eastAsia"/>
          <w:color w:val="auto"/>
        </w:rPr>
        <w:t>项目</w:t>
      </w:r>
      <w:r>
        <w:rPr>
          <w:color w:val="auto"/>
        </w:rPr>
        <w:t>进行</w:t>
      </w:r>
      <w:r>
        <w:rPr>
          <w:rFonts w:hint="eastAsia"/>
          <w:color w:val="auto"/>
        </w:rPr>
        <w:t>“</w:t>
      </w:r>
      <w:r>
        <w:rPr>
          <w:color w:val="auto"/>
        </w:rPr>
        <w:t>三同时</w:t>
      </w:r>
      <w:r>
        <w:rPr>
          <w:rFonts w:hint="eastAsia"/>
          <w:color w:val="auto"/>
        </w:rPr>
        <w:t>”</w:t>
      </w:r>
      <w:r>
        <w:rPr>
          <w:color w:val="auto"/>
        </w:rPr>
        <w:t>符合性评价，具体情况如下表</w:t>
      </w:r>
      <w:r>
        <w:rPr>
          <w:rFonts w:hint="eastAsia"/>
          <w:color w:val="auto"/>
        </w:rPr>
        <w:t>5.1</w:t>
      </w:r>
      <w:r>
        <w:rPr>
          <w:color w:val="auto"/>
        </w:rPr>
        <w:t>-1</w:t>
      </w:r>
      <w:r>
        <w:rPr>
          <w:color w:val="auto"/>
        </w:rPr>
        <w:t>所示。</w:t>
      </w:r>
    </w:p>
    <w:p w:rsidR="003F13AB" w:rsidRDefault="00EC6E7E">
      <w:pPr>
        <w:adjustRightInd/>
        <w:snapToGrid/>
        <w:ind w:firstLineChars="0" w:firstLine="0"/>
        <w:jc w:val="center"/>
        <w:rPr>
          <w:bCs/>
          <w:color w:val="auto"/>
          <w:szCs w:val="28"/>
        </w:rPr>
      </w:pPr>
      <w:r>
        <w:rPr>
          <w:bCs/>
          <w:color w:val="auto"/>
          <w:szCs w:val="28"/>
        </w:rPr>
        <w:t>附表</w:t>
      </w:r>
      <w:r>
        <w:rPr>
          <w:rFonts w:hint="eastAsia"/>
          <w:bCs/>
          <w:color w:val="auto"/>
          <w:szCs w:val="28"/>
        </w:rPr>
        <w:t>5.1</w:t>
      </w:r>
      <w:r>
        <w:rPr>
          <w:bCs/>
          <w:color w:val="auto"/>
          <w:szCs w:val="28"/>
        </w:rPr>
        <w:t>-1  “</w:t>
      </w:r>
      <w:r>
        <w:rPr>
          <w:bCs/>
          <w:color w:val="auto"/>
          <w:szCs w:val="28"/>
        </w:rPr>
        <w:t>三同时</w:t>
      </w:r>
      <w:r>
        <w:rPr>
          <w:bCs/>
          <w:color w:val="auto"/>
          <w:szCs w:val="28"/>
        </w:rPr>
        <w:t>”</w:t>
      </w:r>
      <w:r>
        <w:rPr>
          <w:bCs/>
          <w:color w:val="auto"/>
          <w:szCs w:val="28"/>
        </w:rPr>
        <w:t>符合性检查表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3329"/>
        <w:gridCol w:w="2410"/>
        <w:gridCol w:w="2128"/>
        <w:gridCol w:w="706"/>
      </w:tblGrid>
      <w:tr w:rsidR="003F13AB">
        <w:trPr>
          <w:trHeight w:val="397"/>
          <w:tblHeader/>
          <w:jc w:val="center"/>
        </w:trPr>
        <w:tc>
          <w:tcPr>
            <w:tcW w:w="499"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b/>
                <w:color w:val="auto"/>
                <w:sz w:val="21"/>
              </w:rPr>
            </w:pPr>
            <w:r>
              <w:rPr>
                <w:b/>
                <w:color w:val="auto"/>
                <w:sz w:val="21"/>
              </w:rPr>
              <w:t>序号</w:t>
            </w:r>
          </w:p>
        </w:tc>
        <w:tc>
          <w:tcPr>
            <w:tcW w:w="3329"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b/>
                <w:color w:val="auto"/>
                <w:sz w:val="21"/>
              </w:rPr>
            </w:pPr>
            <w:r>
              <w:rPr>
                <w:b/>
                <w:color w:val="auto"/>
                <w:sz w:val="21"/>
              </w:rPr>
              <w:t>检查内容</w:t>
            </w:r>
          </w:p>
        </w:tc>
        <w:tc>
          <w:tcPr>
            <w:tcW w:w="2410"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b/>
                <w:color w:val="auto"/>
                <w:sz w:val="21"/>
              </w:rPr>
            </w:pPr>
            <w:r>
              <w:rPr>
                <w:b/>
                <w:color w:val="auto"/>
                <w:sz w:val="21"/>
              </w:rPr>
              <w:t>检查依据</w:t>
            </w:r>
          </w:p>
        </w:tc>
        <w:tc>
          <w:tcPr>
            <w:tcW w:w="21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b/>
                <w:color w:val="auto"/>
                <w:sz w:val="21"/>
              </w:rPr>
            </w:pPr>
            <w:r>
              <w:rPr>
                <w:b/>
                <w:color w:val="auto"/>
                <w:sz w:val="21"/>
              </w:rPr>
              <w:t>检查记录</w:t>
            </w:r>
          </w:p>
        </w:tc>
        <w:tc>
          <w:tcPr>
            <w:tcW w:w="706"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b/>
                <w:color w:val="auto"/>
                <w:sz w:val="21"/>
              </w:rPr>
            </w:pPr>
            <w:r>
              <w:rPr>
                <w:b/>
                <w:color w:val="auto"/>
                <w:sz w:val="21"/>
              </w:rPr>
              <w:t>检查结果</w:t>
            </w:r>
          </w:p>
        </w:tc>
      </w:tr>
      <w:tr w:rsidR="003F13AB">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color w:val="auto"/>
                <w:sz w:val="21"/>
                <w:szCs w:val="21"/>
              </w:rPr>
              <w:t>生产经营单位新建、改建、扩建工程项目（以下统称建设项目）的安全设施，必须与主体工程同时设计、同时施工、同时投入生产和使用。安全设施投资应当纳入建设项目概算。</w:t>
            </w:r>
          </w:p>
        </w:tc>
        <w:tc>
          <w:tcPr>
            <w:tcW w:w="2410"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rFonts w:hint="eastAsia"/>
                <w:color w:val="auto"/>
                <w:sz w:val="21"/>
                <w:szCs w:val="21"/>
              </w:rPr>
              <w:t>《中华人民共和国安全生产法（</w:t>
            </w:r>
            <w:r>
              <w:rPr>
                <w:rFonts w:hint="eastAsia"/>
                <w:color w:val="auto"/>
                <w:sz w:val="21"/>
                <w:szCs w:val="21"/>
              </w:rPr>
              <w:t>2021</w:t>
            </w:r>
            <w:r>
              <w:rPr>
                <w:rFonts w:hint="eastAsia"/>
                <w:color w:val="auto"/>
                <w:sz w:val="21"/>
                <w:szCs w:val="21"/>
              </w:rPr>
              <w:t>年修订）》（中华人民共和国主席令第八十八号修订后公布，</w:t>
            </w:r>
            <w:r>
              <w:rPr>
                <w:rFonts w:hint="eastAsia"/>
                <w:color w:val="auto"/>
                <w:sz w:val="21"/>
                <w:szCs w:val="21"/>
              </w:rPr>
              <w:t>2021</w:t>
            </w:r>
            <w:r>
              <w:rPr>
                <w:rFonts w:hint="eastAsia"/>
                <w:color w:val="auto"/>
                <w:sz w:val="21"/>
                <w:szCs w:val="21"/>
              </w:rPr>
              <w:t>年</w:t>
            </w:r>
            <w:r>
              <w:rPr>
                <w:rFonts w:hint="eastAsia"/>
                <w:color w:val="auto"/>
                <w:sz w:val="21"/>
                <w:szCs w:val="21"/>
              </w:rPr>
              <w:t>9</w:t>
            </w:r>
            <w:r>
              <w:rPr>
                <w:rFonts w:hint="eastAsia"/>
                <w:color w:val="auto"/>
                <w:sz w:val="21"/>
                <w:szCs w:val="21"/>
              </w:rPr>
              <w:t>月</w:t>
            </w:r>
            <w:r>
              <w:rPr>
                <w:rFonts w:hint="eastAsia"/>
                <w:color w:val="auto"/>
                <w:sz w:val="21"/>
                <w:szCs w:val="21"/>
              </w:rPr>
              <w:t>1</w:t>
            </w:r>
            <w:r>
              <w:rPr>
                <w:rFonts w:hint="eastAsia"/>
                <w:color w:val="auto"/>
                <w:sz w:val="21"/>
                <w:szCs w:val="21"/>
              </w:rPr>
              <w:t>日施行）</w:t>
            </w:r>
            <w:r>
              <w:rPr>
                <w:color w:val="auto"/>
                <w:sz w:val="21"/>
                <w:szCs w:val="21"/>
              </w:rPr>
              <w:t>第三十一条</w:t>
            </w:r>
          </w:p>
        </w:tc>
        <w:tc>
          <w:tcPr>
            <w:tcW w:w="21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rFonts w:hint="eastAsia"/>
                <w:color w:val="auto"/>
                <w:sz w:val="21"/>
                <w:szCs w:val="21"/>
              </w:rPr>
              <w:t>项目</w:t>
            </w:r>
            <w:r>
              <w:rPr>
                <w:color w:val="auto"/>
                <w:sz w:val="21"/>
                <w:szCs w:val="21"/>
              </w:rPr>
              <w:t>的安全设施与主体工程基本同时设计、同时施工、同时投入生产和使用。安全设施投资纳入了建设项目概算。</w:t>
            </w:r>
          </w:p>
        </w:tc>
        <w:tc>
          <w:tcPr>
            <w:tcW w:w="706"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color w:val="auto"/>
                <w:kern w:val="0"/>
                <w:sz w:val="21"/>
                <w:szCs w:val="21"/>
              </w:rPr>
              <w:t>建设项目安全设施必须与主体工程同时设计、同时施工、同时投入生产和使用（以下简称“三同时”）。</w:t>
            </w:r>
          </w:p>
        </w:tc>
        <w:tc>
          <w:tcPr>
            <w:tcW w:w="2410"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color w:val="auto"/>
                <w:sz w:val="21"/>
                <w:szCs w:val="21"/>
              </w:rPr>
              <w:t>《建设项目安全设施</w:t>
            </w:r>
            <w:r>
              <w:rPr>
                <w:color w:val="auto"/>
                <w:sz w:val="21"/>
                <w:szCs w:val="21"/>
              </w:rPr>
              <w:t>“</w:t>
            </w:r>
            <w:r>
              <w:rPr>
                <w:color w:val="auto"/>
                <w:sz w:val="21"/>
                <w:szCs w:val="21"/>
              </w:rPr>
              <w:t>三同时</w:t>
            </w:r>
            <w:r>
              <w:rPr>
                <w:color w:val="auto"/>
                <w:sz w:val="21"/>
                <w:szCs w:val="21"/>
              </w:rPr>
              <w:t>”</w:t>
            </w:r>
            <w:r>
              <w:rPr>
                <w:color w:val="auto"/>
                <w:sz w:val="21"/>
                <w:szCs w:val="21"/>
              </w:rPr>
              <w:t>监督管理办法》（</w:t>
            </w:r>
            <w:r>
              <w:rPr>
                <w:bCs/>
                <w:color w:val="auto"/>
                <w:sz w:val="21"/>
                <w:szCs w:val="21"/>
              </w:rPr>
              <w:t>国家安监总局令第</w:t>
            </w:r>
            <w:r>
              <w:rPr>
                <w:bCs/>
                <w:color w:val="auto"/>
                <w:sz w:val="21"/>
                <w:szCs w:val="21"/>
              </w:rPr>
              <w:t>36</w:t>
            </w:r>
            <w:r>
              <w:rPr>
                <w:bCs/>
                <w:color w:val="auto"/>
                <w:sz w:val="21"/>
                <w:szCs w:val="21"/>
              </w:rPr>
              <w:t>号</w:t>
            </w:r>
            <w:r>
              <w:rPr>
                <w:color w:val="auto"/>
                <w:kern w:val="0"/>
                <w:szCs w:val="28"/>
              </w:rPr>
              <w:t>，</w:t>
            </w:r>
            <w:r>
              <w:rPr>
                <w:bCs/>
                <w:color w:val="auto"/>
                <w:sz w:val="21"/>
                <w:szCs w:val="21"/>
              </w:rPr>
              <w:t>国家安监总局令第</w:t>
            </w:r>
            <w:r>
              <w:rPr>
                <w:bCs/>
                <w:color w:val="auto"/>
                <w:sz w:val="21"/>
                <w:szCs w:val="21"/>
              </w:rPr>
              <w:t>77</w:t>
            </w:r>
            <w:r>
              <w:rPr>
                <w:bCs/>
                <w:color w:val="auto"/>
                <w:sz w:val="21"/>
                <w:szCs w:val="21"/>
              </w:rPr>
              <w:t>号修改</w:t>
            </w:r>
            <w:r>
              <w:rPr>
                <w:color w:val="auto"/>
                <w:sz w:val="21"/>
                <w:szCs w:val="21"/>
              </w:rPr>
              <w:t>）第</w:t>
            </w:r>
            <w:r>
              <w:rPr>
                <w:rFonts w:hint="eastAsia"/>
                <w:color w:val="auto"/>
                <w:sz w:val="21"/>
                <w:szCs w:val="21"/>
              </w:rPr>
              <w:t>4</w:t>
            </w:r>
            <w:r>
              <w:rPr>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color w:val="auto"/>
                <w:sz w:val="21"/>
                <w:szCs w:val="21"/>
              </w:rPr>
              <w:t>项目</w:t>
            </w:r>
            <w:r>
              <w:rPr>
                <w:rFonts w:hint="eastAsia"/>
                <w:color w:val="auto"/>
                <w:sz w:val="21"/>
                <w:szCs w:val="21"/>
              </w:rPr>
              <w:t>安全设施与主体工程同时设计、同时施工、同时投入生产和使用。</w:t>
            </w:r>
          </w:p>
        </w:tc>
        <w:tc>
          <w:tcPr>
            <w:tcW w:w="706"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color w:val="auto"/>
                <w:sz w:val="21"/>
                <w:szCs w:val="21"/>
              </w:rPr>
              <w:t>本办法第七条规定以外的其他建设项目，生产经营单位应当对其安全生产条件和设施进行综合分析，形成书面报告备查。</w:t>
            </w:r>
          </w:p>
        </w:tc>
        <w:tc>
          <w:tcPr>
            <w:tcW w:w="2410"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rFonts w:hint="eastAsia"/>
                <w:bCs/>
                <w:color w:val="auto"/>
                <w:sz w:val="21"/>
                <w:szCs w:val="21"/>
              </w:rPr>
              <w:t>第</w:t>
            </w:r>
            <w:r>
              <w:rPr>
                <w:rFonts w:hint="eastAsia"/>
                <w:bCs/>
                <w:color w:val="auto"/>
                <w:sz w:val="21"/>
                <w:szCs w:val="21"/>
              </w:rPr>
              <w:t>9</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snapToGrid w:val="0"/>
                <w:color w:val="auto"/>
                <w:kern w:val="0"/>
                <w:sz w:val="21"/>
                <w:szCs w:val="21"/>
              </w:rPr>
              <w:t>项目属于</w:t>
            </w:r>
            <w:r>
              <w:rPr>
                <w:rFonts w:hint="eastAsia"/>
                <w:snapToGrid w:val="0"/>
                <w:color w:val="auto"/>
                <w:kern w:val="0"/>
                <w:sz w:val="21"/>
                <w:szCs w:val="21"/>
              </w:rPr>
              <w:t>第七条规定以外的其他建设项目，已编制了安全生产条件和设施综合分析报告，详见附件</w:t>
            </w:r>
            <w:r>
              <w:rPr>
                <w:rFonts w:hint="eastAsia"/>
                <w:snapToGrid w:val="0"/>
                <w:color w:val="auto"/>
                <w:kern w:val="0"/>
                <w:sz w:val="21"/>
                <w:szCs w:val="21"/>
              </w:rPr>
              <w:t>8.8</w:t>
            </w:r>
            <w:r>
              <w:rPr>
                <w:rFonts w:hint="eastAsia"/>
                <w:snapToGrid w:val="0"/>
                <w:color w:val="auto"/>
                <w:kern w:val="0"/>
                <w:sz w:val="21"/>
                <w:szCs w:val="21"/>
              </w:rPr>
              <w:t>。</w:t>
            </w:r>
          </w:p>
        </w:tc>
        <w:tc>
          <w:tcPr>
            <w:tcW w:w="706"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left"/>
              <w:rPr>
                <w:color w:val="auto"/>
                <w:sz w:val="21"/>
                <w:szCs w:val="21"/>
              </w:rPr>
            </w:pPr>
            <w:r>
              <w:rPr>
                <w:rFonts w:hint="eastAsia"/>
                <w:bCs/>
                <w:color w:val="auto"/>
                <w:sz w:val="21"/>
                <w:szCs w:val="21"/>
              </w:rPr>
              <w:t>生产经营单位在建设项目初步设计时，应当委托有相应资质的初步设计单位对建设项目安全设施同时进行设计，编制安全设施设计。</w:t>
            </w:r>
          </w:p>
        </w:tc>
        <w:tc>
          <w:tcPr>
            <w:tcW w:w="2410"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rFonts w:hint="eastAsia"/>
                <w:bCs/>
                <w:color w:val="auto"/>
                <w:sz w:val="21"/>
                <w:szCs w:val="21"/>
              </w:rPr>
              <w:t>第</w:t>
            </w:r>
            <w:r>
              <w:rPr>
                <w:rFonts w:hint="eastAsia"/>
                <w:bCs/>
                <w:color w:val="auto"/>
                <w:sz w:val="21"/>
                <w:szCs w:val="21"/>
              </w:rPr>
              <w:t>10</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snapToGrid w:val="0"/>
                <w:color w:val="auto"/>
                <w:kern w:val="0"/>
                <w:sz w:val="21"/>
                <w:szCs w:val="21"/>
              </w:rPr>
              <w:t>本</w:t>
            </w:r>
            <w:r>
              <w:rPr>
                <w:rFonts w:hint="eastAsia"/>
                <w:color w:val="auto"/>
                <w:sz w:val="21"/>
                <w:szCs w:val="21"/>
              </w:rPr>
              <w:t>项目按要求委托昆明兰德设计有限公司编制了</w:t>
            </w:r>
            <w:r>
              <w:rPr>
                <w:color w:val="auto"/>
                <w:sz w:val="21"/>
                <w:szCs w:val="21"/>
              </w:rPr>
              <w:t>安全设施设计</w:t>
            </w:r>
            <w:r>
              <w:rPr>
                <w:rFonts w:hint="eastAsia"/>
                <w:color w:val="auto"/>
                <w:sz w:val="21"/>
                <w:szCs w:val="21"/>
              </w:rPr>
              <w:t>，并通过项目审查。</w:t>
            </w:r>
          </w:p>
        </w:tc>
        <w:tc>
          <w:tcPr>
            <w:tcW w:w="706"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color w:val="auto"/>
                <w:sz w:val="21"/>
                <w:szCs w:val="21"/>
              </w:rPr>
              <w:t>本办法第七条第一项、第二项、第三项和第四项规定以外的建设项目安全设施设计，由生产经营单位组织审查，形成书面报告备查。</w:t>
            </w:r>
          </w:p>
        </w:tc>
        <w:tc>
          <w:tcPr>
            <w:tcW w:w="2410"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rFonts w:hint="eastAsia"/>
                <w:bCs/>
                <w:color w:val="auto"/>
                <w:sz w:val="21"/>
                <w:szCs w:val="21"/>
              </w:rPr>
              <w:t>第</w:t>
            </w:r>
            <w:r>
              <w:rPr>
                <w:rFonts w:hint="eastAsia"/>
                <w:bCs/>
                <w:color w:val="auto"/>
                <w:sz w:val="21"/>
                <w:szCs w:val="21"/>
              </w:rPr>
              <w:t>16</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color w:val="auto"/>
                <w:sz w:val="21"/>
                <w:szCs w:val="21"/>
              </w:rPr>
              <w:t>本项目</w:t>
            </w:r>
            <w:r>
              <w:rPr>
                <w:color w:val="auto"/>
                <w:sz w:val="21"/>
                <w:szCs w:val="21"/>
              </w:rPr>
              <w:t>按相关要求委托</w:t>
            </w:r>
            <w:r>
              <w:rPr>
                <w:rFonts w:hint="eastAsia"/>
                <w:color w:val="auto"/>
                <w:sz w:val="21"/>
                <w:szCs w:val="21"/>
              </w:rPr>
              <w:t>昆明兰德设计有限公司</w:t>
            </w:r>
            <w:r>
              <w:rPr>
                <w:color w:val="auto"/>
                <w:sz w:val="21"/>
                <w:szCs w:val="21"/>
              </w:rPr>
              <w:t>编制了安全设施设计，</w:t>
            </w:r>
            <w:r>
              <w:rPr>
                <w:rFonts w:hint="eastAsia"/>
                <w:color w:val="auto"/>
                <w:sz w:val="21"/>
                <w:szCs w:val="21"/>
              </w:rPr>
              <w:t>并通过专家审查。</w:t>
            </w:r>
          </w:p>
        </w:tc>
        <w:tc>
          <w:tcPr>
            <w:tcW w:w="706"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r w:rsidR="003F13AB">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color w:val="auto"/>
                <w:sz w:val="21"/>
                <w:szCs w:val="21"/>
              </w:rPr>
              <w:t>建设项目安全设施的施工应当由取得相应资质的施工单位进行，并与建设项目主体工程同时施工。</w:t>
            </w:r>
          </w:p>
        </w:tc>
        <w:tc>
          <w:tcPr>
            <w:tcW w:w="2410"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rFonts w:hint="eastAsia"/>
                <w:bCs/>
                <w:color w:val="auto"/>
                <w:sz w:val="21"/>
                <w:szCs w:val="21"/>
              </w:rPr>
              <w:t>第</w:t>
            </w:r>
            <w:r>
              <w:rPr>
                <w:rFonts w:hint="eastAsia"/>
                <w:bCs/>
                <w:color w:val="auto"/>
                <w:sz w:val="21"/>
                <w:szCs w:val="21"/>
              </w:rPr>
              <w:t>17</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color w:val="auto"/>
                <w:sz w:val="21"/>
                <w:szCs w:val="21"/>
              </w:rPr>
              <w:t>项目</w:t>
            </w:r>
            <w:r>
              <w:rPr>
                <w:rFonts w:hint="eastAsia"/>
                <w:color w:val="auto"/>
                <w:sz w:val="21"/>
                <w:szCs w:val="21"/>
              </w:rPr>
              <w:t>一期施工单位为金大陆建设集团有限公司，二期施工单位为云南君瑞工程管理有限公司，锅炉及压力管道等安装由云南鸿云锅炉有限责任公</w:t>
            </w:r>
            <w:r>
              <w:rPr>
                <w:rFonts w:hint="eastAsia"/>
                <w:color w:val="auto"/>
                <w:sz w:val="21"/>
                <w:szCs w:val="21"/>
              </w:rPr>
              <w:lastRenderedPageBreak/>
              <w:t>司负责</w:t>
            </w:r>
            <w:r>
              <w:rPr>
                <w:color w:val="auto"/>
                <w:sz w:val="21"/>
                <w:szCs w:val="21"/>
              </w:rPr>
              <w:t>进行施工，有相应资质。</w:t>
            </w:r>
          </w:p>
        </w:tc>
        <w:tc>
          <w:tcPr>
            <w:tcW w:w="706"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color w:val="auto"/>
                <w:sz w:val="21"/>
                <w:szCs w:val="21"/>
              </w:rPr>
              <w:lastRenderedPageBreak/>
              <w:t>符合</w:t>
            </w:r>
          </w:p>
        </w:tc>
      </w:tr>
      <w:tr w:rsidR="003F13AB">
        <w:trPr>
          <w:trHeight w:val="397"/>
          <w:jc w:val="center"/>
        </w:trPr>
        <w:tc>
          <w:tcPr>
            <w:tcW w:w="499" w:type="dxa"/>
            <w:tcBorders>
              <w:top w:val="single" w:sz="4" w:space="0" w:color="auto"/>
              <w:left w:val="single" w:sz="4" w:space="0" w:color="auto"/>
              <w:bottom w:val="single" w:sz="4" w:space="0" w:color="auto"/>
              <w:right w:val="single" w:sz="4" w:space="0" w:color="auto"/>
            </w:tcBorders>
            <w:vAlign w:val="center"/>
          </w:tcPr>
          <w:p w:rsidR="003F13AB" w:rsidRDefault="003F13AB">
            <w:pPr>
              <w:numPr>
                <w:ilvl w:val="0"/>
                <w:numId w:val="17"/>
              </w:numPr>
              <w:tabs>
                <w:tab w:val="left" w:pos="352"/>
                <w:tab w:val="left" w:pos="759"/>
                <w:tab w:val="left" w:pos="825"/>
              </w:tabs>
              <w:adjustRightInd/>
              <w:snapToGrid/>
              <w:spacing w:line="240" w:lineRule="auto"/>
              <w:ind w:firstLineChars="0"/>
              <w:jc w:val="center"/>
              <w:rPr>
                <w:smallCaps/>
                <w:color w:val="auto"/>
                <w:sz w:val="21"/>
                <w:szCs w:val="21"/>
              </w:rPr>
            </w:pPr>
          </w:p>
        </w:tc>
        <w:tc>
          <w:tcPr>
            <w:tcW w:w="3329"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color w:val="auto"/>
                <w:sz w:val="21"/>
                <w:szCs w:val="21"/>
              </w:rPr>
              <w:t>建设项目竣工投入生产或者使用前，生产经营单位应当组织对安全设施进行竣工验收，并形成书面报告备查。安全设施竣工验收合格后，方可投入生产和使用。</w:t>
            </w:r>
          </w:p>
        </w:tc>
        <w:tc>
          <w:tcPr>
            <w:tcW w:w="2410"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bCs/>
                <w:color w:val="auto"/>
                <w:sz w:val="21"/>
                <w:szCs w:val="21"/>
              </w:rPr>
            </w:pPr>
            <w:r>
              <w:rPr>
                <w:rFonts w:hint="eastAsia"/>
                <w:bCs/>
                <w:color w:val="auto"/>
                <w:sz w:val="21"/>
                <w:szCs w:val="21"/>
              </w:rPr>
              <w:t>第</w:t>
            </w:r>
            <w:r>
              <w:rPr>
                <w:rFonts w:hint="eastAsia"/>
                <w:bCs/>
                <w:color w:val="auto"/>
                <w:sz w:val="21"/>
                <w:szCs w:val="21"/>
              </w:rPr>
              <w:t>23</w:t>
            </w:r>
            <w:r>
              <w:rPr>
                <w:rFonts w:hint="eastAsia"/>
                <w:bCs/>
                <w:color w:val="auto"/>
                <w:sz w:val="21"/>
                <w:szCs w:val="21"/>
              </w:rPr>
              <w:t>条</w:t>
            </w:r>
          </w:p>
        </w:tc>
        <w:tc>
          <w:tcPr>
            <w:tcW w:w="21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rPr>
                <w:color w:val="auto"/>
                <w:sz w:val="21"/>
                <w:szCs w:val="21"/>
              </w:rPr>
            </w:pPr>
            <w:r>
              <w:rPr>
                <w:rFonts w:hint="eastAsia"/>
                <w:color w:val="auto"/>
                <w:sz w:val="21"/>
                <w:szCs w:val="21"/>
              </w:rPr>
              <w:t>本项目</w:t>
            </w:r>
            <w:r>
              <w:rPr>
                <w:color w:val="auto"/>
                <w:sz w:val="21"/>
                <w:szCs w:val="21"/>
              </w:rPr>
              <w:t>委托</w:t>
            </w:r>
            <w:r>
              <w:rPr>
                <w:rFonts w:hint="eastAsia"/>
                <w:color w:val="auto"/>
                <w:sz w:val="21"/>
                <w:szCs w:val="21"/>
              </w:rPr>
              <w:t>昭通市</w:t>
            </w:r>
            <w:proofErr w:type="gramStart"/>
            <w:r>
              <w:rPr>
                <w:rFonts w:hint="eastAsia"/>
                <w:color w:val="auto"/>
                <w:sz w:val="21"/>
                <w:szCs w:val="21"/>
              </w:rPr>
              <w:t>鼎安科技</w:t>
            </w:r>
            <w:proofErr w:type="gramEnd"/>
            <w:r>
              <w:rPr>
                <w:rFonts w:hint="eastAsia"/>
                <w:color w:val="auto"/>
                <w:sz w:val="21"/>
                <w:szCs w:val="21"/>
              </w:rPr>
              <w:t>有限公司</w:t>
            </w:r>
            <w:r>
              <w:rPr>
                <w:color w:val="auto"/>
                <w:sz w:val="21"/>
                <w:szCs w:val="21"/>
              </w:rPr>
              <w:t>进行安全验收评价。</w:t>
            </w:r>
          </w:p>
        </w:tc>
        <w:tc>
          <w:tcPr>
            <w:tcW w:w="706"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napToGrid/>
              <w:spacing w:line="240" w:lineRule="auto"/>
              <w:ind w:firstLineChars="0" w:firstLine="0"/>
              <w:jc w:val="center"/>
              <w:rPr>
                <w:color w:val="auto"/>
                <w:sz w:val="21"/>
                <w:szCs w:val="21"/>
              </w:rPr>
            </w:pPr>
            <w:r>
              <w:rPr>
                <w:color w:val="auto"/>
                <w:sz w:val="21"/>
                <w:szCs w:val="21"/>
              </w:rPr>
              <w:t>符合</w:t>
            </w:r>
          </w:p>
        </w:tc>
      </w:tr>
    </w:tbl>
    <w:p w:rsidR="003F13AB" w:rsidRDefault="003F13AB">
      <w:pPr>
        <w:ind w:firstLine="560"/>
        <w:rPr>
          <w:color w:val="auto"/>
          <w:lang w:val="zh-CN"/>
        </w:rPr>
      </w:pPr>
    </w:p>
    <w:p w:rsidR="003F13AB" w:rsidRDefault="00EC6E7E">
      <w:pPr>
        <w:pStyle w:val="2"/>
      </w:pPr>
      <w:bookmarkStart w:id="308" w:name="_Toc187914502"/>
      <w:bookmarkStart w:id="309" w:name="_Toc166857621"/>
      <w:r>
        <w:rPr>
          <w:rFonts w:hint="eastAsia"/>
        </w:rPr>
        <w:t>5.2 安全对策措施落实情况分析评价</w:t>
      </w:r>
      <w:bookmarkEnd w:id="308"/>
      <w:bookmarkEnd w:id="309"/>
    </w:p>
    <w:p w:rsidR="003F13AB" w:rsidRDefault="00EC6E7E">
      <w:pPr>
        <w:ind w:firstLine="560"/>
        <w:rPr>
          <w:color w:val="auto"/>
        </w:rPr>
      </w:pPr>
      <w:r>
        <w:rPr>
          <w:rFonts w:hint="eastAsia"/>
          <w:color w:val="auto"/>
        </w:rPr>
        <w:t>根据《云南农家乐农业集团有限公司年产</w:t>
      </w:r>
      <w:r>
        <w:rPr>
          <w:rFonts w:hint="eastAsia"/>
          <w:color w:val="auto"/>
        </w:rPr>
        <w:t>50</w:t>
      </w:r>
      <w:r>
        <w:rPr>
          <w:rFonts w:hint="eastAsia"/>
          <w:color w:val="auto"/>
        </w:rPr>
        <w:t>万吨缓控释肥料、水溶肥料、专用肥料生产基地建设项目安全设施设计》第</w:t>
      </w:r>
      <w:r>
        <w:rPr>
          <w:rFonts w:hint="eastAsia"/>
          <w:color w:val="auto"/>
        </w:rPr>
        <w:t>6</w:t>
      </w:r>
      <w:r>
        <w:rPr>
          <w:rFonts w:hint="eastAsia"/>
          <w:color w:val="auto"/>
        </w:rPr>
        <w:t>章，编制了安全设施设计符合性检查表对建设项目的安全设施进行检查，具体见表</w:t>
      </w:r>
      <w:r>
        <w:rPr>
          <w:rFonts w:hint="eastAsia"/>
          <w:color w:val="auto"/>
        </w:rPr>
        <w:t>5.2-1</w:t>
      </w:r>
      <w:r>
        <w:rPr>
          <w:rFonts w:hint="eastAsia"/>
          <w:color w:val="auto"/>
        </w:rPr>
        <w:t>。</w:t>
      </w:r>
    </w:p>
    <w:p w:rsidR="003F13AB" w:rsidRDefault="00EC6E7E">
      <w:pPr>
        <w:adjustRightInd/>
        <w:snapToGrid/>
        <w:ind w:firstLineChars="0" w:firstLine="0"/>
        <w:jc w:val="center"/>
        <w:rPr>
          <w:bCs/>
          <w:color w:val="auto"/>
          <w:szCs w:val="28"/>
        </w:rPr>
      </w:pPr>
      <w:r>
        <w:rPr>
          <w:bCs/>
          <w:color w:val="auto"/>
          <w:szCs w:val="28"/>
        </w:rPr>
        <w:t>附表</w:t>
      </w:r>
      <w:r>
        <w:rPr>
          <w:rFonts w:hint="eastAsia"/>
          <w:bCs/>
          <w:color w:val="auto"/>
          <w:szCs w:val="28"/>
        </w:rPr>
        <w:t>5.2</w:t>
      </w:r>
      <w:r>
        <w:rPr>
          <w:bCs/>
          <w:color w:val="auto"/>
          <w:szCs w:val="28"/>
        </w:rPr>
        <w:t xml:space="preserve">-1  </w:t>
      </w:r>
      <w:r>
        <w:rPr>
          <w:rFonts w:hint="eastAsia"/>
          <w:bCs/>
          <w:color w:val="auto"/>
          <w:szCs w:val="28"/>
        </w:rPr>
        <w:t>安全设施设计符合性</w:t>
      </w:r>
      <w:r>
        <w:rPr>
          <w:bCs/>
          <w:color w:val="auto"/>
          <w:szCs w:val="28"/>
        </w:rPr>
        <w:t>检查表</w:t>
      </w:r>
    </w:p>
    <w:tbl>
      <w:tblPr>
        <w:tblW w:w="912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15"/>
        <w:gridCol w:w="5103"/>
        <w:gridCol w:w="2268"/>
        <w:gridCol w:w="992"/>
      </w:tblGrid>
      <w:tr w:rsidR="003F13AB">
        <w:tc>
          <w:tcPr>
            <w:tcW w:w="649" w:type="dxa"/>
            <w:shd w:val="clear" w:color="auto" w:fill="auto"/>
            <w:vAlign w:val="center"/>
          </w:tcPr>
          <w:p w:rsidR="003F13AB" w:rsidRDefault="00EC6E7E">
            <w:pPr>
              <w:adjustRightInd/>
              <w:spacing w:line="240" w:lineRule="auto"/>
              <w:ind w:firstLineChars="0" w:firstLine="0"/>
              <w:jc w:val="center"/>
              <w:rPr>
                <w:rFonts w:ascii="宋体" w:hAnsi="宋体" w:cs="宋体"/>
                <w:b/>
                <w:color w:val="auto"/>
                <w:sz w:val="21"/>
                <w:szCs w:val="21"/>
              </w:rPr>
            </w:pPr>
            <w:r>
              <w:rPr>
                <w:rFonts w:ascii="宋体" w:hAnsi="宋体" w:cs="宋体" w:hint="eastAsia"/>
                <w:b/>
                <w:color w:val="auto"/>
                <w:sz w:val="21"/>
                <w:szCs w:val="21"/>
              </w:rPr>
              <w:t>序号</w:t>
            </w:r>
          </w:p>
        </w:tc>
        <w:tc>
          <w:tcPr>
            <w:tcW w:w="5218" w:type="dxa"/>
            <w:gridSpan w:val="2"/>
            <w:shd w:val="clear" w:color="auto" w:fill="auto"/>
            <w:vAlign w:val="center"/>
          </w:tcPr>
          <w:p w:rsidR="003F13AB" w:rsidRDefault="00EC6E7E">
            <w:pPr>
              <w:adjustRightInd/>
              <w:spacing w:line="240" w:lineRule="auto"/>
              <w:ind w:firstLineChars="0" w:firstLine="0"/>
              <w:jc w:val="center"/>
              <w:rPr>
                <w:rFonts w:ascii="宋体" w:hAnsi="宋体" w:cs="宋体"/>
                <w:b/>
                <w:color w:val="auto"/>
                <w:sz w:val="21"/>
                <w:szCs w:val="21"/>
              </w:rPr>
            </w:pPr>
            <w:r>
              <w:rPr>
                <w:rFonts w:ascii="宋体" w:hAnsi="宋体" w:cs="宋体" w:hint="eastAsia"/>
                <w:b/>
                <w:color w:val="auto"/>
                <w:sz w:val="21"/>
                <w:szCs w:val="21"/>
              </w:rPr>
              <w:t>安全设施设计中提出的安全对策与措施</w:t>
            </w:r>
          </w:p>
        </w:tc>
        <w:tc>
          <w:tcPr>
            <w:tcW w:w="2268" w:type="dxa"/>
            <w:shd w:val="clear" w:color="auto" w:fill="auto"/>
            <w:vAlign w:val="center"/>
          </w:tcPr>
          <w:p w:rsidR="003F13AB" w:rsidRDefault="00EC6E7E">
            <w:pPr>
              <w:adjustRightInd/>
              <w:spacing w:line="240" w:lineRule="auto"/>
              <w:ind w:firstLineChars="0" w:firstLine="0"/>
              <w:jc w:val="center"/>
              <w:rPr>
                <w:rFonts w:ascii="宋体" w:hAnsi="宋体" w:cs="宋体"/>
                <w:b/>
                <w:color w:val="auto"/>
                <w:sz w:val="21"/>
                <w:szCs w:val="21"/>
              </w:rPr>
            </w:pPr>
            <w:r>
              <w:rPr>
                <w:rFonts w:ascii="宋体" w:hAnsi="宋体" w:cs="宋体" w:hint="eastAsia"/>
                <w:b/>
                <w:color w:val="auto"/>
                <w:sz w:val="21"/>
                <w:szCs w:val="21"/>
              </w:rPr>
              <w:t>检查结果</w:t>
            </w:r>
          </w:p>
        </w:tc>
        <w:tc>
          <w:tcPr>
            <w:tcW w:w="992" w:type="dxa"/>
            <w:shd w:val="clear" w:color="auto" w:fill="auto"/>
            <w:vAlign w:val="center"/>
          </w:tcPr>
          <w:p w:rsidR="003F13AB" w:rsidRDefault="00EC6E7E">
            <w:pPr>
              <w:adjustRightInd/>
              <w:spacing w:line="240" w:lineRule="auto"/>
              <w:ind w:firstLineChars="0" w:firstLine="0"/>
              <w:jc w:val="center"/>
              <w:rPr>
                <w:rFonts w:ascii="宋体" w:hAnsi="宋体" w:cs="宋体"/>
                <w:b/>
                <w:color w:val="auto"/>
                <w:sz w:val="21"/>
                <w:szCs w:val="21"/>
              </w:rPr>
            </w:pPr>
            <w:r>
              <w:rPr>
                <w:rFonts w:ascii="宋体" w:hAnsi="宋体" w:cs="宋体" w:hint="eastAsia"/>
                <w:b/>
                <w:color w:val="auto"/>
                <w:sz w:val="21"/>
                <w:szCs w:val="21"/>
              </w:rPr>
              <w:t>结论</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t>6.1防泄漏、防火、防爆、防尘、防毒、防腐蚀等主要措施</w:t>
            </w:r>
          </w:p>
        </w:tc>
      </w:tr>
      <w:tr w:rsidR="003F13AB">
        <w:trPr>
          <w:trHeight w:val="1966"/>
        </w:trPr>
        <w:tc>
          <w:tcPr>
            <w:tcW w:w="649"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（1）防泄漏</w:t>
            </w:r>
          </w:p>
        </w:tc>
        <w:tc>
          <w:tcPr>
            <w:tcW w:w="5218" w:type="dxa"/>
            <w:gridSpan w:val="2"/>
            <w:shd w:val="clear" w:color="auto" w:fill="auto"/>
            <w:vAlign w:val="center"/>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1）防天然气泄漏措施</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①在锅炉房和热风炉附近设置防爆型数显声光报警可燃气体检测系统，在线监测锅炉房室内天然气的含量。可燃气体检测探头选择阀门、管道接口、或易泄漏处附近水平5m的范围内，探测器分两层布置，下层设置在高于释放源垂直距离2m处，上层设置在离屋顶30cm处。报警信号引至控制室，可燃气体浓度超标时，现场探测器发出声光报警信号并在控制室进行集中报警，同时</w:t>
            </w:r>
            <w:proofErr w:type="gramStart"/>
            <w:r>
              <w:rPr>
                <w:rFonts w:ascii="宋体" w:hAnsi="宋体" w:hint="eastAsia"/>
                <w:color w:val="auto"/>
                <w:sz w:val="21"/>
                <w:szCs w:val="21"/>
              </w:rPr>
              <w:t>联锁</w:t>
            </w:r>
            <w:proofErr w:type="gramEnd"/>
            <w:r>
              <w:rPr>
                <w:rFonts w:ascii="宋体" w:hAnsi="宋体" w:hint="eastAsia"/>
                <w:color w:val="auto"/>
                <w:sz w:val="21"/>
                <w:szCs w:val="21"/>
              </w:rPr>
              <w:t>启动事故排风机，</w:t>
            </w:r>
            <w:proofErr w:type="gramStart"/>
            <w:r>
              <w:rPr>
                <w:rFonts w:ascii="宋体" w:hAnsi="宋体" w:hint="eastAsia"/>
                <w:color w:val="auto"/>
                <w:sz w:val="21"/>
                <w:szCs w:val="21"/>
              </w:rPr>
              <w:t>联锁</w:t>
            </w:r>
            <w:proofErr w:type="gramEnd"/>
            <w:r>
              <w:rPr>
                <w:rFonts w:ascii="宋体" w:hAnsi="宋体" w:hint="eastAsia"/>
                <w:color w:val="auto"/>
                <w:sz w:val="21"/>
                <w:szCs w:val="21"/>
              </w:rPr>
              <w:t>关闭天然气进气总管电磁切断阀。</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可燃气体检测探测器设置位置详见附图可燃气体检测报警系统布置图。</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②天然气供气管道上设置紧急切断阀，保证发生事故时能及时切断天然气供应。</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③锅炉房内的</w:t>
            </w:r>
            <w:proofErr w:type="gramStart"/>
            <w:r>
              <w:rPr>
                <w:rFonts w:ascii="宋体" w:hAnsi="宋体" w:hint="eastAsia"/>
                <w:color w:val="auto"/>
                <w:sz w:val="21"/>
                <w:szCs w:val="21"/>
              </w:rPr>
              <w:t>天燃气</w:t>
            </w:r>
            <w:proofErr w:type="gramEnd"/>
            <w:r>
              <w:rPr>
                <w:rFonts w:ascii="宋体" w:hAnsi="宋体" w:hint="eastAsia"/>
                <w:color w:val="auto"/>
                <w:sz w:val="21"/>
                <w:szCs w:val="21"/>
              </w:rPr>
              <w:t>供应主管到切断阀之间应设置放散管，放散管管径为DN50，放散管起点应设置切断阀，放散管管口可设置在生产厂房屋顶，高出屋顶2m以上。</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④天然气供气系统包括室外天然气供气系统、调压系统、室内天然气供气系统、放散管等。在引入天然气母管上设置总关闭阀，在锅炉天然气干管上设置关闭阀和快速切断阀，燃烧器前的燃气支管上装设关闭阀，并在后串联装设两个电磁阀。</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2）防硫酸泄漏</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①硫酸输送管道采用无缝钢管，连接方式采用焊接、采用法兰连接的地方采用聚四氟乙烯垫片密封。弯头、法兰采用保护套包裹。</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②硫酸储罐设置液位计，液位信息引至控制室，液位异常降低时发出警报。</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③浓硫酸储罐区设置围堰。若发生泄漏保证泄漏物留在围堰内，阻止扩散。</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④硫酸储罐附近设置2m³沙池，当少量硫酸泄漏时，用石灰掩盖并</w:t>
            </w:r>
            <w:proofErr w:type="gramStart"/>
            <w:r>
              <w:rPr>
                <w:rFonts w:ascii="宋体" w:hAnsi="宋体" w:hint="eastAsia"/>
                <w:color w:val="auto"/>
                <w:sz w:val="21"/>
                <w:szCs w:val="21"/>
              </w:rPr>
              <w:t>经危险</w:t>
            </w:r>
            <w:proofErr w:type="gramEnd"/>
            <w:r>
              <w:rPr>
                <w:rFonts w:ascii="宋体" w:hAnsi="宋体" w:hint="eastAsia"/>
                <w:color w:val="auto"/>
                <w:sz w:val="21"/>
                <w:szCs w:val="21"/>
              </w:rPr>
              <w:t>废物处置单位运走处理。</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⑤硫酸管道的法兰连接处加装防护罩。也可采用2～3mm厚,50～60mm宽的PVC</w:t>
            </w:r>
            <w:proofErr w:type="gramStart"/>
            <w:r>
              <w:rPr>
                <w:rFonts w:ascii="宋体" w:hAnsi="宋体" w:hint="eastAsia"/>
                <w:color w:val="auto"/>
                <w:sz w:val="21"/>
                <w:szCs w:val="21"/>
              </w:rPr>
              <w:t>软板或</w:t>
            </w:r>
            <w:proofErr w:type="gramEnd"/>
            <w:r>
              <w:rPr>
                <w:rFonts w:ascii="宋体" w:hAnsi="宋体" w:hint="eastAsia"/>
                <w:color w:val="auto"/>
                <w:sz w:val="21"/>
                <w:szCs w:val="21"/>
              </w:rPr>
              <w:t>耐酸橡胶板环状缠绕硫酸管道法兰并用</w:t>
            </w:r>
            <w:proofErr w:type="gramStart"/>
            <w:r>
              <w:rPr>
                <w:rFonts w:ascii="宋体" w:hAnsi="宋体" w:hint="eastAsia"/>
                <w:color w:val="auto"/>
                <w:sz w:val="21"/>
                <w:szCs w:val="21"/>
              </w:rPr>
              <w:t>铁丝板扎牢固</w:t>
            </w:r>
            <w:proofErr w:type="gramEnd"/>
            <w:r>
              <w:rPr>
                <w:rFonts w:ascii="宋体" w:hAnsi="宋体" w:hint="eastAsia"/>
                <w:color w:val="auto"/>
                <w:sz w:val="21"/>
                <w:szCs w:val="21"/>
              </w:rPr>
              <w:t>，防止酸液因法兰处泄漏飞溅。</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⑥</w:t>
            </w:r>
            <w:proofErr w:type="gramStart"/>
            <w:r>
              <w:rPr>
                <w:rFonts w:ascii="宋体" w:hAnsi="宋体" w:hint="eastAsia"/>
                <w:color w:val="auto"/>
                <w:sz w:val="21"/>
                <w:szCs w:val="21"/>
              </w:rPr>
              <w:t>卸酸管口处</w:t>
            </w:r>
            <w:proofErr w:type="gramEnd"/>
            <w:r>
              <w:rPr>
                <w:rFonts w:ascii="宋体" w:hAnsi="宋体" w:hint="eastAsia"/>
                <w:color w:val="auto"/>
                <w:sz w:val="21"/>
                <w:szCs w:val="21"/>
              </w:rPr>
              <w:t>配备1支塑料桶用于</w:t>
            </w:r>
            <w:proofErr w:type="gramStart"/>
            <w:r>
              <w:rPr>
                <w:rFonts w:ascii="宋体" w:hAnsi="宋体" w:hint="eastAsia"/>
                <w:color w:val="auto"/>
                <w:sz w:val="21"/>
                <w:szCs w:val="21"/>
              </w:rPr>
              <w:t>收集卸酸管道</w:t>
            </w:r>
            <w:proofErr w:type="gramEnd"/>
            <w:r>
              <w:rPr>
                <w:rFonts w:ascii="宋体" w:hAnsi="宋体" w:hint="eastAsia"/>
                <w:color w:val="auto"/>
                <w:sz w:val="21"/>
                <w:szCs w:val="21"/>
              </w:rPr>
              <w:t>内</w:t>
            </w:r>
            <w:proofErr w:type="gramStart"/>
            <w:r>
              <w:rPr>
                <w:rFonts w:ascii="宋体" w:hAnsi="宋体" w:hint="eastAsia"/>
                <w:color w:val="auto"/>
                <w:sz w:val="21"/>
                <w:szCs w:val="21"/>
              </w:rPr>
              <w:t>未流净的</w:t>
            </w:r>
            <w:proofErr w:type="gramEnd"/>
            <w:r>
              <w:rPr>
                <w:rFonts w:ascii="宋体" w:hAnsi="宋体" w:hint="eastAsia"/>
                <w:color w:val="auto"/>
                <w:sz w:val="21"/>
                <w:szCs w:val="21"/>
              </w:rPr>
              <w:t>硫酸，</w:t>
            </w:r>
            <w:proofErr w:type="gramStart"/>
            <w:r>
              <w:rPr>
                <w:rFonts w:ascii="宋体" w:hAnsi="宋体" w:hint="eastAsia"/>
                <w:color w:val="auto"/>
                <w:sz w:val="21"/>
                <w:szCs w:val="21"/>
              </w:rPr>
              <w:t>避免卸酸后</w:t>
            </w:r>
            <w:proofErr w:type="gramEnd"/>
            <w:r>
              <w:rPr>
                <w:rFonts w:ascii="宋体" w:hAnsi="宋体" w:hint="eastAsia"/>
                <w:color w:val="auto"/>
                <w:sz w:val="21"/>
                <w:szCs w:val="21"/>
              </w:rPr>
              <w:t>管道内</w:t>
            </w:r>
            <w:proofErr w:type="gramStart"/>
            <w:r>
              <w:rPr>
                <w:rFonts w:ascii="宋体" w:hAnsi="宋体" w:hint="eastAsia"/>
                <w:color w:val="auto"/>
                <w:sz w:val="21"/>
                <w:szCs w:val="21"/>
              </w:rPr>
              <w:t>未流净硫酸</w:t>
            </w:r>
            <w:proofErr w:type="gramEnd"/>
            <w:r>
              <w:rPr>
                <w:rFonts w:ascii="宋体" w:hAnsi="宋体" w:hint="eastAsia"/>
                <w:color w:val="auto"/>
                <w:sz w:val="21"/>
                <w:szCs w:val="21"/>
              </w:rPr>
              <w:t>滴漏，塑料桶内残余硫酸收集后</w:t>
            </w:r>
            <w:proofErr w:type="gramStart"/>
            <w:r>
              <w:rPr>
                <w:rFonts w:ascii="宋体" w:hAnsi="宋体" w:hint="eastAsia"/>
                <w:color w:val="auto"/>
                <w:sz w:val="21"/>
                <w:szCs w:val="21"/>
              </w:rPr>
              <w:t>由危险</w:t>
            </w:r>
            <w:proofErr w:type="gramEnd"/>
            <w:r>
              <w:rPr>
                <w:rFonts w:ascii="宋体" w:hAnsi="宋体" w:hint="eastAsia"/>
                <w:color w:val="auto"/>
                <w:sz w:val="21"/>
                <w:szCs w:val="21"/>
              </w:rPr>
              <w:t>废物处置单位处理。</w:t>
            </w:r>
          </w:p>
        </w:tc>
        <w:tc>
          <w:tcPr>
            <w:tcW w:w="2268" w:type="dxa"/>
            <w:shd w:val="clear" w:color="auto" w:fill="auto"/>
            <w:vAlign w:val="center"/>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经现场勘察，锅炉房和热风炉附近设置防爆型数显声光报警可燃气体检测系统，在线监测锅炉房室内天然气的含量。</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天然气供气管道上设置紧急切断阀，保证发生事故时能及时切断天然气供应。</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天然气供应主管到切断阀之间设置放散管。</w:t>
            </w:r>
          </w:p>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项目硫酸设备未建设。</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（2）防火、防爆</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1）所有仓库不用于储存规定以外的其他物资，整个库区严禁明火和其他热源。</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2）所有仓库通过气楼和窗户进行通风，保证最大程度通风。</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4）仓库应保持相应的垛距、墙距、柱距。</w:t>
            </w:r>
            <w:proofErr w:type="gramStart"/>
            <w:r>
              <w:rPr>
                <w:rFonts w:ascii="宋体" w:hAnsi="宋体" w:hint="eastAsia"/>
                <w:color w:val="auto"/>
                <w:sz w:val="21"/>
                <w:szCs w:val="21"/>
              </w:rPr>
              <w:t>垛与垛</w:t>
            </w:r>
            <w:proofErr w:type="gramEnd"/>
            <w:r>
              <w:rPr>
                <w:rFonts w:ascii="宋体" w:hAnsi="宋体" w:hint="eastAsia"/>
                <w:color w:val="auto"/>
                <w:sz w:val="21"/>
                <w:szCs w:val="21"/>
              </w:rPr>
              <w:t>间距不小于1m，</w:t>
            </w:r>
            <w:proofErr w:type="gramStart"/>
            <w:r>
              <w:rPr>
                <w:rFonts w:ascii="宋体" w:hAnsi="宋体" w:hint="eastAsia"/>
                <w:color w:val="auto"/>
                <w:sz w:val="21"/>
                <w:szCs w:val="21"/>
              </w:rPr>
              <w:t>垛与墙</w:t>
            </w:r>
            <w:proofErr w:type="gramEnd"/>
            <w:r>
              <w:rPr>
                <w:rFonts w:ascii="宋体" w:hAnsi="宋体" w:hint="eastAsia"/>
                <w:color w:val="auto"/>
                <w:sz w:val="21"/>
                <w:szCs w:val="21"/>
              </w:rPr>
              <w:t>间距不小0.5m，</w:t>
            </w:r>
            <w:proofErr w:type="gramStart"/>
            <w:r>
              <w:rPr>
                <w:rFonts w:ascii="宋体" w:hAnsi="宋体" w:hint="eastAsia"/>
                <w:color w:val="auto"/>
                <w:sz w:val="21"/>
                <w:szCs w:val="21"/>
              </w:rPr>
              <w:t>垛与柱</w:t>
            </w:r>
            <w:proofErr w:type="gramEnd"/>
            <w:r>
              <w:rPr>
                <w:rFonts w:ascii="宋体" w:hAnsi="宋体" w:hint="eastAsia"/>
                <w:color w:val="auto"/>
                <w:sz w:val="21"/>
                <w:szCs w:val="21"/>
              </w:rPr>
              <w:t>的间距不小于0.3m，</w:t>
            </w:r>
            <w:proofErr w:type="gramStart"/>
            <w:r>
              <w:rPr>
                <w:rFonts w:ascii="宋体" w:hAnsi="宋体" w:hint="eastAsia"/>
                <w:color w:val="auto"/>
                <w:sz w:val="21"/>
                <w:szCs w:val="21"/>
              </w:rPr>
              <w:t>垛与屋顶</w:t>
            </w:r>
            <w:proofErr w:type="gramEnd"/>
            <w:r>
              <w:rPr>
                <w:rFonts w:ascii="宋体" w:hAnsi="宋体" w:hint="eastAsia"/>
                <w:color w:val="auto"/>
                <w:sz w:val="21"/>
                <w:szCs w:val="21"/>
              </w:rPr>
              <w:t>的间距不得小于0.3m，物品与照明灯之间的距离不小于0.5m。主要通道的宽度不小于1.8m，支通道的宽度不小于0.8m。</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5）仓库内货物码放不得过高，袋装</w:t>
            </w:r>
            <w:proofErr w:type="gramStart"/>
            <w:r>
              <w:rPr>
                <w:rFonts w:ascii="宋体" w:hAnsi="宋体" w:hint="eastAsia"/>
                <w:color w:val="auto"/>
                <w:sz w:val="21"/>
                <w:szCs w:val="21"/>
              </w:rPr>
              <w:t>物垛高</w:t>
            </w:r>
            <w:proofErr w:type="gramEnd"/>
            <w:r>
              <w:rPr>
                <w:rFonts w:ascii="宋体" w:hAnsi="宋体" w:hint="eastAsia"/>
                <w:color w:val="auto"/>
                <w:sz w:val="21"/>
                <w:szCs w:val="21"/>
              </w:rPr>
              <w:t>不超过3.5m。</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6）在三个仓库内各设置4个温湿度计。</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7）发电机排烟管管口设置阻火器，管口高出地面4.5m以上或高出发电间屋顶1.5m以上。</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8）硫酸</w:t>
            </w:r>
            <w:proofErr w:type="gramStart"/>
            <w:r>
              <w:rPr>
                <w:rFonts w:ascii="宋体" w:hAnsi="宋体" w:hint="eastAsia"/>
                <w:color w:val="auto"/>
                <w:sz w:val="21"/>
                <w:szCs w:val="21"/>
              </w:rPr>
              <w:t>罐设置</w:t>
            </w:r>
            <w:proofErr w:type="gramEnd"/>
            <w:r>
              <w:rPr>
                <w:rFonts w:ascii="宋体" w:hAnsi="宋体" w:hint="eastAsia"/>
                <w:color w:val="auto"/>
                <w:sz w:val="21"/>
                <w:szCs w:val="21"/>
              </w:rPr>
              <w:t>DN50的通气管，管口设置阻火器。</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9）电气防火、防爆相关措施详见6.4.1节。</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10）消防措施详见6.4.2节。</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11）总图布置及建构筑物防火、防爆措施详见4.1及4.2节。</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经现场勘察，仓库不用于储存规定以外的其他物资，整个库区严禁明火和其他热源。</w:t>
            </w:r>
          </w:p>
          <w:p w:rsidR="003F13AB" w:rsidRDefault="00EC6E7E">
            <w:pPr>
              <w:pStyle w:val="Default1"/>
              <w:rPr>
                <w:rFonts w:ascii="宋体" w:hAnsi="宋体" w:hint="default"/>
                <w:color w:val="auto"/>
                <w:sz w:val="21"/>
                <w:szCs w:val="21"/>
              </w:rPr>
            </w:pPr>
            <w:r>
              <w:rPr>
                <w:rFonts w:ascii="宋体" w:hAnsi="宋体"/>
                <w:color w:val="auto"/>
                <w:sz w:val="21"/>
                <w:szCs w:val="21"/>
              </w:rPr>
              <w:t>仓库保持相应的垛距、墙距、柱距，</w:t>
            </w:r>
            <w:proofErr w:type="gramStart"/>
            <w:r>
              <w:rPr>
                <w:rFonts w:ascii="宋体" w:hAnsi="宋体"/>
                <w:color w:val="auto"/>
                <w:sz w:val="21"/>
                <w:szCs w:val="21"/>
              </w:rPr>
              <w:t>符合左述要求</w:t>
            </w:r>
            <w:proofErr w:type="gramEnd"/>
            <w:r>
              <w:rPr>
                <w:rFonts w:ascii="宋体" w:hAnsi="宋体"/>
                <w:color w:val="auto"/>
                <w:sz w:val="21"/>
                <w:szCs w:val="21"/>
              </w:rPr>
              <w:t>。主要通道、支通道的宽度</w:t>
            </w:r>
            <w:proofErr w:type="gramStart"/>
            <w:r>
              <w:rPr>
                <w:rFonts w:ascii="宋体" w:hAnsi="宋体"/>
                <w:color w:val="auto"/>
                <w:sz w:val="21"/>
                <w:szCs w:val="21"/>
              </w:rPr>
              <w:t>符合左述要求</w:t>
            </w:r>
            <w:proofErr w:type="gramEnd"/>
            <w:r>
              <w:rPr>
                <w:rFonts w:ascii="宋体" w:hAnsi="宋体"/>
                <w:color w:val="auto"/>
                <w:sz w:val="21"/>
                <w:szCs w:val="21"/>
              </w:rPr>
              <w:t>。</w:t>
            </w:r>
          </w:p>
          <w:p w:rsidR="003F13AB" w:rsidRDefault="00EC6E7E">
            <w:pPr>
              <w:pStyle w:val="Default1"/>
              <w:rPr>
                <w:rFonts w:ascii="宋体" w:hAnsi="宋体" w:hint="default"/>
                <w:color w:val="auto"/>
                <w:sz w:val="21"/>
                <w:szCs w:val="21"/>
              </w:rPr>
            </w:pPr>
            <w:r>
              <w:rPr>
                <w:rFonts w:ascii="宋体" w:hAnsi="宋体"/>
                <w:color w:val="auto"/>
                <w:sz w:val="21"/>
                <w:szCs w:val="21"/>
              </w:rPr>
              <w:t>仓库内货物码放超过3.5m。</w:t>
            </w:r>
          </w:p>
          <w:p w:rsidR="003F13AB" w:rsidRDefault="00EC6E7E">
            <w:pPr>
              <w:pStyle w:val="Default1"/>
              <w:rPr>
                <w:rFonts w:ascii="宋体" w:hAnsi="宋体" w:hint="default"/>
                <w:color w:val="auto"/>
                <w:sz w:val="21"/>
                <w:szCs w:val="21"/>
              </w:rPr>
            </w:pPr>
            <w:r>
              <w:rPr>
                <w:rFonts w:ascii="宋体" w:hAnsi="宋体"/>
                <w:color w:val="auto"/>
                <w:sz w:val="21"/>
                <w:szCs w:val="21"/>
              </w:rPr>
              <w:t>未在三个仓库内设置温湿度计。</w:t>
            </w:r>
          </w:p>
          <w:p w:rsidR="003F13AB" w:rsidRDefault="00EC6E7E">
            <w:pPr>
              <w:pStyle w:val="Default1"/>
              <w:rPr>
                <w:rFonts w:ascii="宋体" w:hAnsi="宋体" w:hint="default"/>
                <w:color w:val="auto"/>
                <w:sz w:val="21"/>
                <w:szCs w:val="21"/>
              </w:rPr>
            </w:pPr>
            <w:r>
              <w:rPr>
                <w:rFonts w:ascii="宋体" w:hAnsi="宋体"/>
                <w:color w:val="auto"/>
                <w:sz w:val="21"/>
                <w:szCs w:val="21"/>
              </w:rPr>
              <w:t>发电机排烟管管口未设置阻火器。</w:t>
            </w:r>
          </w:p>
          <w:p w:rsidR="003F13AB" w:rsidRDefault="00EC6E7E">
            <w:pPr>
              <w:pStyle w:val="Default1"/>
              <w:rPr>
                <w:rFonts w:hint="default"/>
              </w:rPr>
            </w:pPr>
            <w:r>
              <w:rPr>
                <w:rFonts w:ascii="宋体" w:hAnsi="宋体"/>
                <w:color w:val="auto"/>
                <w:sz w:val="21"/>
                <w:szCs w:val="21"/>
              </w:rPr>
              <w:t>项目硫酸储罐未建设。</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部分符合，已对企业提出整改。</w:t>
            </w: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（3）防尘</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本项目生产过程容易产生粉尘的部位均设置为全密闭环境，相关设备选用密闭设备，保证粉尘不易扩散，并在容易产生粉尘的部位设置除尘器，除尘器设置情况详见6.2.1节。</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若粉尘不慎泄漏到外部环境，厂房为半敞开设置，通过自然通风进行散尘。</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项目生产过程容易产生粉尘的部位均设置为全密闭环境，相关设备选用密闭设备，并在容易产生粉尘的部位按安全设施设计要求设置除尘器。</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（4）防毒</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1）厂房及各仓库设置窗户和气楼，通过窗户和气楼进行通风，这样可以保证最大程度通风，防止空气中的有毒物质集聚；</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2）可能接触有毒有害物质的装卸员和仓库管理员应穿戴防护服和防护面罩，防止有毒有害物质接触皮肤和眼睛，劳动防护用品配置情况详见6.6.5节。</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3）各生产设备内部及投料坑为有限空间，有毒有害气体容易聚集，同时可能残留粉尘，检修前应充分进行通风换气并通过除尘器除去设备内部的粉尘，人员方可进入设备内部进行检修。</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厂房及各仓库设置窗户和气楼，通过窗户和气楼进行通风。</w:t>
            </w:r>
          </w:p>
          <w:p w:rsidR="003F13AB" w:rsidRDefault="00EC6E7E">
            <w:pPr>
              <w:pStyle w:val="Default1"/>
              <w:rPr>
                <w:rFonts w:hint="default"/>
              </w:rPr>
            </w:pPr>
            <w:r>
              <w:rPr>
                <w:rFonts w:ascii="宋体" w:hAnsi="宋体"/>
                <w:color w:val="auto"/>
                <w:sz w:val="21"/>
                <w:szCs w:val="21"/>
              </w:rPr>
              <w:t>可能接触有毒有害物质的装卸员和仓库管理员穿戴防护服和防护面罩，劳动防护用品配置符合安全设施设计要求。</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（5）防腐蚀</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1）本项目所用硫酸以及部分钾肥、氮肥均存在不同程度的腐蚀性，</w:t>
            </w:r>
            <w:proofErr w:type="gramStart"/>
            <w:r>
              <w:rPr>
                <w:rFonts w:ascii="宋体" w:hAnsi="宋体" w:hint="eastAsia"/>
                <w:color w:val="auto"/>
                <w:sz w:val="21"/>
                <w:szCs w:val="21"/>
              </w:rPr>
              <w:t>故接触</w:t>
            </w:r>
            <w:proofErr w:type="gramEnd"/>
            <w:r>
              <w:rPr>
                <w:rFonts w:ascii="宋体" w:hAnsi="宋体" w:hint="eastAsia"/>
                <w:color w:val="auto"/>
                <w:sz w:val="21"/>
                <w:szCs w:val="21"/>
              </w:rPr>
              <w:t>这部分物质的设备、管道等均采用不锈钢材质，材质选型详见6.2.1节。</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2）建筑防腐蚀措施详见4.2.4节。</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项目所用部分钾肥、氮肥均存在不同程度的腐蚀性，接触这部分物质的设备、管道等均采用不锈钢材质。</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lastRenderedPageBreak/>
              <w:t>6.2设备设施安全措施</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t>6.2.1设备选型、设备布置及设备设施采取的安全措施</w:t>
            </w:r>
          </w:p>
        </w:tc>
      </w:tr>
      <w:tr w:rsidR="003F13AB">
        <w:trPr>
          <w:trHeight w:val="2189"/>
        </w:trPr>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（1）除尘器</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1）生产过程中容易产生粉尘的部位设置除尘器，除尘器设置部位和设置情况详见安全设施设计表6.2-1除尘器设置情况。</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2）除尘器定期进行清灰，清灰周期根据试生产情况或同类企业清灰周期进行确定；通过喷淋除尘遗留的液体作为循环水继续投入作为生产原料使用。</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（2）硫酸储罐、硫酸管道</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本项目所用硫酸浓度为70%-98%，为浓硫酸，使用环境温度为常温，硫酸储罐和浓硫酸输送管道选用304不锈钢材质或铁素体不锈钢材质，硫酸经投料稀释后变为稀硫酸可选用304不锈钢材质或铁素体不锈钢，也可选用316不锈钢材质，相关设备管道材质可根据施工图和供货方进行确定，但选用前应验证材质对于常温下浓硫酸的耐腐蚀性。</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2）硫酸管道管径根据工艺要求进行确定，管径根据施工图确定，连接方式采用焊接，采用法兰连接的地方采用聚四氟乙烯垫片密封。弯头、法兰采用保护套包裹。</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3）硫酸储罐采用卧式罐，设置</w:t>
            </w:r>
            <w:proofErr w:type="gramStart"/>
            <w:r>
              <w:rPr>
                <w:rFonts w:ascii="宋体" w:hAnsi="宋体" w:hint="eastAsia"/>
                <w:color w:val="auto"/>
                <w:sz w:val="21"/>
                <w:szCs w:val="21"/>
              </w:rPr>
              <w:t>液位计监控</w:t>
            </w:r>
            <w:proofErr w:type="gramEnd"/>
            <w:r>
              <w:rPr>
                <w:rFonts w:ascii="宋体" w:hAnsi="宋体" w:hint="eastAsia"/>
                <w:color w:val="auto"/>
                <w:sz w:val="21"/>
                <w:szCs w:val="21"/>
              </w:rPr>
              <w:t>，硫酸液位与硫酸卸车泵进行</w:t>
            </w:r>
            <w:proofErr w:type="gramStart"/>
            <w:r>
              <w:rPr>
                <w:rFonts w:ascii="宋体" w:hAnsi="宋体" w:hint="eastAsia"/>
                <w:color w:val="auto"/>
                <w:sz w:val="21"/>
                <w:szCs w:val="21"/>
              </w:rPr>
              <w:t>联锁</w:t>
            </w:r>
            <w:proofErr w:type="gramEnd"/>
            <w:r>
              <w:rPr>
                <w:rFonts w:ascii="宋体" w:hAnsi="宋体" w:hint="eastAsia"/>
                <w:color w:val="auto"/>
                <w:sz w:val="21"/>
                <w:szCs w:val="21"/>
              </w:rPr>
              <w:t>，液位高于90%以上时</w:t>
            </w:r>
            <w:proofErr w:type="gramStart"/>
            <w:r>
              <w:rPr>
                <w:rFonts w:ascii="宋体" w:hAnsi="宋体" w:hint="eastAsia"/>
                <w:color w:val="auto"/>
                <w:sz w:val="21"/>
                <w:szCs w:val="21"/>
              </w:rPr>
              <w:t>联锁</w:t>
            </w:r>
            <w:proofErr w:type="gramEnd"/>
            <w:r>
              <w:rPr>
                <w:rFonts w:ascii="宋体" w:hAnsi="宋体" w:hint="eastAsia"/>
                <w:color w:val="auto"/>
                <w:sz w:val="21"/>
                <w:szCs w:val="21"/>
              </w:rPr>
              <w:t>停泵。</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4）硫酸储罐设置防溢流阀，顶部设置带有阻火器的放空管。</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5）硫酸储罐、硫酸管道安装完成后进行密闭性试验，合格后方投入使用。以保证在正常生产过程中不存在泄漏情况。</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项目硫酸储罐未建设。</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w:t>
            </w: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（3）其他机械设备</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接触钾肥、氮肥等有弱腐蚀性的投料仓、提升机、搅拌机等相关设备，设备内部接触腐蚀性物质的部位材质选用304不锈钢，相关设备管道材质可根据施工图和供货方进行确定，但选用前应验证材质对于常温下钾肥、氮肥的耐腐蚀性。</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2）泵等震动较大动力设备尽量安装于地面，设置独立基础，或安装减振垫。</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3）熔融槽、烘干机等高温设备、高温管道外层包裹岩棉进行隔热保温，岩棉外置一层铝板作为保护层，防止人员高温灼伤，同时作业人员必须配备防护用具。</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4）破碎机、提升机、输送皮带、粉碎机、泵等易造成机械伤害的机械设备采取以下安全措施：</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对所有设备的外露传动部分安装完善的防护罩，对可见的设备内部运转的部位安装防护挡板或防护栏，防止机械伤害，</w:t>
            </w:r>
            <w:proofErr w:type="gramStart"/>
            <w:r>
              <w:rPr>
                <w:rFonts w:ascii="宋体" w:hAnsi="宋体" w:hint="eastAsia"/>
                <w:color w:val="auto"/>
                <w:sz w:val="21"/>
                <w:szCs w:val="21"/>
              </w:rPr>
              <w:t>如各个</w:t>
            </w:r>
            <w:proofErr w:type="gramEnd"/>
            <w:r>
              <w:rPr>
                <w:rFonts w:ascii="宋体" w:hAnsi="宋体" w:hint="eastAsia"/>
                <w:color w:val="auto"/>
                <w:sz w:val="21"/>
                <w:szCs w:val="21"/>
              </w:rPr>
              <w:t>电机、风机等设备的传动部分。</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对于项目中各种机械传动设备的传动部位等设置符合《机械安全 防护装置 固定式和活动式防护装置的设计与制造一般要求》（GB/T 8196-2018）的安全防护罩、防护网和防护屏。</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防护罩设计采用封闭结构，材质为不锈钢板。当现场需要采用网状结构时，其开口宽度：直径、边长或椭圆形孔的短轴尺寸小于12.5mm，安全距离不小于92mm，以达到防止人体的</w:t>
            </w:r>
            <w:proofErr w:type="gramStart"/>
            <w:r>
              <w:rPr>
                <w:rFonts w:ascii="宋体" w:hAnsi="宋体" w:hint="eastAsia"/>
                <w:color w:val="auto"/>
                <w:sz w:val="21"/>
                <w:szCs w:val="21"/>
              </w:rPr>
              <w:t>误接触</w:t>
            </w:r>
            <w:proofErr w:type="gramEnd"/>
            <w:r>
              <w:rPr>
                <w:rFonts w:ascii="宋体" w:hAnsi="宋体" w:hint="eastAsia"/>
                <w:color w:val="auto"/>
                <w:sz w:val="21"/>
                <w:szCs w:val="21"/>
              </w:rPr>
              <w:t>的效果。</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防护屏采用栅栏结构、网状结构或孔板结构时，根据其</w:t>
            </w:r>
            <w:r>
              <w:rPr>
                <w:rFonts w:ascii="宋体" w:hAnsi="宋体" w:hint="eastAsia"/>
                <w:color w:val="auto"/>
                <w:sz w:val="21"/>
                <w:szCs w:val="21"/>
              </w:rPr>
              <w:lastRenderedPageBreak/>
              <w:t>栅栏的横向或竖向间距、网眼或孔的最大尺寸，最小安全距离必须符合标准《机械安全 防护装置 固定式和活动式防护装置的设计与制造一般要求》（GB/T 8196-2018）中“防护屏高度，危险点高度和最小安全距离关系表”的规定外，同时还必须符合“栅栏间距、网眼直径与安全距离关系表”的规定。防护屏表面不得有易伤害人体的毛刺和尖锐棱角。建设单位在采购定型设备以及制作非标设备以及日常生产中对此应予以重视。</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5）运转设备在设备附近就近设置急停开关，急停开关采用红色按钮，用以在紧急停车时候使用。急停装置的复位只能通过手动复位。</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6）电气设备设安全防护联锁装置，安全装置不全不允许启动设备。兼具电动和手动两种方式的转动设备，设手动时自动断电</w:t>
            </w:r>
            <w:proofErr w:type="gramStart"/>
            <w:r>
              <w:rPr>
                <w:rFonts w:ascii="宋体" w:hAnsi="宋体" w:hint="eastAsia"/>
                <w:color w:val="auto"/>
                <w:sz w:val="21"/>
                <w:szCs w:val="21"/>
              </w:rPr>
              <w:t>联锁</w:t>
            </w:r>
            <w:proofErr w:type="gramEnd"/>
            <w:r>
              <w:rPr>
                <w:rFonts w:ascii="宋体" w:hAnsi="宋体" w:hint="eastAsia"/>
                <w:color w:val="auto"/>
                <w:sz w:val="21"/>
                <w:szCs w:val="21"/>
              </w:rPr>
              <w:t>。手动操作前，拉下设备的电源开关，切断电源。所有电气设备启动操作在现场进行，由就地电气控制箱紧急停车。</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7）工艺管道进行介质、流向标识，对工艺管道进行隔热保温，避免工作疏忽大意，不小心触碰。</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8）</w:t>
            </w:r>
            <w:proofErr w:type="gramStart"/>
            <w:r>
              <w:rPr>
                <w:rFonts w:ascii="宋体" w:hAnsi="宋体" w:hint="eastAsia"/>
                <w:color w:val="auto"/>
                <w:sz w:val="21"/>
                <w:szCs w:val="21"/>
              </w:rPr>
              <w:t>投料口</w:t>
            </w:r>
            <w:proofErr w:type="gramEnd"/>
            <w:r>
              <w:rPr>
                <w:rFonts w:ascii="宋体" w:hAnsi="宋体" w:hint="eastAsia"/>
                <w:color w:val="auto"/>
                <w:sz w:val="21"/>
                <w:szCs w:val="21"/>
              </w:rPr>
              <w:t>应设置防护网，防护网网格应保证可通过物料的同时防止人员坠落。</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9）本项目存在高温熔融介质以及腐蚀性物质的输送，相关输送</w:t>
            </w:r>
            <w:proofErr w:type="gramStart"/>
            <w:r>
              <w:rPr>
                <w:rFonts w:ascii="宋体" w:hAnsi="宋体" w:hint="eastAsia"/>
                <w:color w:val="auto"/>
                <w:sz w:val="21"/>
                <w:szCs w:val="21"/>
              </w:rPr>
              <w:t>泵根据</w:t>
            </w:r>
            <w:proofErr w:type="gramEnd"/>
            <w:r>
              <w:rPr>
                <w:rFonts w:ascii="宋体" w:hAnsi="宋体" w:hint="eastAsia"/>
                <w:color w:val="auto"/>
                <w:sz w:val="21"/>
                <w:szCs w:val="21"/>
              </w:rPr>
              <w:t>输送介质要求进行选取。</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10）电气设备控制柜、设备旁的操作箱等处设置防止误操作的设施。</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接触钾肥、氮肥等有弱腐蚀性的投料仓、提升机、搅拌机等相关设备，设备内部接触腐蚀性物质的部位材质选用304不锈钢。</w:t>
            </w:r>
          </w:p>
          <w:p w:rsidR="003F13AB" w:rsidRDefault="00EC6E7E">
            <w:pPr>
              <w:pStyle w:val="Default1"/>
              <w:rPr>
                <w:rFonts w:ascii="宋体" w:hAnsi="宋体" w:hint="default"/>
                <w:color w:val="auto"/>
                <w:sz w:val="21"/>
                <w:szCs w:val="21"/>
              </w:rPr>
            </w:pPr>
            <w:r>
              <w:rPr>
                <w:rFonts w:ascii="宋体" w:hAnsi="宋体"/>
                <w:color w:val="auto"/>
                <w:sz w:val="21"/>
                <w:szCs w:val="21"/>
              </w:rPr>
              <w:t>泵等震动较大动力设备安装于地面，设置独立基础。</w:t>
            </w:r>
          </w:p>
          <w:p w:rsidR="003F13AB" w:rsidRDefault="00EC6E7E">
            <w:pPr>
              <w:pStyle w:val="Default1"/>
              <w:rPr>
                <w:rFonts w:ascii="宋体" w:hAnsi="宋体" w:hint="default"/>
                <w:color w:val="auto"/>
                <w:sz w:val="21"/>
                <w:szCs w:val="21"/>
              </w:rPr>
            </w:pPr>
            <w:r>
              <w:rPr>
                <w:rFonts w:ascii="宋体" w:hAnsi="宋体"/>
                <w:color w:val="auto"/>
                <w:sz w:val="21"/>
                <w:szCs w:val="21"/>
              </w:rPr>
              <w:t>熔融槽、烘干机等高温设备、高温管道外层包裹岩棉进行隔热保温，岩棉外置一层铝板作为保护层，防止人员高温灼伤。</w:t>
            </w:r>
          </w:p>
          <w:p w:rsidR="003F13AB" w:rsidRDefault="00EC6E7E">
            <w:pPr>
              <w:pStyle w:val="Default1"/>
              <w:rPr>
                <w:rFonts w:ascii="宋体" w:hAnsi="宋体" w:hint="default"/>
                <w:color w:val="auto"/>
                <w:sz w:val="21"/>
                <w:szCs w:val="21"/>
              </w:rPr>
            </w:pPr>
            <w:r>
              <w:rPr>
                <w:rFonts w:ascii="宋体" w:hAnsi="宋体"/>
                <w:color w:val="auto"/>
                <w:sz w:val="21"/>
                <w:szCs w:val="21"/>
              </w:rPr>
              <w:t>对所有设备的外露传动部分安装完善的防护罩，对可见的设备内部运转的部位安装防护挡板或防护栏。</w:t>
            </w:r>
          </w:p>
          <w:p w:rsidR="003F13AB" w:rsidRDefault="00EC6E7E">
            <w:pPr>
              <w:pStyle w:val="Default1"/>
              <w:rPr>
                <w:rFonts w:ascii="宋体" w:hAnsi="宋体" w:hint="default"/>
                <w:color w:val="auto"/>
                <w:sz w:val="21"/>
                <w:szCs w:val="21"/>
              </w:rPr>
            </w:pPr>
            <w:r>
              <w:rPr>
                <w:rFonts w:ascii="宋体" w:hAnsi="宋体"/>
                <w:color w:val="auto"/>
                <w:sz w:val="21"/>
                <w:szCs w:val="21"/>
              </w:rPr>
              <w:t>运转设备在设备附近就近设置急停开关，急停开关采用红色按钮。急停装置的复位只能</w:t>
            </w:r>
            <w:r>
              <w:rPr>
                <w:rFonts w:ascii="宋体" w:hAnsi="宋体"/>
                <w:color w:val="auto"/>
                <w:sz w:val="21"/>
                <w:szCs w:val="21"/>
              </w:rPr>
              <w:lastRenderedPageBreak/>
              <w:t>通过手动复位。</w:t>
            </w:r>
          </w:p>
          <w:p w:rsidR="003F13AB" w:rsidRDefault="00EC6E7E">
            <w:pPr>
              <w:pStyle w:val="Default1"/>
              <w:rPr>
                <w:rFonts w:ascii="宋体" w:hAnsi="宋体" w:hint="default"/>
                <w:color w:val="auto"/>
                <w:sz w:val="21"/>
                <w:szCs w:val="21"/>
              </w:rPr>
            </w:pPr>
            <w:r>
              <w:rPr>
                <w:rFonts w:ascii="宋体" w:hAnsi="宋体"/>
                <w:color w:val="auto"/>
                <w:sz w:val="21"/>
                <w:szCs w:val="21"/>
              </w:rPr>
              <w:t>工艺管道未进行介质、流向标识。</w:t>
            </w:r>
          </w:p>
          <w:p w:rsidR="003F13AB" w:rsidRDefault="00EC6E7E">
            <w:pPr>
              <w:pStyle w:val="Default1"/>
              <w:rPr>
                <w:rFonts w:ascii="宋体" w:hAnsi="宋体" w:hint="default"/>
                <w:color w:val="auto"/>
                <w:sz w:val="21"/>
                <w:szCs w:val="21"/>
              </w:rPr>
            </w:pPr>
            <w:proofErr w:type="gramStart"/>
            <w:r>
              <w:rPr>
                <w:rFonts w:ascii="宋体" w:hAnsi="宋体"/>
                <w:color w:val="auto"/>
                <w:sz w:val="21"/>
                <w:szCs w:val="21"/>
              </w:rPr>
              <w:t>投料口</w:t>
            </w:r>
            <w:proofErr w:type="gramEnd"/>
            <w:r>
              <w:rPr>
                <w:rFonts w:ascii="宋体" w:hAnsi="宋体"/>
                <w:color w:val="auto"/>
                <w:sz w:val="21"/>
                <w:szCs w:val="21"/>
              </w:rPr>
              <w:t>设置防护网，防止人员坠落。</w:t>
            </w:r>
          </w:p>
          <w:p w:rsidR="003F13AB" w:rsidRDefault="00EC6E7E">
            <w:pPr>
              <w:pStyle w:val="Default1"/>
              <w:rPr>
                <w:rFonts w:hint="default"/>
              </w:rPr>
            </w:pPr>
            <w:r>
              <w:rPr>
                <w:rFonts w:ascii="宋体" w:hAnsi="宋体"/>
                <w:color w:val="auto"/>
                <w:sz w:val="21"/>
                <w:szCs w:val="21"/>
              </w:rPr>
              <w:t>电气设备控制柜、设备旁的操作箱等处设置防止误操作的设施。</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lastRenderedPageBreak/>
              <w:t>部分符合，已对企业提出整改。</w:t>
            </w: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（4）锅炉、热风炉、蒸汽管道及天然气管道</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1）锅炉和热风炉燃烧器前与天然气管道连接处设置阻火器将供气系统和燃烧系统隔开。</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2）需要密闭的设备及管道安装完成后进行密闭性试验，合格后方投入使用。以保证在正常生产过程中不存在泄漏情况。</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3）锅炉配管设计如下：</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①锅炉给水</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①锅炉用水</w:t>
            </w:r>
            <w:proofErr w:type="gramStart"/>
            <w:r>
              <w:rPr>
                <w:rFonts w:ascii="宋体" w:hAnsi="宋体" w:hint="eastAsia"/>
                <w:color w:val="auto"/>
                <w:sz w:val="21"/>
                <w:szCs w:val="21"/>
              </w:rPr>
              <w:t>管道接自厂区</w:t>
            </w:r>
            <w:proofErr w:type="gramEnd"/>
            <w:r>
              <w:rPr>
                <w:rFonts w:ascii="宋体" w:hAnsi="宋体" w:hint="eastAsia"/>
                <w:color w:val="auto"/>
                <w:sz w:val="21"/>
                <w:szCs w:val="21"/>
              </w:rPr>
              <w:t>生产用水管道，给水管道接至全自动软水装置，全自动软水装置设置软化水管道接至软水箱；</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②软水箱设置软化水管道接至循环水泵，循环水泵后设置冷凝器循环水管道，将软水箱的</w:t>
            </w:r>
            <w:proofErr w:type="gramStart"/>
            <w:r>
              <w:rPr>
                <w:rFonts w:ascii="宋体" w:hAnsi="宋体" w:hint="eastAsia"/>
                <w:color w:val="auto"/>
                <w:sz w:val="21"/>
                <w:szCs w:val="21"/>
              </w:rPr>
              <w:t>软水泵至冷凝器</w:t>
            </w:r>
            <w:proofErr w:type="gramEnd"/>
            <w:r>
              <w:rPr>
                <w:rFonts w:ascii="宋体" w:hAnsi="宋体" w:hint="eastAsia"/>
                <w:color w:val="auto"/>
                <w:sz w:val="21"/>
                <w:szCs w:val="21"/>
              </w:rPr>
              <w:t>进行预热，冷凝器后设置冷凝器循环水管道将预热后的软水输送至大气式热力喷雾除氧器进行除氧；</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③大气式热力喷雾除氧器后设置</w:t>
            </w:r>
            <w:proofErr w:type="gramStart"/>
            <w:r>
              <w:rPr>
                <w:rFonts w:ascii="宋体" w:hAnsi="宋体" w:hint="eastAsia"/>
                <w:color w:val="auto"/>
                <w:sz w:val="21"/>
                <w:szCs w:val="21"/>
              </w:rPr>
              <w:t>除氧水管道</w:t>
            </w:r>
            <w:proofErr w:type="gramEnd"/>
            <w:r>
              <w:rPr>
                <w:rFonts w:ascii="宋体" w:hAnsi="宋体" w:hint="eastAsia"/>
                <w:color w:val="auto"/>
                <w:sz w:val="21"/>
                <w:szCs w:val="21"/>
              </w:rPr>
              <w:t>，将</w:t>
            </w:r>
            <w:proofErr w:type="gramStart"/>
            <w:r>
              <w:rPr>
                <w:rFonts w:ascii="宋体" w:hAnsi="宋体" w:hint="eastAsia"/>
                <w:color w:val="auto"/>
                <w:sz w:val="21"/>
                <w:szCs w:val="21"/>
              </w:rPr>
              <w:t>除氧水输送</w:t>
            </w:r>
            <w:proofErr w:type="gramEnd"/>
            <w:r>
              <w:rPr>
                <w:rFonts w:ascii="宋体" w:hAnsi="宋体" w:hint="eastAsia"/>
                <w:color w:val="auto"/>
                <w:sz w:val="21"/>
                <w:szCs w:val="21"/>
              </w:rPr>
              <w:t>到给水泵，给水泵后设置锅炉给水管道，将除氧水泵至节能器进行二次预热后送入锅炉。</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2）蒸汽产出</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①锅炉锅筒上设置蒸汽管道，将锅炉产生的蒸汽输送到分汽缸；</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②分汽缸上设置蒸汽管道，将蒸汽输送到厂区内用汽点；</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③分汽缸上设置蒸汽管道，将蒸汽送到大气式热力喷雾除氧</w:t>
            </w:r>
            <w:proofErr w:type="gramStart"/>
            <w:r>
              <w:rPr>
                <w:rFonts w:ascii="宋体" w:hAnsi="宋体" w:hint="eastAsia"/>
                <w:color w:val="auto"/>
                <w:sz w:val="21"/>
                <w:szCs w:val="21"/>
              </w:rPr>
              <w:t>器供除</w:t>
            </w:r>
            <w:proofErr w:type="gramEnd"/>
            <w:r>
              <w:rPr>
                <w:rFonts w:ascii="宋体" w:hAnsi="宋体" w:hint="eastAsia"/>
                <w:color w:val="auto"/>
                <w:sz w:val="21"/>
                <w:szCs w:val="21"/>
              </w:rPr>
              <w:t>氧使用。</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3）锅炉涉及到的管道包括给水管道、蒸汽管道、天然气管道等，根据输送介质的不同性质，给水管道采用聚</w:t>
            </w:r>
            <w:r>
              <w:rPr>
                <w:rFonts w:ascii="宋体" w:hAnsi="宋体" w:hint="eastAsia"/>
                <w:color w:val="auto"/>
                <w:sz w:val="21"/>
                <w:szCs w:val="21"/>
              </w:rPr>
              <w:lastRenderedPageBreak/>
              <w:t>丙烯管；天然气输送管、蒸汽管道采用无缝钢管，选用符合国家标准《输送流体用无缝钢管》（GB/T8163-2018）的管道。</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4）锅炉房内各设备间距符合规范要求，保持通道通畅，现场整洁，有良好的照明，便于设备的安装和维修工作顺利进行，减少操作失误而造成伤害的可能性。</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5）锅炉房内的作业人员必须经过专业培训，能掌握锅炉房内各设备性能的基础知识，经考试合格，持证上岗。上岗作业中，必须精心操作，严格执行有关规章制度，正确使用劳动防护用品，严禁无证人员开动机械设备。</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6）为员工配备工作服、工作帽、工作鞋等劳动防护用品。员工进入车间必须穿戴劳动防护用品。</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7）埋地钢制天然气管道采取防腐措施，采用防腐层辅以阴极保护防腐措施。防腐涂层可选用石油沥青、聚乙烯防腐胶带、环氧煤沥青、聚乙烯防腐层、氯磺化聚乙烯、环氧粉末喷涂等；阴极保护采用牺牲阳极法。</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8）埋地钢制天然气管道的敷设由施工</w:t>
            </w:r>
            <w:proofErr w:type="gramStart"/>
            <w:r>
              <w:rPr>
                <w:rFonts w:ascii="宋体" w:hAnsi="宋体" w:hint="eastAsia"/>
                <w:color w:val="auto"/>
                <w:sz w:val="21"/>
                <w:szCs w:val="21"/>
              </w:rPr>
              <w:t>方现场</w:t>
            </w:r>
            <w:proofErr w:type="gramEnd"/>
            <w:r>
              <w:rPr>
                <w:rFonts w:ascii="宋体" w:hAnsi="宋体" w:hint="eastAsia"/>
                <w:color w:val="auto"/>
                <w:sz w:val="21"/>
                <w:szCs w:val="21"/>
              </w:rPr>
              <w:t>确定，但应满足以下条件：</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①地下燃气管道与建筑物、构筑物或相邻管道之间的水平净距应满足《燃气工程项目规范》（GB55009-2021）5.1节相关要求；</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②天然气管道埋地深度1m，穿越厂区道路的管段套管保护，套管内径应比燃气管道外径大100mm以上，套管两端应密封，套管端部</w:t>
            </w:r>
            <w:proofErr w:type="gramStart"/>
            <w:r>
              <w:rPr>
                <w:rFonts w:ascii="宋体" w:hAnsi="宋体" w:hint="eastAsia"/>
                <w:color w:val="auto"/>
                <w:sz w:val="21"/>
                <w:szCs w:val="21"/>
              </w:rPr>
              <w:t>距道路</w:t>
            </w:r>
            <w:proofErr w:type="gramEnd"/>
            <w:r>
              <w:rPr>
                <w:rFonts w:ascii="宋体" w:hAnsi="宋体" w:hint="eastAsia"/>
                <w:color w:val="auto"/>
                <w:sz w:val="21"/>
                <w:szCs w:val="21"/>
              </w:rPr>
              <w:t>边缘不应小于1.0m。</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lastRenderedPageBreak/>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lastRenderedPageBreak/>
              <w:t>6.2.2主要特种设备设计安全措施</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本项目的锅炉、压力容器、压力管道、叉车、空压机空气储罐、蒸汽管道等均选购具有相应等级资质的企业设计、制造的合格产品。</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项目的锅炉、压力容器、压力管道、叉车、空压机空气储罐、蒸汽管道等均选购具有相应等级资质的企业设计、制造的合格产品。</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符合要求。</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（2）</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天然气点火采用电子点火器，点火用的燃气管道从干管上的</w:t>
            </w:r>
            <w:proofErr w:type="gramStart"/>
            <w:r>
              <w:rPr>
                <w:rFonts w:ascii="宋体" w:hAnsi="宋体" w:hint="eastAsia"/>
                <w:color w:val="auto"/>
                <w:sz w:val="21"/>
                <w:szCs w:val="21"/>
              </w:rPr>
              <w:t>关闭阀后或</w:t>
            </w:r>
            <w:proofErr w:type="gramEnd"/>
            <w:r>
              <w:rPr>
                <w:rFonts w:ascii="宋体" w:hAnsi="宋体" w:hint="eastAsia"/>
                <w:color w:val="auto"/>
                <w:sz w:val="21"/>
                <w:szCs w:val="21"/>
              </w:rPr>
              <w:t>燃烧器的</w:t>
            </w:r>
            <w:proofErr w:type="gramStart"/>
            <w:r>
              <w:rPr>
                <w:rFonts w:ascii="宋体" w:hAnsi="宋体" w:hint="eastAsia"/>
                <w:color w:val="auto"/>
                <w:sz w:val="21"/>
                <w:szCs w:val="21"/>
              </w:rPr>
              <w:t>关闭阀前引出</w:t>
            </w:r>
            <w:proofErr w:type="gramEnd"/>
            <w:r>
              <w:rPr>
                <w:rFonts w:ascii="宋体" w:hAnsi="宋体" w:hint="eastAsia"/>
                <w:color w:val="auto"/>
                <w:sz w:val="21"/>
                <w:szCs w:val="21"/>
              </w:rPr>
              <w:t>，并在其上装设关闭阀，</w:t>
            </w:r>
            <w:proofErr w:type="gramStart"/>
            <w:r>
              <w:rPr>
                <w:rFonts w:ascii="宋体" w:hAnsi="宋体" w:hint="eastAsia"/>
                <w:color w:val="auto"/>
                <w:sz w:val="21"/>
                <w:szCs w:val="21"/>
              </w:rPr>
              <w:t>阀后串联</w:t>
            </w:r>
            <w:proofErr w:type="gramEnd"/>
            <w:r>
              <w:rPr>
                <w:rFonts w:ascii="宋体" w:hAnsi="宋体" w:hint="eastAsia"/>
                <w:color w:val="auto"/>
                <w:sz w:val="21"/>
                <w:szCs w:val="21"/>
              </w:rPr>
              <w:t>装设两个电磁阀。</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天然气点火采用电子点火器。</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（3）</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在天然气供气管道接入锅炉燃烧器前加装阻火器，以防止回火。</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在天然气供气管道接入锅炉燃烧器前加装阻火器。</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（4）</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本项目选用天然气快装蒸汽锅炉，采用全自动燃烧机，除燃烧效力高的特点外，还具有点火程序控制及超压、熄火保护功能。</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项目选用天然气快装蒸汽锅炉，采用全自动燃烧机，具有燃烧效力高，点火程序控制及超压、熄火保护功能。</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（5）</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为确保本项目蒸汽锅炉的安全运行，在特定部位装设压力、温度、液位等监测仪表，且将监测信号引至控制室内集中监控，装设情况详见6.2.3节。</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已在锅炉相应位置装设压力、温度、液位等监测仪表，且将监测信号引至控制室内集中监控。</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（6）</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除设置监测仪表外，在下列部位还设置报警信号，报警信号设置现场报警及控制室集中报警：</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①锅炉锅</w:t>
            </w:r>
            <w:proofErr w:type="gramStart"/>
            <w:r>
              <w:rPr>
                <w:rFonts w:ascii="宋体" w:hAnsi="宋体" w:hint="eastAsia"/>
                <w:color w:val="auto"/>
                <w:sz w:val="21"/>
                <w:szCs w:val="21"/>
              </w:rPr>
              <w:t>筒设置</w:t>
            </w:r>
            <w:proofErr w:type="gramEnd"/>
            <w:r>
              <w:rPr>
                <w:rFonts w:ascii="宋体" w:hAnsi="宋体" w:hint="eastAsia"/>
                <w:color w:val="auto"/>
                <w:sz w:val="21"/>
                <w:szCs w:val="21"/>
              </w:rPr>
              <w:t>极限高水位报警信号及极限低水位报警；</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②锅炉锅</w:t>
            </w:r>
            <w:proofErr w:type="gramStart"/>
            <w:r>
              <w:rPr>
                <w:rFonts w:ascii="宋体" w:hAnsi="宋体" w:hint="eastAsia"/>
                <w:color w:val="auto"/>
                <w:sz w:val="21"/>
                <w:szCs w:val="21"/>
              </w:rPr>
              <w:t>筒出口</w:t>
            </w:r>
            <w:proofErr w:type="gramEnd"/>
            <w:r>
              <w:rPr>
                <w:rFonts w:ascii="宋体" w:hAnsi="宋体" w:hint="eastAsia"/>
                <w:color w:val="auto"/>
                <w:sz w:val="21"/>
                <w:szCs w:val="21"/>
              </w:rPr>
              <w:t>蒸汽压力超高报警；</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③连续给水调节系统给水泵故障停运报警；</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④燃气锅炉风机故障停运报警；</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⑤燃烧器前天然气干管压力超高报警、压力过低报警。</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lastRenderedPageBreak/>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w:t>
            </w:r>
            <w:r>
              <w:rPr>
                <w:rFonts w:ascii="宋体" w:hAnsi="宋体" w:cs="宋体"/>
                <w:color w:val="auto"/>
                <w:sz w:val="21"/>
                <w:szCs w:val="21"/>
              </w:rPr>
              <w:lastRenderedPageBreak/>
              <w:t>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lastRenderedPageBreak/>
              <w:t>（7）</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为实现蒸汽锅炉的安全运行，出现以下情况时设置电气联锁保护：</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①当出现蒸汽锅炉极限低水位报警时，</w:t>
            </w:r>
            <w:proofErr w:type="gramStart"/>
            <w:r>
              <w:rPr>
                <w:rFonts w:ascii="宋体" w:hAnsi="宋体" w:hint="eastAsia"/>
                <w:color w:val="auto"/>
                <w:sz w:val="21"/>
                <w:szCs w:val="21"/>
              </w:rPr>
              <w:t>联锁</w:t>
            </w:r>
            <w:proofErr w:type="gramEnd"/>
            <w:r>
              <w:rPr>
                <w:rFonts w:ascii="宋体" w:hAnsi="宋体" w:hint="eastAsia"/>
                <w:color w:val="auto"/>
                <w:sz w:val="21"/>
                <w:szCs w:val="21"/>
              </w:rPr>
              <w:t>供气管道上的电磁阀动作切断天然气供应，燃烧器熄火，2分钟后</w:t>
            </w:r>
            <w:proofErr w:type="gramStart"/>
            <w:r>
              <w:rPr>
                <w:rFonts w:ascii="宋体" w:hAnsi="宋体" w:hint="eastAsia"/>
                <w:color w:val="auto"/>
                <w:sz w:val="21"/>
                <w:szCs w:val="21"/>
              </w:rPr>
              <w:t>联锁</w:t>
            </w:r>
            <w:proofErr w:type="gramEnd"/>
            <w:r>
              <w:rPr>
                <w:rFonts w:ascii="宋体" w:hAnsi="宋体" w:hint="eastAsia"/>
                <w:color w:val="auto"/>
                <w:sz w:val="21"/>
                <w:szCs w:val="21"/>
              </w:rPr>
              <w:t>停止风机，实现</w:t>
            </w:r>
            <w:proofErr w:type="gramStart"/>
            <w:r>
              <w:rPr>
                <w:rFonts w:ascii="宋体" w:hAnsi="宋体" w:hint="eastAsia"/>
                <w:color w:val="auto"/>
                <w:sz w:val="21"/>
                <w:szCs w:val="21"/>
              </w:rPr>
              <w:t>联锁</w:t>
            </w:r>
            <w:proofErr w:type="gramEnd"/>
            <w:r>
              <w:rPr>
                <w:rFonts w:ascii="宋体" w:hAnsi="宋体" w:hint="eastAsia"/>
                <w:color w:val="auto"/>
                <w:sz w:val="21"/>
                <w:szCs w:val="21"/>
              </w:rPr>
              <w:t>保护；</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②当蒸汽锅炉内蒸汽压力超高报警时，</w:t>
            </w:r>
            <w:proofErr w:type="gramStart"/>
            <w:r>
              <w:rPr>
                <w:rFonts w:ascii="宋体" w:hAnsi="宋体" w:hint="eastAsia"/>
                <w:color w:val="auto"/>
                <w:sz w:val="21"/>
                <w:szCs w:val="21"/>
              </w:rPr>
              <w:t>联锁</w:t>
            </w:r>
            <w:proofErr w:type="gramEnd"/>
            <w:r>
              <w:rPr>
                <w:rFonts w:ascii="宋体" w:hAnsi="宋体" w:hint="eastAsia"/>
                <w:color w:val="auto"/>
                <w:sz w:val="21"/>
                <w:szCs w:val="21"/>
              </w:rPr>
              <w:t>供气管道上的电磁阀动作切断天然气供应，燃烧器熄火，2分钟后</w:t>
            </w:r>
            <w:proofErr w:type="gramStart"/>
            <w:r>
              <w:rPr>
                <w:rFonts w:ascii="宋体" w:hAnsi="宋体" w:hint="eastAsia"/>
                <w:color w:val="auto"/>
                <w:sz w:val="21"/>
                <w:szCs w:val="21"/>
              </w:rPr>
              <w:t>联锁</w:t>
            </w:r>
            <w:proofErr w:type="gramEnd"/>
            <w:r>
              <w:rPr>
                <w:rFonts w:ascii="宋体" w:hAnsi="宋体" w:hint="eastAsia"/>
                <w:color w:val="auto"/>
                <w:sz w:val="21"/>
                <w:szCs w:val="21"/>
              </w:rPr>
              <w:t>停止风机，实现</w:t>
            </w:r>
            <w:proofErr w:type="gramStart"/>
            <w:r>
              <w:rPr>
                <w:rFonts w:ascii="宋体" w:hAnsi="宋体" w:hint="eastAsia"/>
                <w:color w:val="auto"/>
                <w:sz w:val="21"/>
                <w:szCs w:val="21"/>
              </w:rPr>
              <w:t>联锁</w:t>
            </w:r>
            <w:proofErr w:type="gramEnd"/>
            <w:r>
              <w:rPr>
                <w:rFonts w:ascii="宋体" w:hAnsi="宋体" w:hint="eastAsia"/>
                <w:color w:val="auto"/>
                <w:sz w:val="21"/>
                <w:szCs w:val="21"/>
              </w:rPr>
              <w:t>保护；</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③当鼓风机发生故障停运报警时，</w:t>
            </w:r>
            <w:proofErr w:type="gramStart"/>
            <w:r>
              <w:rPr>
                <w:rFonts w:ascii="宋体" w:hAnsi="宋体" w:hint="eastAsia"/>
                <w:color w:val="auto"/>
                <w:sz w:val="21"/>
                <w:szCs w:val="21"/>
              </w:rPr>
              <w:t>联锁</w:t>
            </w:r>
            <w:proofErr w:type="gramEnd"/>
            <w:r>
              <w:rPr>
                <w:rFonts w:ascii="宋体" w:hAnsi="宋体" w:hint="eastAsia"/>
                <w:color w:val="auto"/>
                <w:sz w:val="21"/>
                <w:szCs w:val="21"/>
              </w:rPr>
              <w:t>供气管道上的电磁阀动作切断天然气供应；</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④当天然气供气压力低于4kPa或高于8kPa报警时，</w:t>
            </w:r>
            <w:proofErr w:type="gramStart"/>
            <w:r>
              <w:rPr>
                <w:rFonts w:ascii="宋体" w:hAnsi="宋体" w:hint="eastAsia"/>
                <w:color w:val="auto"/>
                <w:sz w:val="21"/>
                <w:szCs w:val="21"/>
              </w:rPr>
              <w:t>联锁</w:t>
            </w:r>
            <w:proofErr w:type="gramEnd"/>
            <w:r>
              <w:rPr>
                <w:rFonts w:ascii="宋体" w:hAnsi="宋体" w:hint="eastAsia"/>
                <w:color w:val="auto"/>
                <w:sz w:val="21"/>
                <w:szCs w:val="21"/>
              </w:rPr>
              <w:t>供气管道上的电磁阀动作切断天然气供应；</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⑤当锅炉给水泵故障停运报警时，</w:t>
            </w:r>
            <w:proofErr w:type="gramStart"/>
            <w:r>
              <w:rPr>
                <w:rFonts w:ascii="宋体" w:hAnsi="宋体" w:hint="eastAsia"/>
                <w:color w:val="auto"/>
                <w:sz w:val="21"/>
                <w:szCs w:val="21"/>
              </w:rPr>
              <w:t>联锁</w:t>
            </w:r>
            <w:proofErr w:type="gramEnd"/>
            <w:r>
              <w:rPr>
                <w:rFonts w:ascii="宋体" w:hAnsi="宋体" w:hint="eastAsia"/>
                <w:color w:val="auto"/>
                <w:sz w:val="21"/>
                <w:szCs w:val="21"/>
              </w:rPr>
              <w:t>供气管道上的电磁阀动作切断天然气供应，燃烧器熄火，2分钟后</w:t>
            </w:r>
            <w:proofErr w:type="gramStart"/>
            <w:r>
              <w:rPr>
                <w:rFonts w:ascii="宋体" w:hAnsi="宋体" w:hint="eastAsia"/>
                <w:color w:val="auto"/>
                <w:sz w:val="21"/>
                <w:szCs w:val="21"/>
              </w:rPr>
              <w:t>联锁</w:t>
            </w:r>
            <w:proofErr w:type="gramEnd"/>
            <w:r>
              <w:rPr>
                <w:rFonts w:ascii="宋体" w:hAnsi="宋体" w:hint="eastAsia"/>
                <w:color w:val="auto"/>
                <w:sz w:val="21"/>
                <w:szCs w:val="21"/>
              </w:rPr>
              <w:t>停止风机，实现</w:t>
            </w:r>
            <w:proofErr w:type="gramStart"/>
            <w:r>
              <w:rPr>
                <w:rFonts w:ascii="宋体" w:hAnsi="宋体" w:hint="eastAsia"/>
                <w:color w:val="auto"/>
                <w:sz w:val="21"/>
                <w:szCs w:val="21"/>
              </w:rPr>
              <w:t>联锁</w:t>
            </w:r>
            <w:proofErr w:type="gramEnd"/>
            <w:r>
              <w:rPr>
                <w:rFonts w:ascii="宋体" w:hAnsi="宋体" w:hint="eastAsia"/>
                <w:color w:val="auto"/>
                <w:sz w:val="21"/>
                <w:szCs w:val="21"/>
              </w:rPr>
              <w:t>保护。</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（8）</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锅炉控制系统PLC与触摸屏间用MPI电缆数据交换；打印机可定时、随时打印窗口、报表、趋势图、报警信息等。本项目燃气锅炉设置有电控操作</w:t>
            </w:r>
            <w:proofErr w:type="gramStart"/>
            <w:r>
              <w:rPr>
                <w:rFonts w:ascii="宋体" w:hAnsi="宋体" w:hint="eastAsia"/>
                <w:color w:val="auto"/>
                <w:sz w:val="21"/>
                <w:szCs w:val="21"/>
              </w:rPr>
              <w:t>柜进行</w:t>
            </w:r>
            <w:proofErr w:type="gramEnd"/>
            <w:r>
              <w:rPr>
                <w:rFonts w:ascii="宋体" w:hAnsi="宋体" w:hint="eastAsia"/>
                <w:color w:val="auto"/>
                <w:sz w:val="21"/>
                <w:szCs w:val="21"/>
              </w:rPr>
              <w:t>锅炉运行控制。电控操作柜是与蒸汽锅炉配套的控制柜，其具有燃烧机开机安全预吹扫、自动点火、燃烧器故障、熄火停炉保护等功能。还具有以下功能：</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①锅筒水位的自动控制——给水泵电机为变频电机，根据水位到底自动调节电机频率，水位越低电机频率越高；当水位升到高液位限值时，水泵自动停止供水；</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②锅炉水位显示报警，水位超过高高液位限值，高报警信号灯亮，并发出高水位报警声音信号；水位低于低低液限值，低报警信号灯亮，并发出低水位报警声音信号；当水位低于</w:t>
            </w:r>
            <w:proofErr w:type="gramStart"/>
            <w:r>
              <w:rPr>
                <w:rFonts w:ascii="宋体" w:hAnsi="宋体" w:hint="eastAsia"/>
                <w:color w:val="auto"/>
                <w:sz w:val="21"/>
                <w:szCs w:val="21"/>
              </w:rPr>
              <w:t>极限低液位</w:t>
            </w:r>
            <w:proofErr w:type="gramEnd"/>
            <w:r>
              <w:rPr>
                <w:rFonts w:ascii="宋体" w:hAnsi="宋体" w:hint="eastAsia"/>
                <w:color w:val="auto"/>
                <w:sz w:val="21"/>
                <w:szCs w:val="21"/>
              </w:rPr>
              <w:t>限值，</w:t>
            </w:r>
            <w:proofErr w:type="gramStart"/>
            <w:r>
              <w:rPr>
                <w:rFonts w:ascii="宋体" w:hAnsi="宋体" w:hint="eastAsia"/>
                <w:color w:val="auto"/>
                <w:sz w:val="21"/>
                <w:szCs w:val="21"/>
              </w:rPr>
              <w:t>危低报警信号</w:t>
            </w:r>
            <w:proofErr w:type="gramEnd"/>
            <w:r>
              <w:rPr>
                <w:rFonts w:ascii="宋体" w:hAnsi="宋体" w:hint="eastAsia"/>
                <w:color w:val="auto"/>
                <w:sz w:val="21"/>
                <w:szCs w:val="21"/>
              </w:rPr>
              <w:t>灯亮，并发</w:t>
            </w:r>
            <w:proofErr w:type="gramStart"/>
            <w:r>
              <w:rPr>
                <w:rFonts w:ascii="宋体" w:hAnsi="宋体" w:hint="eastAsia"/>
                <w:color w:val="auto"/>
                <w:sz w:val="21"/>
                <w:szCs w:val="21"/>
              </w:rPr>
              <w:t>出危低</w:t>
            </w:r>
            <w:proofErr w:type="gramEnd"/>
            <w:r>
              <w:rPr>
                <w:rFonts w:ascii="宋体" w:hAnsi="宋体" w:hint="eastAsia"/>
                <w:color w:val="auto"/>
                <w:sz w:val="21"/>
                <w:szCs w:val="21"/>
              </w:rPr>
              <w:t>水位声音。</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③燃烧器控制根据蒸汽压力设定自动调节风、气配比，实现燃烧器定量比例控制。</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④燃烧器传感器发生故障时，即短路或断路，电脑控制器能立即关闭该燃烧器，响铃报警并提示“燃烧器熄火”，故障排除后，燃烧器程控器须复位才能重新正常工作。</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⑤当燃烧器主气阀发生泄漏时，燃烧器自动停止工作，响铃报警，并提示“燃气泄漏”。</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（9）</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锅炉锅筒、分汽缸、空压机附带的空气储罐上设置安全阀和放空管，锅炉锅筒和分汽缸采用双联式安全阀。</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658"/>
        </w:trPr>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（10）</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蒸汽管道设置安全阀和放空管，安全阀应根据《压力管道规范 工业管道 第6部分：安全防护》（GB/T 20801.6-2020）确定安全泄放量和最小泄放面积后进行选用。</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lastRenderedPageBreak/>
              <w:t>6.2.3设备仪表设置</w:t>
            </w:r>
          </w:p>
        </w:tc>
      </w:tr>
      <w:tr w:rsidR="003F13AB">
        <w:tc>
          <w:tcPr>
            <w:tcW w:w="649" w:type="dxa"/>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本项目所有监控参数引至控制室，在控制室进行集中监控，监控仪表</w:t>
            </w:r>
            <w:proofErr w:type="gramStart"/>
            <w:r>
              <w:rPr>
                <w:rFonts w:ascii="宋体" w:hAnsi="宋体" w:hint="eastAsia"/>
                <w:color w:val="auto"/>
                <w:sz w:val="21"/>
                <w:szCs w:val="21"/>
              </w:rPr>
              <w:t>及设置</w:t>
            </w:r>
            <w:proofErr w:type="gramEnd"/>
            <w:r>
              <w:rPr>
                <w:rFonts w:ascii="宋体" w:hAnsi="宋体" w:hint="eastAsia"/>
                <w:color w:val="auto"/>
                <w:sz w:val="21"/>
                <w:szCs w:val="21"/>
              </w:rPr>
              <w:t>部位如表6.2-2监控仪表设置情况。压力表量程范围刻度的极限值选取为工作压力的2倍，精度为1.6级；温度计量程范围刻度的极限值选取为工作温度的1.5倍，精确到0.1℃。</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t>6.2.4设备自动控制</w:t>
            </w:r>
          </w:p>
        </w:tc>
      </w:tr>
      <w:tr w:rsidR="003F13AB">
        <w:tc>
          <w:tcPr>
            <w:tcW w:w="649" w:type="dxa"/>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厂区控制系统分级设置，办公楼内设置总控制室，对全厂生产参数进行监控和控制，在生产厂房内分设多个子控制室，高塔造粒生产线分别在高塔底部和塔上分设子控制室，转鼓造粒生产线在生产厂房南侧设置子控制室，其他生产线在现场设置控制柜。各生产线可通过现场子控制室或控制柜进行控制或监控生产参数，各子控制室和控制柜的参数和控制功能集中引至总控制室，总控制室的控制命令优先级高于各子控制室和控制柜。</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肥料生产线设备自动控制</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1）基本要求</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采用三电一体化(EIC)数字控制系统，通过网络完成对整个机组的控制。包括设备的</w:t>
            </w:r>
            <w:proofErr w:type="gramStart"/>
            <w:r>
              <w:rPr>
                <w:rFonts w:ascii="宋体" w:hAnsi="宋体" w:hint="eastAsia"/>
                <w:color w:val="auto"/>
                <w:sz w:val="21"/>
                <w:szCs w:val="21"/>
              </w:rPr>
              <w:t>联锁</w:t>
            </w:r>
            <w:proofErr w:type="gramEnd"/>
            <w:r>
              <w:rPr>
                <w:rFonts w:ascii="宋体" w:hAnsi="宋体" w:hint="eastAsia"/>
                <w:color w:val="auto"/>
                <w:sz w:val="21"/>
                <w:szCs w:val="21"/>
              </w:rPr>
              <w:t>启停控制、变频调速控制及逻辑</w:t>
            </w:r>
            <w:proofErr w:type="gramStart"/>
            <w:r>
              <w:rPr>
                <w:rFonts w:ascii="宋体" w:hAnsi="宋体" w:hint="eastAsia"/>
                <w:color w:val="auto"/>
                <w:sz w:val="21"/>
                <w:szCs w:val="21"/>
              </w:rPr>
              <w:t>联锁</w:t>
            </w:r>
            <w:proofErr w:type="gramEnd"/>
            <w:r>
              <w:rPr>
                <w:rFonts w:ascii="宋体" w:hAnsi="宋体" w:hint="eastAsia"/>
                <w:color w:val="auto"/>
                <w:sz w:val="21"/>
                <w:szCs w:val="21"/>
              </w:rPr>
              <w:t>控制，同时能完成在线实时数据的采集、分析、运行监控及故障诊断功能。</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2）可编程控制器PLC</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整套PLC控制系统包含具备相应的系统软件与控制软件。</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每台PLC装置的每种I／O点备用量不低于15％，模板的插槽余量不低于15％(一个站至少有一个空间位置)。</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PLC系统中所有开关量输入输出均采用继电器隔离。所有模拟量输入输出加装熔断器。</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3）人机界面(HMI)系统</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人机界面(HMI)系统由具有授权的操作员工作站组成（操作员站在工程师权限下具有工程师站功能），含具有授权的系统软件Wcc一套。</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操作员工作站在工程师权限下可实现整个控制系统的画面编程、数据管理及PLC系统与HMI系统的数据交换。可以显示全线的工作状态，进行故障监控和报警，可对全线PLC、传动系统进行编程、开发及维护、调试。可通过在工程师权限下对人机界面(HMI)系统进行日常维护及管理。</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操作员工作站主要用于对整个机组进行监视和控制操作。每个操作员工作站都能显示全部工艺流程图、完成各种操作、动态监视工艺流程中的各检测</w:t>
            </w:r>
            <w:proofErr w:type="gramStart"/>
            <w:r>
              <w:rPr>
                <w:rFonts w:ascii="宋体" w:hAnsi="宋体" w:hint="eastAsia"/>
                <w:color w:val="auto"/>
                <w:sz w:val="21"/>
                <w:szCs w:val="21"/>
              </w:rPr>
              <w:t>点数据</w:t>
            </w:r>
            <w:proofErr w:type="gramEnd"/>
            <w:r>
              <w:rPr>
                <w:rFonts w:ascii="宋体" w:hAnsi="宋体" w:hint="eastAsia"/>
                <w:color w:val="auto"/>
                <w:sz w:val="21"/>
                <w:szCs w:val="21"/>
              </w:rPr>
              <w:t>和PID调节回路的变化状态。</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工艺系统流程图应具有的显示参数温度、压力、流量、液位、料位、设备状态、阀门状态等。</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 xml:space="preserve">开放式的人机界面系统(HMI)，能以图形化方式显示整个生产线及设备的状况，能进行操作控制和监视，进行报警/事件的显示和记录，对故障进行诊断。可对全线物流跟踪，显示状态，并具有数据处理和打印功能。 </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HMI的硬件采用定货时最新且成熟的产品，HMI的系统软件和应用程序、开发用软件包等也采用最近开发使用的成熟产品。</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4）网络形式及系统通讯</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分布式网络结构：现场过程总线用于基础自动化控制元件和外围设备的通讯；电气室PLC系统、HMI系统、管理工程师站或其他控制设备之间通过以太网进行通讯。所有网络段之间可通过交换机(HUB/Hub)进行通讯，完成L0、L1、HMI系统及其他设备之间的通讯及信息交换。网络交换机接点余量不少于15％。</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提供与基础自动化系统和过程自动化系统的通讯(包括通讯接口、通讯电缆、通讯软件 等)；整个网络应具备开放性、适用性及安全性。</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5）现场就地操作箱</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根据生产工艺要求及自动化控制的需要配置相应现场操作箱。另根据安全控制需要，机组配置相应的紧急切断按钮，硬线连接到PLC系统，控制切断低压供配电。</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6）远程I/O站、操作台</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根据自动化控制的需要，配置相应的远程I/O站。根据生产工艺设备的生产/调整/维修需要，现场操作台/操作箱要求配置自动/半自动/手动操作方式选择开关和维修方式钥匙开关。采用智能操作台和操作箱(与基础自动化系统可联网通讯)。</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lastRenderedPageBreak/>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lastRenderedPageBreak/>
              <w:t>（2）</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锅炉控制系统</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锅炉控制系统PLC与触摸屏间用MPI电缆数据交换；打印机可定时、随时打印窗口、报表、趋势图、报警信息等。</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1）燃烧器自控</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①燃烧器控制根据蒸汽压力设定自动调节风、气配比，实现燃烧器定量比例控制。</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②当系统蒸汽压力大于设定的蒸汽压力上限值时关闭燃烧器。</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2）水泵自控</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①当锅炉水位低于设定的水位下限值时，启动水泵。同时，显示水泵开。</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②当锅炉水位高于设定的水位上限值时，关闭水泵。</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③锅炉内水位低于极低水位时，报警</w:t>
            </w:r>
            <w:proofErr w:type="gramStart"/>
            <w:r>
              <w:rPr>
                <w:rFonts w:ascii="宋体" w:hAnsi="宋体" w:hint="eastAsia"/>
                <w:color w:val="auto"/>
                <w:sz w:val="21"/>
                <w:szCs w:val="21"/>
              </w:rPr>
              <w:t>联锁</w:t>
            </w:r>
            <w:proofErr w:type="gramEnd"/>
            <w:r>
              <w:rPr>
                <w:rFonts w:ascii="宋体" w:hAnsi="宋体" w:hint="eastAsia"/>
                <w:color w:val="auto"/>
                <w:sz w:val="21"/>
                <w:szCs w:val="21"/>
              </w:rPr>
              <w:t>停炉。</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3）智能故障识别与处理</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本控制器能够实时诊断与处理下列故障：</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①燃烧器熄火保护</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燃烧器传感器发生故障时，即短路或断路，电脑控制器能立即关闭该燃烧器，响铃报警并提示“燃烧器熄火”，故障排除后，燃烧器程控器须复位才能重新正常工作。</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②蒸汽超压保护</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当蒸汽压力超过极限的设定值时，控制器关闭燃烧器，受控设备，响铃报警，并提示“蒸汽超高”，故障排除后才能正常工作。</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③水位保护</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当锅炉水位低于极限的设定值时，控制器关闭燃烧器，受控设备，响铃报警，并提示</w:t>
            </w:r>
            <w:proofErr w:type="gramStart"/>
            <w:r>
              <w:rPr>
                <w:rFonts w:ascii="宋体" w:hAnsi="宋体" w:hint="eastAsia"/>
                <w:color w:val="auto"/>
                <w:sz w:val="21"/>
                <w:szCs w:val="21"/>
              </w:rPr>
              <w:t>“</w:t>
            </w:r>
            <w:proofErr w:type="gramEnd"/>
            <w:r>
              <w:rPr>
                <w:rFonts w:ascii="宋体" w:hAnsi="宋体" w:hint="eastAsia"/>
                <w:color w:val="auto"/>
                <w:sz w:val="21"/>
                <w:szCs w:val="21"/>
              </w:rPr>
              <w:t>极低水位“，故障排除后才能正常工作。</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④燃烧器供气压力保护</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当燃烧器供气压力高于或者低于标准压力的时候燃烧器停止，响铃报警，并提示“燃 气压力低或者高”</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⑤燃烧器泄漏保护</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当燃烧器主气阀发生泄漏时，燃烧器自动停止工作，响铃报警，并提示“燃气泄漏”。</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本项目锅炉自动控制系统满足《锅炉房设计标准》(GB 50041-2020)的要求。</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lastRenderedPageBreak/>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hint="eastAsia"/>
                <w:b/>
                <w:color w:val="auto"/>
                <w:sz w:val="21"/>
                <w:szCs w:val="21"/>
              </w:rPr>
              <w:lastRenderedPageBreak/>
              <w:t>6.2.5设备检修安全措施</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危险区域动火作业、进入有限空间作业、临时用电作业、停送电作业等危险性大的作业，执行审批手续和签发工作票。</w:t>
            </w:r>
          </w:p>
        </w:tc>
        <w:tc>
          <w:tcPr>
            <w:tcW w:w="2268" w:type="dxa"/>
            <w:vMerge w:val="restart"/>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经查，企业相关作业操作规程和管理制度</w:t>
            </w:r>
            <w:proofErr w:type="gramStart"/>
            <w:r>
              <w:rPr>
                <w:rFonts w:ascii="宋体" w:hAnsi="宋体" w:cs="宋体" w:hint="eastAsia"/>
                <w:color w:val="auto"/>
                <w:sz w:val="21"/>
                <w:szCs w:val="21"/>
              </w:rPr>
              <w:t>符合左述要求</w:t>
            </w:r>
            <w:proofErr w:type="gramEnd"/>
            <w:r>
              <w:rPr>
                <w:rFonts w:ascii="宋体" w:hAnsi="宋体" w:cs="宋体" w:hint="eastAsia"/>
                <w:color w:val="auto"/>
                <w:sz w:val="21"/>
                <w:szCs w:val="21"/>
              </w:rPr>
              <w:t>。但有限空间未进行标识。</w:t>
            </w:r>
          </w:p>
        </w:tc>
        <w:tc>
          <w:tcPr>
            <w:tcW w:w="992" w:type="dxa"/>
            <w:vMerge w:val="restart"/>
            <w:shd w:val="clear" w:color="auto" w:fill="auto"/>
          </w:tcPr>
          <w:p w:rsidR="003F13AB" w:rsidRDefault="00EC6E7E">
            <w:pPr>
              <w:spacing w:line="240" w:lineRule="auto"/>
              <w:ind w:firstLineChars="0" w:firstLine="0"/>
              <w:rPr>
                <w:rFonts w:ascii="宋体" w:hAnsi="宋体" w:cs="宋体"/>
                <w:color w:val="auto"/>
                <w:sz w:val="21"/>
                <w:szCs w:val="21"/>
              </w:rPr>
            </w:pPr>
            <w:r>
              <w:rPr>
                <w:rFonts w:ascii="宋体" w:hAnsi="宋体" w:cs="宋体"/>
                <w:color w:val="auto"/>
                <w:sz w:val="21"/>
                <w:szCs w:val="21"/>
              </w:rPr>
              <w:t>部分符合，已对企业提出整改要求。</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（2）</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生产厂房内进行检修作业时必须断气、断电，并检测室内天然气含量，检测室内没有天然气后方能进行检修作业。</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rPr>
          <w:trHeight w:val="551"/>
        </w:trPr>
        <w:tc>
          <w:tcPr>
            <w:tcW w:w="764" w:type="dxa"/>
            <w:gridSpan w:val="2"/>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（3）</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所有参加设备检修人员，必须树立</w:t>
            </w:r>
            <w:proofErr w:type="gramStart"/>
            <w:r>
              <w:rPr>
                <w:rFonts w:ascii="宋体" w:hAnsi="宋体" w:hint="eastAsia"/>
                <w:color w:val="auto"/>
                <w:sz w:val="21"/>
                <w:szCs w:val="21"/>
              </w:rPr>
              <w:t>安全第一</w:t>
            </w:r>
            <w:proofErr w:type="gramEnd"/>
            <w:r>
              <w:rPr>
                <w:rFonts w:ascii="宋体" w:hAnsi="宋体" w:hint="eastAsia"/>
                <w:color w:val="auto"/>
                <w:sz w:val="21"/>
                <w:szCs w:val="21"/>
              </w:rPr>
              <w:t>的思想，严格遵守各种安全操作规程。</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（4）</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正确穿戴好劳保保护用品，禁止不规范穿戴上岗。</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（5）</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建立停电检修挂牌制度，检修电气设备，至少应有2人在场作业，设备检修前切断电源并挂好“禁止合闸，有人工作”警示牌后方可进行设备检修，检修结束后，必须是原挂牌人进行摘牌送电。</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（6）</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在有限性空间内检修作业时，必须先办理作业手续后，经主要负责人同意，才能进行检修作业；现场检修时，必须对进入空间进行通风置换合格后，方能进入作业，作业时应使用安全电压，并有人监护，严格按照操作规程进行操作。</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（7）</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工作前应先检查岗位上是否存在不利于安全检修的因素，如有不利安全检修的因素存在，应坚决排除后，方可进行加检修工作。</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（8）</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工作中所有检修人员应做到“三不伤害”即不伤害别人，不伤害自己，不被别人伤害，保证检修的安全进行。</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（9）</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特种作业应严守特种作业安全操作规程，特种作业应是指定的操作人员才可操作，其他人员不得擅自进行特种作业操作。</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（10）</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检修中，如起重机起吊物品时，被起吊物品下方，严禁有人停留。</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（11）</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各检修岗位在检修时，放好检修物品及工具，防止乱放、乱丢现象，给安全造成不利因素。</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（12）</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检修过程中，在安排任务时，必须首先布置好安全工作，并有人对工作环境进行安全方面的检查。</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（13）</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立体交叉作业时，应首先布置好各作业点之间的安全工作，认真做好防范措施，戴好安全帽，杜绝麻痹思想，并保持相互之间的联系，防止不安全现象的出现。</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（14）</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检修项目负责人在布置检修工作的同时，布置好检修过程的安全主要事项，明确可能造成不安全的因素，采取适当的防范措施。</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（15）</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对使用的氧气、乙炔检修作业，严格按照安全操作规程进行。如使用前检查氧气、乙炔表是否灵敏、完好；其安全设施（安全帽、防回火装置等）是否齐全；乙炔</w:t>
            </w:r>
            <w:proofErr w:type="gramStart"/>
            <w:r>
              <w:rPr>
                <w:rFonts w:ascii="宋体" w:hAnsi="宋体" w:hint="eastAsia"/>
                <w:color w:val="auto"/>
                <w:sz w:val="21"/>
                <w:szCs w:val="21"/>
              </w:rPr>
              <w:t>瓶必须</w:t>
            </w:r>
            <w:proofErr w:type="gramEnd"/>
            <w:r>
              <w:rPr>
                <w:rFonts w:ascii="宋体" w:hAnsi="宋体" w:hint="eastAsia"/>
                <w:color w:val="auto"/>
                <w:sz w:val="21"/>
                <w:szCs w:val="21"/>
              </w:rPr>
              <w:t>装阻火器；氧气、乙炔</w:t>
            </w:r>
            <w:proofErr w:type="gramStart"/>
            <w:r>
              <w:rPr>
                <w:rFonts w:ascii="宋体" w:hAnsi="宋体" w:hint="eastAsia"/>
                <w:color w:val="auto"/>
                <w:sz w:val="21"/>
                <w:szCs w:val="21"/>
              </w:rPr>
              <w:t>瓶必须</w:t>
            </w:r>
            <w:proofErr w:type="gramEnd"/>
            <w:r>
              <w:rPr>
                <w:rFonts w:ascii="宋体" w:hAnsi="宋体" w:hint="eastAsia"/>
                <w:color w:val="auto"/>
                <w:sz w:val="21"/>
                <w:szCs w:val="21"/>
              </w:rPr>
              <w:t>有安全帽；氧气、乙炔瓶上下必须各有一个防撞胶圈；气瓶距离火源10m以上等。</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lastRenderedPageBreak/>
              <w:t>（16）</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电焊作业严格按照操作规程进行。避免电焊与气焊同时作业。</w:t>
            </w:r>
          </w:p>
        </w:tc>
        <w:tc>
          <w:tcPr>
            <w:tcW w:w="2268" w:type="dxa"/>
            <w:vMerge/>
            <w:shd w:val="clear" w:color="auto" w:fill="auto"/>
          </w:tcPr>
          <w:p w:rsidR="003F13AB" w:rsidRDefault="003F13AB">
            <w:pPr>
              <w:adjustRightInd/>
              <w:spacing w:line="240" w:lineRule="auto"/>
              <w:ind w:firstLineChars="0" w:firstLine="0"/>
              <w:rPr>
                <w:rFonts w:ascii="宋体" w:hAnsi="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（17）</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有限空间作业时，外面必须设置监护人员；有易燃易爆物品存放的环境内作业时，必须做好防火隔离措施并配备灭火设备。</w:t>
            </w:r>
          </w:p>
        </w:tc>
        <w:tc>
          <w:tcPr>
            <w:tcW w:w="2268" w:type="dxa"/>
            <w:vMerge/>
            <w:shd w:val="clear" w:color="auto" w:fill="auto"/>
          </w:tcPr>
          <w:p w:rsidR="003F13AB" w:rsidRDefault="003F13AB">
            <w:pPr>
              <w:adjustRightInd/>
              <w:spacing w:line="240" w:lineRule="auto"/>
              <w:ind w:firstLineChars="0" w:firstLine="0"/>
              <w:rPr>
                <w:rFonts w:ascii="宋体" w:hAnsi="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（18）</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在距坠落基准面2m以上的地方作业，必须系安全带。</w:t>
            </w:r>
          </w:p>
        </w:tc>
        <w:tc>
          <w:tcPr>
            <w:tcW w:w="2268" w:type="dxa"/>
            <w:vMerge/>
            <w:shd w:val="clear" w:color="auto" w:fill="auto"/>
          </w:tcPr>
          <w:p w:rsidR="003F13AB" w:rsidRDefault="003F13AB">
            <w:pPr>
              <w:adjustRightInd/>
              <w:spacing w:line="240" w:lineRule="auto"/>
              <w:ind w:firstLineChars="0" w:firstLine="0"/>
              <w:rPr>
                <w:rFonts w:ascii="宋体" w:hAnsi="宋体"/>
                <w:color w:val="auto"/>
                <w:sz w:val="21"/>
                <w:szCs w:val="21"/>
              </w:rPr>
            </w:pPr>
          </w:p>
        </w:tc>
        <w:tc>
          <w:tcPr>
            <w:tcW w:w="992"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t>6.3职业危害安全措施</w:t>
            </w:r>
          </w:p>
        </w:tc>
      </w:tr>
      <w:tr w:rsidR="003F13AB">
        <w:tc>
          <w:tcPr>
            <w:tcW w:w="649" w:type="dxa"/>
            <w:shd w:val="clear" w:color="auto" w:fill="auto"/>
          </w:tcPr>
          <w:p w:rsidR="003F13AB" w:rsidRDefault="00EC6E7E">
            <w:pPr>
              <w:spacing w:line="240" w:lineRule="auto"/>
              <w:ind w:firstLineChars="0" w:firstLine="0"/>
              <w:rPr>
                <w:rFonts w:ascii="宋体" w:hAnsi="宋体" w:cs="宋体"/>
                <w:color w:val="auto"/>
                <w:sz w:val="21"/>
                <w:szCs w:val="21"/>
              </w:rPr>
            </w:pPr>
            <w:r>
              <w:rPr>
                <w:rFonts w:ascii="宋体" w:hAnsi="宋体" w:hint="eastAsia"/>
                <w:color w:val="auto"/>
                <w:sz w:val="21"/>
                <w:szCs w:val="21"/>
              </w:rPr>
              <w:t>（1）防尘、防毒措施</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1）本项目使用天然气作为燃料，天然气本身及其燃烧后的产物均对人体有一定毒性，生产厂房内保持良好的通风换气以保证室内空气清洁。</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2）进入有限空间作业时，需充分通风换气，并在作业前30min取样分析，需达到：19.5%≥O2≥23.5%、SO2+SO3≤0.05%、H2S≤10mg/m3，方可进入作业。</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3）生产过程中容易产生粉尘的部位设置除尘器，除尘器设置部位和设置情况详见6.2.1节。</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4）每个库房在屋顶设置气楼，保证最大程度通风。</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5）为厂房作业人员、仓库的巡检员、仓库管理员配备防尘面罩。</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spacing w:line="240" w:lineRule="auto"/>
              <w:ind w:firstLineChars="0" w:firstLine="0"/>
              <w:rPr>
                <w:rFonts w:ascii="宋体" w:hAnsi="宋体" w:cs="宋体"/>
                <w:color w:val="auto"/>
                <w:sz w:val="21"/>
                <w:szCs w:val="21"/>
              </w:rPr>
            </w:pPr>
            <w:r>
              <w:rPr>
                <w:rFonts w:ascii="宋体" w:hAnsi="宋体" w:hint="eastAsia"/>
                <w:color w:val="auto"/>
                <w:sz w:val="21"/>
                <w:szCs w:val="21"/>
              </w:rPr>
              <w:t>（2）防噪声措施</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1）风机、水泵、搅拌机、破碎机等采用低噪声设备，从声源上降低设备噪声。</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2）产生高噪声的主要设备采取安装隔振机座的降噪措施及采用隔声室等措施以降低噪音。</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3）锅炉本体</w:t>
            </w:r>
            <w:proofErr w:type="gramStart"/>
            <w:r>
              <w:rPr>
                <w:rFonts w:ascii="宋体" w:hAnsi="宋体" w:hint="eastAsia"/>
                <w:color w:val="auto"/>
                <w:sz w:val="21"/>
                <w:szCs w:val="21"/>
              </w:rPr>
              <w:t>及减温减压</w:t>
            </w:r>
            <w:proofErr w:type="gramEnd"/>
            <w:r>
              <w:rPr>
                <w:rFonts w:ascii="宋体" w:hAnsi="宋体" w:hint="eastAsia"/>
                <w:color w:val="auto"/>
                <w:sz w:val="21"/>
                <w:szCs w:val="21"/>
              </w:rPr>
              <w:t>的放气管上设置消音器。</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4）加强设备的维护，杜绝因设备不正常运转时产生的高噪声现象。</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5）高噪声设备的操作人员配备耳塞。</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spacing w:line="240" w:lineRule="auto"/>
              <w:ind w:firstLineChars="0" w:firstLine="0"/>
              <w:rPr>
                <w:rFonts w:ascii="宋体" w:hAnsi="宋体" w:cs="宋体"/>
                <w:color w:val="auto"/>
                <w:sz w:val="21"/>
                <w:szCs w:val="21"/>
              </w:rPr>
            </w:pPr>
            <w:r>
              <w:rPr>
                <w:rFonts w:ascii="宋体" w:hAnsi="宋体" w:hint="eastAsia"/>
                <w:color w:val="auto"/>
                <w:sz w:val="21"/>
                <w:szCs w:val="21"/>
              </w:rPr>
              <w:t>（3）防高温措施</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锅炉、热风炉等气温较高的设备周边保持良好通风，夏天气温较高时可在温度较高的设备周边人员活动范围内配置电扇或轴流排风机，防止人员中暑。</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361"/>
        </w:trPr>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t>6.4公用和辅助设施</w:t>
            </w:r>
          </w:p>
        </w:tc>
      </w:tr>
      <w:tr w:rsidR="003F13AB">
        <w:trPr>
          <w:trHeight w:val="361"/>
        </w:trPr>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t>6.4.1电气安全措施</w:t>
            </w:r>
          </w:p>
        </w:tc>
      </w:tr>
      <w:tr w:rsidR="003F13AB">
        <w:trPr>
          <w:trHeight w:val="361"/>
        </w:trPr>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t>6.4.1.1电力负荷分级，电源及供电系统安全措施</w:t>
            </w:r>
          </w:p>
        </w:tc>
      </w:tr>
      <w:tr w:rsidR="003F13AB">
        <w:trPr>
          <w:trHeight w:val="1402"/>
        </w:trPr>
        <w:tc>
          <w:tcPr>
            <w:tcW w:w="649"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（1）电力负荷分级</w:t>
            </w:r>
          </w:p>
        </w:tc>
        <w:tc>
          <w:tcPr>
            <w:tcW w:w="5218" w:type="dxa"/>
            <w:gridSpan w:val="2"/>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根据《供配电系统设计规范》（GB50052-2009），本项目除PLC控制系统、消防系统及应急照明系统的用电负荷等级为二级外，</w:t>
            </w:r>
            <w:proofErr w:type="gramStart"/>
            <w:r>
              <w:rPr>
                <w:rFonts w:ascii="宋体" w:hAnsi="宋体" w:hint="eastAsia"/>
                <w:color w:val="auto"/>
                <w:sz w:val="21"/>
                <w:szCs w:val="21"/>
              </w:rPr>
              <w:t>其余用</w:t>
            </w:r>
            <w:proofErr w:type="gramEnd"/>
            <w:r>
              <w:rPr>
                <w:rFonts w:ascii="宋体" w:hAnsi="宋体" w:hint="eastAsia"/>
                <w:color w:val="auto"/>
                <w:sz w:val="21"/>
                <w:szCs w:val="21"/>
              </w:rPr>
              <w:t>电负荷等级为三级。</w:t>
            </w:r>
          </w:p>
        </w:tc>
        <w:tc>
          <w:tcPr>
            <w:tcW w:w="2268"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项目除PLC控制系统、消防系统及应急照明系统的用电负荷等级为二级外，</w:t>
            </w:r>
            <w:proofErr w:type="gramStart"/>
            <w:r>
              <w:rPr>
                <w:rFonts w:ascii="宋体" w:hAnsi="宋体" w:hint="eastAsia"/>
                <w:color w:val="auto"/>
                <w:sz w:val="21"/>
                <w:szCs w:val="21"/>
              </w:rPr>
              <w:t>其余用</w:t>
            </w:r>
            <w:proofErr w:type="gramEnd"/>
            <w:r>
              <w:rPr>
                <w:rFonts w:ascii="宋体" w:hAnsi="宋体" w:hint="eastAsia"/>
                <w:color w:val="auto"/>
                <w:sz w:val="21"/>
                <w:szCs w:val="21"/>
              </w:rPr>
              <w:t>电负荷等级为三级。</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1402"/>
        </w:trPr>
        <w:tc>
          <w:tcPr>
            <w:tcW w:w="649"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（2）电源</w:t>
            </w:r>
          </w:p>
        </w:tc>
        <w:tc>
          <w:tcPr>
            <w:tcW w:w="5218" w:type="dxa"/>
            <w:gridSpan w:val="2"/>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本项目电源来自昆明晋宁区二街工业园市政电网。园区已经设置10kV线路至园区道路边，10kV电力线路位于厂址北侧，由10kV电线引至本项目变配电室，变配电室内设置一台630kVA的干式变压器，由变压器调压后分配到厂内各用电负荷区。供电能满足运营用电要求，电力稳定、充足，供电有保证。</w:t>
            </w:r>
          </w:p>
        </w:tc>
        <w:tc>
          <w:tcPr>
            <w:tcW w:w="2268"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项目电源来自昆明晋宁区二街工业园市政电网。园区已经设置10kV线路至园区道路边，10kV电力线路位于厂址北侧，由10kV电线引至项目变配电室，变配电室内设置一台630kVA的干式变压器，由变压器调压后分配到厂内各用电负荷区。</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1402"/>
        </w:trPr>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（3）供电的安全措施</w:t>
            </w:r>
          </w:p>
        </w:tc>
        <w:tc>
          <w:tcPr>
            <w:tcW w:w="5218" w:type="dxa"/>
            <w:gridSpan w:val="2"/>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1）室外低压线路采用阻燃</w:t>
            </w:r>
            <w:proofErr w:type="gramStart"/>
            <w:r>
              <w:rPr>
                <w:rFonts w:ascii="宋体" w:hAnsi="宋体" w:hint="eastAsia"/>
                <w:color w:val="auto"/>
                <w:sz w:val="21"/>
                <w:szCs w:val="21"/>
              </w:rPr>
              <w:t>耐火铠装铜芯</w:t>
            </w:r>
            <w:proofErr w:type="gramEnd"/>
            <w:r>
              <w:rPr>
                <w:rFonts w:ascii="宋体" w:hAnsi="宋体" w:hint="eastAsia"/>
                <w:color w:val="auto"/>
                <w:sz w:val="21"/>
                <w:szCs w:val="21"/>
              </w:rPr>
              <w:t>交联电缆，</w:t>
            </w:r>
            <w:proofErr w:type="gramStart"/>
            <w:r>
              <w:rPr>
                <w:rFonts w:ascii="宋体" w:hAnsi="宋体" w:hint="eastAsia"/>
                <w:color w:val="auto"/>
                <w:sz w:val="21"/>
                <w:szCs w:val="21"/>
              </w:rPr>
              <w:t>采用穿热镀锌</w:t>
            </w:r>
            <w:proofErr w:type="gramEnd"/>
            <w:r>
              <w:rPr>
                <w:rFonts w:ascii="宋体" w:hAnsi="宋体" w:hint="eastAsia"/>
                <w:color w:val="auto"/>
                <w:sz w:val="21"/>
                <w:szCs w:val="21"/>
              </w:rPr>
              <w:t>钢管埋地敷设。</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2）室内低压线路</w:t>
            </w:r>
            <w:proofErr w:type="gramStart"/>
            <w:r>
              <w:rPr>
                <w:rFonts w:ascii="宋体" w:hAnsi="宋体" w:hint="eastAsia"/>
                <w:color w:val="auto"/>
                <w:sz w:val="21"/>
                <w:szCs w:val="21"/>
              </w:rPr>
              <w:t>采用低烟无卤</w:t>
            </w:r>
            <w:proofErr w:type="gramEnd"/>
            <w:r>
              <w:rPr>
                <w:rFonts w:ascii="宋体" w:hAnsi="宋体" w:hint="eastAsia"/>
                <w:color w:val="auto"/>
                <w:sz w:val="21"/>
                <w:szCs w:val="21"/>
              </w:rPr>
              <w:t>阻燃铜芯交联电缆或电线沿电缆桥架敷设。</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3）照明配电线路，</w:t>
            </w:r>
            <w:proofErr w:type="gramStart"/>
            <w:r>
              <w:rPr>
                <w:rFonts w:ascii="宋体" w:hAnsi="宋体" w:hint="eastAsia"/>
                <w:color w:val="auto"/>
                <w:sz w:val="21"/>
                <w:szCs w:val="21"/>
              </w:rPr>
              <w:t>采用低烟无卤</w:t>
            </w:r>
            <w:proofErr w:type="gramEnd"/>
            <w:r>
              <w:rPr>
                <w:rFonts w:ascii="宋体" w:hAnsi="宋体" w:hint="eastAsia"/>
                <w:color w:val="auto"/>
                <w:sz w:val="21"/>
                <w:szCs w:val="21"/>
              </w:rPr>
              <w:t>阻燃电缆沿电缆桥架敷设或采用阻燃电线穿钢管敷设。</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4）消防用电设备的供电线路采用WDZN-YJY铜芯交联电缆敷设在金属线槽内，或采用WDZN-BJY铜芯导线穿低压流体输送焊接钢管暗敷于厚度不小于30mm的不燃烧结构体内。当采用明敷时，在金属管或金属线槽上涂防火涂料保护。</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在电缆桥架或电缆通过建筑物的出入口处，设防火墙。在隔墙两边电缆采取阻火设施。在电缆穿过楼板、墙壁的孔洞处及所有配电屏（柜）、台、箱的电缆孔洞均进行用防火材料进行封堵。</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锅炉房、生产厂房、热风炉周边等可能存在天然气的环境线路采用ZNBV型阻燃铜芯导线穿钢管明敷设，采用防爆接线盒，线路敷设应满足《爆炸危险环境电力装置设计规范》的要求。</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5）本项目配电系统采用TN-S制。所有按规范需要保护接地的电气设备外壳必须与保护线可靠连接。符合安全用电的要求。</w:t>
            </w:r>
          </w:p>
        </w:tc>
        <w:tc>
          <w:tcPr>
            <w:tcW w:w="2268"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cantSplit/>
          <w:trHeight w:val="367"/>
        </w:trPr>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hint="eastAsia"/>
                <w:b/>
                <w:color w:val="auto"/>
                <w:sz w:val="21"/>
                <w:szCs w:val="21"/>
              </w:rPr>
              <w:t>6.4.1.2电气设备的接地、防漏电、</w:t>
            </w:r>
            <w:proofErr w:type="gramStart"/>
            <w:r>
              <w:rPr>
                <w:rFonts w:ascii="宋体" w:hAnsi="宋体" w:hint="eastAsia"/>
                <w:b/>
                <w:color w:val="auto"/>
                <w:sz w:val="21"/>
                <w:szCs w:val="21"/>
              </w:rPr>
              <w:t>防过流</w:t>
            </w:r>
            <w:proofErr w:type="gramEnd"/>
            <w:r>
              <w:rPr>
                <w:rFonts w:ascii="宋体" w:hAnsi="宋体" w:hint="eastAsia"/>
                <w:b/>
                <w:color w:val="auto"/>
                <w:sz w:val="21"/>
                <w:szCs w:val="21"/>
              </w:rPr>
              <w:t>、防雷、防静电、</w:t>
            </w:r>
            <w:proofErr w:type="gramStart"/>
            <w:r>
              <w:rPr>
                <w:rFonts w:ascii="宋体" w:hAnsi="宋体" w:hint="eastAsia"/>
                <w:b/>
                <w:color w:val="auto"/>
                <w:sz w:val="21"/>
                <w:szCs w:val="21"/>
              </w:rPr>
              <w:t>防过压</w:t>
            </w:r>
            <w:proofErr w:type="gramEnd"/>
            <w:r>
              <w:rPr>
                <w:rFonts w:ascii="宋体" w:hAnsi="宋体" w:hint="eastAsia"/>
                <w:b/>
                <w:color w:val="auto"/>
                <w:sz w:val="21"/>
                <w:szCs w:val="21"/>
              </w:rPr>
              <w:t>等的安全保护措施</w:t>
            </w:r>
          </w:p>
        </w:tc>
      </w:tr>
      <w:tr w:rsidR="003F13AB">
        <w:trPr>
          <w:cantSplit/>
          <w:trHeight w:val="8631"/>
        </w:trPr>
        <w:tc>
          <w:tcPr>
            <w:tcW w:w="764" w:type="dxa"/>
            <w:gridSpan w:val="2"/>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（1）建筑物防雷设计</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根据《建筑物防雷设计规范》（GB50057-2010），进行防雷设计。</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1）综合楼、办公楼</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综合楼和办公楼按三类防雷建筑物进行设计，建筑物的防雷装置满足防直击雷、雷电波侵入，并设置总等电位联结。在屋顶采用φ10的热镀锌圆钢作为避雷带，屋顶避雷带连接线网格不大于20m×20m或24m×16m。</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利用建筑物柱内两根不小于φ16的钢筋焊接作为引下线，引下线的间距不大于25m。接地极为建筑物基础底梁上的上下两层钢筋中的两根不小于φ16的钢筋通长</w:t>
            </w:r>
            <w:proofErr w:type="gramStart"/>
            <w:r>
              <w:rPr>
                <w:rFonts w:ascii="宋体" w:hAnsi="宋体" w:hint="eastAsia"/>
                <w:color w:val="auto"/>
                <w:sz w:val="21"/>
                <w:szCs w:val="21"/>
              </w:rPr>
              <w:t>连接型成的</w:t>
            </w:r>
            <w:proofErr w:type="gramEnd"/>
            <w:r>
              <w:rPr>
                <w:rFonts w:ascii="宋体" w:hAnsi="宋体" w:hint="eastAsia"/>
                <w:color w:val="auto"/>
                <w:sz w:val="21"/>
                <w:szCs w:val="21"/>
              </w:rPr>
              <w:t>基础接地网。引下线上端与避雷带连接，下端与接地极连接。</w:t>
            </w:r>
            <w:proofErr w:type="gramStart"/>
            <w:r>
              <w:rPr>
                <w:rFonts w:ascii="宋体" w:hAnsi="宋体" w:hint="eastAsia"/>
                <w:color w:val="auto"/>
                <w:sz w:val="21"/>
                <w:szCs w:val="21"/>
              </w:rPr>
              <w:t>凡突出</w:t>
            </w:r>
            <w:proofErr w:type="gramEnd"/>
            <w:r>
              <w:rPr>
                <w:rFonts w:ascii="宋体" w:hAnsi="宋体" w:hint="eastAsia"/>
                <w:color w:val="auto"/>
                <w:sz w:val="21"/>
                <w:szCs w:val="21"/>
              </w:rPr>
              <w:t>屋面的所有金属构件、金属屋面、金属屋架等均与避雷带可靠连接。</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2）成品仓库、原料仓库、丙类仓库</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成品仓库、原料仓库、丙类仓库按二类防雷建筑物进行设计，建筑物的防雷装置满足防直击雷、雷电波侵入，并设置总等电位联结。采用金属屋面作为接闪器，利用建筑物钢柱作为引下线，引下线的间距不大于18m。接地极为建筑物基础底梁上的上下两层钢筋中的两根不小于φ16的钢筋通长</w:t>
            </w:r>
            <w:proofErr w:type="gramStart"/>
            <w:r>
              <w:rPr>
                <w:rFonts w:ascii="宋体" w:hAnsi="宋体" w:hint="eastAsia"/>
                <w:color w:val="auto"/>
                <w:sz w:val="21"/>
                <w:szCs w:val="21"/>
              </w:rPr>
              <w:t>连接型成的</w:t>
            </w:r>
            <w:proofErr w:type="gramEnd"/>
            <w:r>
              <w:rPr>
                <w:rFonts w:ascii="宋体" w:hAnsi="宋体" w:hint="eastAsia"/>
                <w:color w:val="auto"/>
                <w:sz w:val="21"/>
                <w:szCs w:val="21"/>
              </w:rPr>
              <w:t>基础接地网。引下线上端与避雷带连接，下端与接地极连接。</w:t>
            </w:r>
            <w:proofErr w:type="gramStart"/>
            <w:r>
              <w:rPr>
                <w:rFonts w:ascii="宋体" w:hAnsi="宋体" w:hint="eastAsia"/>
                <w:color w:val="auto"/>
                <w:sz w:val="21"/>
                <w:szCs w:val="21"/>
              </w:rPr>
              <w:t>凡突出</w:t>
            </w:r>
            <w:proofErr w:type="gramEnd"/>
            <w:r>
              <w:rPr>
                <w:rFonts w:ascii="宋体" w:hAnsi="宋体" w:hint="eastAsia"/>
                <w:color w:val="auto"/>
                <w:sz w:val="21"/>
                <w:szCs w:val="21"/>
              </w:rPr>
              <w:t>屋面的所有金属构件、金属屋面、金属屋架等均与避雷带可靠连接。</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3）生产厂房</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生产厂房按三类防雷建筑物进行设计，建筑物的防雷装置满足防直击雷、雷电波侵入，并设置总等电位联结。采用金属屋面作为接闪器，利用建筑物钢柱作为引下线，引下线的间距不大于25m。接地极为建筑物基础底梁上的上下两层钢筋中的两根不小于φ16的钢筋通长</w:t>
            </w:r>
            <w:proofErr w:type="gramStart"/>
            <w:r>
              <w:rPr>
                <w:rFonts w:ascii="宋体" w:hAnsi="宋体" w:hint="eastAsia"/>
                <w:color w:val="auto"/>
                <w:sz w:val="21"/>
                <w:szCs w:val="21"/>
              </w:rPr>
              <w:t>连接型成的</w:t>
            </w:r>
            <w:proofErr w:type="gramEnd"/>
            <w:r>
              <w:rPr>
                <w:rFonts w:ascii="宋体" w:hAnsi="宋体" w:hint="eastAsia"/>
                <w:color w:val="auto"/>
                <w:sz w:val="21"/>
                <w:szCs w:val="21"/>
              </w:rPr>
              <w:t>基础接地网。引下线上端与避雷带连接，下端与接地极连接。</w:t>
            </w:r>
            <w:proofErr w:type="gramStart"/>
            <w:r>
              <w:rPr>
                <w:rFonts w:ascii="宋体" w:hAnsi="宋体" w:hint="eastAsia"/>
                <w:color w:val="auto"/>
                <w:sz w:val="21"/>
                <w:szCs w:val="21"/>
              </w:rPr>
              <w:t>凡突出</w:t>
            </w:r>
            <w:proofErr w:type="gramEnd"/>
            <w:r>
              <w:rPr>
                <w:rFonts w:ascii="宋体" w:hAnsi="宋体" w:hint="eastAsia"/>
                <w:color w:val="auto"/>
                <w:sz w:val="21"/>
                <w:szCs w:val="21"/>
              </w:rPr>
              <w:t>屋面的所有金属构件、金属屋面、金属屋架等均与避雷带可靠连接。</w:t>
            </w:r>
          </w:p>
        </w:tc>
        <w:tc>
          <w:tcPr>
            <w:tcW w:w="2268" w:type="dxa"/>
            <w:shd w:val="clear" w:color="auto" w:fill="auto"/>
          </w:tcPr>
          <w:p w:rsidR="003F13AB" w:rsidRDefault="00EC6E7E">
            <w:pPr>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8489"/>
        </w:trPr>
        <w:tc>
          <w:tcPr>
            <w:tcW w:w="764" w:type="dxa"/>
            <w:gridSpan w:val="2"/>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（2）设备、电气设施及仪表接地</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防雷接地、电气设备的保护接地、弱电的接地等共用统一的接地极，接地电阻值要求为上述接地系统接地电阻最小值，不大于4Ω，实测达不到要求时，增设人工接地极。信息系统及控制系统单独进行接地，接地电阻不大于1Ω，实测达不到要求时，增设人工接地极。</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根据控制系统和检测设备要求设置接地系统，包括屏蔽电缆层、PLC、现场仪表的系统接地。</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电气系统</w:t>
            </w:r>
            <w:proofErr w:type="gramStart"/>
            <w:r>
              <w:rPr>
                <w:rFonts w:ascii="宋体" w:hAnsi="宋体" w:hint="eastAsia"/>
                <w:color w:val="auto"/>
                <w:sz w:val="21"/>
                <w:szCs w:val="21"/>
              </w:rPr>
              <w:t>采用总</w:t>
            </w:r>
            <w:proofErr w:type="gramEnd"/>
            <w:r>
              <w:rPr>
                <w:rFonts w:ascii="宋体" w:hAnsi="宋体" w:hint="eastAsia"/>
                <w:color w:val="auto"/>
                <w:sz w:val="21"/>
                <w:szCs w:val="21"/>
              </w:rPr>
              <w:t>等电位联结，总等电位板由紫铜板制成，将建筑物内保护干线、设备进线总管等进行联结，设置三级浪涌保护装置，符合防雷的要求。控制室采用防静电地板及局部等电位连接，燃气管道采用局部等电位连接。</w:t>
            </w:r>
          </w:p>
          <w:p w:rsidR="003F13AB" w:rsidRDefault="00EC6E7E">
            <w:pPr>
              <w:spacing w:line="240" w:lineRule="auto"/>
              <w:ind w:firstLineChars="0" w:firstLine="0"/>
              <w:rPr>
                <w:rFonts w:ascii="宋体" w:hAnsi="宋体"/>
                <w:color w:val="auto"/>
                <w:sz w:val="21"/>
                <w:szCs w:val="21"/>
              </w:rPr>
            </w:pPr>
            <w:proofErr w:type="gramStart"/>
            <w:r>
              <w:rPr>
                <w:rFonts w:ascii="宋体" w:hAnsi="宋体" w:hint="eastAsia"/>
                <w:color w:val="auto"/>
                <w:sz w:val="21"/>
                <w:szCs w:val="21"/>
              </w:rPr>
              <w:t>凡正常不</w:t>
            </w:r>
            <w:proofErr w:type="gramEnd"/>
            <w:r>
              <w:rPr>
                <w:rFonts w:ascii="宋体" w:hAnsi="宋体" w:hint="eastAsia"/>
                <w:color w:val="auto"/>
                <w:sz w:val="21"/>
                <w:szCs w:val="21"/>
              </w:rPr>
              <w:t>带电而当绝缘破坏有可能呈现电压的一切电气设备金属外壳均应可靠接地。天然气输送管道、金属外壳等各类金属设备、PE保护线等均与接地干线可靠连接，各类金属管道、法兰等之间采用不小于BVR-1x16mm2</w:t>
            </w:r>
            <w:proofErr w:type="gramStart"/>
            <w:r>
              <w:rPr>
                <w:rFonts w:ascii="宋体" w:hAnsi="宋体" w:hint="eastAsia"/>
                <w:color w:val="auto"/>
                <w:sz w:val="21"/>
                <w:szCs w:val="21"/>
              </w:rPr>
              <w:t>软铜导线</w:t>
            </w:r>
            <w:proofErr w:type="gramEnd"/>
            <w:r>
              <w:rPr>
                <w:rFonts w:ascii="宋体" w:hAnsi="宋体" w:hint="eastAsia"/>
                <w:color w:val="auto"/>
                <w:sz w:val="21"/>
                <w:szCs w:val="21"/>
              </w:rPr>
              <w:t>可靠连接成电气通路。在管道上的法兰两端等连接处，采用金属铜片跨接。</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所有电气设备均有完好的接地设施，形成接地网。为了提高用电安全性，配电系统接地型式采用TN－S。电气设备的外露可导电部分和其他装置外壳可导电部分须与接地线可靠连接。</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为保证设备系统的安全、可靠的运行，根据有关防雷设计规范，除设置防雷接地系统外，在主要的检测仪表信号传输接口、数据通信接口、供电接口等有可能将雷电感应所引起的过电流与过电压引入系统的关键部位处，均安装电涌保护器，以避免雷电感应的高压窜入，造成设备损坏。</w:t>
            </w:r>
          </w:p>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所有防雷接地设施应由有防雷检测资质的单位每年进行一次防雷检测，并出具防雷检测报告，保证防雷设施的有效性。</w:t>
            </w:r>
          </w:p>
        </w:tc>
        <w:tc>
          <w:tcPr>
            <w:tcW w:w="2268"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418"/>
        </w:trPr>
        <w:tc>
          <w:tcPr>
            <w:tcW w:w="9127" w:type="dxa"/>
            <w:gridSpan w:val="5"/>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b/>
                <w:color w:val="auto"/>
                <w:sz w:val="21"/>
                <w:szCs w:val="21"/>
              </w:rPr>
              <w:t>6.4.1.3电气设备防火、防爆措施</w:t>
            </w:r>
          </w:p>
        </w:tc>
      </w:tr>
      <w:tr w:rsidR="003F13AB">
        <w:trPr>
          <w:trHeight w:val="271"/>
        </w:trPr>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本项目电缆及电气设备选型符合</w:t>
            </w:r>
            <w:r>
              <w:rPr>
                <w:rFonts w:ascii="宋体" w:hAnsi="宋体" w:hint="eastAsia"/>
                <w:color w:val="00B050"/>
                <w:sz w:val="21"/>
                <w:szCs w:val="21"/>
              </w:rPr>
              <w:t>《电力工程电缆设计标准》（GB50217-2018）</w:t>
            </w:r>
            <w:r>
              <w:rPr>
                <w:rFonts w:ascii="宋体" w:hAnsi="宋体" w:hint="eastAsia"/>
                <w:color w:val="auto"/>
                <w:sz w:val="21"/>
                <w:szCs w:val="21"/>
              </w:rPr>
              <w:t>等规范要求。</w:t>
            </w:r>
          </w:p>
        </w:tc>
        <w:tc>
          <w:tcPr>
            <w:tcW w:w="2268" w:type="dxa"/>
            <w:vMerge w:val="restart"/>
            <w:shd w:val="clear" w:color="auto" w:fill="auto"/>
          </w:tcPr>
          <w:p w:rsidR="003F13AB" w:rsidRDefault="00EC6E7E">
            <w:pPr>
              <w:spacing w:line="240" w:lineRule="auto"/>
              <w:ind w:firstLineChars="0" w:firstLine="0"/>
              <w:rPr>
                <w:rFonts w:ascii="宋体" w:hAnsi="宋体" w:cs="宋体"/>
                <w:color w:val="auto"/>
                <w:sz w:val="21"/>
                <w:szCs w:val="21"/>
              </w:rPr>
            </w:pPr>
            <w:r>
              <w:rPr>
                <w:rFonts w:ascii="宋体" w:hAnsi="宋体" w:hint="eastAsia"/>
                <w:color w:val="auto"/>
                <w:sz w:val="21"/>
                <w:szCs w:val="21"/>
              </w:rPr>
              <w:t>项目电缆及电气设备选型符合《电力工程电缆设计标准》（GB50217-2018）等规范要求。</w:t>
            </w: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vMerge w:val="restart"/>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271"/>
        </w:trPr>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锅炉房、热风炉周边等可能存在天然气的环境，所有照明设施设置为防爆型照明设备。</w:t>
            </w:r>
          </w:p>
        </w:tc>
        <w:tc>
          <w:tcPr>
            <w:tcW w:w="2268" w:type="dxa"/>
            <w:vMerge/>
            <w:shd w:val="clear" w:color="auto" w:fill="auto"/>
          </w:tcPr>
          <w:p w:rsidR="003F13AB" w:rsidRDefault="003F13AB">
            <w:pPr>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r>
      <w:tr w:rsidR="003F13AB">
        <w:trPr>
          <w:trHeight w:val="271"/>
        </w:trPr>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锅炉房、热风炉周边等的防爆电器，其防爆等级为：ExdⅡAT1或更高级别，防护等级为IP54。</w:t>
            </w:r>
          </w:p>
        </w:tc>
        <w:tc>
          <w:tcPr>
            <w:tcW w:w="2268" w:type="dxa"/>
            <w:vMerge/>
            <w:shd w:val="clear" w:color="auto" w:fill="auto"/>
          </w:tcPr>
          <w:p w:rsidR="003F13AB" w:rsidRDefault="003F13AB">
            <w:pPr>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r>
      <w:tr w:rsidR="003F13AB">
        <w:trPr>
          <w:trHeight w:val="271"/>
        </w:trPr>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（4）</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防止电缆</w:t>
            </w:r>
            <w:proofErr w:type="gramStart"/>
            <w:r>
              <w:rPr>
                <w:rFonts w:ascii="宋体" w:hAnsi="宋体" w:hint="eastAsia"/>
                <w:color w:val="auto"/>
                <w:sz w:val="21"/>
                <w:szCs w:val="21"/>
              </w:rPr>
              <w:t>火灾延燃的</w:t>
            </w:r>
            <w:proofErr w:type="gramEnd"/>
            <w:r>
              <w:rPr>
                <w:rFonts w:ascii="宋体" w:hAnsi="宋体" w:hint="eastAsia"/>
                <w:color w:val="auto"/>
                <w:sz w:val="21"/>
                <w:szCs w:val="21"/>
              </w:rPr>
              <w:t>措施有：封、堵、涂、隔、包、水喷雾和其它。涂料、堵料必需经国家技术鉴定合格，并由公安部门颁发生产许可证的工厂生产，其产品应是适用于电缆的不燃或难燃材料，并符合国家规范规定的耐火时间。在涂刷时要注意稀释液的防火。</w:t>
            </w:r>
          </w:p>
        </w:tc>
        <w:tc>
          <w:tcPr>
            <w:tcW w:w="2268" w:type="dxa"/>
            <w:vMerge/>
            <w:shd w:val="clear" w:color="auto" w:fill="auto"/>
          </w:tcPr>
          <w:p w:rsidR="003F13AB" w:rsidRDefault="003F13AB">
            <w:pPr>
              <w:spacing w:line="240" w:lineRule="auto"/>
              <w:ind w:firstLine="420"/>
              <w:rPr>
                <w:rFonts w:ascii="宋体" w:hAnsi="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rPr>
          <w:trHeight w:val="271"/>
        </w:trPr>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（5）</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动力设备电源出线管均做防水弯头。</w:t>
            </w:r>
          </w:p>
        </w:tc>
        <w:tc>
          <w:tcPr>
            <w:tcW w:w="2268" w:type="dxa"/>
            <w:vMerge/>
            <w:shd w:val="clear" w:color="auto" w:fill="auto"/>
          </w:tcPr>
          <w:p w:rsidR="003F13AB" w:rsidRDefault="003F13AB">
            <w:pPr>
              <w:spacing w:line="240" w:lineRule="auto"/>
              <w:ind w:firstLine="420"/>
              <w:rPr>
                <w:rFonts w:ascii="宋体" w:hAnsi="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rPr>
          <w:trHeight w:val="417"/>
        </w:trPr>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（6）</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电气线路采用电缆沟及穿钢管布线，导线与现场设备的连接处做好密封隔断。</w:t>
            </w:r>
          </w:p>
        </w:tc>
        <w:tc>
          <w:tcPr>
            <w:tcW w:w="2268" w:type="dxa"/>
            <w:vMerge/>
            <w:shd w:val="clear" w:color="auto" w:fill="auto"/>
          </w:tcPr>
          <w:p w:rsidR="003F13AB" w:rsidRDefault="003F13AB">
            <w:pPr>
              <w:spacing w:line="240" w:lineRule="auto"/>
              <w:ind w:firstLine="42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rPr>
          <w:trHeight w:val="550"/>
        </w:trPr>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（7）</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电缆沟内应保持整洁，不得堆放杂物，电缆沟洞严禁积油。</w:t>
            </w:r>
          </w:p>
        </w:tc>
        <w:tc>
          <w:tcPr>
            <w:tcW w:w="2268" w:type="dxa"/>
            <w:vMerge/>
            <w:shd w:val="clear" w:color="auto" w:fill="auto"/>
          </w:tcPr>
          <w:p w:rsidR="003F13AB" w:rsidRDefault="003F13AB">
            <w:pPr>
              <w:spacing w:line="240" w:lineRule="auto"/>
              <w:ind w:firstLine="42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rPr>
          <w:trHeight w:val="558"/>
        </w:trPr>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（8）</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锅炉房电缆沟采取防止老鼠等小动物触及带电体、咬坏电缆绝缘层造成电气事故，导致火灾的措施。</w:t>
            </w:r>
          </w:p>
        </w:tc>
        <w:tc>
          <w:tcPr>
            <w:tcW w:w="2268" w:type="dxa"/>
            <w:vMerge/>
            <w:shd w:val="clear" w:color="auto" w:fill="auto"/>
          </w:tcPr>
          <w:p w:rsidR="003F13AB" w:rsidRDefault="003F13AB">
            <w:pPr>
              <w:spacing w:line="240" w:lineRule="auto"/>
              <w:ind w:firstLine="42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rPr>
          <w:trHeight w:val="410"/>
        </w:trPr>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lastRenderedPageBreak/>
              <w:t>（9）</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定期对电缆沟内电缆进行测温、外观等检查，发现异常现象立即处理。</w:t>
            </w:r>
          </w:p>
        </w:tc>
        <w:tc>
          <w:tcPr>
            <w:tcW w:w="2268" w:type="dxa"/>
            <w:vMerge/>
            <w:shd w:val="clear" w:color="auto" w:fill="auto"/>
          </w:tcPr>
          <w:p w:rsidR="003F13AB" w:rsidRDefault="003F13AB">
            <w:pPr>
              <w:spacing w:line="240" w:lineRule="auto"/>
              <w:ind w:firstLine="42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rPr>
          <w:trHeight w:val="276"/>
        </w:trPr>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（10）</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定期检查消防报警设施，定期进行试验。</w:t>
            </w:r>
          </w:p>
        </w:tc>
        <w:tc>
          <w:tcPr>
            <w:tcW w:w="2268" w:type="dxa"/>
            <w:vMerge/>
            <w:shd w:val="clear" w:color="auto" w:fill="auto"/>
          </w:tcPr>
          <w:p w:rsidR="003F13AB" w:rsidRDefault="003F13AB">
            <w:pPr>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r>
      <w:tr w:rsidR="003F13AB">
        <w:trPr>
          <w:trHeight w:val="571"/>
        </w:trPr>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（11）</w:t>
            </w:r>
          </w:p>
        </w:tc>
        <w:tc>
          <w:tcPr>
            <w:tcW w:w="5103"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建立健全电缆维护、检查、防火、报警等各项规章制度。</w:t>
            </w:r>
          </w:p>
        </w:tc>
        <w:tc>
          <w:tcPr>
            <w:tcW w:w="2268" w:type="dxa"/>
            <w:shd w:val="clear" w:color="auto" w:fill="auto"/>
          </w:tcPr>
          <w:p w:rsidR="003F13AB" w:rsidRDefault="003F13AB">
            <w:pPr>
              <w:spacing w:line="240" w:lineRule="auto"/>
              <w:ind w:firstLineChars="0" w:firstLine="0"/>
              <w:rPr>
                <w:rFonts w:ascii="宋体" w:hAnsi="宋体" w:cs="宋体"/>
                <w:color w:val="auto"/>
                <w:sz w:val="21"/>
                <w:szCs w:val="21"/>
              </w:rPr>
            </w:pPr>
          </w:p>
        </w:tc>
        <w:tc>
          <w:tcPr>
            <w:tcW w:w="992" w:type="dxa"/>
            <w:shd w:val="clear" w:color="auto" w:fill="auto"/>
          </w:tcPr>
          <w:p w:rsidR="003F13AB" w:rsidRDefault="003F13AB">
            <w:pPr>
              <w:adjustRightInd/>
              <w:spacing w:line="240" w:lineRule="auto"/>
              <w:ind w:firstLineChars="0" w:firstLine="0"/>
              <w:rPr>
                <w:rFonts w:ascii="宋体" w:hAnsi="宋体" w:cs="宋体"/>
                <w:color w:val="auto"/>
                <w:sz w:val="21"/>
                <w:szCs w:val="21"/>
              </w:rPr>
            </w:pP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hint="eastAsia"/>
                <w:b/>
                <w:bCs/>
                <w:color w:val="auto"/>
                <w:sz w:val="21"/>
                <w:szCs w:val="21"/>
              </w:rPr>
              <w:t>6.4.1.4 工作照明及事故应急照明措施</w:t>
            </w:r>
          </w:p>
        </w:tc>
      </w:tr>
      <w:tr w:rsidR="003F13AB">
        <w:trPr>
          <w:trHeight w:val="3123"/>
        </w:trPr>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（1）工作照明</w:t>
            </w:r>
          </w:p>
        </w:tc>
        <w:tc>
          <w:tcPr>
            <w:tcW w:w="5218" w:type="dxa"/>
            <w:gridSpan w:val="2"/>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1）根据</w:t>
            </w:r>
            <w:r>
              <w:rPr>
                <w:rFonts w:ascii="宋体" w:hAnsi="宋体" w:hint="eastAsia"/>
                <w:color w:val="00B050"/>
                <w:sz w:val="21"/>
                <w:szCs w:val="21"/>
              </w:rPr>
              <w:t>《建筑照明设计标准》（GB/T50034-2024）</w:t>
            </w:r>
            <w:r>
              <w:rPr>
                <w:rFonts w:ascii="宋体" w:hAnsi="宋体" w:hint="eastAsia"/>
                <w:color w:val="auto"/>
                <w:sz w:val="21"/>
                <w:szCs w:val="21"/>
              </w:rPr>
              <w:t>及《锅炉房设计标准》（GB50041-2020），厂内各功能区域照度设置如安全设施设计表6.4-1</w:t>
            </w:r>
            <w:proofErr w:type="gramStart"/>
            <w:r>
              <w:rPr>
                <w:rFonts w:ascii="宋体" w:hAnsi="宋体" w:hint="eastAsia"/>
                <w:color w:val="auto"/>
                <w:sz w:val="21"/>
                <w:szCs w:val="21"/>
              </w:rPr>
              <w:t>各</w:t>
            </w:r>
            <w:proofErr w:type="gramEnd"/>
            <w:r>
              <w:rPr>
                <w:rFonts w:ascii="宋体" w:hAnsi="宋体" w:hint="eastAsia"/>
                <w:color w:val="auto"/>
                <w:sz w:val="21"/>
                <w:szCs w:val="21"/>
              </w:rPr>
              <w:t>功能区照度。</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2）在压力表、液位计等照度要求较高的地方设置局部照明。</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3）照明灯具的选择：</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①一般照明，采用具有寿命长、高效节能型光源的灯具；</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②特别潮湿场所，采用防潮灯具或带有防水灯头的开启式灯具；</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③高温场所，采用带有散热孔的开启式灯具；</w:t>
            </w:r>
          </w:p>
          <w:p w:rsidR="003F13AB" w:rsidRDefault="00EC6E7E">
            <w:pPr>
              <w:pStyle w:val="Default1"/>
              <w:rPr>
                <w:rFonts w:hint="default"/>
              </w:rPr>
            </w:pPr>
            <w:r>
              <w:rPr>
                <w:rFonts w:ascii="宋体" w:hAnsi="宋体"/>
                <w:color w:val="auto"/>
                <w:kern w:val="2"/>
                <w:sz w:val="21"/>
                <w:szCs w:val="21"/>
              </w:rPr>
              <w:t>④在振动、摆动较大的场所，灯具有防</w:t>
            </w:r>
            <w:proofErr w:type="gramStart"/>
            <w:r>
              <w:rPr>
                <w:rFonts w:ascii="宋体" w:hAnsi="宋体"/>
                <w:color w:val="auto"/>
                <w:kern w:val="2"/>
                <w:sz w:val="21"/>
                <w:szCs w:val="21"/>
              </w:rPr>
              <w:t>振措施</w:t>
            </w:r>
            <w:proofErr w:type="gramEnd"/>
            <w:r>
              <w:rPr>
                <w:rFonts w:ascii="宋体" w:hAnsi="宋体"/>
                <w:color w:val="auto"/>
                <w:kern w:val="2"/>
                <w:sz w:val="21"/>
                <w:szCs w:val="21"/>
              </w:rPr>
              <w:t>和保护网。</w:t>
            </w:r>
          </w:p>
        </w:tc>
        <w:tc>
          <w:tcPr>
            <w:tcW w:w="2268" w:type="dxa"/>
            <w:shd w:val="clear" w:color="auto" w:fill="auto"/>
          </w:tcPr>
          <w:p w:rsidR="003F13AB" w:rsidRDefault="00EC6E7E">
            <w:pPr>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2828"/>
        </w:trPr>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（2）事故照明</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1）在锅炉房内设置疏散应急照明，在控制室内设置事故备用照明。</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2）建筑内应急照明灯具的照度符合下列规定：疏散走道的地面最低水平照度不应低于1lx，操作室内设置的事故备用照明的照度要保证正常照明的照度。</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事故备用应急照明灯及疏散应急照明灯均以蓄电池作为备用电源，其中，事故备用应急照明灯的蓄电池连续供电时间不小于180min，疏散应急照明灯的蓄电池连续供电时间不小于30min。正常时由交流供电，停电时自动切换至直流系统。</w:t>
            </w:r>
          </w:p>
        </w:tc>
        <w:tc>
          <w:tcPr>
            <w:tcW w:w="2268" w:type="dxa"/>
            <w:shd w:val="clear" w:color="auto" w:fill="auto"/>
          </w:tcPr>
          <w:p w:rsidR="003F13AB" w:rsidRDefault="00EC6E7E">
            <w:pPr>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hint="eastAsia"/>
                <w:b/>
                <w:bCs/>
                <w:color w:val="auto"/>
                <w:sz w:val="21"/>
                <w:szCs w:val="21"/>
              </w:rPr>
              <w:t>6.4.2消防措施</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bCs/>
                <w:color w:val="auto"/>
                <w:sz w:val="21"/>
                <w:szCs w:val="21"/>
              </w:rPr>
              <w:t>（1）消防供水水源</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bCs/>
                <w:color w:val="auto"/>
                <w:sz w:val="21"/>
                <w:szCs w:val="21"/>
              </w:rPr>
              <w:t>本项目设水消防系统，消防用水供水由园区生产给水系统（与消防系统合用）供给，供水水管管径为DN100，供水水压为0.3MPa。</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1089"/>
        </w:trPr>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（2）</w:t>
            </w:r>
            <w:r>
              <w:rPr>
                <w:rFonts w:ascii="宋体" w:hAnsi="宋体" w:hint="eastAsia"/>
                <w:color w:val="auto"/>
                <w:sz w:val="21"/>
                <w:szCs w:val="21"/>
              </w:rPr>
              <w:t>消防用水量计算</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根据《消防给水及消火栓系统技术规范》（GB 50974-2014），本项目室内消火栓最大用水量为丙类仓库，火灾危险性为丙类，建筑耐火等级为二级，占地面积为761.39m</w:t>
            </w:r>
            <w:r>
              <w:rPr>
                <w:rFonts w:ascii="宋体" w:hAnsi="宋体" w:hint="eastAsia"/>
                <w:color w:val="auto"/>
                <w:sz w:val="21"/>
                <w:szCs w:val="21"/>
                <w:vertAlign w:val="superscript"/>
              </w:rPr>
              <w:t>2</w:t>
            </w:r>
            <w:r>
              <w:rPr>
                <w:rFonts w:ascii="宋体" w:hAnsi="宋体" w:hint="eastAsia"/>
                <w:color w:val="auto"/>
                <w:sz w:val="21"/>
                <w:szCs w:val="21"/>
              </w:rPr>
              <w:t>，高度为12.81m，室内消火栓消防用水量为25L/S，火灾持续时间为3h，因此需要消防用水量为540m</w:t>
            </w:r>
            <w:r>
              <w:rPr>
                <w:rFonts w:ascii="宋体" w:hAnsi="宋体" w:hint="eastAsia"/>
                <w:color w:val="auto"/>
                <w:sz w:val="21"/>
                <w:szCs w:val="21"/>
                <w:vertAlign w:val="superscript"/>
              </w:rPr>
              <w:t>3</w:t>
            </w:r>
            <w:r>
              <w:rPr>
                <w:rFonts w:ascii="宋体" w:hAnsi="宋体" w:hint="eastAsia"/>
                <w:color w:val="auto"/>
                <w:sz w:val="21"/>
                <w:szCs w:val="21"/>
              </w:rPr>
              <w:t>。</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由建设方采纳。</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1089"/>
        </w:trPr>
        <w:tc>
          <w:tcPr>
            <w:tcW w:w="649" w:type="dxa"/>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（3）厂区内消防供水</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在厂区东北</w:t>
            </w:r>
            <w:proofErr w:type="gramStart"/>
            <w:r>
              <w:rPr>
                <w:rFonts w:ascii="宋体" w:hAnsi="宋体" w:hint="eastAsia"/>
                <w:color w:val="auto"/>
                <w:sz w:val="21"/>
                <w:szCs w:val="21"/>
              </w:rPr>
              <w:t>角设置</w:t>
            </w:r>
            <w:proofErr w:type="gramEnd"/>
            <w:r>
              <w:rPr>
                <w:rFonts w:ascii="宋体" w:hAnsi="宋体" w:hint="eastAsia"/>
                <w:color w:val="auto"/>
                <w:sz w:val="21"/>
                <w:szCs w:val="21"/>
              </w:rPr>
              <w:t>消防水池和消防水泵房，消防水池有效容积容积为960m</w:t>
            </w:r>
            <w:r>
              <w:rPr>
                <w:rFonts w:ascii="宋体" w:hAnsi="宋体" w:hint="eastAsia"/>
                <w:color w:val="auto"/>
                <w:sz w:val="21"/>
                <w:szCs w:val="21"/>
                <w:vertAlign w:val="superscript"/>
              </w:rPr>
              <w:t>3</w:t>
            </w:r>
            <w:r>
              <w:rPr>
                <w:rFonts w:ascii="宋体" w:hAnsi="宋体" w:hint="eastAsia"/>
                <w:color w:val="auto"/>
                <w:sz w:val="21"/>
                <w:szCs w:val="21"/>
              </w:rPr>
              <w:t>，可满足本项目消防用水需求。配置两台消防泵，扬程60m，流量为50L/s，可满足消防用水水压和流量要求。</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消防水池供水由园区生产给水系统（与消防系统合用）供给，供水水管管径为DN100，供水水压为0.3MPa。</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551"/>
        </w:trPr>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（4）</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在厂区设置消防水管网系统，厂区设置室外</w:t>
            </w:r>
            <w:proofErr w:type="gramStart"/>
            <w:r>
              <w:rPr>
                <w:rFonts w:ascii="宋体" w:hAnsi="宋体" w:hint="eastAsia"/>
                <w:color w:val="auto"/>
                <w:sz w:val="21"/>
                <w:szCs w:val="21"/>
              </w:rPr>
              <w:t>地上式</w:t>
            </w:r>
            <w:proofErr w:type="gramEnd"/>
            <w:r>
              <w:rPr>
                <w:rFonts w:ascii="宋体" w:hAnsi="宋体" w:hint="eastAsia"/>
                <w:color w:val="auto"/>
                <w:sz w:val="21"/>
                <w:szCs w:val="21"/>
              </w:rPr>
              <w:t>消火栓。本项目厂区内布置成环状消防水管网，消防主管管径为DN200，采用SS100/64-1.0型号的室外消火栓，管网上设置室外消火栓。室外消火栓</w:t>
            </w:r>
            <w:proofErr w:type="gramStart"/>
            <w:r>
              <w:rPr>
                <w:rFonts w:ascii="宋体" w:hAnsi="宋体" w:hint="eastAsia"/>
                <w:color w:val="auto"/>
                <w:sz w:val="21"/>
                <w:szCs w:val="21"/>
              </w:rPr>
              <w:t>沿建筑</w:t>
            </w:r>
            <w:proofErr w:type="gramEnd"/>
            <w:r>
              <w:rPr>
                <w:rFonts w:ascii="宋体" w:hAnsi="宋体" w:hint="eastAsia"/>
                <w:color w:val="auto"/>
                <w:sz w:val="21"/>
                <w:szCs w:val="21"/>
              </w:rPr>
              <w:t>周围均匀布置，且不集中布置在建筑一侧，保护半径不应大于150.0m，应保证全厂范围在室外消火栓保护半径内；建</w:t>
            </w:r>
            <w:r>
              <w:rPr>
                <w:rFonts w:ascii="宋体" w:hAnsi="宋体" w:hint="eastAsia"/>
                <w:color w:val="auto"/>
                <w:sz w:val="21"/>
                <w:szCs w:val="21"/>
              </w:rPr>
              <w:lastRenderedPageBreak/>
              <w:t>筑消防</w:t>
            </w:r>
            <w:proofErr w:type="gramStart"/>
            <w:r>
              <w:rPr>
                <w:rFonts w:ascii="宋体" w:hAnsi="宋体" w:hint="eastAsia"/>
                <w:color w:val="auto"/>
                <w:sz w:val="21"/>
                <w:szCs w:val="21"/>
              </w:rPr>
              <w:t>扑救面一侧</w:t>
            </w:r>
            <w:proofErr w:type="gramEnd"/>
            <w:r>
              <w:rPr>
                <w:rFonts w:ascii="宋体" w:hAnsi="宋体" w:hint="eastAsia"/>
                <w:color w:val="auto"/>
                <w:sz w:val="21"/>
                <w:szCs w:val="21"/>
              </w:rPr>
              <w:t>的室外消火栓数量不宜少于2个。消火栓距路面边不大于5m。</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s="宋体" w:hint="eastAsia"/>
                <w:color w:val="auto"/>
                <w:sz w:val="21"/>
                <w:szCs w:val="21"/>
              </w:rPr>
              <w:lastRenderedPageBreak/>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551"/>
        </w:trPr>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lastRenderedPageBreak/>
              <w:t>（5）</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综合楼、生产厂房、原料仓库、成品仓库和丙类仓库内设置室内消火栓，室内消火栓的布置满足以下要求：</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1）室内消火栓成环状布置，包括设备层在内的各层均应设置消火栓。</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2）室内消火栓的布置应满足同一平面有2支消防水枪的2股充实水柱同时达到任何部位的要求。</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室内消火栓主管管径为DN100，室内消火栓管材选用焊接钢管，消火栓口径DN65，消防水带长25m，水枪喷口直径d=16mm，充实水柱不小于13m。</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综合楼、生产厂房、原料仓库、成品仓库和丙类仓库内设置室内消火栓，室内消火栓的布置</w:t>
            </w:r>
            <w:proofErr w:type="gramStart"/>
            <w:r>
              <w:rPr>
                <w:rFonts w:ascii="宋体" w:hAnsi="宋体" w:hint="eastAsia"/>
                <w:color w:val="auto"/>
                <w:sz w:val="21"/>
                <w:szCs w:val="21"/>
              </w:rPr>
              <w:t>满足左述要求</w:t>
            </w:r>
            <w:proofErr w:type="gramEnd"/>
            <w:r>
              <w:rPr>
                <w:rFonts w:ascii="宋体" w:hAnsi="宋体" w:hint="eastAsia"/>
                <w:color w:val="auto"/>
                <w:sz w:val="21"/>
                <w:szCs w:val="21"/>
              </w:rPr>
              <w:t>。</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843"/>
        </w:trPr>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（6）</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灭火器的配置：根据《建筑灭火器配置设计规范》，本项目火灾种类为A类、C类、E类，采用磷酸铵盐干粉灭火器。综合楼、丙类仓库、生产厂房（含锅炉房）、变配电间按照中危险级配置，原料仓库、成品仓库</w:t>
            </w:r>
            <w:proofErr w:type="gramStart"/>
            <w:r>
              <w:rPr>
                <w:rFonts w:ascii="宋体" w:hAnsi="宋体" w:hint="eastAsia"/>
                <w:color w:val="auto"/>
                <w:sz w:val="21"/>
                <w:szCs w:val="21"/>
              </w:rPr>
              <w:t>按轻危险级</w:t>
            </w:r>
            <w:proofErr w:type="gramEnd"/>
            <w:r>
              <w:rPr>
                <w:rFonts w:ascii="宋体" w:hAnsi="宋体" w:hint="eastAsia"/>
                <w:color w:val="auto"/>
                <w:sz w:val="21"/>
                <w:szCs w:val="21"/>
              </w:rPr>
              <w:t>配置。</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灭火器数量</w:t>
            </w:r>
            <w:proofErr w:type="gramStart"/>
            <w:r>
              <w:rPr>
                <w:rFonts w:ascii="宋体" w:hAnsi="宋体" w:hint="eastAsia"/>
                <w:color w:val="auto"/>
                <w:sz w:val="21"/>
                <w:szCs w:val="21"/>
              </w:rPr>
              <w:t>及设置</w:t>
            </w:r>
            <w:proofErr w:type="gramEnd"/>
            <w:r>
              <w:rPr>
                <w:rFonts w:ascii="宋体" w:hAnsi="宋体" w:hint="eastAsia"/>
                <w:color w:val="auto"/>
                <w:sz w:val="21"/>
                <w:szCs w:val="21"/>
              </w:rPr>
              <w:t>位置在施工图设计阶段确定，但配置数量和保护范围应满足《建筑灭火器配置设计规范》（GB50140-2005）6.2节的灭火器最低配置基准。</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现场灭火器</w:t>
            </w:r>
            <w:r>
              <w:rPr>
                <w:rFonts w:ascii="宋体" w:hAnsi="宋体" w:hint="eastAsia"/>
                <w:color w:val="auto"/>
                <w:sz w:val="21"/>
                <w:szCs w:val="21"/>
              </w:rPr>
              <w:t>配置数量和保护范围基本满足《建筑灭火器配置设计规范》（GB50140-2005）6.2节的灭火器最低配置基准。</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napToGrid/>
              <w:spacing w:line="240" w:lineRule="auto"/>
              <w:ind w:firstLineChars="0" w:firstLine="0"/>
              <w:rPr>
                <w:rFonts w:ascii="宋体" w:hAnsi="宋体" w:cs="宋体"/>
                <w:color w:val="auto"/>
                <w:sz w:val="21"/>
                <w:szCs w:val="21"/>
              </w:rPr>
            </w:pPr>
            <w:r>
              <w:rPr>
                <w:rFonts w:ascii="宋体" w:hAnsi="宋体" w:hint="eastAsia"/>
                <w:b/>
                <w:bCs/>
                <w:color w:val="auto"/>
                <w:sz w:val="21"/>
                <w:szCs w:val="21"/>
              </w:rPr>
              <w:t>6.4.3安全供水与排水措施</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（1）安全供水</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本项目供水来自昆明晋宁区二街工业园水管网，园区已经有完善的供水设施，供水管道口径为DN100，水压为0.3MPa。本项目用水主要为生产用水、生活用水、绿化用水及消防用水，生产用水主要为烟囱环保除尘循环喷淋补水、循环冷却水补水和锅炉补水。</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工业园水管网完全可满足项目建设及正常运行用水需求。</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消防用水详见6.4.2节。</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在锅炉供水过程中，可能因监测仪表损坏、作业人员疏忽大意而发生满水事故或缺水事故。</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当发生锅炉满水事故时，作业人员要首先判定是轻微满水事故还是严重满水事故。如果是轻微满水，手动调节燃烧器，减弱燃烧，将给水自动调节器改为手动，关闭给水阀门，停止给水，打开冷凝器再循环管阀门或旁通烟道。必要时可开启排污阀，放出少量锅水，同时开启蒸汽管道上的疏水阀门，加速疏水，待水位降到正常水位线后，再恢复正常运行。如果是严重满水，应做紧急停炉处理，停止给水，迅速放水，加速疏水，待水位恢复正常，管道、阀门等经检查可以使用，在查清原因并消除后，可恢复运行。</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当发生缺水事故时，作业人员要首先判定是轻微缺水事故还是</w:t>
            </w:r>
            <w:proofErr w:type="gramStart"/>
            <w:r>
              <w:rPr>
                <w:rFonts w:ascii="宋体" w:hAnsi="宋体" w:hint="eastAsia"/>
                <w:color w:val="auto"/>
                <w:sz w:val="21"/>
                <w:szCs w:val="21"/>
              </w:rPr>
              <w:t>严缺满</w:t>
            </w:r>
            <w:proofErr w:type="gramEnd"/>
            <w:r>
              <w:rPr>
                <w:rFonts w:ascii="宋体" w:hAnsi="宋体" w:hint="eastAsia"/>
                <w:color w:val="auto"/>
                <w:sz w:val="21"/>
                <w:szCs w:val="21"/>
              </w:rPr>
              <w:t>水事故。如果是轻微缺水事故，则将给水自动调节器改为手动继续给水，至回复正常水位。同时，还要检查给水、补水等系统，是否有损坏和漏水等问题，严重者停炉进行处理。如果是严重缺水事故，立即停炉，迅速熄火，查找原因。现场作业人员保持清醒，切忌混乱，严禁立即向锅炉内给水，避免可能在锅筒水烧干后急于补水而造成严重的锅炉爆炸事故。</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项目</w:t>
            </w:r>
            <w:r>
              <w:rPr>
                <w:rFonts w:ascii="宋体" w:hAnsi="宋体" w:hint="eastAsia"/>
                <w:color w:val="auto"/>
                <w:sz w:val="21"/>
                <w:szCs w:val="21"/>
              </w:rPr>
              <w:t>供水系统</w:t>
            </w:r>
            <w:r>
              <w:rPr>
                <w:rFonts w:ascii="宋体" w:hAnsi="宋体" w:cs="宋体"/>
                <w:color w:val="auto"/>
                <w:sz w:val="21"/>
                <w:szCs w:val="21"/>
              </w:rPr>
              <w:t>可满足要求</w:t>
            </w:r>
            <w:r>
              <w:rPr>
                <w:rFonts w:ascii="宋体" w:hAnsi="宋体" w:hint="eastAsia"/>
                <w:color w:val="auto"/>
                <w:sz w:val="21"/>
                <w:szCs w:val="21"/>
              </w:rPr>
              <w:t>。</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（2）</w:t>
            </w:r>
            <w:r>
              <w:rPr>
                <w:rFonts w:ascii="宋体" w:hAnsi="宋体" w:hint="eastAsia"/>
                <w:color w:val="auto"/>
                <w:sz w:val="21"/>
                <w:szCs w:val="21"/>
              </w:rPr>
              <w:t>排水安全</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本项目生产运营过程中产生的废水主要为锅炉定期排污水和生产喷淋用水。烟囱环保除尘循环喷淋用水循环使用，不外排。锅炉定期排污水排至喷淋用水水池沉淀</w:t>
            </w:r>
            <w:r>
              <w:rPr>
                <w:rFonts w:ascii="宋体" w:hAnsi="宋体" w:hint="eastAsia"/>
                <w:color w:val="auto"/>
                <w:sz w:val="21"/>
                <w:szCs w:val="21"/>
              </w:rPr>
              <w:lastRenderedPageBreak/>
              <w:t>后，用于喷淋，不外排。</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本项目的排水主要为雨水排水、生活污水排水。雨水排水采用雨污分流排水，厂区地坪设置排水坡度，初期雨水沿边沟或地面自然排至初期雨水收集池，初期雨水经过沉淀后，可回用于绿化或者循环喷淋用水，其余雨水排至园区雨水管网。生活污水经一个化粪池处理后进入园区生活污水管网，经管道收集后，送至园区生活污水处理厂统一集中处理。</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lastRenderedPageBreak/>
              <w:t>项目生产运营过程中产生的废水不外排。</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w:t>
            </w:r>
            <w:r>
              <w:rPr>
                <w:rFonts w:ascii="宋体" w:hAnsi="宋体" w:cs="宋体"/>
                <w:color w:val="auto"/>
                <w:sz w:val="21"/>
                <w:szCs w:val="21"/>
              </w:rPr>
              <w:lastRenderedPageBreak/>
              <w:t>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lastRenderedPageBreak/>
              <w:t>6.4.4采暖通风及空气调节措施</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办公楼、综合楼采用自然进风、自然排风方式。</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办公楼、综合楼采用自然进风、自然排风方式。</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（2）</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锅炉房设置4台排风机，设置在距锅炉房顶部30cm处，风机出口设置防虫网，平时和事故通风时开启排风机排风，平时通风时开启2台风机，事故通风时开启4台风机。事故风机与可燃气体检测报警系统</w:t>
            </w:r>
            <w:proofErr w:type="gramStart"/>
            <w:r>
              <w:rPr>
                <w:rFonts w:ascii="宋体" w:hAnsi="宋体" w:hint="eastAsia"/>
                <w:color w:val="auto"/>
                <w:sz w:val="21"/>
                <w:szCs w:val="21"/>
              </w:rPr>
              <w:t>联锁</w:t>
            </w:r>
            <w:proofErr w:type="gramEnd"/>
            <w:r>
              <w:rPr>
                <w:rFonts w:ascii="宋体" w:hAnsi="宋体" w:hint="eastAsia"/>
                <w:color w:val="auto"/>
                <w:sz w:val="21"/>
                <w:szCs w:val="21"/>
              </w:rPr>
              <w:t>，可燃气体浓度超标时自动打开事故风机。排风设备采用防爆排风机。</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现场锅炉房已安装防爆排风机。</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（3）</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丙类仓库、原料仓库、成品仓库设置气楼，采用自然进风、自然排风方式。</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（4）</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生产厂房地</w:t>
            </w:r>
            <w:proofErr w:type="gramStart"/>
            <w:r>
              <w:rPr>
                <w:rFonts w:ascii="宋体" w:hAnsi="宋体" w:hint="eastAsia"/>
                <w:color w:val="auto"/>
                <w:sz w:val="21"/>
                <w:szCs w:val="21"/>
              </w:rPr>
              <w:t>坑设计</w:t>
            </w:r>
            <w:proofErr w:type="gramEnd"/>
            <w:r>
              <w:rPr>
                <w:rFonts w:ascii="宋体" w:hAnsi="宋体" w:hint="eastAsia"/>
                <w:color w:val="auto"/>
                <w:sz w:val="21"/>
                <w:szCs w:val="21"/>
              </w:rPr>
              <w:t>事故通风系统，采用自然进风、机械排风的方式。排风机分别在室内及靠近外门的外墙上设置电气开关。生产厂房地</w:t>
            </w:r>
            <w:proofErr w:type="gramStart"/>
            <w:r>
              <w:rPr>
                <w:rFonts w:ascii="宋体" w:hAnsi="宋体" w:hint="eastAsia"/>
                <w:color w:val="auto"/>
                <w:sz w:val="21"/>
                <w:szCs w:val="21"/>
              </w:rPr>
              <w:t>坑正常</w:t>
            </w:r>
            <w:proofErr w:type="gramEnd"/>
            <w:r>
              <w:rPr>
                <w:rFonts w:ascii="宋体" w:hAnsi="宋体" w:hint="eastAsia"/>
                <w:color w:val="auto"/>
                <w:sz w:val="21"/>
                <w:szCs w:val="21"/>
              </w:rPr>
              <w:t>通风量应按换气次数不少于6次/h确定，事故排风量应按换气次数不少于12次/h确定。</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hint="eastAsia"/>
                <w:b/>
                <w:sz w:val="21"/>
                <w:szCs w:val="21"/>
              </w:rPr>
              <w:t>6.5厂址选择及自然灾害防范措施</w:t>
            </w:r>
          </w:p>
        </w:tc>
      </w:tr>
      <w:tr w:rsidR="003F13AB">
        <w:tc>
          <w:tcPr>
            <w:tcW w:w="649" w:type="dxa"/>
            <w:shd w:val="clear" w:color="auto" w:fill="auto"/>
          </w:tcPr>
          <w:p w:rsidR="003F13AB" w:rsidRDefault="00EC6E7E">
            <w:pPr>
              <w:adjustRightInd/>
              <w:spacing w:line="240" w:lineRule="auto"/>
              <w:ind w:firstLineChars="0" w:firstLine="0"/>
              <w:rPr>
                <w:rFonts w:ascii="宋体" w:hAnsi="宋体"/>
                <w:sz w:val="21"/>
                <w:szCs w:val="21"/>
              </w:rPr>
            </w:pPr>
            <w:r>
              <w:rPr>
                <w:rFonts w:ascii="宋体" w:hAnsi="宋体" w:hint="eastAsia"/>
                <w:sz w:val="21"/>
                <w:szCs w:val="21"/>
              </w:rPr>
              <w:t>（1）</w:t>
            </w:r>
          </w:p>
        </w:tc>
        <w:tc>
          <w:tcPr>
            <w:tcW w:w="5218" w:type="dxa"/>
            <w:gridSpan w:val="2"/>
            <w:shd w:val="clear" w:color="auto" w:fill="auto"/>
          </w:tcPr>
          <w:p w:rsidR="003F13AB" w:rsidRDefault="00EC6E7E">
            <w:pPr>
              <w:pStyle w:val="Default1"/>
              <w:rPr>
                <w:rFonts w:ascii="宋体" w:hAnsi="宋体" w:hint="default"/>
                <w:sz w:val="21"/>
                <w:szCs w:val="21"/>
              </w:rPr>
            </w:pPr>
            <w:r>
              <w:rPr>
                <w:rFonts w:ascii="宋体" w:hAnsi="宋体"/>
                <w:sz w:val="21"/>
                <w:szCs w:val="21"/>
              </w:rPr>
              <w:t>地震：本项目建构筑物按照抗震烈度8度设防。</w:t>
            </w:r>
          </w:p>
        </w:tc>
        <w:tc>
          <w:tcPr>
            <w:tcW w:w="2268" w:type="dxa"/>
            <w:vMerge w:val="restart"/>
            <w:shd w:val="clear" w:color="auto" w:fill="auto"/>
          </w:tcPr>
          <w:p w:rsidR="003F13AB" w:rsidRDefault="00EC6E7E">
            <w:pPr>
              <w:spacing w:line="240" w:lineRule="auto"/>
              <w:ind w:firstLineChars="0" w:firstLine="0"/>
              <w:rPr>
                <w:rFonts w:ascii="宋体" w:hAnsi="宋体" w:cs="宋体"/>
                <w:color w:val="auto"/>
                <w:sz w:val="21"/>
                <w:szCs w:val="21"/>
              </w:rPr>
            </w:pPr>
            <w:r>
              <w:rPr>
                <w:rFonts w:ascii="宋体" w:hAnsi="宋体" w:cs="宋体"/>
                <w:color w:val="auto"/>
                <w:sz w:val="21"/>
                <w:szCs w:val="21"/>
              </w:rPr>
              <w:t>由建设方采纳。</w:t>
            </w:r>
          </w:p>
        </w:tc>
        <w:tc>
          <w:tcPr>
            <w:tcW w:w="992" w:type="dxa"/>
            <w:vMerge w:val="restart"/>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sz w:val="21"/>
                <w:szCs w:val="21"/>
              </w:rPr>
            </w:pPr>
            <w:r>
              <w:rPr>
                <w:rFonts w:ascii="宋体" w:hAnsi="宋体" w:hint="eastAsia"/>
                <w:sz w:val="21"/>
                <w:szCs w:val="21"/>
              </w:rPr>
              <w:t>（2）</w:t>
            </w:r>
          </w:p>
        </w:tc>
        <w:tc>
          <w:tcPr>
            <w:tcW w:w="5218" w:type="dxa"/>
            <w:gridSpan w:val="2"/>
            <w:shd w:val="clear" w:color="auto" w:fill="auto"/>
          </w:tcPr>
          <w:p w:rsidR="003F13AB" w:rsidRDefault="00EC6E7E">
            <w:pPr>
              <w:pStyle w:val="Default1"/>
              <w:rPr>
                <w:rFonts w:ascii="宋体" w:hAnsi="宋体" w:hint="default"/>
                <w:sz w:val="21"/>
                <w:szCs w:val="21"/>
              </w:rPr>
            </w:pPr>
            <w:r>
              <w:rPr>
                <w:rFonts w:ascii="宋体" w:hAnsi="宋体"/>
                <w:sz w:val="21"/>
                <w:szCs w:val="21"/>
              </w:rPr>
              <w:t>气温：晋宁区年平均气温14.8℃，最冷月（1月）的平均气温7.9℃，最热月（7月）的平均气温为19.6℃。本项目主要为室内作业和室内生产，气温基本不会对作业人员和生产产生影响。</w:t>
            </w:r>
          </w:p>
        </w:tc>
        <w:tc>
          <w:tcPr>
            <w:tcW w:w="2268" w:type="dxa"/>
            <w:vMerge/>
            <w:shd w:val="clear" w:color="auto" w:fill="auto"/>
          </w:tcPr>
          <w:p w:rsidR="003F13AB" w:rsidRDefault="003F13AB">
            <w:pPr>
              <w:spacing w:line="240" w:lineRule="auto"/>
              <w:ind w:firstLine="420"/>
              <w:rPr>
                <w:rFonts w:ascii="宋体" w:hAnsi="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649" w:type="dxa"/>
            <w:shd w:val="clear" w:color="auto" w:fill="auto"/>
          </w:tcPr>
          <w:p w:rsidR="003F13AB" w:rsidRDefault="00EC6E7E">
            <w:pPr>
              <w:adjustRightInd/>
              <w:spacing w:line="240" w:lineRule="auto"/>
              <w:ind w:firstLineChars="0" w:firstLine="0"/>
              <w:rPr>
                <w:rFonts w:ascii="宋体" w:hAnsi="宋体"/>
                <w:sz w:val="21"/>
                <w:szCs w:val="21"/>
              </w:rPr>
            </w:pPr>
            <w:r>
              <w:rPr>
                <w:rFonts w:ascii="宋体" w:hAnsi="宋体" w:hint="eastAsia"/>
                <w:sz w:val="21"/>
                <w:szCs w:val="21"/>
              </w:rPr>
              <w:t>（3）</w:t>
            </w:r>
          </w:p>
        </w:tc>
        <w:tc>
          <w:tcPr>
            <w:tcW w:w="5218" w:type="dxa"/>
            <w:gridSpan w:val="2"/>
            <w:shd w:val="clear" w:color="auto" w:fill="auto"/>
          </w:tcPr>
          <w:p w:rsidR="003F13AB" w:rsidRDefault="00EC6E7E">
            <w:pPr>
              <w:pStyle w:val="Default1"/>
              <w:rPr>
                <w:rFonts w:ascii="宋体" w:hAnsi="宋体" w:hint="default"/>
                <w:sz w:val="21"/>
                <w:szCs w:val="21"/>
              </w:rPr>
            </w:pPr>
            <w:r>
              <w:rPr>
                <w:rFonts w:ascii="宋体" w:hAnsi="宋体"/>
                <w:sz w:val="21"/>
                <w:szCs w:val="21"/>
              </w:rPr>
              <w:t>雷击：本项目设置采取防雷措施，建设项目设置建筑物防雷接地，电气设备设置保护接地，金属设备、管道设置防雷防静电接地。针对雷击采取的防范措施见本专篇6.4.1.2节相关内容。</w:t>
            </w:r>
          </w:p>
        </w:tc>
        <w:tc>
          <w:tcPr>
            <w:tcW w:w="2268" w:type="dxa"/>
            <w:vMerge/>
            <w:shd w:val="clear" w:color="auto" w:fill="auto"/>
          </w:tcPr>
          <w:p w:rsidR="003F13AB" w:rsidRDefault="003F13AB">
            <w:pPr>
              <w:spacing w:line="240" w:lineRule="auto"/>
              <w:ind w:firstLine="420"/>
              <w:rPr>
                <w:rFonts w:ascii="宋体" w:hAnsi="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649" w:type="dxa"/>
            <w:shd w:val="clear" w:color="auto" w:fill="auto"/>
          </w:tcPr>
          <w:p w:rsidR="003F13AB" w:rsidRDefault="00EC6E7E">
            <w:pPr>
              <w:adjustRightInd/>
              <w:spacing w:line="240" w:lineRule="auto"/>
              <w:ind w:firstLineChars="0" w:firstLine="0"/>
              <w:rPr>
                <w:rFonts w:ascii="宋体" w:hAnsi="宋体"/>
                <w:sz w:val="21"/>
                <w:szCs w:val="21"/>
              </w:rPr>
            </w:pPr>
            <w:r>
              <w:rPr>
                <w:rFonts w:ascii="宋体" w:hAnsi="宋体" w:hint="eastAsia"/>
                <w:sz w:val="21"/>
                <w:szCs w:val="21"/>
              </w:rPr>
              <w:t>（4）</w:t>
            </w:r>
          </w:p>
        </w:tc>
        <w:tc>
          <w:tcPr>
            <w:tcW w:w="5218" w:type="dxa"/>
            <w:gridSpan w:val="2"/>
            <w:shd w:val="clear" w:color="auto" w:fill="auto"/>
          </w:tcPr>
          <w:p w:rsidR="003F13AB" w:rsidRDefault="00EC6E7E">
            <w:pPr>
              <w:pStyle w:val="Default1"/>
              <w:rPr>
                <w:rFonts w:ascii="宋体" w:hAnsi="宋体" w:hint="default"/>
                <w:sz w:val="21"/>
                <w:szCs w:val="21"/>
              </w:rPr>
            </w:pPr>
            <w:r>
              <w:rPr>
                <w:rFonts w:ascii="宋体" w:hAnsi="宋体"/>
                <w:sz w:val="21"/>
                <w:szCs w:val="21"/>
              </w:rPr>
              <w:t>暴雨：本项目实行雨污分流，清洁雨水排入园区雨水管网。</w:t>
            </w:r>
          </w:p>
        </w:tc>
        <w:tc>
          <w:tcPr>
            <w:tcW w:w="2268" w:type="dxa"/>
            <w:vMerge/>
            <w:shd w:val="clear" w:color="auto" w:fill="auto"/>
          </w:tcPr>
          <w:p w:rsidR="003F13AB" w:rsidRDefault="003F13AB">
            <w:pPr>
              <w:adjustRightInd/>
              <w:spacing w:line="240" w:lineRule="auto"/>
              <w:ind w:firstLineChars="0" w:firstLine="0"/>
              <w:rPr>
                <w:rFonts w:ascii="宋体" w:hAnsi="宋体"/>
                <w:color w:val="auto"/>
                <w:sz w:val="21"/>
                <w:szCs w:val="21"/>
              </w:rPr>
            </w:pPr>
          </w:p>
        </w:tc>
        <w:tc>
          <w:tcPr>
            <w:tcW w:w="992"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t>6.4.4其他</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t>6.6.1防物体打击、高处坠落措施</w:t>
            </w:r>
          </w:p>
        </w:tc>
      </w:tr>
      <w:tr w:rsidR="003F13AB">
        <w:tc>
          <w:tcPr>
            <w:tcW w:w="649" w:type="dxa"/>
            <w:shd w:val="clear" w:color="auto" w:fill="auto"/>
          </w:tcPr>
          <w:p w:rsidR="003F13AB" w:rsidRDefault="003F13AB">
            <w:pPr>
              <w:adjustRightInd/>
              <w:spacing w:line="240" w:lineRule="auto"/>
              <w:ind w:firstLineChars="0" w:firstLine="0"/>
              <w:rPr>
                <w:rFonts w:ascii="宋体" w:hAnsi="宋体" w:cs="宋体"/>
                <w:b/>
                <w:color w:val="auto"/>
                <w:sz w:val="21"/>
                <w:szCs w:val="21"/>
              </w:rPr>
            </w:pP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在生产厂房检修和仓库过程中严格按相关检修规程进行检修作业，做好检修时的安全防护，以防止检修过程中发生的物体打击伤害事故。</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在2m以上的作业平台设置防护栏，防护栏高度不低于1.2m。</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防止高塔坠落措施详见4.2.6节。</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由建设方采纳。</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hint="eastAsia"/>
                <w:b/>
                <w:color w:val="auto"/>
                <w:sz w:val="21"/>
                <w:szCs w:val="21"/>
              </w:rPr>
              <w:t>6.6.2防灼烫等安全措施</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对于表面温度大于50℃的工艺管道及设备采取防烫伤措施，用保温材料作隔热处理。考虑到管道的热胀冷缩，</w:t>
            </w:r>
            <w:r>
              <w:rPr>
                <w:rFonts w:ascii="宋体" w:hAnsi="宋体" w:hint="eastAsia"/>
                <w:color w:val="auto"/>
                <w:sz w:val="21"/>
                <w:szCs w:val="21"/>
              </w:rPr>
              <w:lastRenderedPageBreak/>
              <w:t>热力管道安装补偿器。</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lastRenderedPageBreak/>
              <w:t>现场已按安全设施设计设置。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w:t>
            </w:r>
            <w:r>
              <w:rPr>
                <w:rFonts w:ascii="宋体" w:hAnsi="宋体" w:cs="宋体"/>
                <w:color w:val="auto"/>
                <w:sz w:val="21"/>
                <w:szCs w:val="21"/>
              </w:rPr>
              <w:lastRenderedPageBreak/>
              <w:t>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lastRenderedPageBreak/>
              <w:t>（2）</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操作人员配工作服、手套、劳保鞋等劳动防护用品，防止烫伤事故的发生。</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现场已按安全设施设计设置。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对设备转动轴等可能出现烫伤的部位设置防护罩隔离。</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现场已按安全设施设计设置。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（4）</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高温蒸汽管道安全阀</w:t>
            </w:r>
            <w:proofErr w:type="gramStart"/>
            <w:r>
              <w:rPr>
                <w:rFonts w:ascii="宋体" w:hAnsi="宋体" w:hint="eastAsia"/>
                <w:color w:val="auto"/>
                <w:sz w:val="21"/>
                <w:szCs w:val="21"/>
              </w:rPr>
              <w:t>排空口</w:t>
            </w:r>
            <w:proofErr w:type="gramEnd"/>
            <w:r>
              <w:rPr>
                <w:rFonts w:ascii="宋体" w:hAnsi="宋体" w:hint="eastAsia"/>
                <w:color w:val="auto"/>
                <w:sz w:val="21"/>
                <w:szCs w:val="21"/>
              </w:rPr>
              <w:t>引至室外安全区域高空排放。</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现场已按安全设施设计设置。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cs="宋体" w:hint="eastAsia"/>
                <w:b/>
                <w:color w:val="auto"/>
                <w:sz w:val="21"/>
                <w:szCs w:val="21"/>
              </w:rPr>
              <w:t>6.6.3安全色、安全标志</w:t>
            </w:r>
          </w:p>
        </w:tc>
      </w:tr>
      <w:tr w:rsidR="003F13AB">
        <w:trPr>
          <w:trHeight w:val="1658"/>
        </w:trPr>
        <w:tc>
          <w:tcPr>
            <w:tcW w:w="649" w:type="dxa"/>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（1）管线安全标志色与符号</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根据《消防给水及消火栓系统技术规范》（GB50974-2014）、《工业管道的基本识别色、识别符号和安全标识》（GB7231-2003）等规范，本项目管线安全标志色与符号见表6.6-1。</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现场已按安全设施设计设置。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rPr>
          <w:trHeight w:val="8631"/>
        </w:trPr>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lastRenderedPageBreak/>
              <w:t>（2）安全色、安全标志</w:t>
            </w:r>
          </w:p>
        </w:tc>
        <w:tc>
          <w:tcPr>
            <w:tcW w:w="5218" w:type="dxa"/>
            <w:gridSpan w:val="2"/>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1）本项目疏散依托厂区内道路，厂内道路根据交通流量设置交通标志，其设置、位置、形式、尺寸、图案和颜色等均符合《道路交通标志和标线》（GB5768-2009）系列标准的规定。</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2）厂房和仓库设置禁止标志（红色），警告标志（黄色），指令标志（蓝色），提示标志（绿色）。安全警示标志含义明确无误，内容具体且有针对性，设置在醒目且安全的地方，标志清晰持久，通俗易懂。</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3）电气各控制柜设置明显的运行和</w:t>
            </w:r>
            <w:proofErr w:type="gramStart"/>
            <w:r>
              <w:rPr>
                <w:rFonts w:ascii="宋体" w:hAnsi="宋体" w:hint="eastAsia"/>
                <w:color w:val="auto"/>
                <w:sz w:val="21"/>
                <w:szCs w:val="21"/>
              </w:rPr>
              <w:t>非运行</w:t>
            </w:r>
            <w:proofErr w:type="gramEnd"/>
            <w:r>
              <w:rPr>
                <w:rFonts w:ascii="宋体" w:hAnsi="宋体" w:hint="eastAsia"/>
                <w:color w:val="auto"/>
                <w:sz w:val="21"/>
                <w:szCs w:val="21"/>
              </w:rPr>
              <w:t>标志。所有自动或远程控制的设备，其周围有防止人员接近的措施和警告牌。设备运行频繁的地点，设防护装置或悬挂醒目的警告标志，并设立防止触电的安全警示标志。</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4）对存在危险、有害因素的生产部位，按照《安全色》（GB2893—2008）、《安全标志及其使用导则》（GB2894—2008）和《工作场所职业病危害警示标识》（GBZ158—2003）的规定悬持醒目的标志牌。标牌在夜间仍能起到警示作用。消火栓、灭火器、火灾报警等消防用具以及严禁人员进入的危险</w:t>
            </w:r>
            <w:proofErr w:type="gramStart"/>
            <w:r>
              <w:rPr>
                <w:rFonts w:ascii="宋体" w:hAnsi="宋体" w:hint="eastAsia"/>
                <w:color w:val="auto"/>
                <w:sz w:val="21"/>
                <w:szCs w:val="21"/>
              </w:rPr>
              <w:t>操作区</w:t>
            </w:r>
            <w:proofErr w:type="gramEnd"/>
            <w:r>
              <w:rPr>
                <w:rFonts w:ascii="宋体" w:hAnsi="宋体" w:hint="eastAsia"/>
                <w:color w:val="auto"/>
                <w:sz w:val="21"/>
                <w:szCs w:val="21"/>
              </w:rPr>
              <w:t>的护栏采用红色；锅炉房内的安全通道等采用绿色，工具箱、更衣柜等采用绿色。</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5）在机械设备旁设置“防机械伤害”、“严禁以手代替工具”、“严禁设备运转检修”等安全警示标志。</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6）紧急通道和紧急出入口均设置明显的紧急疏散路线标志和指示箭头。</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7）在电气设备中、供电线路上带电作业（无论高压或低压），停电作业时，采取措施让开关不能合闸，同时挂有《禁止合闸，有人工作》的标牌。</w:t>
            </w:r>
          </w:p>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8）生产厂房、锅炉房、丙类仓库、成品仓库、原料仓库内列为禁火区域管理，严禁吸烟和带入火柴、打火机等火种，</w:t>
            </w:r>
            <w:proofErr w:type="gramStart"/>
            <w:r>
              <w:rPr>
                <w:rFonts w:ascii="宋体" w:hAnsi="宋体" w:hint="eastAsia"/>
                <w:color w:val="auto"/>
                <w:sz w:val="21"/>
                <w:szCs w:val="21"/>
              </w:rPr>
              <w:t>禁火区</w:t>
            </w:r>
            <w:proofErr w:type="gramEnd"/>
            <w:r>
              <w:rPr>
                <w:rFonts w:ascii="宋体" w:hAnsi="宋体" w:hint="eastAsia"/>
                <w:color w:val="auto"/>
                <w:sz w:val="21"/>
                <w:szCs w:val="21"/>
              </w:rPr>
              <w:t>设置明显的警告牌。设置醒目的“严禁烟火”、“禁止吸烟”、“闲人不得入内”等安全警示标志。</w:t>
            </w:r>
          </w:p>
        </w:tc>
        <w:tc>
          <w:tcPr>
            <w:tcW w:w="2268" w:type="dxa"/>
            <w:shd w:val="clear" w:color="auto" w:fill="auto"/>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项目疏散依托厂区内道路，厂内道路根据交通流量设置交通标志，其设置、位置、形式、尺寸、图案和颜色等均符合《道路交通标志和标线》（GB5768-2009）系列标准的规定。</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spacing w:line="240" w:lineRule="auto"/>
              <w:ind w:firstLine="422"/>
              <w:rPr>
                <w:rFonts w:ascii="宋体" w:hAnsi="宋体" w:cs="宋体"/>
                <w:color w:val="auto"/>
                <w:sz w:val="21"/>
                <w:szCs w:val="21"/>
              </w:rPr>
            </w:pPr>
            <w:r>
              <w:rPr>
                <w:rFonts w:ascii="宋体" w:hAnsi="宋体" w:hint="eastAsia"/>
                <w:b/>
                <w:bCs/>
                <w:color w:val="auto"/>
                <w:sz w:val="21"/>
                <w:szCs w:val="21"/>
              </w:rPr>
              <w:t>6.6.5个体防护用品配置</w:t>
            </w:r>
          </w:p>
        </w:tc>
      </w:tr>
      <w:tr w:rsidR="003F13AB">
        <w:tc>
          <w:tcPr>
            <w:tcW w:w="764" w:type="dxa"/>
            <w:gridSpan w:val="2"/>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5103" w:type="dxa"/>
            <w:shd w:val="clear" w:color="auto" w:fill="auto"/>
          </w:tcPr>
          <w:p w:rsidR="003F13AB" w:rsidRDefault="00EC6E7E">
            <w:pPr>
              <w:adjustRightInd/>
              <w:snapToGrid/>
              <w:spacing w:line="240" w:lineRule="auto"/>
              <w:ind w:firstLineChars="0" w:firstLine="0"/>
              <w:rPr>
                <w:rFonts w:ascii="宋体" w:hAnsi="宋体"/>
                <w:color w:val="auto"/>
                <w:sz w:val="21"/>
                <w:szCs w:val="21"/>
              </w:rPr>
            </w:pPr>
            <w:r>
              <w:rPr>
                <w:rFonts w:ascii="宋体" w:hAnsi="宋体" w:hint="eastAsia"/>
                <w:color w:val="auto"/>
                <w:sz w:val="21"/>
                <w:szCs w:val="21"/>
              </w:rPr>
              <w:t>根据项目生产岗位接触危害因素的种类、强度以及《个体防护装备配备规范 第1部分：总则》（GB 39800.1-2020），本项目个体防护用品配置情况如下表6.6-2劳动防护用品配置一览表。</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项目已按安全设施设计要求配置个体防护用品。</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b/>
                <w:color w:val="auto"/>
                <w:sz w:val="21"/>
                <w:szCs w:val="21"/>
              </w:rPr>
            </w:pPr>
            <w:r>
              <w:rPr>
                <w:rFonts w:ascii="宋体" w:hAnsi="宋体" w:hint="eastAsia"/>
                <w:b/>
                <w:color w:val="auto"/>
                <w:sz w:val="21"/>
                <w:szCs w:val="21"/>
              </w:rPr>
              <w:t>6.6.6应急救援设施</w:t>
            </w:r>
          </w:p>
        </w:tc>
      </w:tr>
      <w:tr w:rsidR="003F13AB">
        <w:tc>
          <w:tcPr>
            <w:tcW w:w="764" w:type="dxa"/>
            <w:gridSpan w:val="2"/>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针对本项目可能发生的安全事故，主要设置了如表6.6-3 应急救援装置配备一览表的应急救援设施。</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项目已按安全设施设计要求配置应急救援设施。</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b/>
                <w:color w:val="auto"/>
                <w:sz w:val="21"/>
                <w:szCs w:val="21"/>
              </w:rPr>
              <w:t>6.6.7安全管理措施</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消防器材为消防专用，严禁挪做他用。各疏散通道畅通无阻，严禁堆放杂物，并设置明显的标志。</w:t>
            </w:r>
          </w:p>
        </w:tc>
        <w:tc>
          <w:tcPr>
            <w:tcW w:w="2268" w:type="dxa"/>
            <w:vMerge w:val="restart"/>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消防器材为消防专用，未挪做他用。各疏散通道畅通无阻，未堆放杂物，并设置明显的标志。</w:t>
            </w:r>
          </w:p>
          <w:p w:rsidR="003F13AB" w:rsidRDefault="00EC6E7E">
            <w:pPr>
              <w:spacing w:line="240" w:lineRule="auto"/>
              <w:ind w:firstLineChars="0" w:firstLine="0"/>
              <w:rPr>
                <w:rFonts w:ascii="宋体" w:hAnsi="宋体"/>
                <w:color w:val="auto"/>
                <w:sz w:val="21"/>
                <w:szCs w:val="21"/>
              </w:rPr>
            </w:pPr>
            <w:r>
              <w:rPr>
                <w:rFonts w:ascii="宋体" w:hAnsi="宋体" w:cs="宋体" w:hint="eastAsia"/>
                <w:color w:val="auto"/>
                <w:sz w:val="21"/>
                <w:szCs w:val="21"/>
              </w:rPr>
              <w:t>现场</w:t>
            </w:r>
            <w:r>
              <w:rPr>
                <w:rFonts w:ascii="宋体" w:hAnsi="宋体" w:hint="eastAsia"/>
                <w:color w:val="auto"/>
                <w:sz w:val="21"/>
                <w:szCs w:val="21"/>
              </w:rPr>
              <w:t>已按</w:t>
            </w:r>
            <w:proofErr w:type="gramStart"/>
            <w:r>
              <w:rPr>
                <w:rFonts w:ascii="宋体" w:hAnsi="宋体" w:hint="eastAsia"/>
                <w:color w:val="auto"/>
                <w:sz w:val="21"/>
                <w:szCs w:val="21"/>
              </w:rPr>
              <w:t>左述要求</w:t>
            </w:r>
            <w:proofErr w:type="gramEnd"/>
            <w:r>
              <w:rPr>
                <w:rFonts w:ascii="宋体" w:hAnsi="宋体" w:hint="eastAsia"/>
                <w:color w:val="auto"/>
                <w:sz w:val="21"/>
                <w:szCs w:val="21"/>
              </w:rPr>
              <w:t>设置。</w:t>
            </w:r>
          </w:p>
        </w:tc>
        <w:tc>
          <w:tcPr>
            <w:tcW w:w="992" w:type="dxa"/>
            <w:vMerge w:val="restart"/>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蒸汽管道在带</w:t>
            </w:r>
            <w:proofErr w:type="gramStart"/>
            <w:r>
              <w:rPr>
                <w:rFonts w:ascii="宋体" w:hAnsi="宋体" w:hint="eastAsia"/>
                <w:color w:val="auto"/>
                <w:sz w:val="21"/>
                <w:szCs w:val="21"/>
              </w:rPr>
              <w:t>压状态</w:t>
            </w:r>
            <w:proofErr w:type="gramEnd"/>
            <w:r>
              <w:rPr>
                <w:rFonts w:ascii="宋体" w:hAnsi="宋体" w:hint="eastAsia"/>
                <w:color w:val="auto"/>
                <w:sz w:val="21"/>
                <w:szCs w:val="21"/>
              </w:rPr>
              <w:t>下，不准拆卸和紧固气体设备的螺栓及其他紧固件。</w:t>
            </w:r>
          </w:p>
        </w:tc>
        <w:tc>
          <w:tcPr>
            <w:tcW w:w="2268" w:type="dxa"/>
            <w:vMerge/>
            <w:shd w:val="clear" w:color="auto" w:fill="auto"/>
          </w:tcPr>
          <w:p w:rsidR="003F13AB" w:rsidRDefault="003F13AB">
            <w:pPr>
              <w:spacing w:line="240" w:lineRule="auto"/>
              <w:ind w:firstLine="420"/>
              <w:rPr>
                <w:rFonts w:ascii="宋体" w:hAnsi="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（3）</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高处平台、楼梯、通道上不得堆放物品和零部件，确需临时堆放，必须有可靠的防止倾覆、滚动的措施。</w:t>
            </w:r>
          </w:p>
        </w:tc>
        <w:tc>
          <w:tcPr>
            <w:tcW w:w="2268" w:type="dxa"/>
            <w:vMerge/>
            <w:shd w:val="clear" w:color="auto" w:fill="auto"/>
          </w:tcPr>
          <w:p w:rsidR="003F13AB" w:rsidRDefault="003F13AB">
            <w:pPr>
              <w:spacing w:line="240" w:lineRule="auto"/>
              <w:ind w:firstLine="420"/>
              <w:rPr>
                <w:rFonts w:ascii="宋体" w:hAnsi="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（4）</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检维修等临时电气线路执行审批制度。且必须按照《电气安装技术规程》进行布线。</w:t>
            </w:r>
          </w:p>
        </w:tc>
        <w:tc>
          <w:tcPr>
            <w:tcW w:w="2268" w:type="dxa"/>
            <w:vMerge/>
            <w:shd w:val="clear" w:color="auto" w:fill="auto"/>
          </w:tcPr>
          <w:p w:rsidR="003F13AB" w:rsidRDefault="003F13AB">
            <w:pPr>
              <w:spacing w:line="240" w:lineRule="auto"/>
              <w:ind w:firstLine="420"/>
              <w:rPr>
                <w:rFonts w:ascii="宋体" w:hAnsi="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（5）</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建立安全检查制度并严格执行，确保生产装置的正常运行及安全设施的完好有效。</w:t>
            </w:r>
          </w:p>
        </w:tc>
        <w:tc>
          <w:tcPr>
            <w:tcW w:w="2268" w:type="dxa"/>
            <w:vMerge/>
            <w:shd w:val="clear" w:color="auto" w:fill="auto"/>
          </w:tcPr>
          <w:p w:rsidR="003F13AB" w:rsidRDefault="003F13AB">
            <w:pPr>
              <w:spacing w:line="240" w:lineRule="auto"/>
              <w:ind w:firstLine="420"/>
              <w:rPr>
                <w:rFonts w:ascii="宋体" w:hAnsi="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（6）</w:t>
            </w:r>
          </w:p>
        </w:tc>
        <w:tc>
          <w:tcPr>
            <w:tcW w:w="5103"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项目职工应做到“三懂”、“三会”、“四能”（三懂：懂得本岗位生产过程中的火灾危险性；懂得预防火灾的措施；懂得扑救火灾的方法。三会：会报警、会使用消防器材、会扑救火灾。四能：能宣传、能检查、能及时发现和整改火险、能有效扑救初期火灾。），以便在面对紧急情况时，能够迅速、正确地</w:t>
            </w:r>
            <w:proofErr w:type="gramStart"/>
            <w:r>
              <w:rPr>
                <w:rFonts w:ascii="宋体" w:hAnsi="宋体" w:hint="eastAsia"/>
                <w:color w:val="auto"/>
                <w:sz w:val="21"/>
                <w:szCs w:val="21"/>
              </w:rPr>
              <w:t>作出</w:t>
            </w:r>
            <w:proofErr w:type="gramEnd"/>
            <w:r>
              <w:rPr>
                <w:rFonts w:ascii="宋体" w:hAnsi="宋体" w:hint="eastAsia"/>
                <w:color w:val="auto"/>
                <w:sz w:val="21"/>
                <w:szCs w:val="21"/>
              </w:rPr>
              <w:t>处置。</w:t>
            </w:r>
          </w:p>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定期对存储场所的用电设备、通风设备、搬运工具、防火和防毒器具、消防设备进行检查，发现问题及时处理。电气设备应聘请电工进行检修，不能由无证人员进行检修。</w:t>
            </w:r>
          </w:p>
        </w:tc>
        <w:tc>
          <w:tcPr>
            <w:tcW w:w="2268" w:type="dxa"/>
            <w:vMerge/>
            <w:shd w:val="clear" w:color="auto" w:fill="auto"/>
          </w:tcPr>
          <w:p w:rsidR="003F13AB" w:rsidRDefault="003F13AB">
            <w:pPr>
              <w:adjustRightInd/>
              <w:spacing w:line="240" w:lineRule="auto"/>
              <w:ind w:firstLineChars="0" w:firstLine="0"/>
              <w:rPr>
                <w:rFonts w:ascii="宋体" w:hAnsi="宋体"/>
                <w:color w:val="auto"/>
                <w:sz w:val="21"/>
                <w:szCs w:val="21"/>
              </w:rPr>
            </w:pPr>
          </w:p>
        </w:tc>
        <w:tc>
          <w:tcPr>
            <w:tcW w:w="992"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r>
      <w:tr w:rsidR="003F13AB">
        <w:tc>
          <w:tcPr>
            <w:tcW w:w="9127" w:type="dxa"/>
            <w:gridSpan w:val="5"/>
            <w:shd w:val="clear" w:color="auto" w:fill="auto"/>
          </w:tcPr>
          <w:p w:rsidR="003F13AB" w:rsidRDefault="00EC6E7E">
            <w:pPr>
              <w:keepNext/>
              <w:keepLines/>
              <w:adjustRightInd/>
              <w:snapToGrid/>
              <w:spacing w:line="240" w:lineRule="auto"/>
              <w:ind w:firstLineChars="0" w:firstLine="0"/>
              <w:outlineLvl w:val="2"/>
              <w:rPr>
                <w:rFonts w:ascii="宋体" w:hAnsi="宋体" w:cs="宋体"/>
                <w:color w:val="auto"/>
                <w:sz w:val="21"/>
                <w:szCs w:val="21"/>
              </w:rPr>
            </w:pPr>
            <w:bookmarkStart w:id="310" w:name="_Toc187914503"/>
            <w:r>
              <w:rPr>
                <w:rFonts w:ascii="宋体" w:hAnsi="宋体" w:hint="eastAsia"/>
                <w:b/>
                <w:bCs/>
                <w:color w:val="auto"/>
                <w:sz w:val="21"/>
                <w:szCs w:val="21"/>
              </w:rPr>
              <w:t>6.6.8储存安全措施</w:t>
            </w:r>
            <w:bookmarkEnd w:id="310"/>
          </w:p>
        </w:tc>
      </w:tr>
      <w:tr w:rsidR="003F13AB">
        <w:tc>
          <w:tcPr>
            <w:tcW w:w="649" w:type="dxa"/>
            <w:shd w:val="clear" w:color="auto" w:fill="auto"/>
          </w:tcPr>
          <w:p w:rsidR="003F13AB" w:rsidRDefault="003F13AB">
            <w:pPr>
              <w:adjustRightInd/>
              <w:spacing w:line="240" w:lineRule="auto"/>
              <w:ind w:firstLineChars="0" w:firstLine="0"/>
              <w:rPr>
                <w:rFonts w:ascii="宋体" w:hAnsi="宋体"/>
                <w:color w:val="auto"/>
                <w:kern w:val="0"/>
                <w:sz w:val="21"/>
                <w:szCs w:val="21"/>
              </w:rPr>
            </w:pP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成品仓库、丙类仓库、原料仓库的涉及的尿素、成品、原料等不属于危险化学品，但储存量较大，发生事故容易扩散，损失较大，故物品储存按照《危险化学品仓库储存通则》（GB15603-2022）的要求进行储存。</w:t>
            </w:r>
          </w:p>
          <w:p w:rsidR="003F13AB" w:rsidRDefault="00EC6E7E">
            <w:pPr>
              <w:adjustRightIn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同仓库不同种类的物品之间不属于禁忌物品，采用隔离储存的方式。仓库堆垛间距满足以下要求：（1）主通道大于或等于200cm；（2）</w:t>
            </w:r>
            <w:proofErr w:type="gramStart"/>
            <w:r>
              <w:rPr>
                <w:rFonts w:ascii="宋体" w:hAnsi="宋体" w:hint="eastAsia"/>
                <w:color w:val="auto"/>
                <w:kern w:val="0"/>
                <w:sz w:val="21"/>
                <w:szCs w:val="21"/>
              </w:rPr>
              <w:t>墙距大于</w:t>
            </w:r>
            <w:proofErr w:type="gramEnd"/>
            <w:r>
              <w:rPr>
                <w:rFonts w:ascii="宋体" w:hAnsi="宋体" w:hint="eastAsia"/>
                <w:color w:val="auto"/>
                <w:kern w:val="0"/>
                <w:sz w:val="21"/>
                <w:szCs w:val="21"/>
              </w:rPr>
              <w:t>或等于50cm；（3）</w:t>
            </w:r>
            <w:proofErr w:type="gramStart"/>
            <w:r>
              <w:rPr>
                <w:rFonts w:ascii="宋体" w:hAnsi="宋体" w:hint="eastAsia"/>
                <w:color w:val="auto"/>
                <w:kern w:val="0"/>
                <w:sz w:val="21"/>
                <w:szCs w:val="21"/>
              </w:rPr>
              <w:t>柱距大于</w:t>
            </w:r>
            <w:proofErr w:type="gramEnd"/>
            <w:r>
              <w:rPr>
                <w:rFonts w:ascii="宋体" w:hAnsi="宋体" w:hint="eastAsia"/>
                <w:color w:val="auto"/>
                <w:kern w:val="0"/>
                <w:sz w:val="21"/>
                <w:szCs w:val="21"/>
              </w:rPr>
              <w:t>或等于30cm；（4）</w:t>
            </w:r>
            <w:proofErr w:type="gramStart"/>
            <w:r>
              <w:rPr>
                <w:rFonts w:ascii="宋体" w:hAnsi="宋体" w:hint="eastAsia"/>
                <w:color w:val="auto"/>
                <w:kern w:val="0"/>
                <w:sz w:val="21"/>
                <w:szCs w:val="21"/>
              </w:rPr>
              <w:t>跺距大于</w:t>
            </w:r>
            <w:proofErr w:type="gramEnd"/>
            <w:r>
              <w:rPr>
                <w:rFonts w:ascii="宋体" w:hAnsi="宋体" w:hint="eastAsia"/>
                <w:color w:val="auto"/>
                <w:kern w:val="0"/>
                <w:sz w:val="21"/>
                <w:szCs w:val="21"/>
              </w:rPr>
              <w:t>或等于100cm（每个堆垛的面积不应大于150m2）；（5）灯距大于或等于50cm。</w:t>
            </w:r>
          </w:p>
        </w:tc>
        <w:tc>
          <w:tcPr>
            <w:tcW w:w="2268" w:type="dxa"/>
            <w:shd w:val="clear" w:color="auto" w:fill="auto"/>
          </w:tcPr>
          <w:p w:rsidR="003F13AB" w:rsidRDefault="00EC6E7E">
            <w:pPr>
              <w:adjustRightInd/>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成品仓库、丙类仓库、原料仓库的涉及的尿素、成品、原料等按要求进行储存。</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hint="eastAsia"/>
                <w:b/>
                <w:color w:val="auto"/>
                <w:sz w:val="21"/>
                <w:szCs w:val="21"/>
              </w:rPr>
              <w:t>6.6.9有限空间作业安全措施</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作业前，对有限空间进行安全隔绝，如：与有限空间连通的可能危及安全作业的管道采用插入盲板或拆除一段管道进行隔绝；与有限空间连通的可能危及安全作业的孔、洞进行严密地封堵；有限空间内用电设备的电源有效切断后在电源开关处上锁并加挂警示牌。</w:t>
            </w:r>
          </w:p>
        </w:tc>
        <w:tc>
          <w:tcPr>
            <w:tcW w:w="2268" w:type="dxa"/>
            <w:vMerge w:val="restart"/>
            <w:shd w:val="clear" w:color="auto" w:fill="auto"/>
          </w:tcPr>
          <w:p w:rsidR="003F13AB" w:rsidRDefault="00EC6E7E">
            <w:pPr>
              <w:spacing w:line="240" w:lineRule="auto"/>
              <w:ind w:firstLineChars="0" w:firstLine="0"/>
              <w:rPr>
                <w:rFonts w:ascii="宋体" w:hAnsi="宋体" w:cs="宋体"/>
                <w:color w:val="auto"/>
                <w:sz w:val="21"/>
                <w:szCs w:val="21"/>
              </w:rPr>
            </w:pPr>
            <w:r>
              <w:rPr>
                <w:rFonts w:ascii="宋体" w:hAnsi="宋体" w:cs="宋体" w:hint="eastAsia"/>
                <w:color w:val="auto"/>
                <w:sz w:val="21"/>
                <w:szCs w:val="21"/>
              </w:rPr>
              <w:t>已对企业制定有限空间作业做出相关补充要求。</w:t>
            </w:r>
          </w:p>
          <w:p w:rsidR="003F13AB" w:rsidRDefault="003F13AB">
            <w:pPr>
              <w:spacing w:line="240" w:lineRule="auto"/>
              <w:ind w:firstLineChars="0" w:firstLine="0"/>
              <w:rPr>
                <w:rFonts w:ascii="宋体" w:hAnsi="宋体" w:cs="宋体"/>
                <w:color w:val="auto"/>
                <w:sz w:val="21"/>
                <w:szCs w:val="21"/>
              </w:rPr>
            </w:pPr>
          </w:p>
        </w:tc>
        <w:tc>
          <w:tcPr>
            <w:tcW w:w="992" w:type="dxa"/>
            <w:vMerge w:val="restart"/>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（2）</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作业前，根据有限空间盛装（过）的物料特性，对有限空间进行清洗或置换，达到如下要求：氧含量一般为19.5%～23.5%；有毒气体（物质）浓度应符合GBZ2.1的规定；可燃气体浓度应根据可燃气体类别确定，在使用可燃气体检测报警仪或其他类似手段检测时，被测气体或蒸汽浓度应小于或等于爆炸下限的20%（体积分数）；使用其他分析手段时，应根据可燃气体类别确定，保证当被测气体或蒸汽的爆炸下限大于或等于4％时，其被测浓度应不大于0.5％（体积分数）；当被测气体或蒸汽的爆炸下限小于4％时，其被测浓度应不大于0.2％。</w:t>
            </w:r>
          </w:p>
        </w:tc>
        <w:tc>
          <w:tcPr>
            <w:tcW w:w="2268" w:type="dxa"/>
            <w:vMerge/>
            <w:shd w:val="clear" w:color="auto" w:fill="auto"/>
          </w:tcPr>
          <w:p w:rsidR="003F13AB" w:rsidRDefault="003F13AB">
            <w:pPr>
              <w:spacing w:line="240" w:lineRule="auto"/>
              <w:ind w:firstLine="42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（3）</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保持有限空间空气流通良好，采取如下措施：打开人孔、手孔、</w:t>
            </w:r>
            <w:proofErr w:type="gramStart"/>
            <w:r>
              <w:rPr>
                <w:rFonts w:ascii="宋体" w:hAnsi="宋体" w:hint="eastAsia"/>
                <w:color w:val="auto"/>
                <w:sz w:val="21"/>
                <w:szCs w:val="21"/>
              </w:rPr>
              <w:t>料孔等</w:t>
            </w:r>
            <w:proofErr w:type="gramEnd"/>
            <w:r>
              <w:rPr>
                <w:rFonts w:ascii="宋体" w:hAnsi="宋体" w:hint="eastAsia"/>
                <w:color w:val="auto"/>
                <w:sz w:val="21"/>
                <w:szCs w:val="21"/>
              </w:rPr>
              <w:t>与大气相通的设施进行自然通风；必要时，应采用风机强制通风或管道送风，管道送风前应对管道内介质和风源进行分析确认。</w:t>
            </w:r>
          </w:p>
        </w:tc>
        <w:tc>
          <w:tcPr>
            <w:tcW w:w="2268" w:type="dxa"/>
            <w:vMerge/>
            <w:shd w:val="clear" w:color="auto" w:fill="auto"/>
          </w:tcPr>
          <w:p w:rsidR="003F13AB" w:rsidRDefault="003F13AB">
            <w:pPr>
              <w:spacing w:line="240" w:lineRule="auto"/>
              <w:ind w:firstLine="42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（4）</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进入易燃易爆的有限空间作业时，</w:t>
            </w:r>
            <w:proofErr w:type="gramStart"/>
            <w:r>
              <w:rPr>
                <w:rFonts w:ascii="宋体" w:hAnsi="宋体" w:hint="eastAsia"/>
                <w:color w:val="auto"/>
                <w:sz w:val="21"/>
                <w:szCs w:val="21"/>
              </w:rPr>
              <w:t>穿防静电</w:t>
            </w:r>
            <w:proofErr w:type="gramEnd"/>
            <w:r>
              <w:rPr>
                <w:rFonts w:ascii="宋体" w:hAnsi="宋体" w:hint="eastAsia"/>
                <w:color w:val="auto"/>
                <w:sz w:val="21"/>
                <w:szCs w:val="21"/>
              </w:rPr>
              <w:t>工作服及防静电工作鞋，使用防爆型低压灯具及防爆工具；缺氧或有毒的有限空间经清洗或置换达不到要求时，佩戴隔离式防护面具，</w:t>
            </w:r>
            <w:proofErr w:type="gramStart"/>
            <w:r>
              <w:rPr>
                <w:rFonts w:ascii="宋体" w:hAnsi="宋体" w:hint="eastAsia"/>
                <w:color w:val="auto"/>
                <w:sz w:val="21"/>
                <w:szCs w:val="21"/>
              </w:rPr>
              <w:t>拴带救生绳</w:t>
            </w:r>
            <w:proofErr w:type="gramEnd"/>
            <w:r>
              <w:rPr>
                <w:rFonts w:ascii="宋体" w:hAnsi="宋体" w:hint="eastAsia"/>
                <w:color w:val="auto"/>
                <w:sz w:val="21"/>
                <w:szCs w:val="21"/>
              </w:rPr>
              <w:t>后方可进入；</w:t>
            </w:r>
          </w:p>
        </w:tc>
        <w:tc>
          <w:tcPr>
            <w:tcW w:w="2268" w:type="dxa"/>
            <w:vMerge/>
            <w:shd w:val="clear" w:color="auto" w:fill="auto"/>
          </w:tcPr>
          <w:p w:rsidR="003F13AB" w:rsidRDefault="003F13AB">
            <w:pPr>
              <w:spacing w:line="240" w:lineRule="auto"/>
              <w:ind w:firstLine="420"/>
              <w:rPr>
                <w:rFonts w:ascii="宋体" w:hAnsi="宋体" w:cs="宋体"/>
                <w:color w:val="auto"/>
                <w:sz w:val="21"/>
                <w:szCs w:val="21"/>
              </w:rPr>
            </w:pPr>
          </w:p>
        </w:tc>
        <w:tc>
          <w:tcPr>
            <w:tcW w:w="992" w:type="dxa"/>
            <w:vMerge/>
            <w:shd w:val="clear" w:color="auto" w:fill="auto"/>
          </w:tcPr>
          <w:p w:rsidR="003F13AB" w:rsidRDefault="003F13AB">
            <w:pPr>
              <w:spacing w:line="240" w:lineRule="auto"/>
              <w:ind w:firstLine="420"/>
              <w:rPr>
                <w:rFonts w:ascii="宋体" w:hAnsi="宋体" w:cs="宋体"/>
                <w:color w:val="auto"/>
                <w:sz w:val="21"/>
                <w:szCs w:val="21"/>
              </w:rPr>
            </w:pPr>
          </w:p>
        </w:tc>
      </w:tr>
      <w:tr w:rsidR="003F13AB">
        <w:tc>
          <w:tcPr>
            <w:tcW w:w="649"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（5）</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有限空间内照明及用电安全要求符合以下要求：有限空间照明电压应小于等于36V，在潮湿容器、狭小容器内作业电压应小于等于12V；在潮湿容器中，作业人员应</w:t>
            </w:r>
            <w:r>
              <w:rPr>
                <w:rFonts w:ascii="宋体" w:hAnsi="宋体" w:hint="eastAsia"/>
                <w:color w:val="auto"/>
                <w:sz w:val="21"/>
                <w:szCs w:val="21"/>
              </w:rPr>
              <w:lastRenderedPageBreak/>
              <w:t>站在绝缘板上，同时保证金属容器接地可靠。</w:t>
            </w:r>
          </w:p>
        </w:tc>
        <w:tc>
          <w:tcPr>
            <w:tcW w:w="2268"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c>
          <w:tcPr>
            <w:tcW w:w="992"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（6）</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在有限空间外设专人监护；在风险较大的有限空间作业，设监护人员，保持与有限空间内作业人员联络。</w:t>
            </w:r>
          </w:p>
        </w:tc>
        <w:tc>
          <w:tcPr>
            <w:tcW w:w="2268" w:type="dxa"/>
            <w:vMerge/>
            <w:shd w:val="clear" w:color="auto" w:fill="auto"/>
          </w:tcPr>
          <w:p w:rsidR="003F13AB" w:rsidRDefault="003F13AB">
            <w:pPr>
              <w:adjustRightInd/>
              <w:spacing w:line="240" w:lineRule="auto"/>
              <w:ind w:firstLineChars="0" w:firstLine="0"/>
              <w:rPr>
                <w:rFonts w:ascii="宋体" w:hAnsi="宋体"/>
                <w:color w:val="auto"/>
                <w:sz w:val="21"/>
                <w:szCs w:val="21"/>
              </w:rPr>
            </w:pPr>
          </w:p>
        </w:tc>
        <w:tc>
          <w:tcPr>
            <w:tcW w:w="992"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r>
      <w:tr w:rsidR="003F13AB">
        <w:tc>
          <w:tcPr>
            <w:tcW w:w="649"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（7）</w:t>
            </w:r>
          </w:p>
        </w:tc>
        <w:tc>
          <w:tcPr>
            <w:tcW w:w="5218"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有限空间外设置安全警示标志，配备空气呼吸器(氧气呼吸器)、消防器材和清水等相应的应急用品；作业前后及时清点作业人员和作业工器具；难度大、劳动强度大、时间长的有限空间作业采取轮换作业方式；作业结束后，充分检查有限空间内外再封闭有限空间。</w:t>
            </w:r>
          </w:p>
        </w:tc>
        <w:tc>
          <w:tcPr>
            <w:tcW w:w="2268" w:type="dxa"/>
            <w:vMerge/>
            <w:shd w:val="clear" w:color="auto" w:fill="auto"/>
          </w:tcPr>
          <w:p w:rsidR="003F13AB" w:rsidRDefault="003F13AB">
            <w:pPr>
              <w:adjustRightInd/>
              <w:spacing w:line="240" w:lineRule="auto"/>
              <w:ind w:firstLineChars="0" w:firstLine="0"/>
              <w:rPr>
                <w:rFonts w:ascii="宋体" w:hAnsi="宋体"/>
                <w:color w:val="auto"/>
                <w:sz w:val="21"/>
                <w:szCs w:val="21"/>
              </w:rPr>
            </w:pPr>
          </w:p>
        </w:tc>
        <w:tc>
          <w:tcPr>
            <w:tcW w:w="992" w:type="dxa"/>
            <w:vMerge/>
            <w:shd w:val="clear" w:color="auto" w:fill="auto"/>
          </w:tcPr>
          <w:p w:rsidR="003F13AB" w:rsidRDefault="003F13AB">
            <w:pPr>
              <w:adjustRightInd/>
              <w:spacing w:line="240" w:lineRule="auto"/>
              <w:ind w:firstLineChars="0" w:firstLine="0"/>
              <w:rPr>
                <w:rFonts w:ascii="宋体" w:hAnsi="宋体" w:cs="宋体"/>
                <w:color w:val="auto"/>
                <w:sz w:val="21"/>
                <w:szCs w:val="21"/>
              </w:rPr>
            </w:pPr>
          </w:p>
        </w:tc>
      </w:tr>
      <w:tr w:rsidR="003F13AB">
        <w:tc>
          <w:tcPr>
            <w:tcW w:w="9127" w:type="dxa"/>
            <w:gridSpan w:val="5"/>
            <w:shd w:val="clear" w:color="auto" w:fill="auto"/>
          </w:tcPr>
          <w:p w:rsidR="003F13AB" w:rsidRDefault="00EC6E7E">
            <w:pPr>
              <w:adjustRightInd/>
              <w:spacing w:line="240" w:lineRule="auto"/>
              <w:ind w:firstLineChars="0" w:firstLine="0"/>
              <w:rPr>
                <w:rFonts w:ascii="宋体" w:hAnsi="宋体" w:cs="宋体"/>
                <w:b/>
                <w:color w:val="auto"/>
                <w:sz w:val="21"/>
                <w:szCs w:val="21"/>
              </w:rPr>
            </w:pPr>
            <w:r>
              <w:rPr>
                <w:rFonts w:ascii="宋体" w:hAnsi="宋体" w:hint="eastAsia"/>
                <w:b/>
                <w:color w:val="auto"/>
                <w:sz w:val="21"/>
                <w:szCs w:val="21"/>
              </w:rPr>
              <w:t>6.6.9施工期间安全措施</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建设单位与施工单位应签订施工期间安全管理协议。</w:t>
            </w:r>
          </w:p>
        </w:tc>
        <w:tc>
          <w:tcPr>
            <w:tcW w:w="2268"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olor w:val="auto"/>
                <w:sz w:val="21"/>
                <w:szCs w:val="21"/>
              </w:rPr>
              <w:t>建设单位与施工单位签订施工期间安全管理协议。</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（2）</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在施工过程中施工人员必须严格遵守三大纪律：进现场戴好安全帽，上高空系好安全带，严禁高空落物。</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在施工过程中施工人员严格遵守三大纪律。</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（3）</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特种作业人员：起重工、电焊工、电工、架子工、机动车驾驶员等必须持证上岗。</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特种作业人员持证上岗。</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（4）</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无损检测人员应取得相应的资格。</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无损检测人员取得相应的资格。</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（5）</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公司工程施工应按工程设计文件及工艺设备、电气仪表的产品保用说明书进行，需修改设计或材料代用时，应有设计单位变更设计的书面文件或经设计单位同意的设计变更书面文件。</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公司工程施工按工程设计文件及工艺设备、电气仪表的产品保用说明书进行。</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（6）</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施工单位应编制施工方案，并应在施工前进行设计交底和技术交底。施工方案</w:t>
            </w:r>
            <w:proofErr w:type="gramStart"/>
            <w:r>
              <w:rPr>
                <w:rFonts w:ascii="宋体" w:hAnsi="宋体"/>
                <w:color w:val="auto"/>
                <w:kern w:val="2"/>
                <w:sz w:val="21"/>
                <w:szCs w:val="21"/>
              </w:rPr>
              <w:t>宜包括</w:t>
            </w:r>
            <w:proofErr w:type="gramEnd"/>
            <w:r>
              <w:rPr>
                <w:rFonts w:ascii="宋体" w:hAnsi="宋体"/>
                <w:color w:val="auto"/>
                <w:kern w:val="2"/>
                <w:sz w:val="21"/>
                <w:szCs w:val="21"/>
              </w:rPr>
              <w:t>下列内容：</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1）工程概况；</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2）施工部署；</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3）施工进度计划；</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4）资源配置计划；</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5）主要施工方法和质量标准；</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6）质量保证措施和安全保证措施；</w:t>
            </w:r>
          </w:p>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7）施工平面布置。</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施工单位编制施工方案，并在施工前进行设计交底和技术交底。</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（7）</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施工用设备、检测设备性能应可靠，计量器具应经过检定，处于合格状态，并应在有效检定期内。</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施工用设备、检测设备性能可靠，计量器具经过检定，处于合格状态。</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（8）</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公司施工应做好施工记录，其中隐蔽工程施工记录应有建设或监理单位代表确定签字。</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公司施工做了施工记录，隐蔽工程施工记录有建设单位代表确定签字。</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（9）</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当在敷设地下管道、线缆的地段进行土石方作业时，应采取安全施工措施。</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在敷设地下管道、线缆的地段进行土石方作业时，采取安全施工措施。</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（10）</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在工程建设期间，必须遵守“生产经营单位新建、改</w:t>
            </w:r>
            <w:r>
              <w:rPr>
                <w:rFonts w:ascii="宋体" w:hAnsi="宋体"/>
                <w:color w:val="auto"/>
                <w:kern w:val="2"/>
                <w:sz w:val="21"/>
                <w:szCs w:val="21"/>
              </w:rPr>
              <w:lastRenderedPageBreak/>
              <w:t>建、扩建工程的安全设施必须与主体工程同时设计、同时施工、同时投入生产和使用”的安全规定。</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lastRenderedPageBreak/>
              <w:t>在工程建设期间，遵守</w:t>
            </w:r>
            <w:r>
              <w:rPr>
                <w:rFonts w:ascii="宋体" w:hAnsi="宋体"/>
                <w:color w:val="auto"/>
                <w:sz w:val="21"/>
                <w:szCs w:val="21"/>
              </w:rPr>
              <w:lastRenderedPageBreak/>
              <w:t>“生产经营单位新建、改建、扩建工程的安全设施必须与主体工程同时设计、同时施工、同时投入生产和使用”的安全规定。</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lastRenderedPageBreak/>
              <w:t>已</w:t>
            </w:r>
            <w:proofErr w:type="gramStart"/>
            <w:r>
              <w:rPr>
                <w:rFonts w:ascii="宋体" w:hAnsi="宋体" w:cs="宋体"/>
                <w:color w:val="auto"/>
                <w:sz w:val="21"/>
                <w:szCs w:val="21"/>
              </w:rPr>
              <w:t>按设</w:t>
            </w:r>
            <w:r>
              <w:rPr>
                <w:rFonts w:ascii="宋体" w:hAnsi="宋体" w:cs="宋体"/>
                <w:color w:val="auto"/>
                <w:sz w:val="21"/>
                <w:szCs w:val="21"/>
              </w:rPr>
              <w:lastRenderedPageBreak/>
              <w:t>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lastRenderedPageBreak/>
              <w:t>（11）</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建设单位应认真学习，严格贯彻执行《建设工程安全生产管理条例》（国务院令第393号），并对设计单位、施工单位、监理单位加强安全生产管理，按有关规定进行审查，明确安全生产责任，制定相应的施工安全管理方案，责成施工单位制定应急预案。</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由建设单位采纳。</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（12）</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施工期中主要的危险、有害因素有高处坠落、坍塌、机械伤害、物体打击、车辆伤害、起重伤害、灼烫、触电及火灾等危险因素和粉尘、噪声等危害因素。公司的施工、安装、检修单位必须具有设备、设施的施工、安装、检修资质。</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公司的施工、安装、检修单位具有设备、设施的施工、安装、检修资质。</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（13）</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施工场所应符合施工现场的一般规定：施工总平面布置应符合国家防火、工业卫生等有关规定；施工现场排水设施应全面规划，以保证施工期场地排水需要；施工场所应做到整洁、规整。垃圾，废料应及时清除，做到“工完、料尽、场地清”，坚持文明施工。在高处清扫的垃圾和废料，不得向下抛掷，进入施工现场的人员必须正确佩戴安全帽，严禁酒后进入施工现场。</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由建设单位与施工单位采纳。</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（14）</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起重作业应符合起重工作的一般规定：起重作业的指挥和操作人员必须由专业人员担任，起重设备在使用前应对其安全装置进行检查，保证其灵敏有效；起重机吊运重物时一般应走吊运通道；不明重量、埋在地下的物料不得起吊；禁止重物在空中长时间停留；风力6级及6级以上时，不得进行起重作业；大雪、大雾、雷雨等恶劣天气或照明不足导致信号不明时，不得进行起重作业。</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起重作业符合起重工作的一般规定。</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（15）</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施工现场的道路应坚实、平坦，双车道宽度不得小于6m，单车道宽度不得小于3.5m，载重汽车的弯道半径一般不得小于9m。</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施工现场的道路坚实、平坦。</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（16）</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施工期用电应符合施工用电的一般规定：施工用电的布设应按已批准的施工组织设计进行，并符合当地供电局的有关规定，不得任意接线、施工用电设施竣工后应该经过验收合格后方可投入使用。施工用电应明确管理机构并由专业班组负责运行及维护；严禁非电工拆装施工用电设施；施工用电设施投入使用前，应制定运行、维护、使用、检修等管理制度。</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施工期用电符合施工用电的一般规定。</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（17）</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高处作业人员应进行体格检查，体检合格者方可从事高处作业；高处作业平台、走道、斜道等应装设1.05m高的防护栏杆和18cm高挡脚板或设防护立网；高处作业使用的脚手架，梯子及安全防护网应符合相应的规定，在恶劣天气时应停止室外高处作业，高处作业必须系好安全带，安全带应挂在上方的牢固可靠处。</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由建设单位与施工单位采纳。</w:t>
            </w:r>
          </w:p>
        </w:tc>
        <w:tc>
          <w:tcPr>
            <w:tcW w:w="992" w:type="dxa"/>
            <w:shd w:val="clear" w:color="auto" w:fill="auto"/>
          </w:tcPr>
          <w:p w:rsidR="003F13AB" w:rsidRDefault="00EC6E7E">
            <w:pPr>
              <w:spacing w:line="240" w:lineRule="auto"/>
              <w:ind w:firstLineChars="0" w:firstLine="0"/>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（18）</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高处禁止倾倒垃圾、废物等，在通道上方应加装硬制防护顶，通道应避开上方有作业地区。</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由建设单位与施工单位采纳。</w:t>
            </w:r>
          </w:p>
        </w:tc>
        <w:tc>
          <w:tcPr>
            <w:tcW w:w="992" w:type="dxa"/>
            <w:shd w:val="clear" w:color="auto" w:fill="auto"/>
          </w:tcPr>
          <w:p w:rsidR="003F13AB" w:rsidRDefault="00EC6E7E">
            <w:pPr>
              <w:spacing w:line="240" w:lineRule="auto"/>
              <w:ind w:firstLineChars="0" w:firstLine="0"/>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w:t>
            </w:r>
            <w:r>
              <w:rPr>
                <w:rFonts w:ascii="宋体" w:hAnsi="宋体" w:cs="宋体"/>
                <w:color w:val="auto"/>
                <w:sz w:val="21"/>
                <w:szCs w:val="21"/>
              </w:rPr>
              <w:lastRenderedPageBreak/>
              <w:t>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（19）</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施工过程中工程运输量大，周围道路交通繁忙，施工单位应充分考虑运输对施工进度和安全的影响，设置安全标志，合理安排工作时间和工作任务。</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由建设单位与施工单位采纳。</w:t>
            </w:r>
          </w:p>
        </w:tc>
        <w:tc>
          <w:tcPr>
            <w:tcW w:w="992" w:type="dxa"/>
            <w:shd w:val="clear" w:color="auto" w:fill="auto"/>
          </w:tcPr>
          <w:p w:rsidR="003F13AB" w:rsidRDefault="00EC6E7E">
            <w:pPr>
              <w:spacing w:line="240" w:lineRule="auto"/>
              <w:ind w:firstLineChars="0" w:firstLine="0"/>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（20）</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施工场地在夜间施工或光线不好的地方应加装照明设施。</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由建设单位与施工单位采纳。</w:t>
            </w:r>
          </w:p>
        </w:tc>
        <w:tc>
          <w:tcPr>
            <w:tcW w:w="992" w:type="dxa"/>
            <w:shd w:val="clear" w:color="auto" w:fill="auto"/>
          </w:tcPr>
          <w:p w:rsidR="003F13AB" w:rsidRDefault="00EC6E7E">
            <w:pPr>
              <w:spacing w:line="240" w:lineRule="auto"/>
              <w:ind w:firstLineChars="0" w:firstLine="0"/>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hint="eastAsia"/>
                <w:color w:val="auto"/>
                <w:sz w:val="21"/>
                <w:szCs w:val="21"/>
              </w:rPr>
              <w:t>（21）</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各种机械设备应定期进行检查，发现问题及时解决，机械设备在使用时严格遵照操作规程操作，尽量减少误操作以防止机械伤害的发生。另外，各种机械设备的安全防护装置应做到灵敏有效。</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由建设单位与施工单位采纳。</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（22）</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做好现场的防火工作，配备必要的消防器材，如干粉灭火器、CO2灭火器等，保证施工现场消防通道畅通无阻。保温材料、各种油类、氧气、乙炔气瓶等现场严禁吸烟，应设立禁烟区标志。非火警严禁动用拆除现场消防器材。用电焊机等设备时，要带好防护眼镜，周围严禁火种或可燃物，防止火花飞溅，防止火灾发生，及时关闭氧气、乙炔阀门或电源。</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由建设单位与施工单位采纳。</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（23）</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施工过程中所有孔、洞、井、池等均应加盖或设防护栏杆。</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施工过程中所有孔、洞、井、池等均加盖或设防护栏杆。</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r w:rsidR="003F13AB">
        <w:tc>
          <w:tcPr>
            <w:tcW w:w="764" w:type="dxa"/>
            <w:gridSpan w:val="2"/>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（24）</w:t>
            </w:r>
          </w:p>
        </w:tc>
        <w:tc>
          <w:tcPr>
            <w:tcW w:w="5103" w:type="dxa"/>
            <w:shd w:val="clear" w:color="auto" w:fill="auto"/>
          </w:tcPr>
          <w:p w:rsidR="003F13AB" w:rsidRDefault="00EC6E7E">
            <w:pPr>
              <w:pStyle w:val="Default1"/>
              <w:rPr>
                <w:rFonts w:ascii="宋体" w:hAnsi="宋体" w:hint="default"/>
                <w:color w:val="auto"/>
                <w:kern w:val="2"/>
                <w:sz w:val="21"/>
                <w:szCs w:val="21"/>
              </w:rPr>
            </w:pPr>
            <w:r>
              <w:rPr>
                <w:rFonts w:ascii="宋体" w:hAnsi="宋体"/>
                <w:color w:val="auto"/>
                <w:kern w:val="2"/>
                <w:sz w:val="21"/>
                <w:szCs w:val="21"/>
              </w:rPr>
              <w:t>在有害场所进行施工作业时，应做好个体防护，对在有害场所工作的施工人员定期进行体检。</w:t>
            </w:r>
          </w:p>
        </w:tc>
        <w:tc>
          <w:tcPr>
            <w:tcW w:w="2268" w:type="dxa"/>
            <w:shd w:val="clear" w:color="auto" w:fill="auto"/>
          </w:tcPr>
          <w:p w:rsidR="003F13AB" w:rsidRDefault="00EC6E7E">
            <w:pPr>
              <w:adjustRightInd/>
              <w:spacing w:line="240" w:lineRule="auto"/>
              <w:ind w:firstLineChars="0" w:firstLine="0"/>
              <w:rPr>
                <w:rFonts w:ascii="宋体" w:hAnsi="宋体"/>
                <w:color w:val="auto"/>
                <w:sz w:val="21"/>
                <w:szCs w:val="21"/>
              </w:rPr>
            </w:pPr>
            <w:r>
              <w:rPr>
                <w:rFonts w:ascii="宋体" w:hAnsi="宋体"/>
                <w:color w:val="auto"/>
                <w:sz w:val="21"/>
                <w:szCs w:val="21"/>
              </w:rPr>
              <w:t>由建设单位与施工单位采纳。</w:t>
            </w:r>
          </w:p>
        </w:tc>
        <w:tc>
          <w:tcPr>
            <w:tcW w:w="992" w:type="dxa"/>
            <w:shd w:val="clear" w:color="auto" w:fill="auto"/>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sz w:val="21"/>
                <w:szCs w:val="21"/>
              </w:rPr>
              <w:t>已</w:t>
            </w:r>
            <w:proofErr w:type="gramStart"/>
            <w:r>
              <w:rPr>
                <w:rFonts w:ascii="宋体" w:hAnsi="宋体" w:cs="宋体"/>
                <w:color w:val="auto"/>
                <w:sz w:val="21"/>
                <w:szCs w:val="21"/>
              </w:rPr>
              <w:t>按设施</w:t>
            </w:r>
            <w:proofErr w:type="gramEnd"/>
            <w:r>
              <w:rPr>
                <w:rFonts w:ascii="宋体" w:hAnsi="宋体" w:cs="宋体"/>
                <w:color w:val="auto"/>
                <w:sz w:val="21"/>
                <w:szCs w:val="21"/>
              </w:rPr>
              <w:t>设计落实，符合。</w:t>
            </w:r>
          </w:p>
        </w:tc>
      </w:tr>
    </w:tbl>
    <w:p w:rsidR="003F13AB" w:rsidRDefault="00EC6E7E">
      <w:pPr>
        <w:ind w:firstLine="560"/>
        <w:rPr>
          <w:color w:val="auto"/>
        </w:rPr>
      </w:pPr>
      <w:bookmarkStart w:id="311" w:name="_Toc3093"/>
      <w:bookmarkStart w:id="312" w:name="_Toc282179558"/>
      <w:bookmarkStart w:id="313" w:name="_Toc7510"/>
      <w:bookmarkStart w:id="314" w:name="_Toc14850"/>
      <w:bookmarkStart w:id="315" w:name="_Toc179725329"/>
      <w:bookmarkStart w:id="316" w:name="_Toc8607"/>
      <w:bookmarkStart w:id="317" w:name="_Toc8485"/>
      <w:bookmarkStart w:id="318" w:name="_Toc13284"/>
      <w:bookmarkStart w:id="319" w:name="_Toc20112"/>
      <w:bookmarkStart w:id="320" w:name="_Toc15716"/>
      <w:bookmarkStart w:id="321" w:name="_Toc9798"/>
      <w:bookmarkStart w:id="322" w:name="_Toc26774"/>
      <w:bookmarkStart w:id="323" w:name="_Toc18825"/>
      <w:bookmarkStart w:id="324" w:name="_Toc3882"/>
      <w:bookmarkStart w:id="325" w:name="_Toc361041800"/>
      <w:bookmarkStart w:id="326" w:name="_Toc16891"/>
      <w:bookmarkStart w:id="327" w:name="_Toc285114026"/>
      <w:bookmarkStart w:id="328" w:name="_Toc360569613"/>
      <w:bookmarkStart w:id="329" w:name="_Toc14503"/>
      <w:r>
        <w:rPr>
          <w:rFonts w:hint="eastAsia"/>
          <w:color w:val="auto"/>
        </w:rPr>
        <w:t>分析评价结果</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olor w:val="auto"/>
        </w:rPr>
        <w:t>：</w:t>
      </w:r>
    </w:p>
    <w:p w:rsidR="003F13AB" w:rsidRDefault="00EC6E7E">
      <w:pPr>
        <w:ind w:firstLine="560"/>
        <w:rPr>
          <w:color w:val="auto"/>
        </w:rPr>
      </w:pPr>
      <w:r>
        <w:rPr>
          <w:rFonts w:hint="eastAsia"/>
          <w:color w:val="auto"/>
        </w:rPr>
        <w:t>对照云南农家乐农业集团有限公司年产</w:t>
      </w:r>
      <w:proofErr w:type="gramStart"/>
      <w:r>
        <w:rPr>
          <w:rFonts w:hint="eastAsia"/>
          <w:color w:val="auto"/>
        </w:rPr>
        <w:t>50</w:t>
      </w:r>
      <w:r>
        <w:rPr>
          <w:rFonts w:hint="eastAsia"/>
          <w:color w:val="auto"/>
        </w:rPr>
        <w:t>万吨缓控释</w:t>
      </w:r>
      <w:proofErr w:type="gramEnd"/>
      <w:r>
        <w:rPr>
          <w:rFonts w:hint="eastAsia"/>
          <w:color w:val="auto"/>
        </w:rPr>
        <w:t>肥料、水溶肥料、专用肥料生产基地建设项目安全设施设计第</w:t>
      </w:r>
      <w:r>
        <w:rPr>
          <w:rFonts w:hint="eastAsia"/>
          <w:color w:val="auto"/>
        </w:rPr>
        <w:t>6</w:t>
      </w:r>
      <w:r>
        <w:rPr>
          <w:rFonts w:hint="eastAsia"/>
          <w:color w:val="auto"/>
        </w:rPr>
        <w:t>章提出的安全对策与措施分析，不符合项已对企业提出整改要求，经整改后企业安全设施符合安全设施设计要求。</w:t>
      </w:r>
    </w:p>
    <w:p w:rsidR="003F13AB" w:rsidRDefault="003F13AB">
      <w:pPr>
        <w:pStyle w:val="Default1"/>
        <w:rPr>
          <w:rFonts w:hint="default"/>
          <w:color w:val="auto"/>
        </w:rPr>
        <w:sectPr w:rsidR="003F13AB">
          <w:pgSz w:w="11906" w:h="16838"/>
          <w:pgMar w:top="1418" w:right="1134" w:bottom="1134" w:left="1418" w:header="851" w:footer="992" w:gutter="0"/>
          <w:cols w:space="720"/>
          <w:docGrid w:linePitch="381"/>
        </w:sectPr>
      </w:pPr>
    </w:p>
    <w:p w:rsidR="003F13AB" w:rsidRDefault="00EC6E7E">
      <w:pPr>
        <w:pStyle w:val="1"/>
        <w:keepNext w:val="0"/>
        <w:keepLines w:val="0"/>
        <w:textAlignment w:val="center"/>
        <w:rPr>
          <w:rFonts w:ascii="宋体" w:hAnsi="宋体"/>
          <w:b/>
          <w:bCs w:val="0"/>
          <w:color w:val="auto"/>
          <w:szCs w:val="20"/>
        </w:rPr>
      </w:pPr>
      <w:bookmarkStart w:id="330" w:name="_Toc166857622"/>
      <w:bookmarkStart w:id="331" w:name="_Toc187914504"/>
      <w:r>
        <w:rPr>
          <w:rFonts w:ascii="宋体" w:hAnsi="宋体" w:hint="eastAsia"/>
          <w:b/>
          <w:bCs w:val="0"/>
          <w:color w:val="auto"/>
          <w:szCs w:val="20"/>
        </w:rPr>
        <w:lastRenderedPageBreak/>
        <w:t>附件6  安全条件和安全生产条件分析评价</w:t>
      </w:r>
      <w:bookmarkEnd w:id="330"/>
      <w:bookmarkEnd w:id="331"/>
    </w:p>
    <w:p w:rsidR="003F13AB" w:rsidRDefault="00EC6E7E">
      <w:pPr>
        <w:pStyle w:val="2"/>
      </w:pPr>
      <w:bookmarkStart w:id="332" w:name="_Toc187914505"/>
      <w:bookmarkStart w:id="333" w:name="_Toc166857623"/>
      <w:r>
        <w:rPr>
          <w:rFonts w:hint="eastAsia"/>
        </w:rPr>
        <w:t>6.1总平面布置评价单元分析评价</w:t>
      </w:r>
      <w:bookmarkEnd w:id="332"/>
      <w:bookmarkEnd w:id="333"/>
    </w:p>
    <w:p w:rsidR="003F13AB" w:rsidRDefault="00EC6E7E">
      <w:pPr>
        <w:pStyle w:val="3"/>
      </w:pPr>
      <w:bookmarkStart w:id="334" w:name="_Toc187914506"/>
      <w:r>
        <w:rPr>
          <w:rFonts w:hint="eastAsia"/>
        </w:rPr>
        <w:t>6.1.1总平面布置安全检查表</w:t>
      </w:r>
      <w:bookmarkEnd w:id="334"/>
    </w:p>
    <w:p w:rsidR="003F13AB" w:rsidRDefault="00EC6E7E">
      <w:pPr>
        <w:ind w:firstLine="560"/>
        <w:rPr>
          <w:color w:val="auto"/>
          <w:lang w:val="zh-CN"/>
        </w:rPr>
      </w:pPr>
      <w:proofErr w:type="gramStart"/>
      <w:r>
        <w:rPr>
          <w:rFonts w:hint="eastAsia"/>
          <w:color w:val="auto"/>
          <w:lang w:val="zh-CN"/>
        </w:rPr>
        <w:t>本节根据本节根据</w:t>
      </w:r>
      <w:proofErr w:type="gramEnd"/>
      <w:r>
        <w:rPr>
          <w:rFonts w:hint="eastAsia"/>
          <w:color w:val="auto"/>
          <w:lang w:val="zh-CN"/>
        </w:rPr>
        <w:t>《工业企业总平面设计规范》（</w:t>
      </w:r>
      <w:r>
        <w:rPr>
          <w:rFonts w:hint="eastAsia"/>
          <w:color w:val="auto"/>
          <w:lang w:val="zh-CN"/>
        </w:rPr>
        <w:t>GB 50187-2012</w:t>
      </w:r>
      <w:r>
        <w:rPr>
          <w:rFonts w:hint="eastAsia"/>
          <w:color w:val="auto"/>
          <w:lang w:val="zh-CN"/>
        </w:rPr>
        <w:t>）、《建筑设计防火规范（</w:t>
      </w:r>
      <w:r>
        <w:rPr>
          <w:rFonts w:hint="eastAsia"/>
          <w:color w:val="auto"/>
          <w:lang w:val="zh-CN"/>
        </w:rPr>
        <w:t>2018</w:t>
      </w:r>
      <w:r>
        <w:rPr>
          <w:rFonts w:hint="eastAsia"/>
          <w:color w:val="auto"/>
          <w:lang w:val="zh-CN"/>
        </w:rPr>
        <w:t>年版）》（</w:t>
      </w:r>
      <w:r>
        <w:rPr>
          <w:rFonts w:hint="eastAsia"/>
          <w:color w:val="auto"/>
          <w:lang w:val="zh-CN"/>
        </w:rPr>
        <w:t>GB50016-2014</w:t>
      </w:r>
      <w:r>
        <w:rPr>
          <w:rFonts w:hint="eastAsia"/>
          <w:color w:val="auto"/>
          <w:lang w:val="zh-CN"/>
        </w:rPr>
        <w:t>）等标准、规范，对农家乐公司周边环境、平面布置及建构筑物进行检查评价，具体检查情况见附表</w:t>
      </w:r>
      <w:r>
        <w:rPr>
          <w:rFonts w:hint="eastAsia"/>
          <w:color w:val="auto"/>
          <w:lang w:val="zh-CN"/>
        </w:rPr>
        <w:t>6.1-1</w:t>
      </w:r>
      <w:r>
        <w:rPr>
          <w:rFonts w:hint="eastAsia"/>
          <w:color w:val="auto"/>
          <w:lang w:val="zh-CN"/>
        </w:rPr>
        <w:t>。</w:t>
      </w:r>
    </w:p>
    <w:p w:rsidR="003F13AB" w:rsidRDefault="00EC6E7E">
      <w:pPr>
        <w:pStyle w:val="a8"/>
        <w:widowControl w:val="0"/>
        <w:ind w:leftChars="0" w:left="0" w:firstLineChars="0" w:firstLine="0"/>
        <w:jc w:val="center"/>
        <w:rPr>
          <w:rFonts w:ascii="宋体" w:hAnsi="宋体"/>
          <w:color w:val="auto"/>
          <w:sz w:val="28"/>
          <w:szCs w:val="28"/>
          <w:lang w:val="zh-CN"/>
        </w:rPr>
      </w:pPr>
      <w:r>
        <w:rPr>
          <w:rFonts w:ascii="宋体" w:hAnsi="宋体" w:hint="eastAsia"/>
          <w:color w:val="auto"/>
          <w:sz w:val="28"/>
          <w:szCs w:val="28"/>
          <w:lang w:val="zh-CN"/>
        </w:rPr>
        <w:t>附表6.1-1 厂址、周边环境和总平面布置安全检查表</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115"/>
        <w:gridCol w:w="1707"/>
        <w:gridCol w:w="2294"/>
        <w:gridCol w:w="1246"/>
      </w:tblGrid>
      <w:tr w:rsidR="003F13AB">
        <w:trPr>
          <w:trHeight w:val="340"/>
          <w:tblHeader/>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
                <w:bCs/>
                <w:color w:val="auto"/>
                <w:sz w:val="21"/>
                <w:szCs w:val="21"/>
              </w:rPr>
            </w:pPr>
            <w:r>
              <w:rPr>
                <w:rFonts w:ascii="宋体" w:hAnsi="宋体" w:hint="eastAsia"/>
                <w:b/>
                <w:bCs/>
                <w:color w:val="auto"/>
                <w:sz w:val="21"/>
                <w:szCs w:val="21"/>
              </w:rPr>
              <w:t>序号</w:t>
            </w:r>
          </w:p>
        </w:tc>
        <w:tc>
          <w:tcPr>
            <w:tcW w:w="3115" w:type="dxa"/>
            <w:vAlign w:val="center"/>
          </w:tcPr>
          <w:p w:rsidR="003F13AB" w:rsidRDefault="00EC6E7E">
            <w:pPr>
              <w:topLinePunct/>
              <w:adjustRightInd/>
              <w:snapToGrid/>
              <w:spacing w:line="240" w:lineRule="auto"/>
              <w:ind w:firstLineChars="0" w:firstLine="0"/>
              <w:contextualSpacing/>
              <w:jc w:val="center"/>
              <w:rPr>
                <w:rFonts w:ascii="宋体" w:hAnsi="宋体"/>
                <w:b/>
                <w:bCs/>
                <w:color w:val="auto"/>
                <w:sz w:val="21"/>
                <w:szCs w:val="21"/>
              </w:rPr>
            </w:pPr>
            <w:r>
              <w:rPr>
                <w:rFonts w:ascii="宋体" w:hAnsi="宋体" w:hint="eastAsia"/>
                <w:b/>
                <w:bCs/>
                <w:color w:val="auto"/>
                <w:sz w:val="21"/>
                <w:szCs w:val="21"/>
              </w:rPr>
              <w:t>检查项目及内容</w:t>
            </w:r>
          </w:p>
        </w:tc>
        <w:tc>
          <w:tcPr>
            <w:tcW w:w="1707" w:type="dxa"/>
            <w:vAlign w:val="center"/>
          </w:tcPr>
          <w:p w:rsidR="003F13AB" w:rsidRDefault="00EC6E7E">
            <w:pPr>
              <w:topLinePunct/>
              <w:adjustRightInd/>
              <w:snapToGrid/>
              <w:spacing w:line="240" w:lineRule="auto"/>
              <w:ind w:firstLineChars="0" w:firstLine="0"/>
              <w:contextualSpacing/>
              <w:jc w:val="center"/>
              <w:rPr>
                <w:rFonts w:ascii="宋体" w:hAnsi="宋体"/>
                <w:b/>
                <w:bCs/>
                <w:color w:val="auto"/>
                <w:sz w:val="21"/>
                <w:szCs w:val="21"/>
              </w:rPr>
            </w:pPr>
            <w:r>
              <w:rPr>
                <w:rFonts w:ascii="宋体" w:hAnsi="宋体" w:hint="eastAsia"/>
                <w:b/>
                <w:bCs/>
                <w:color w:val="auto"/>
                <w:sz w:val="21"/>
                <w:szCs w:val="21"/>
              </w:rPr>
              <w:t>检查依据</w:t>
            </w:r>
          </w:p>
        </w:tc>
        <w:tc>
          <w:tcPr>
            <w:tcW w:w="2294" w:type="dxa"/>
            <w:vAlign w:val="center"/>
          </w:tcPr>
          <w:p w:rsidR="003F13AB" w:rsidRDefault="00EC6E7E">
            <w:pPr>
              <w:topLinePunct/>
              <w:adjustRightInd/>
              <w:snapToGrid/>
              <w:spacing w:line="240" w:lineRule="auto"/>
              <w:ind w:firstLineChars="0" w:firstLine="0"/>
              <w:contextualSpacing/>
              <w:jc w:val="center"/>
              <w:rPr>
                <w:rFonts w:ascii="宋体" w:hAnsi="宋体"/>
                <w:b/>
                <w:bCs/>
                <w:color w:val="auto"/>
                <w:sz w:val="21"/>
                <w:szCs w:val="21"/>
              </w:rPr>
            </w:pPr>
            <w:r>
              <w:rPr>
                <w:rFonts w:ascii="宋体" w:hAnsi="宋体" w:hint="eastAsia"/>
                <w:b/>
                <w:bCs/>
                <w:color w:val="auto"/>
                <w:sz w:val="21"/>
                <w:szCs w:val="21"/>
              </w:rPr>
              <w:t>检查记录</w:t>
            </w:r>
          </w:p>
        </w:tc>
        <w:tc>
          <w:tcPr>
            <w:tcW w:w="1246" w:type="dxa"/>
            <w:vAlign w:val="center"/>
          </w:tcPr>
          <w:p w:rsidR="003F13AB" w:rsidRDefault="00EC6E7E">
            <w:pPr>
              <w:topLinePunct/>
              <w:adjustRightInd/>
              <w:snapToGrid/>
              <w:spacing w:line="240" w:lineRule="auto"/>
              <w:ind w:firstLineChars="0" w:firstLine="0"/>
              <w:contextualSpacing/>
              <w:jc w:val="center"/>
              <w:rPr>
                <w:rFonts w:ascii="宋体" w:hAnsi="宋体"/>
                <w:b/>
                <w:bCs/>
                <w:color w:val="auto"/>
                <w:sz w:val="21"/>
                <w:szCs w:val="21"/>
              </w:rPr>
            </w:pPr>
            <w:r>
              <w:rPr>
                <w:rFonts w:ascii="宋体" w:hAnsi="宋体" w:hint="eastAsia"/>
                <w:b/>
                <w:bCs/>
                <w:color w:val="auto"/>
                <w:sz w:val="21"/>
                <w:szCs w:val="21"/>
              </w:rPr>
              <w:t>检查结果</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proofErr w:type="gramStart"/>
            <w:r>
              <w:rPr>
                <w:rFonts w:ascii="宋体" w:hAnsi="宋体" w:hint="eastAsia"/>
                <w:bCs/>
                <w:color w:val="auto"/>
                <w:sz w:val="21"/>
                <w:szCs w:val="21"/>
              </w:rPr>
              <w:t>一</w:t>
            </w:r>
            <w:proofErr w:type="gramEnd"/>
          </w:p>
        </w:tc>
        <w:tc>
          <w:tcPr>
            <w:tcW w:w="8362" w:type="dxa"/>
            <w:gridSpan w:val="4"/>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kern w:val="0"/>
                <w:sz w:val="21"/>
                <w:szCs w:val="21"/>
              </w:rPr>
              <w:t>厂址</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1</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选择厂址应根据地震、软地基、湿陷性黄土、膨胀土等地质因素以及飓风、雷暴、沙暴等气象危害因素，采取可靠技术方案.避开断层、滑波、泥石流、地下溶洞等发育地区。</w:t>
            </w:r>
          </w:p>
        </w:tc>
        <w:tc>
          <w:tcPr>
            <w:tcW w:w="1707" w:type="dxa"/>
            <w:vAlign w:val="center"/>
          </w:tcPr>
          <w:p w:rsidR="003F13AB" w:rsidRPr="00F9729A"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《化工企业安全卫生设计规范》H</w:t>
            </w:r>
            <w:r w:rsidRPr="00F9729A">
              <w:rPr>
                <w:rFonts w:ascii="宋体" w:hAnsi="宋体"/>
                <w:color w:val="auto"/>
                <w:kern w:val="0"/>
                <w:sz w:val="21"/>
                <w:szCs w:val="21"/>
              </w:rPr>
              <w:t>G 20571-201</w:t>
            </w:r>
            <w:r w:rsidRPr="00F9729A">
              <w:rPr>
                <w:rFonts w:ascii="宋体" w:hAnsi="宋体" w:hint="eastAsia"/>
                <w:color w:val="auto"/>
                <w:kern w:val="0"/>
                <w:sz w:val="21"/>
                <w:szCs w:val="21"/>
              </w:rPr>
              <w:t>4</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sidRPr="00F9729A">
              <w:rPr>
                <w:rFonts w:ascii="宋体" w:hAnsi="宋体" w:hint="eastAsia"/>
                <w:color w:val="auto"/>
                <w:kern w:val="0"/>
                <w:sz w:val="21"/>
                <w:szCs w:val="21"/>
              </w:rPr>
              <w:t>3</w:t>
            </w:r>
            <w:r w:rsidRPr="00F9729A">
              <w:rPr>
                <w:rFonts w:ascii="宋体" w:hAnsi="宋体"/>
                <w:color w:val="auto"/>
                <w:kern w:val="0"/>
                <w:sz w:val="21"/>
                <w:szCs w:val="21"/>
              </w:rPr>
              <w:t>.1.2</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项目位于昆明市晋宁区工业园区二街基地（现在已批为“云南晋宁产业园区二街化工园区”），不在上述区域内。</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2</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厂址应具有满足生产、生活及发展所必需的水源和电源。水源和电源与厂址之间的管线连接应尽量短捷，且用水、用电量（特别）大的工业企业宜靠近水源及电源地 。</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《工业企业总平面设计规范》</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G</w:t>
            </w:r>
            <w:r>
              <w:rPr>
                <w:rFonts w:ascii="宋体" w:hAnsi="宋体"/>
                <w:color w:val="auto"/>
                <w:kern w:val="0"/>
                <w:sz w:val="21"/>
                <w:szCs w:val="21"/>
              </w:rPr>
              <w:t>B 50187-2012</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3</w:t>
            </w:r>
            <w:r>
              <w:rPr>
                <w:rFonts w:ascii="宋体" w:hAnsi="宋体"/>
                <w:color w:val="auto"/>
                <w:kern w:val="0"/>
                <w:sz w:val="21"/>
                <w:szCs w:val="21"/>
              </w:rPr>
              <w:t>.0.6</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项目水源、电源满足需求。</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3</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厂址应满足适宜的地形坡度，尽量避开自然地形复杂、自然坡度大的地段，应避免将盆地、积水洼地作为厂址。</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G</w:t>
            </w:r>
            <w:r>
              <w:rPr>
                <w:rFonts w:ascii="宋体" w:hAnsi="宋体"/>
                <w:color w:val="auto"/>
                <w:kern w:val="0"/>
                <w:sz w:val="21"/>
                <w:szCs w:val="21"/>
              </w:rPr>
              <w:t>B 50187-2012</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3</w:t>
            </w:r>
            <w:r>
              <w:rPr>
                <w:rFonts w:ascii="宋体" w:hAnsi="宋体"/>
                <w:color w:val="auto"/>
                <w:kern w:val="0"/>
                <w:sz w:val="21"/>
                <w:szCs w:val="21"/>
              </w:rPr>
              <w:t>.0.10</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项目地势适宜。</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4</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 xml:space="preserve">厂址应位于不受洪水、潮水或内涝威胁的地带，并应符合下列规定： </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1</w:t>
            </w:r>
            <w:r>
              <w:rPr>
                <w:rFonts w:ascii="宋体" w:hAnsi="宋体"/>
                <w:color w:val="auto"/>
                <w:kern w:val="0"/>
                <w:sz w:val="21"/>
                <w:szCs w:val="21"/>
              </w:rPr>
              <w:t>.</w:t>
            </w:r>
            <w:r>
              <w:rPr>
                <w:rFonts w:ascii="宋体" w:hAnsi="宋体" w:hint="eastAsia"/>
                <w:color w:val="auto"/>
                <w:kern w:val="0"/>
                <w:sz w:val="21"/>
                <w:szCs w:val="21"/>
              </w:rPr>
              <w:t>当厂址不可避免不受洪水、潮水、或内涝威胁的地带时，必须采取防洪、排涝 措施；</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2</w:t>
            </w:r>
            <w:r>
              <w:rPr>
                <w:rFonts w:ascii="宋体" w:hAnsi="宋体"/>
                <w:color w:val="auto"/>
                <w:kern w:val="0"/>
                <w:sz w:val="21"/>
                <w:szCs w:val="21"/>
              </w:rPr>
              <w:t>.</w:t>
            </w:r>
            <w:r>
              <w:rPr>
                <w:rFonts w:ascii="宋体" w:hAnsi="宋体" w:hint="eastAsia"/>
                <w:color w:val="auto"/>
                <w:kern w:val="0"/>
                <w:sz w:val="21"/>
                <w:szCs w:val="21"/>
              </w:rPr>
              <w:t>凡受江、河、潮、海洪水、潮水或山洪威胁的工业企业，防洪标准应符合现行国家标准《防洪标准》GB 50201的有关规定。</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G</w:t>
            </w:r>
            <w:r>
              <w:rPr>
                <w:rFonts w:ascii="宋体" w:hAnsi="宋体"/>
                <w:color w:val="auto"/>
                <w:kern w:val="0"/>
                <w:sz w:val="21"/>
                <w:szCs w:val="21"/>
              </w:rPr>
              <w:t>B 50187-2012</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3</w:t>
            </w:r>
            <w:r>
              <w:rPr>
                <w:rFonts w:ascii="宋体" w:hAnsi="宋体"/>
                <w:color w:val="auto"/>
                <w:kern w:val="0"/>
                <w:sz w:val="21"/>
                <w:szCs w:val="21"/>
              </w:rPr>
              <w:t>.0.12</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项目不在受洪水、潮水或内涝威胁的地带</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二</w:t>
            </w:r>
          </w:p>
        </w:tc>
        <w:tc>
          <w:tcPr>
            <w:tcW w:w="8362" w:type="dxa"/>
            <w:gridSpan w:val="4"/>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cs="F3" w:hint="eastAsia"/>
                <w:color w:val="auto"/>
                <w:sz w:val="21"/>
                <w:szCs w:val="21"/>
              </w:rPr>
              <w:t>总平面布置</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1</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总平面布置应节约集约用地，提高土地利用率。布置时并应符合下列要求：</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1在符合生产流程、操作要求和</w:t>
            </w:r>
            <w:r>
              <w:rPr>
                <w:rFonts w:ascii="宋体" w:hAnsi="宋体" w:hint="eastAsia"/>
                <w:color w:val="auto"/>
                <w:kern w:val="0"/>
                <w:sz w:val="21"/>
                <w:szCs w:val="21"/>
              </w:rPr>
              <w:lastRenderedPageBreak/>
              <w:t>使用功能的前提下，建筑物、构筑物等设施，应采用联合、集中、多层布置；</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2应按企业规模和功能分区，合理地确定通道宽度；</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3厂区功能分区及建筑物、构筑物的外形宜规整；</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4功能分区内各项设施的布置，应紧凑、合理。</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lastRenderedPageBreak/>
              <w:t>《工业企业总平面设计规范》</w:t>
            </w:r>
          </w:p>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GB 50187-2012</w:t>
            </w:r>
          </w:p>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5.1.2</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项目总平面布置合理，按功能分区设置。</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lastRenderedPageBreak/>
              <w:t>2</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厂区的通道宽度，应符合下列要求：</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1 应符合通道两侧建筑物、构筑物及露天设施对防火、安全与卫生间距的要求；</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2 应符合铁路、道路与带式输送机通廊等工业运输线路的布置要求；</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3 应符合各种工程管线的布置要求；</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4 应符合绿化布置的要求；</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5 应符合施工、安装与检修的要求；</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6 应符合竖向设计的要求；</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7 应符合预留发展用地的要求。</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GB 50187-2012</w:t>
            </w:r>
          </w:p>
          <w:p w:rsidR="003F13AB" w:rsidRDefault="00EC6E7E">
            <w:pPr>
              <w:tabs>
                <w:tab w:val="left" w:pos="1650"/>
              </w:tabs>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sz w:val="21"/>
                <w:szCs w:val="21"/>
              </w:rPr>
              <w:t>5.1.4</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厂区道路宽度设置合理。</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3</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总平面布置应采取防止高温、有害气体、烟、雾、粉尘、强烈振动和高噪声对周围环境和人身安全的危害的安全保障措施，并应符合现行国家有关工业企业卫生设计标准的规定。</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GB 50187-2012</w:t>
            </w:r>
          </w:p>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5.1.7</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snapToGrid w:val="0"/>
                <w:color w:val="auto"/>
                <w:sz w:val="21"/>
                <w:szCs w:val="21"/>
              </w:rPr>
              <w:t>已设置降噪降尘措施。</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4</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总平面布置，应合理地组织货流和人流，并应符合下列要求：</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1）运输线路的布置，应保证物流顺畅、径路短捷、不折返；</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2）应避免运输繁忙的铁路与道路平面交叉；</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3）应使人、货分流，应避免运输繁忙的货流与人流交叉；</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4）应避免进出厂的主要货流与企业外部交通干线的平面交叉。</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GB 50187-2012</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cs="Tahoma" w:hint="eastAsia"/>
                <w:color w:val="auto"/>
                <w:sz w:val="21"/>
                <w:szCs w:val="21"/>
              </w:rPr>
              <w:t>5.1.8</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kern w:val="0"/>
                <w:sz w:val="21"/>
                <w:szCs w:val="21"/>
              </w:rPr>
              <w:t>总平面布置设置合理，合理组织货流和人流。</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5</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厂区出入口的位置和数量，应根据企业的生产规模、总体规划、厂区用地面积及总平面布置等因素综合确定，并应符合下列要求：</w:t>
            </w:r>
          </w:p>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1）出入口的数量不宜少于2个；</w:t>
            </w:r>
          </w:p>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2）主要人流出入口宜与主要货流出入口分开设置，并应位于厂区主干道通往居住区或城镇的</w:t>
            </w:r>
            <w:r>
              <w:rPr>
                <w:rFonts w:ascii="宋体" w:hAnsi="宋体" w:cs="Tahoma" w:hint="eastAsia"/>
                <w:color w:val="auto"/>
                <w:sz w:val="21"/>
                <w:szCs w:val="21"/>
              </w:rPr>
              <w:lastRenderedPageBreak/>
              <w:t>一侧；主要货流出入口应位于主要货流方向，应靠近运输繁忙的仓库、堆场，并应与外部运输线路连接方便；</w:t>
            </w:r>
          </w:p>
          <w:p w:rsidR="003F13AB" w:rsidRDefault="00EC6E7E">
            <w:pPr>
              <w:topLinePunct/>
              <w:adjustRightInd/>
              <w:snapToGrid/>
              <w:spacing w:line="240" w:lineRule="auto"/>
              <w:ind w:firstLineChars="0" w:firstLine="0"/>
              <w:contextualSpacing/>
              <w:jc w:val="left"/>
              <w:rPr>
                <w:rFonts w:ascii="宋体" w:hAnsi="宋体" w:cs="Arial Unicode MS"/>
                <w:color w:val="auto"/>
                <w:kern w:val="0"/>
                <w:sz w:val="21"/>
                <w:szCs w:val="21"/>
              </w:rPr>
            </w:pPr>
            <w:r>
              <w:rPr>
                <w:rFonts w:ascii="宋体" w:hAnsi="宋体" w:cs="Tahoma" w:hint="eastAsia"/>
                <w:color w:val="auto"/>
                <w:sz w:val="21"/>
                <w:szCs w:val="21"/>
              </w:rPr>
              <w:t>3）铁路出入口，应具备良好的瞭望条件。</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lastRenderedPageBreak/>
              <w:t>GB 50187-2012</w:t>
            </w:r>
          </w:p>
          <w:p w:rsidR="003F13AB" w:rsidRDefault="00EC6E7E">
            <w:pPr>
              <w:tabs>
                <w:tab w:val="left" w:pos="1650"/>
              </w:tabs>
              <w:topLinePunct/>
              <w:adjustRightInd/>
              <w:snapToGrid/>
              <w:spacing w:line="240" w:lineRule="auto"/>
              <w:ind w:firstLineChars="0" w:firstLine="0"/>
              <w:contextualSpacing/>
              <w:jc w:val="left"/>
              <w:rPr>
                <w:rFonts w:ascii="宋体" w:hAnsi="宋体" w:cs="Arial Unicode MS"/>
                <w:color w:val="auto"/>
                <w:kern w:val="0"/>
                <w:sz w:val="21"/>
                <w:szCs w:val="21"/>
              </w:rPr>
            </w:pPr>
            <w:r>
              <w:rPr>
                <w:rFonts w:ascii="宋体" w:hAnsi="宋体" w:cs="Tahoma" w:hint="eastAsia"/>
                <w:color w:val="auto"/>
                <w:sz w:val="21"/>
                <w:szCs w:val="21"/>
              </w:rPr>
              <w:t>5.7.4</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厂区根据实际需要设置2个出入口，分为办公区出入口和生产区出入口。</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lastRenderedPageBreak/>
              <w:t>6</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消防车道的布置，应符合下列要求：</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1）</w:t>
            </w:r>
            <w:proofErr w:type="gramStart"/>
            <w:r>
              <w:rPr>
                <w:rFonts w:ascii="宋体" w:hAnsi="宋体" w:hint="eastAsia"/>
                <w:color w:val="auto"/>
                <w:kern w:val="0"/>
                <w:sz w:val="21"/>
                <w:szCs w:val="21"/>
              </w:rPr>
              <w:t>道路宜呈环状</w:t>
            </w:r>
            <w:proofErr w:type="gramEnd"/>
            <w:r>
              <w:rPr>
                <w:rFonts w:ascii="宋体" w:hAnsi="宋体" w:hint="eastAsia"/>
                <w:color w:val="auto"/>
                <w:kern w:val="0"/>
                <w:sz w:val="21"/>
                <w:szCs w:val="21"/>
              </w:rPr>
              <w:t>布置；</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2）车道宽度不应小于4.0m；</w:t>
            </w:r>
          </w:p>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hint="eastAsia"/>
                <w:color w:val="auto"/>
                <w:kern w:val="0"/>
                <w:sz w:val="21"/>
                <w:szCs w:val="21"/>
              </w:rPr>
              <w:t>3）应避免与铁路平交。必须平交时，</w:t>
            </w:r>
            <w:proofErr w:type="gramStart"/>
            <w:r>
              <w:rPr>
                <w:rFonts w:ascii="宋体" w:hAnsi="宋体" w:hint="eastAsia"/>
                <w:color w:val="auto"/>
                <w:kern w:val="0"/>
                <w:sz w:val="21"/>
                <w:szCs w:val="21"/>
              </w:rPr>
              <w:t>应设备</w:t>
            </w:r>
            <w:proofErr w:type="gramEnd"/>
            <w:r>
              <w:rPr>
                <w:rFonts w:ascii="宋体" w:hAnsi="宋体" w:hint="eastAsia"/>
                <w:color w:val="auto"/>
                <w:kern w:val="0"/>
                <w:sz w:val="21"/>
                <w:szCs w:val="21"/>
              </w:rPr>
              <w:t>用车道，且两车道之间的距离，不应小于进入厂内最长列车的长度。</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GB 50187-2012</w:t>
            </w:r>
          </w:p>
          <w:p w:rsidR="003F13AB" w:rsidRDefault="00EC6E7E">
            <w:pPr>
              <w:topLinePunct/>
              <w:adjustRightInd/>
              <w:snapToGrid/>
              <w:spacing w:line="240" w:lineRule="auto"/>
              <w:ind w:firstLineChars="0" w:firstLine="0"/>
              <w:contextualSpacing/>
              <w:jc w:val="left"/>
              <w:rPr>
                <w:rFonts w:ascii="宋体" w:hAnsi="宋体" w:cs="Arial Unicode MS"/>
                <w:color w:val="auto"/>
                <w:sz w:val="21"/>
                <w:szCs w:val="21"/>
              </w:rPr>
            </w:pPr>
            <w:r>
              <w:rPr>
                <w:rFonts w:ascii="宋体" w:hAnsi="宋体" w:cs="Tahoma" w:hint="eastAsia"/>
                <w:color w:val="auto"/>
                <w:sz w:val="21"/>
                <w:szCs w:val="21"/>
              </w:rPr>
              <w:t>6.4.11</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厂区道路呈环状布置，车道宽≥4m，满足疏散要求。</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7</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hint="eastAsia"/>
                <w:color w:val="auto"/>
                <w:sz w:val="21"/>
                <w:szCs w:val="21"/>
              </w:rPr>
              <w:t>员工宿舍严禁设置在厂房内。</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GB 50016-2014，2</w:t>
            </w:r>
            <w:r>
              <w:rPr>
                <w:rFonts w:ascii="宋体" w:hAnsi="宋体" w:cs="Tahoma"/>
                <w:color w:val="auto"/>
                <w:sz w:val="21"/>
                <w:szCs w:val="21"/>
              </w:rPr>
              <w:t>018</w:t>
            </w:r>
            <w:r>
              <w:rPr>
                <w:rFonts w:ascii="宋体" w:hAnsi="宋体" w:cs="Tahoma" w:hint="eastAsia"/>
                <w:color w:val="auto"/>
                <w:sz w:val="21"/>
                <w:szCs w:val="21"/>
              </w:rPr>
              <w:t>年版</w:t>
            </w:r>
          </w:p>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Arial Unicode MS" w:hint="eastAsia"/>
                <w:color w:val="auto"/>
                <w:sz w:val="21"/>
                <w:szCs w:val="21"/>
              </w:rPr>
              <w:t>3.3.5</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员工宿舍未设置在厂房内。</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8</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sz w:val="21"/>
                <w:szCs w:val="21"/>
              </w:rPr>
              <w:t>员工宿舍严禁设置在仓库内。</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GB 50016-2014，2</w:t>
            </w:r>
            <w:r>
              <w:rPr>
                <w:rFonts w:ascii="宋体" w:hAnsi="宋体" w:cs="Tahoma"/>
                <w:color w:val="auto"/>
                <w:sz w:val="21"/>
                <w:szCs w:val="21"/>
              </w:rPr>
              <w:t>018</w:t>
            </w:r>
            <w:r>
              <w:rPr>
                <w:rFonts w:ascii="宋体" w:hAnsi="宋体" w:cs="Tahoma" w:hint="eastAsia"/>
                <w:color w:val="auto"/>
                <w:sz w:val="21"/>
                <w:szCs w:val="21"/>
              </w:rPr>
              <w:t>年版</w:t>
            </w:r>
          </w:p>
          <w:p w:rsidR="003F13AB" w:rsidRDefault="00EC6E7E">
            <w:pPr>
              <w:topLinePunct/>
              <w:adjustRightInd/>
              <w:snapToGrid/>
              <w:spacing w:line="240" w:lineRule="auto"/>
              <w:ind w:firstLineChars="0" w:firstLine="0"/>
              <w:contextualSpacing/>
              <w:jc w:val="left"/>
              <w:rPr>
                <w:rFonts w:ascii="宋体" w:hAnsi="宋体" w:cs="Arial Unicode MS"/>
                <w:color w:val="auto"/>
                <w:sz w:val="21"/>
                <w:szCs w:val="21"/>
              </w:rPr>
            </w:pPr>
            <w:r>
              <w:rPr>
                <w:rFonts w:ascii="宋体" w:hAnsi="宋体" w:cs="Arial Unicode MS" w:hint="eastAsia"/>
                <w:color w:val="auto"/>
                <w:sz w:val="21"/>
                <w:szCs w:val="21"/>
              </w:rPr>
              <w:t>3.3.9</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员工宿舍未设置在仓库内。</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9</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sz w:val="21"/>
                <w:szCs w:val="21"/>
              </w:rPr>
              <w:t>厂房之间及其与乙、丙、丁、</w:t>
            </w:r>
            <w:proofErr w:type="gramStart"/>
            <w:r>
              <w:rPr>
                <w:rFonts w:ascii="宋体" w:hAnsi="宋体" w:hint="eastAsia"/>
                <w:color w:val="auto"/>
                <w:sz w:val="21"/>
                <w:szCs w:val="21"/>
              </w:rPr>
              <w:t>戊类仓库</w:t>
            </w:r>
            <w:proofErr w:type="gramEnd"/>
            <w:r>
              <w:rPr>
                <w:rFonts w:ascii="宋体" w:hAnsi="宋体" w:hint="eastAsia"/>
                <w:color w:val="auto"/>
                <w:sz w:val="21"/>
                <w:szCs w:val="21"/>
              </w:rPr>
              <w:t>、民用建筑等之间的防火间距不应小于表3.4.1 的规定。</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GB 50016-2014，2</w:t>
            </w:r>
            <w:r>
              <w:rPr>
                <w:rFonts w:ascii="宋体" w:hAnsi="宋体" w:cs="Tahoma"/>
                <w:color w:val="auto"/>
                <w:sz w:val="21"/>
                <w:szCs w:val="21"/>
              </w:rPr>
              <w:t>018</w:t>
            </w:r>
            <w:r>
              <w:rPr>
                <w:rFonts w:ascii="宋体" w:hAnsi="宋体" w:cs="Tahoma" w:hint="eastAsia"/>
                <w:color w:val="auto"/>
                <w:sz w:val="21"/>
                <w:szCs w:val="21"/>
              </w:rPr>
              <w:t>年版</w:t>
            </w:r>
          </w:p>
          <w:p w:rsidR="003F13AB" w:rsidRDefault="00EC6E7E">
            <w:pPr>
              <w:topLinePunct/>
              <w:adjustRightInd/>
              <w:snapToGrid/>
              <w:spacing w:line="240" w:lineRule="auto"/>
              <w:ind w:firstLineChars="0" w:firstLine="0"/>
              <w:contextualSpacing/>
              <w:jc w:val="left"/>
              <w:rPr>
                <w:rFonts w:ascii="宋体" w:hAnsi="宋体" w:cs="Arial Unicode MS"/>
                <w:color w:val="auto"/>
                <w:sz w:val="21"/>
                <w:szCs w:val="21"/>
              </w:rPr>
            </w:pPr>
            <w:r>
              <w:rPr>
                <w:rFonts w:ascii="宋体" w:hAnsi="宋体" w:cs="Arial Unicode MS" w:hint="eastAsia"/>
                <w:color w:val="auto"/>
                <w:sz w:val="21"/>
                <w:szCs w:val="21"/>
              </w:rPr>
              <w:t>3.4.1</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项目建筑物之间的防火间距符合建</w:t>
            </w:r>
            <w:proofErr w:type="gramStart"/>
            <w:r>
              <w:rPr>
                <w:rFonts w:ascii="宋体" w:hAnsi="宋体" w:hint="eastAsia"/>
                <w:bCs/>
                <w:color w:val="auto"/>
                <w:sz w:val="21"/>
                <w:szCs w:val="21"/>
              </w:rPr>
              <w:t>规</w:t>
            </w:r>
            <w:proofErr w:type="gramEnd"/>
            <w:r>
              <w:rPr>
                <w:rFonts w:ascii="宋体" w:hAnsi="宋体" w:hint="eastAsia"/>
                <w:bCs/>
                <w:color w:val="auto"/>
                <w:sz w:val="21"/>
                <w:szCs w:val="21"/>
              </w:rPr>
              <w:t>表3.4.1，详见报告附表5.1-2。</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10</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bookmarkStart w:id="335" w:name="_Toc12003994"/>
            <w:bookmarkStart w:id="336" w:name="_Toc5915987"/>
            <w:bookmarkStart w:id="337" w:name="_Toc528656283"/>
            <w:bookmarkStart w:id="338" w:name="_Toc528335517"/>
            <w:bookmarkStart w:id="339" w:name="_Toc531615385"/>
            <w:r>
              <w:rPr>
                <w:rFonts w:ascii="宋体" w:hAnsi="宋体" w:hint="eastAsia"/>
                <w:color w:val="auto"/>
                <w:sz w:val="21"/>
                <w:szCs w:val="21"/>
              </w:rPr>
              <w:t>工业企业</w:t>
            </w:r>
            <w:proofErr w:type="gramStart"/>
            <w:r>
              <w:rPr>
                <w:rFonts w:ascii="宋体" w:hAnsi="宋体" w:hint="eastAsia"/>
                <w:color w:val="auto"/>
                <w:sz w:val="21"/>
                <w:szCs w:val="21"/>
              </w:rPr>
              <w:t>厂区总</w:t>
            </w:r>
            <w:proofErr w:type="gramEnd"/>
            <w:r>
              <w:rPr>
                <w:rFonts w:ascii="宋体" w:hAnsi="宋体" w:hint="eastAsia"/>
                <w:color w:val="auto"/>
                <w:sz w:val="21"/>
                <w:szCs w:val="21"/>
              </w:rPr>
              <w:t>平面布置应明确功能分区，可分为生产区、非生产区、辅助生产区。</w:t>
            </w:r>
            <w:bookmarkEnd w:id="335"/>
            <w:bookmarkEnd w:id="336"/>
            <w:bookmarkEnd w:id="337"/>
            <w:bookmarkEnd w:id="338"/>
            <w:bookmarkEnd w:id="339"/>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bCs/>
                <w:color w:val="auto"/>
                <w:sz w:val="21"/>
                <w:szCs w:val="21"/>
              </w:rPr>
              <w:t>《工业企业设计卫生标准》</w:t>
            </w:r>
          </w:p>
          <w:p w:rsidR="003F13AB" w:rsidRDefault="00EC6E7E">
            <w:pPr>
              <w:topLinePunct/>
              <w:adjustRightInd/>
              <w:snapToGrid/>
              <w:spacing w:line="240" w:lineRule="auto"/>
              <w:ind w:firstLineChars="0" w:firstLine="0"/>
              <w:contextualSpacing/>
              <w:jc w:val="left"/>
              <w:rPr>
                <w:rFonts w:ascii="宋体" w:hAnsi="宋体"/>
                <w:color w:val="auto"/>
                <w:kern w:val="0"/>
                <w:sz w:val="21"/>
                <w:szCs w:val="21"/>
              </w:rPr>
            </w:pPr>
            <w:r>
              <w:rPr>
                <w:rFonts w:ascii="宋体" w:hAnsi="宋体" w:hint="eastAsia"/>
                <w:color w:val="auto"/>
                <w:kern w:val="0"/>
                <w:sz w:val="21"/>
                <w:szCs w:val="21"/>
              </w:rPr>
              <w:t>GBZ 1-2010</w:t>
            </w:r>
          </w:p>
          <w:p w:rsidR="003F13AB" w:rsidRDefault="00EC6E7E">
            <w:pPr>
              <w:topLinePunct/>
              <w:adjustRightInd/>
              <w:snapToGrid/>
              <w:spacing w:line="240" w:lineRule="auto"/>
              <w:ind w:firstLineChars="0" w:firstLine="0"/>
              <w:contextualSpacing/>
              <w:jc w:val="left"/>
              <w:rPr>
                <w:rFonts w:ascii="宋体" w:hAnsi="宋体" w:cs="Arial Unicode MS"/>
                <w:color w:val="auto"/>
                <w:sz w:val="21"/>
                <w:szCs w:val="21"/>
              </w:rPr>
            </w:pPr>
            <w:r>
              <w:rPr>
                <w:rFonts w:ascii="宋体" w:hAnsi="宋体" w:hint="eastAsia"/>
                <w:color w:val="auto"/>
                <w:kern w:val="0"/>
                <w:sz w:val="21"/>
                <w:szCs w:val="21"/>
              </w:rPr>
              <w:t>5.2.1.1</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color w:val="auto"/>
                <w:sz w:val="21"/>
                <w:szCs w:val="21"/>
              </w:rPr>
              <w:t>项目总平面布置合理，按功能分区设置办公区、辅助生产区和生产储存区。</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11</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产生噪声的车间，应在控制噪声发生源的基础上，对厂房的建筑设计采取减轻噪声影响的措施，注意增加隔声、吸声措施。</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GBZ 1-2010</w:t>
            </w:r>
          </w:p>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6.3.1.6</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cs="Arial Unicode MS"/>
                <w:color w:val="auto"/>
                <w:sz w:val="21"/>
                <w:szCs w:val="21"/>
              </w:rPr>
            </w:pPr>
            <w:r>
              <w:rPr>
                <w:rFonts w:ascii="宋体" w:hAnsi="宋体" w:hint="eastAsia"/>
                <w:color w:val="auto"/>
                <w:sz w:val="21"/>
                <w:szCs w:val="21"/>
              </w:rPr>
              <w:t>产生噪声的车间采取减轻噪声影响的措施，增加隔声、吸声措施。</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三</w:t>
            </w:r>
          </w:p>
        </w:tc>
        <w:tc>
          <w:tcPr>
            <w:tcW w:w="8362" w:type="dxa"/>
            <w:gridSpan w:val="4"/>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color w:val="auto"/>
                <w:kern w:val="0"/>
                <w:sz w:val="21"/>
                <w:szCs w:val="21"/>
              </w:rPr>
              <w:t>建构筑物</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1</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hint="eastAsia"/>
                <w:color w:val="auto"/>
                <w:sz w:val="21"/>
                <w:szCs w:val="21"/>
              </w:rPr>
              <w:t>厂房内任一点至最近安全出口的直线距离不应大于表3.7.4的规定。</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《建筑设计防火规范》</w:t>
            </w:r>
          </w:p>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GB 50016-2014，2</w:t>
            </w:r>
            <w:r>
              <w:rPr>
                <w:rFonts w:ascii="宋体" w:hAnsi="宋体" w:cs="Tahoma"/>
                <w:color w:val="auto"/>
                <w:sz w:val="21"/>
                <w:szCs w:val="21"/>
              </w:rPr>
              <w:t>018</w:t>
            </w:r>
            <w:r>
              <w:rPr>
                <w:rFonts w:ascii="宋体" w:hAnsi="宋体" w:cs="Tahoma" w:hint="eastAsia"/>
                <w:color w:val="auto"/>
                <w:sz w:val="21"/>
                <w:szCs w:val="21"/>
              </w:rPr>
              <w:t>年版</w:t>
            </w:r>
          </w:p>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hint="eastAsia"/>
                <w:color w:val="auto"/>
                <w:sz w:val="21"/>
                <w:szCs w:val="21"/>
              </w:rPr>
              <w:t>3.7.4</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项目内安全出口设置满足要求，具体设置详见附图总平面布置图。</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符合要求</w:t>
            </w:r>
          </w:p>
        </w:tc>
      </w:tr>
      <w:tr w:rsidR="003F13AB">
        <w:trPr>
          <w:trHeight w:val="340"/>
          <w:jc w:val="center"/>
        </w:trPr>
        <w:tc>
          <w:tcPr>
            <w:tcW w:w="711" w:type="dxa"/>
            <w:vAlign w:val="center"/>
          </w:tcPr>
          <w:p w:rsidR="003F13AB" w:rsidRDefault="00EC6E7E">
            <w:pPr>
              <w:topLinePunct/>
              <w:adjustRightInd/>
              <w:snapToGrid/>
              <w:spacing w:line="240" w:lineRule="auto"/>
              <w:ind w:firstLineChars="0" w:firstLine="0"/>
              <w:contextualSpacing/>
              <w:jc w:val="center"/>
              <w:rPr>
                <w:rFonts w:ascii="宋体" w:hAnsi="宋体"/>
                <w:bCs/>
                <w:color w:val="auto"/>
                <w:sz w:val="21"/>
                <w:szCs w:val="21"/>
              </w:rPr>
            </w:pPr>
            <w:r>
              <w:rPr>
                <w:rFonts w:ascii="宋体" w:hAnsi="宋体" w:hint="eastAsia"/>
                <w:bCs/>
                <w:color w:val="auto"/>
                <w:sz w:val="21"/>
                <w:szCs w:val="21"/>
              </w:rPr>
              <w:t>2</w:t>
            </w:r>
          </w:p>
        </w:tc>
        <w:tc>
          <w:tcPr>
            <w:tcW w:w="3115" w:type="dxa"/>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cs="Tahoma" w:hint="eastAsia"/>
                <w:color w:val="auto"/>
                <w:sz w:val="21"/>
                <w:szCs w:val="21"/>
              </w:rPr>
              <w:t>厂房内疏散楼梯、走道、门的各自总净宽度，应根据疏散</w:t>
            </w:r>
            <w:proofErr w:type="gramStart"/>
            <w:r>
              <w:rPr>
                <w:rFonts w:ascii="宋体" w:hAnsi="宋体" w:cs="Tahoma" w:hint="eastAsia"/>
                <w:color w:val="auto"/>
                <w:sz w:val="21"/>
                <w:szCs w:val="21"/>
              </w:rPr>
              <w:t>人算按每</w:t>
            </w:r>
            <w:proofErr w:type="gramEnd"/>
            <w:r>
              <w:rPr>
                <w:rFonts w:ascii="宋体" w:hAnsi="宋体" w:cs="Tahoma" w:hint="eastAsia"/>
                <w:color w:val="auto"/>
                <w:sz w:val="21"/>
                <w:szCs w:val="21"/>
              </w:rPr>
              <w:t>100人的最小疏散净宽度不小于表3.7.5条的规定计算。但疏散楼梯的最小净宽度不宜小于1.10m，疏散走道的最小净宽度不宜小于1.40m，门的最小净宽度不宜小于0.90m。当每层疏散人数不相等时，疏散楼梯的总净宽度应分层计算。</w:t>
            </w:r>
          </w:p>
        </w:tc>
        <w:tc>
          <w:tcPr>
            <w:tcW w:w="1707" w:type="dxa"/>
            <w:vAlign w:val="center"/>
          </w:tcPr>
          <w:p w:rsidR="003F13AB" w:rsidRDefault="00EC6E7E">
            <w:pPr>
              <w:topLinePunct/>
              <w:adjustRightInd/>
              <w:snapToGrid/>
              <w:spacing w:line="240" w:lineRule="auto"/>
              <w:ind w:firstLineChars="0" w:firstLine="0"/>
              <w:contextualSpacing/>
              <w:jc w:val="left"/>
              <w:rPr>
                <w:rFonts w:ascii="宋体" w:hAnsi="宋体" w:cs="Tahoma"/>
                <w:color w:val="auto"/>
                <w:sz w:val="21"/>
                <w:szCs w:val="21"/>
              </w:rPr>
            </w:pPr>
            <w:r>
              <w:rPr>
                <w:rFonts w:ascii="宋体" w:hAnsi="宋体" w:cs="Tahoma" w:hint="eastAsia"/>
                <w:color w:val="auto"/>
                <w:sz w:val="21"/>
                <w:szCs w:val="21"/>
              </w:rPr>
              <w:t>GB 50016-2014，2</w:t>
            </w:r>
            <w:r>
              <w:rPr>
                <w:rFonts w:ascii="宋体" w:hAnsi="宋体" w:cs="Tahoma"/>
                <w:color w:val="auto"/>
                <w:sz w:val="21"/>
                <w:szCs w:val="21"/>
              </w:rPr>
              <w:t>018</w:t>
            </w:r>
            <w:r>
              <w:rPr>
                <w:rFonts w:ascii="宋体" w:hAnsi="宋体" w:cs="Tahoma" w:hint="eastAsia"/>
                <w:color w:val="auto"/>
                <w:sz w:val="21"/>
                <w:szCs w:val="21"/>
              </w:rPr>
              <w:t>年版</w:t>
            </w:r>
          </w:p>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cs="宋体" w:hint="eastAsia"/>
                <w:color w:val="auto"/>
                <w:kern w:val="0"/>
                <w:sz w:val="21"/>
                <w:szCs w:val="21"/>
              </w:rPr>
              <w:t>3.7.5</w:t>
            </w:r>
          </w:p>
        </w:tc>
        <w:tc>
          <w:tcPr>
            <w:tcW w:w="2294"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cs="Tahoma" w:hint="eastAsia"/>
                <w:color w:val="auto"/>
                <w:sz w:val="21"/>
                <w:szCs w:val="21"/>
              </w:rPr>
              <w:t>厂房内疏散楼梯、走道、门的各自总净宽</w:t>
            </w:r>
            <w:proofErr w:type="gramStart"/>
            <w:r>
              <w:rPr>
                <w:rFonts w:ascii="宋体" w:hAnsi="宋体" w:cs="Tahoma" w:hint="eastAsia"/>
                <w:color w:val="auto"/>
                <w:sz w:val="21"/>
                <w:szCs w:val="21"/>
              </w:rPr>
              <w:t>度</w:t>
            </w:r>
            <w:r>
              <w:rPr>
                <w:rFonts w:ascii="宋体" w:hAnsi="宋体" w:hint="eastAsia"/>
                <w:bCs/>
                <w:color w:val="auto"/>
                <w:sz w:val="21"/>
                <w:szCs w:val="21"/>
              </w:rPr>
              <w:t>满足</w:t>
            </w:r>
            <w:proofErr w:type="gramEnd"/>
            <w:r>
              <w:rPr>
                <w:rFonts w:ascii="宋体" w:hAnsi="宋体" w:hint="eastAsia"/>
                <w:bCs/>
                <w:color w:val="auto"/>
                <w:sz w:val="21"/>
                <w:szCs w:val="21"/>
              </w:rPr>
              <w:t>要求。</w:t>
            </w:r>
          </w:p>
        </w:tc>
        <w:tc>
          <w:tcPr>
            <w:tcW w:w="1246" w:type="dxa"/>
            <w:vAlign w:val="center"/>
          </w:tcPr>
          <w:p w:rsidR="003F13AB" w:rsidRDefault="00EC6E7E">
            <w:pPr>
              <w:topLinePunct/>
              <w:adjustRightInd/>
              <w:snapToGrid/>
              <w:spacing w:line="240" w:lineRule="auto"/>
              <w:ind w:firstLineChars="0" w:firstLine="0"/>
              <w:contextualSpacing/>
              <w:jc w:val="left"/>
              <w:rPr>
                <w:rFonts w:ascii="宋体" w:hAnsi="宋体"/>
                <w:bCs/>
                <w:color w:val="auto"/>
                <w:sz w:val="21"/>
                <w:szCs w:val="21"/>
              </w:rPr>
            </w:pPr>
            <w:r>
              <w:rPr>
                <w:rFonts w:ascii="宋体" w:hAnsi="宋体" w:hint="eastAsia"/>
                <w:bCs/>
                <w:color w:val="auto"/>
                <w:sz w:val="21"/>
                <w:szCs w:val="21"/>
              </w:rPr>
              <w:t>符合要求</w:t>
            </w:r>
          </w:p>
        </w:tc>
      </w:tr>
    </w:tbl>
    <w:p w:rsidR="003F13AB" w:rsidRDefault="00EC6E7E">
      <w:pPr>
        <w:pStyle w:val="3"/>
      </w:pPr>
      <w:bookmarkStart w:id="340" w:name="_Toc187914507"/>
      <w:r>
        <w:rPr>
          <w:rFonts w:hint="eastAsia"/>
        </w:rPr>
        <w:lastRenderedPageBreak/>
        <w:t>6.1.2 厂内建构筑物与周边建筑物距离检查表</w:t>
      </w:r>
      <w:bookmarkEnd w:id="340"/>
    </w:p>
    <w:p w:rsidR="003F13AB" w:rsidRDefault="00EC6E7E">
      <w:pPr>
        <w:ind w:firstLine="560"/>
        <w:rPr>
          <w:color w:val="auto"/>
        </w:rPr>
      </w:pPr>
      <w:r>
        <w:rPr>
          <w:rFonts w:hint="eastAsia"/>
          <w:color w:val="auto"/>
          <w:u w:color="000000"/>
        </w:rPr>
        <w:t>依据</w:t>
      </w:r>
      <w:r>
        <w:rPr>
          <w:rFonts w:hint="eastAsia"/>
          <w:color w:val="auto"/>
        </w:rPr>
        <w:t>《建筑设计防火规范（</w:t>
      </w:r>
      <w:r>
        <w:rPr>
          <w:rFonts w:hint="eastAsia"/>
          <w:color w:val="auto"/>
        </w:rPr>
        <w:t>2018</w:t>
      </w:r>
      <w:r>
        <w:rPr>
          <w:rFonts w:hint="eastAsia"/>
          <w:color w:val="auto"/>
        </w:rPr>
        <w:t>年版）》（</w:t>
      </w:r>
      <w:r>
        <w:rPr>
          <w:rFonts w:hint="eastAsia"/>
          <w:color w:val="auto"/>
        </w:rPr>
        <w:t>GB50016-2014</w:t>
      </w:r>
      <w:r>
        <w:rPr>
          <w:rFonts w:hint="eastAsia"/>
          <w:color w:val="auto"/>
        </w:rPr>
        <w:t>）</w:t>
      </w:r>
      <w:r>
        <w:rPr>
          <w:rFonts w:hint="eastAsia"/>
          <w:color w:val="auto"/>
          <w:u w:color="000000"/>
        </w:rPr>
        <w:t>厂内建构筑物的防火间距符合情况见附表</w:t>
      </w:r>
      <w:r>
        <w:rPr>
          <w:rFonts w:hint="eastAsia"/>
          <w:color w:val="auto"/>
          <w:u w:color="000000"/>
        </w:rPr>
        <w:t>6.1-2</w:t>
      </w:r>
      <w:r>
        <w:rPr>
          <w:rFonts w:hint="eastAsia"/>
          <w:color w:val="auto"/>
          <w:u w:color="000000"/>
        </w:rPr>
        <w:t>：</w:t>
      </w:r>
    </w:p>
    <w:p w:rsidR="003F13AB" w:rsidRDefault="00EC6E7E">
      <w:pPr>
        <w:topLinePunct/>
        <w:ind w:firstLineChars="0" w:firstLine="0"/>
        <w:jc w:val="center"/>
        <w:rPr>
          <w:rFonts w:ascii="宋体" w:hAnsi="宋体"/>
          <w:color w:val="auto"/>
        </w:rPr>
      </w:pPr>
      <w:r>
        <w:rPr>
          <w:rFonts w:ascii="宋体" w:hAnsi="宋体" w:hint="eastAsia"/>
          <w:color w:val="auto"/>
          <w:szCs w:val="28"/>
          <w:u w:color="000000"/>
        </w:rPr>
        <w:t>附</w:t>
      </w:r>
      <w:r>
        <w:rPr>
          <w:rFonts w:ascii="宋体" w:hAnsi="宋体"/>
          <w:color w:val="auto"/>
        </w:rPr>
        <w:t>表</w:t>
      </w:r>
      <w:r>
        <w:rPr>
          <w:rFonts w:ascii="宋体" w:hAnsi="宋体" w:hint="eastAsia"/>
          <w:color w:val="auto"/>
        </w:rPr>
        <w:t>6.1-</w:t>
      </w:r>
      <w:r>
        <w:rPr>
          <w:rFonts w:ascii="宋体" w:hAnsi="宋体"/>
          <w:color w:val="auto"/>
        </w:rPr>
        <w:t>2</w:t>
      </w:r>
      <w:r>
        <w:rPr>
          <w:rFonts w:ascii="宋体" w:hAnsi="宋体" w:hint="eastAsia"/>
          <w:color w:val="auto"/>
          <w:szCs w:val="28"/>
          <w:u w:color="000000"/>
        </w:rPr>
        <w:t>项目内建构筑物</w:t>
      </w:r>
      <w:r>
        <w:rPr>
          <w:rFonts w:ascii="宋体" w:hAnsi="宋体" w:hint="eastAsia"/>
          <w:color w:val="auto"/>
        </w:rPr>
        <w:t>与建构筑安全距离表</w:t>
      </w:r>
    </w:p>
    <w:tbl>
      <w:tblPr>
        <w:tblStyle w:val="31"/>
        <w:tblW w:w="9072" w:type="dxa"/>
        <w:tblLook w:val="04A0" w:firstRow="1" w:lastRow="0" w:firstColumn="1" w:lastColumn="0" w:noHBand="0" w:noVBand="1"/>
      </w:tblPr>
      <w:tblGrid>
        <w:gridCol w:w="2145"/>
        <w:gridCol w:w="3602"/>
        <w:gridCol w:w="1495"/>
        <w:gridCol w:w="1830"/>
      </w:tblGrid>
      <w:tr w:rsidR="003F13AB">
        <w:tc>
          <w:tcPr>
            <w:tcW w:w="2145" w:type="dxa"/>
            <w:vAlign w:val="center"/>
          </w:tcPr>
          <w:p w:rsidR="003F13AB" w:rsidRDefault="00EC6E7E">
            <w:pPr>
              <w:adjustRightInd/>
              <w:snapToGrid/>
              <w:spacing w:line="500" w:lineRule="exact"/>
              <w:ind w:firstLineChars="0" w:firstLine="0"/>
              <w:jc w:val="center"/>
              <w:rPr>
                <w:b/>
                <w:bCs/>
                <w:color w:val="auto"/>
                <w:sz w:val="21"/>
                <w:szCs w:val="21"/>
              </w:rPr>
            </w:pPr>
            <w:r>
              <w:rPr>
                <w:rFonts w:hint="eastAsia"/>
                <w:b/>
                <w:bCs/>
                <w:color w:val="auto"/>
                <w:sz w:val="21"/>
                <w:szCs w:val="21"/>
              </w:rPr>
              <w:t>厂内建筑构筑物</w:t>
            </w:r>
          </w:p>
        </w:tc>
        <w:tc>
          <w:tcPr>
            <w:tcW w:w="3602" w:type="dxa"/>
            <w:vAlign w:val="center"/>
          </w:tcPr>
          <w:p w:rsidR="003F13AB" w:rsidRDefault="00EC6E7E">
            <w:pPr>
              <w:adjustRightInd/>
              <w:snapToGrid/>
              <w:spacing w:line="500" w:lineRule="exact"/>
              <w:ind w:firstLineChars="0" w:firstLine="0"/>
              <w:jc w:val="center"/>
              <w:rPr>
                <w:b/>
                <w:bCs/>
                <w:color w:val="auto"/>
                <w:sz w:val="21"/>
                <w:szCs w:val="21"/>
              </w:rPr>
            </w:pPr>
            <w:r>
              <w:rPr>
                <w:rFonts w:hint="eastAsia"/>
                <w:b/>
                <w:bCs/>
                <w:color w:val="auto"/>
                <w:sz w:val="21"/>
                <w:szCs w:val="21"/>
              </w:rPr>
              <w:t>厂内相邻的建构筑物</w:t>
            </w:r>
          </w:p>
        </w:tc>
        <w:tc>
          <w:tcPr>
            <w:tcW w:w="1495" w:type="dxa"/>
            <w:vAlign w:val="center"/>
          </w:tcPr>
          <w:p w:rsidR="003F13AB" w:rsidRDefault="00EC6E7E">
            <w:pPr>
              <w:adjustRightInd/>
              <w:snapToGrid/>
              <w:spacing w:line="500" w:lineRule="exact"/>
              <w:ind w:firstLineChars="0" w:firstLine="0"/>
              <w:jc w:val="center"/>
              <w:rPr>
                <w:b/>
                <w:bCs/>
                <w:color w:val="auto"/>
                <w:sz w:val="21"/>
                <w:szCs w:val="21"/>
              </w:rPr>
            </w:pPr>
            <w:r>
              <w:rPr>
                <w:rFonts w:hint="eastAsia"/>
                <w:b/>
                <w:bCs/>
                <w:color w:val="auto"/>
                <w:sz w:val="21"/>
                <w:szCs w:val="21"/>
              </w:rPr>
              <w:t>设计距离（</w:t>
            </w:r>
            <w:r>
              <w:rPr>
                <w:rFonts w:hint="eastAsia"/>
                <w:b/>
                <w:bCs/>
                <w:color w:val="auto"/>
                <w:sz w:val="21"/>
                <w:szCs w:val="21"/>
              </w:rPr>
              <w:t>m</w:t>
            </w:r>
            <w:r>
              <w:rPr>
                <w:rFonts w:hint="eastAsia"/>
                <w:b/>
                <w:bCs/>
                <w:color w:val="auto"/>
                <w:sz w:val="21"/>
                <w:szCs w:val="21"/>
              </w:rPr>
              <w:t>）</w:t>
            </w:r>
          </w:p>
        </w:tc>
        <w:tc>
          <w:tcPr>
            <w:tcW w:w="1830" w:type="dxa"/>
            <w:vAlign w:val="center"/>
          </w:tcPr>
          <w:p w:rsidR="003F13AB" w:rsidRDefault="00EC6E7E">
            <w:pPr>
              <w:adjustRightInd/>
              <w:snapToGrid/>
              <w:spacing w:line="500" w:lineRule="exact"/>
              <w:ind w:firstLineChars="0" w:firstLine="0"/>
              <w:jc w:val="center"/>
              <w:rPr>
                <w:b/>
                <w:bCs/>
                <w:color w:val="auto"/>
                <w:sz w:val="21"/>
                <w:szCs w:val="21"/>
              </w:rPr>
            </w:pPr>
            <w:r>
              <w:rPr>
                <w:rFonts w:hint="eastAsia"/>
                <w:b/>
                <w:bCs/>
                <w:color w:val="auto"/>
                <w:sz w:val="21"/>
                <w:szCs w:val="21"/>
              </w:rPr>
              <w:t>规范距离（</w:t>
            </w:r>
            <w:r>
              <w:rPr>
                <w:rFonts w:hint="eastAsia"/>
                <w:b/>
                <w:bCs/>
                <w:color w:val="auto"/>
                <w:sz w:val="21"/>
                <w:szCs w:val="21"/>
              </w:rPr>
              <w:t>m</w:t>
            </w:r>
            <w:r>
              <w:rPr>
                <w:rFonts w:hint="eastAsia"/>
                <w:b/>
                <w:bCs/>
                <w:color w:val="auto"/>
                <w:sz w:val="21"/>
                <w:szCs w:val="21"/>
              </w:rPr>
              <w:t>）</w:t>
            </w:r>
          </w:p>
        </w:tc>
      </w:tr>
      <w:tr w:rsidR="003F13AB">
        <w:tc>
          <w:tcPr>
            <w:tcW w:w="2222" w:type="dxa"/>
            <w:vMerge w:val="restart"/>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成品仓库（戊类，耐火等级为二级）</w:t>
            </w: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办公楼</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18.75</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Merge/>
            <w:vAlign w:val="center"/>
          </w:tcPr>
          <w:p w:rsidR="003F13AB" w:rsidRDefault="003F13AB">
            <w:pPr>
              <w:adjustRightInd/>
              <w:snapToGrid/>
              <w:spacing w:line="500" w:lineRule="exact"/>
              <w:ind w:firstLineChars="0" w:firstLine="0"/>
              <w:jc w:val="center"/>
              <w:rPr>
                <w:color w:val="auto"/>
                <w:sz w:val="21"/>
                <w:szCs w:val="21"/>
              </w:rPr>
            </w:pP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综合楼</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18.75</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Merge/>
            <w:vAlign w:val="center"/>
          </w:tcPr>
          <w:p w:rsidR="003F13AB" w:rsidRDefault="003F13AB">
            <w:pPr>
              <w:adjustRightInd/>
              <w:snapToGrid/>
              <w:spacing w:line="500" w:lineRule="exact"/>
              <w:ind w:firstLineChars="0" w:firstLine="0"/>
              <w:jc w:val="center"/>
              <w:rPr>
                <w:color w:val="auto"/>
                <w:sz w:val="21"/>
                <w:szCs w:val="21"/>
              </w:rPr>
            </w:pP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生产厂房</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10.02</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Merge/>
            <w:vAlign w:val="center"/>
          </w:tcPr>
          <w:p w:rsidR="003F13AB" w:rsidRDefault="003F13AB">
            <w:pPr>
              <w:adjustRightInd/>
              <w:snapToGrid/>
              <w:spacing w:line="500" w:lineRule="exact"/>
              <w:ind w:firstLineChars="0" w:firstLine="0"/>
              <w:jc w:val="center"/>
              <w:rPr>
                <w:color w:val="auto"/>
                <w:sz w:val="21"/>
                <w:szCs w:val="21"/>
              </w:rPr>
            </w:pP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丙类仓库</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10.02</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Merge/>
            <w:vAlign w:val="center"/>
          </w:tcPr>
          <w:p w:rsidR="003F13AB" w:rsidRDefault="003F13AB">
            <w:pPr>
              <w:adjustRightInd/>
              <w:snapToGrid/>
              <w:spacing w:line="500" w:lineRule="exact"/>
              <w:ind w:firstLineChars="0" w:firstLine="0"/>
              <w:jc w:val="center"/>
              <w:rPr>
                <w:color w:val="auto"/>
                <w:sz w:val="21"/>
                <w:szCs w:val="21"/>
              </w:rPr>
            </w:pP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原料仓库</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18.33</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Merge/>
            <w:vAlign w:val="center"/>
          </w:tcPr>
          <w:p w:rsidR="003F13AB" w:rsidRDefault="003F13AB">
            <w:pPr>
              <w:adjustRightInd/>
              <w:snapToGrid/>
              <w:spacing w:line="500" w:lineRule="exact"/>
              <w:ind w:firstLineChars="0" w:firstLine="0"/>
              <w:jc w:val="center"/>
              <w:rPr>
                <w:color w:val="auto"/>
                <w:sz w:val="21"/>
                <w:szCs w:val="21"/>
              </w:rPr>
            </w:pP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消防泵房</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24.28</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Merge/>
            <w:vAlign w:val="center"/>
          </w:tcPr>
          <w:p w:rsidR="003F13AB" w:rsidRDefault="003F13AB">
            <w:pPr>
              <w:adjustRightInd/>
              <w:snapToGrid/>
              <w:spacing w:line="500" w:lineRule="exact"/>
              <w:ind w:firstLineChars="0" w:firstLine="0"/>
              <w:jc w:val="center"/>
              <w:rPr>
                <w:color w:val="auto"/>
                <w:sz w:val="21"/>
                <w:szCs w:val="21"/>
              </w:rPr>
            </w:pP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变配电室和发电机房</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10.55</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Merge w:val="restart"/>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生产厂房（丁类，耐火等级为二级）</w:t>
            </w: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丙类仓库</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12.76</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Merge/>
            <w:vAlign w:val="center"/>
          </w:tcPr>
          <w:p w:rsidR="003F13AB" w:rsidRDefault="003F13AB">
            <w:pPr>
              <w:adjustRightInd/>
              <w:snapToGrid/>
              <w:spacing w:line="500" w:lineRule="exact"/>
              <w:ind w:firstLineChars="0" w:firstLine="0"/>
              <w:jc w:val="center"/>
              <w:rPr>
                <w:color w:val="auto"/>
                <w:sz w:val="21"/>
                <w:szCs w:val="21"/>
              </w:rPr>
            </w:pP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原料仓库</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10.26</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原料仓库（戊类，耐火等级为二级）</w:t>
            </w: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丙类仓库</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64.72</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Merge w:val="restart"/>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办公楼</w:t>
            </w: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综合楼</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4.40</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w:t>
            </w:r>
          </w:p>
        </w:tc>
      </w:tr>
      <w:tr w:rsidR="003F13AB">
        <w:tc>
          <w:tcPr>
            <w:tcW w:w="2222" w:type="dxa"/>
            <w:vMerge/>
            <w:vAlign w:val="center"/>
          </w:tcPr>
          <w:p w:rsidR="003F13AB" w:rsidRDefault="003F13AB">
            <w:pPr>
              <w:adjustRightInd/>
              <w:snapToGrid/>
              <w:spacing w:line="500" w:lineRule="exact"/>
              <w:ind w:firstLineChars="0" w:firstLine="0"/>
              <w:jc w:val="center"/>
              <w:rPr>
                <w:color w:val="auto"/>
                <w:sz w:val="21"/>
                <w:szCs w:val="21"/>
              </w:rPr>
            </w:pP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变配电室和发电机房</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10.11</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Merge/>
            <w:vAlign w:val="center"/>
          </w:tcPr>
          <w:p w:rsidR="003F13AB" w:rsidRDefault="003F13AB">
            <w:pPr>
              <w:adjustRightInd/>
              <w:snapToGrid/>
              <w:spacing w:line="500" w:lineRule="exact"/>
              <w:ind w:firstLineChars="0" w:firstLine="0"/>
              <w:jc w:val="center"/>
              <w:rPr>
                <w:color w:val="auto"/>
                <w:sz w:val="21"/>
                <w:szCs w:val="21"/>
              </w:rPr>
            </w:pP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消防泵房</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125.71</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2222"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消防泵房（戊类，耐火等级为二级）</w:t>
            </w:r>
          </w:p>
        </w:tc>
        <w:tc>
          <w:tcPr>
            <w:tcW w:w="3765"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变配电室和发电机房</w:t>
            </w:r>
          </w:p>
        </w:tc>
        <w:tc>
          <w:tcPr>
            <w:tcW w:w="1530" w:type="dxa"/>
            <w:vAlign w:val="center"/>
          </w:tcPr>
          <w:p w:rsidR="003F13AB" w:rsidRDefault="00EC6E7E">
            <w:pPr>
              <w:adjustRightInd/>
              <w:snapToGrid/>
              <w:spacing w:line="500" w:lineRule="exact"/>
              <w:ind w:firstLineChars="0" w:firstLine="0"/>
              <w:jc w:val="center"/>
              <w:rPr>
                <w:color w:val="auto"/>
                <w:sz w:val="21"/>
                <w:szCs w:val="21"/>
              </w:rPr>
            </w:pPr>
            <w:r>
              <w:rPr>
                <w:rFonts w:hint="eastAsia"/>
                <w:color w:val="auto"/>
                <w:sz w:val="21"/>
                <w:szCs w:val="21"/>
              </w:rPr>
              <w:t>96.42</w:t>
            </w:r>
          </w:p>
        </w:tc>
        <w:tc>
          <w:tcPr>
            <w:tcW w:w="1882" w:type="dxa"/>
            <w:vAlign w:val="center"/>
          </w:tcPr>
          <w:p w:rsidR="003F13AB" w:rsidRDefault="00EC6E7E">
            <w:pPr>
              <w:adjustRightInd/>
              <w:snapToGrid/>
              <w:spacing w:line="500" w:lineRule="exact"/>
              <w:ind w:firstLineChars="0" w:firstLine="0"/>
              <w:jc w:val="center"/>
              <w:rPr>
                <w:b/>
                <w:color w:val="auto"/>
                <w:sz w:val="21"/>
                <w:szCs w:val="21"/>
              </w:rPr>
            </w:pPr>
            <w:r>
              <w:rPr>
                <w:rFonts w:hint="eastAsia"/>
                <w:b/>
                <w:color w:val="auto"/>
                <w:sz w:val="21"/>
                <w:szCs w:val="21"/>
              </w:rPr>
              <w:t>10</w:t>
            </w:r>
          </w:p>
        </w:tc>
      </w:tr>
      <w:tr w:rsidR="003F13AB">
        <w:tc>
          <w:tcPr>
            <w:tcW w:w="9072" w:type="dxa"/>
            <w:gridSpan w:val="4"/>
            <w:vAlign w:val="center"/>
          </w:tcPr>
          <w:p w:rsidR="003F13AB" w:rsidRDefault="00EC6E7E">
            <w:pPr>
              <w:adjustRightInd/>
              <w:snapToGrid/>
              <w:spacing w:line="500" w:lineRule="exact"/>
              <w:ind w:firstLineChars="0" w:firstLine="0"/>
              <w:rPr>
                <w:color w:val="auto"/>
                <w:sz w:val="21"/>
                <w:szCs w:val="21"/>
              </w:rPr>
            </w:pPr>
            <w:r>
              <w:rPr>
                <w:rFonts w:hint="eastAsia"/>
                <w:color w:val="auto"/>
                <w:sz w:val="21"/>
                <w:szCs w:val="21"/>
              </w:rPr>
              <w:t>注：</w:t>
            </w:r>
          </w:p>
          <w:p w:rsidR="003F13AB" w:rsidRDefault="00EC6E7E">
            <w:pPr>
              <w:adjustRightInd/>
              <w:snapToGrid/>
              <w:spacing w:line="500" w:lineRule="exact"/>
              <w:ind w:firstLineChars="0" w:firstLine="0"/>
              <w:rPr>
                <w:color w:val="auto"/>
                <w:sz w:val="21"/>
                <w:szCs w:val="21"/>
              </w:rPr>
            </w:pPr>
            <w:r>
              <w:rPr>
                <w:rFonts w:hint="eastAsia"/>
                <w:color w:val="auto"/>
                <w:sz w:val="21"/>
                <w:szCs w:val="21"/>
              </w:rPr>
              <w:t>1.</w:t>
            </w:r>
            <w:r>
              <w:rPr>
                <w:rFonts w:hint="eastAsia"/>
                <w:color w:val="auto"/>
                <w:sz w:val="21"/>
                <w:szCs w:val="21"/>
              </w:rPr>
              <w:t>变配电室和发电机房内设柴油发电机，火灾危险性为丙类，耐火等级为二级；丙类仓库耐火等级为二级；办公楼和综合楼耐火等级为二级；</w:t>
            </w:r>
          </w:p>
          <w:p w:rsidR="003F13AB" w:rsidRDefault="00EC6E7E">
            <w:pPr>
              <w:adjustRightInd/>
              <w:snapToGrid/>
              <w:spacing w:line="500" w:lineRule="exact"/>
              <w:ind w:firstLineChars="0" w:firstLine="0"/>
              <w:rPr>
                <w:color w:val="auto"/>
                <w:sz w:val="21"/>
                <w:szCs w:val="21"/>
              </w:rPr>
            </w:pPr>
            <w:r>
              <w:rPr>
                <w:rFonts w:hint="eastAsia"/>
                <w:color w:val="auto"/>
                <w:sz w:val="21"/>
                <w:szCs w:val="21"/>
              </w:rPr>
              <w:t>2.</w:t>
            </w:r>
            <w:r>
              <w:rPr>
                <w:rFonts w:hint="eastAsia"/>
                <w:color w:val="auto"/>
                <w:sz w:val="21"/>
                <w:szCs w:val="21"/>
              </w:rPr>
              <w:t>根据《建筑设计防火规范》（</w:t>
            </w:r>
            <w:r>
              <w:rPr>
                <w:rFonts w:hint="eastAsia"/>
                <w:color w:val="auto"/>
                <w:sz w:val="21"/>
                <w:szCs w:val="21"/>
              </w:rPr>
              <w:t>GB 50016-2014</w:t>
            </w:r>
            <w:r>
              <w:rPr>
                <w:rFonts w:hint="eastAsia"/>
                <w:color w:val="auto"/>
                <w:sz w:val="21"/>
                <w:szCs w:val="21"/>
              </w:rPr>
              <w:t>，</w:t>
            </w:r>
            <w:r>
              <w:rPr>
                <w:rFonts w:hint="eastAsia"/>
                <w:color w:val="auto"/>
                <w:sz w:val="21"/>
                <w:szCs w:val="21"/>
              </w:rPr>
              <w:t>2018</w:t>
            </w:r>
            <w:r>
              <w:rPr>
                <w:rFonts w:hint="eastAsia"/>
                <w:color w:val="auto"/>
                <w:sz w:val="21"/>
                <w:szCs w:val="21"/>
              </w:rPr>
              <w:t>版）</w:t>
            </w:r>
            <w:r>
              <w:rPr>
                <w:rFonts w:hint="eastAsia"/>
                <w:color w:val="auto"/>
                <w:sz w:val="21"/>
                <w:szCs w:val="21"/>
              </w:rPr>
              <w:t>5.2.2</w:t>
            </w:r>
            <w:r>
              <w:rPr>
                <w:rFonts w:hint="eastAsia"/>
                <w:color w:val="auto"/>
                <w:sz w:val="21"/>
                <w:szCs w:val="21"/>
              </w:rPr>
              <w:t>条注</w:t>
            </w:r>
            <w:r>
              <w:rPr>
                <w:rFonts w:hint="eastAsia"/>
                <w:color w:val="auto"/>
                <w:sz w:val="21"/>
                <w:szCs w:val="21"/>
              </w:rPr>
              <w:t>2</w:t>
            </w:r>
            <w:r>
              <w:rPr>
                <w:rFonts w:hint="eastAsia"/>
                <w:color w:val="auto"/>
                <w:sz w:val="21"/>
                <w:szCs w:val="21"/>
              </w:rPr>
              <w:t>，综合楼与办公楼高度相同，办公楼与综合楼相邻的一面设置为防火墙，故办公楼与综合楼防火间距不限。</w:t>
            </w:r>
          </w:p>
        </w:tc>
      </w:tr>
    </w:tbl>
    <w:p w:rsidR="003F13AB" w:rsidRDefault="00EC6E7E">
      <w:pPr>
        <w:ind w:firstLine="560"/>
        <w:rPr>
          <w:color w:val="auto"/>
        </w:rPr>
      </w:pPr>
      <w:r>
        <w:rPr>
          <w:rFonts w:hint="eastAsia"/>
          <w:bCs/>
          <w:snapToGrid w:val="0"/>
          <w:color w:val="auto"/>
          <w:kern w:val="0"/>
          <w:szCs w:val="28"/>
        </w:rPr>
        <w:t>根据表</w:t>
      </w:r>
      <w:r>
        <w:rPr>
          <w:rFonts w:hint="eastAsia"/>
          <w:bCs/>
          <w:snapToGrid w:val="0"/>
          <w:color w:val="auto"/>
          <w:kern w:val="0"/>
          <w:szCs w:val="28"/>
        </w:rPr>
        <w:t>6.1-2</w:t>
      </w:r>
      <w:r>
        <w:rPr>
          <w:rFonts w:hint="eastAsia"/>
          <w:bCs/>
          <w:snapToGrid w:val="0"/>
          <w:color w:val="auto"/>
          <w:kern w:val="0"/>
          <w:szCs w:val="28"/>
        </w:rPr>
        <w:t>得本项目总平面布置满足</w:t>
      </w:r>
      <w:r>
        <w:rPr>
          <w:rFonts w:hint="eastAsia"/>
          <w:color w:val="auto"/>
        </w:rPr>
        <w:t>《建筑设计防火规范（</w:t>
      </w:r>
      <w:r>
        <w:rPr>
          <w:rFonts w:hint="eastAsia"/>
          <w:color w:val="auto"/>
        </w:rPr>
        <w:t>2018</w:t>
      </w:r>
      <w:r>
        <w:rPr>
          <w:rFonts w:hint="eastAsia"/>
          <w:color w:val="auto"/>
        </w:rPr>
        <w:t>年版）》</w:t>
      </w:r>
      <w:r>
        <w:rPr>
          <w:rFonts w:hint="eastAsia"/>
          <w:color w:val="auto"/>
        </w:rPr>
        <w:lastRenderedPageBreak/>
        <w:t>（</w:t>
      </w:r>
      <w:r>
        <w:rPr>
          <w:rFonts w:hint="eastAsia"/>
          <w:color w:val="auto"/>
        </w:rPr>
        <w:t>GB50016-2014</w:t>
      </w:r>
      <w:r>
        <w:rPr>
          <w:rFonts w:hint="eastAsia"/>
          <w:color w:val="auto"/>
        </w:rPr>
        <w:t>）</w:t>
      </w:r>
      <w:r>
        <w:rPr>
          <w:rFonts w:hint="eastAsia"/>
          <w:bCs/>
          <w:snapToGrid w:val="0"/>
          <w:color w:val="auto"/>
          <w:kern w:val="0"/>
          <w:szCs w:val="28"/>
        </w:rPr>
        <w:t>的要求。</w:t>
      </w:r>
    </w:p>
    <w:p w:rsidR="003F13AB" w:rsidRDefault="00EC6E7E">
      <w:pPr>
        <w:pStyle w:val="3"/>
      </w:pPr>
      <w:bookmarkStart w:id="341" w:name="_Toc187914508"/>
      <w:r>
        <w:rPr>
          <w:rFonts w:hint="eastAsia"/>
        </w:rPr>
        <w:t>6.1.3 项目所在地的自然条件对项目生产的影响分析评价</w:t>
      </w:r>
      <w:bookmarkEnd w:id="341"/>
    </w:p>
    <w:p w:rsidR="003F13AB" w:rsidRDefault="00EC6E7E">
      <w:pPr>
        <w:ind w:firstLine="560"/>
        <w:rPr>
          <w:color w:val="auto"/>
        </w:rPr>
      </w:pPr>
      <w:r>
        <w:rPr>
          <w:rFonts w:hint="eastAsia"/>
          <w:color w:val="auto"/>
        </w:rPr>
        <w:t>（</w:t>
      </w:r>
      <w:r>
        <w:rPr>
          <w:rFonts w:hint="eastAsia"/>
          <w:color w:val="auto"/>
        </w:rPr>
        <w:t>1</w:t>
      </w:r>
      <w:r>
        <w:rPr>
          <w:rFonts w:hint="eastAsia"/>
          <w:color w:val="auto"/>
        </w:rPr>
        <w:t>）气温</w:t>
      </w:r>
    </w:p>
    <w:p w:rsidR="003F13AB" w:rsidRDefault="00EC6E7E">
      <w:pPr>
        <w:ind w:firstLine="560"/>
        <w:rPr>
          <w:color w:val="auto"/>
        </w:rPr>
      </w:pPr>
      <w:r>
        <w:rPr>
          <w:rFonts w:hint="eastAsia"/>
          <w:color w:val="auto"/>
        </w:rPr>
        <w:t>晋宁区年平均气温</w:t>
      </w:r>
      <w:r>
        <w:rPr>
          <w:rFonts w:hint="eastAsia"/>
          <w:color w:val="auto"/>
        </w:rPr>
        <w:t>14.8</w:t>
      </w:r>
      <w:r>
        <w:rPr>
          <w:rFonts w:hint="eastAsia"/>
          <w:color w:val="auto"/>
        </w:rPr>
        <w:t>℃，最冷月（</w:t>
      </w:r>
      <w:r>
        <w:rPr>
          <w:rFonts w:hint="eastAsia"/>
          <w:color w:val="auto"/>
        </w:rPr>
        <w:t>1</w:t>
      </w:r>
      <w:r>
        <w:rPr>
          <w:rFonts w:hint="eastAsia"/>
          <w:color w:val="auto"/>
        </w:rPr>
        <w:t>月）的平均气温</w:t>
      </w:r>
      <w:r>
        <w:rPr>
          <w:rFonts w:hint="eastAsia"/>
          <w:color w:val="auto"/>
        </w:rPr>
        <w:t>7.9</w:t>
      </w:r>
      <w:r>
        <w:rPr>
          <w:rFonts w:hint="eastAsia"/>
          <w:color w:val="auto"/>
        </w:rPr>
        <w:t>℃，最热月（</w:t>
      </w:r>
      <w:r>
        <w:rPr>
          <w:rFonts w:hint="eastAsia"/>
          <w:color w:val="auto"/>
        </w:rPr>
        <w:t>7</w:t>
      </w:r>
      <w:r>
        <w:rPr>
          <w:rFonts w:hint="eastAsia"/>
          <w:color w:val="auto"/>
        </w:rPr>
        <w:t>月）的平均气温为</w:t>
      </w:r>
      <w:r>
        <w:rPr>
          <w:rFonts w:hint="eastAsia"/>
          <w:color w:val="auto"/>
        </w:rPr>
        <w:t>19.6</w:t>
      </w:r>
      <w:r>
        <w:rPr>
          <w:rFonts w:hint="eastAsia"/>
          <w:color w:val="auto"/>
        </w:rPr>
        <w:t>℃。</w:t>
      </w:r>
    </w:p>
    <w:p w:rsidR="003F13AB" w:rsidRDefault="00EC6E7E">
      <w:pPr>
        <w:ind w:firstLine="560"/>
        <w:rPr>
          <w:color w:val="auto"/>
        </w:rPr>
      </w:pPr>
      <w:r>
        <w:rPr>
          <w:rFonts w:hint="eastAsia"/>
          <w:color w:val="auto"/>
        </w:rPr>
        <w:t>项目主要为室内作业和室内生产，气温基本不会对作业人员和生产产生影响。</w:t>
      </w:r>
    </w:p>
    <w:p w:rsidR="003F13AB" w:rsidRDefault="00EC6E7E">
      <w:pPr>
        <w:ind w:firstLine="560"/>
        <w:rPr>
          <w:color w:val="auto"/>
        </w:rPr>
      </w:pPr>
      <w:r>
        <w:rPr>
          <w:rFonts w:hint="eastAsia"/>
          <w:color w:val="auto"/>
        </w:rPr>
        <w:t>（</w:t>
      </w:r>
      <w:r>
        <w:rPr>
          <w:rFonts w:hint="eastAsia"/>
          <w:color w:val="auto"/>
        </w:rPr>
        <w:t>2</w:t>
      </w:r>
      <w:r>
        <w:rPr>
          <w:rFonts w:hint="eastAsia"/>
          <w:color w:val="auto"/>
        </w:rPr>
        <w:t>）湿度的影响</w:t>
      </w:r>
    </w:p>
    <w:p w:rsidR="003F13AB" w:rsidRDefault="00EC6E7E">
      <w:pPr>
        <w:ind w:firstLine="560"/>
        <w:rPr>
          <w:color w:val="auto"/>
        </w:rPr>
      </w:pPr>
      <w:r>
        <w:rPr>
          <w:rFonts w:hint="eastAsia"/>
          <w:color w:val="auto"/>
        </w:rPr>
        <w:t>项目主要为室内作业和室内生产，且生产工艺及设备对湿度无特殊要求，湿度对安全生产的影响不大。</w:t>
      </w:r>
    </w:p>
    <w:p w:rsidR="003F13AB" w:rsidRDefault="00EC6E7E">
      <w:pPr>
        <w:ind w:firstLine="560"/>
        <w:rPr>
          <w:color w:val="auto"/>
        </w:rPr>
      </w:pPr>
      <w:r>
        <w:rPr>
          <w:rFonts w:hint="eastAsia"/>
          <w:color w:val="auto"/>
        </w:rPr>
        <w:t>（</w:t>
      </w:r>
      <w:r>
        <w:rPr>
          <w:rFonts w:hint="eastAsia"/>
          <w:color w:val="auto"/>
        </w:rPr>
        <w:t>3</w:t>
      </w:r>
      <w:r>
        <w:rPr>
          <w:rFonts w:hint="eastAsia"/>
          <w:color w:val="auto"/>
        </w:rPr>
        <w:t>）风及风向的影响</w:t>
      </w:r>
    </w:p>
    <w:p w:rsidR="003F13AB" w:rsidRDefault="00EC6E7E">
      <w:pPr>
        <w:ind w:firstLine="560"/>
        <w:rPr>
          <w:color w:val="auto"/>
        </w:rPr>
      </w:pPr>
      <w:r>
        <w:rPr>
          <w:rFonts w:hint="eastAsia"/>
          <w:color w:val="auto"/>
        </w:rPr>
        <w:t>项目主要为室内作业和室内生产，风及风向对本项目生产影响不大；办公生活区设置在全年</w:t>
      </w:r>
      <w:proofErr w:type="gramStart"/>
      <w:r>
        <w:rPr>
          <w:rFonts w:hint="eastAsia"/>
          <w:color w:val="auto"/>
        </w:rPr>
        <w:t>最小风频</w:t>
      </w:r>
      <w:proofErr w:type="gramEnd"/>
      <w:r>
        <w:rPr>
          <w:rFonts w:hint="eastAsia"/>
          <w:color w:val="auto"/>
        </w:rPr>
        <w:t>的上风向，发生事故时，有毒有害物质不易向办公生活区扩散。</w:t>
      </w:r>
    </w:p>
    <w:p w:rsidR="003F13AB" w:rsidRDefault="00EC6E7E">
      <w:pPr>
        <w:ind w:firstLine="560"/>
        <w:rPr>
          <w:color w:val="auto"/>
        </w:rPr>
      </w:pPr>
      <w:r>
        <w:rPr>
          <w:rFonts w:hint="eastAsia"/>
          <w:color w:val="auto"/>
        </w:rPr>
        <w:t>（</w:t>
      </w:r>
      <w:r>
        <w:rPr>
          <w:rFonts w:hint="eastAsia"/>
          <w:color w:val="auto"/>
        </w:rPr>
        <w:t>4</w:t>
      </w:r>
      <w:r>
        <w:rPr>
          <w:rFonts w:hint="eastAsia"/>
          <w:color w:val="auto"/>
        </w:rPr>
        <w:t>）雷击</w:t>
      </w:r>
    </w:p>
    <w:p w:rsidR="003F13AB" w:rsidRDefault="00EC6E7E">
      <w:pPr>
        <w:ind w:firstLine="560"/>
        <w:rPr>
          <w:color w:val="auto"/>
        </w:rPr>
      </w:pPr>
      <w:r>
        <w:rPr>
          <w:rFonts w:hint="eastAsia"/>
          <w:color w:val="auto"/>
        </w:rPr>
        <w:t>云南省属雷电灾害高发地区。高耸的建筑物、构筑物、设备设施在雷雨季节有可能遭受直击雷、地滚雷、雷电感应、雷电波等雷电的袭击，有可能产生火灾爆炸，设备损坏，人员电击伤害事故。</w:t>
      </w:r>
    </w:p>
    <w:p w:rsidR="003F13AB" w:rsidRDefault="00EC6E7E">
      <w:pPr>
        <w:ind w:firstLine="560"/>
        <w:rPr>
          <w:color w:val="auto"/>
        </w:rPr>
      </w:pPr>
      <w:r>
        <w:rPr>
          <w:rFonts w:hint="eastAsia"/>
          <w:color w:val="auto"/>
        </w:rPr>
        <w:t>如项目的仓库、生产厂房和电气线路等未按要求设置避雷设施或避雷设施未定期进行检测、避雷设施失效等，极易发生雷击事故，造成人员伤亡和财产损失的严重后果。</w:t>
      </w:r>
    </w:p>
    <w:p w:rsidR="003F13AB" w:rsidRDefault="00EC6E7E">
      <w:pPr>
        <w:pStyle w:val="3"/>
      </w:pPr>
      <w:bookmarkStart w:id="342" w:name="_Toc187914509"/>
      <w:r>
        <w:rPr>
          <w:rFonts w:hint="eastAsia"/>
        </w:rPr>
        <w:t>6.1.4 单元小结</w:t>
      </w:r>
      <w:bookmarkEnd w:id="342"/>
    </w:p>
    <w:p w:rsidR="003F13AB" w:rsidRDefault="00EC6E7E">
      <w:pPr>
        <w:ind w:firstLine="560"/>
        <w:rPr>
          <w:color w:val="auto"/>
          <w:lang w:val="zh-CN"/>
        </w:rPr>
      </w:pPr>
      <w:r>
        <w:rPr>
          <w:rFonts w:hint="eastAsia"/>
          <w:color w:val="auto"/>
          <w:lang w:val="zh-CN"/>
        </w:rPr>
        <w:t>农家乐公司厂址周围无重点生态保护区，</w:t>
      </w:r>
      <w:r>
        <w:rPr>
          <w:color w:val="auto"/>
          <w:lang w:val="zh-CN"/>
        </w:rPr>
        <w:t>厂内按功能分区，布置合理</w:t>
      </w:r>
      <w:r>
        <w:rPr>
          <w:rFonts w:hint="eastAsia"/>
          <w:color w:val="auto"/>
          <w:lang w:val="zh-CN"/>
        </w:rPr>
        <w:t>，</w:t>
      </w:r>
      <w:r>
        <w:rPr>
          <w:color w:val="auto"/>
          <w:lang w:val="zh-CN"/>
        </w:rPr>
        <w:t>项目与周边</w:t>
      </w:r>
      <w:r>
        <w:rPr>
          <w:rFonts w:hint="eastAsia"/>
          <w:color w:val="auto"/>
          <w:lang w:val="zh-CN"/>
        </w:rPr>
        <w:t>建筑</w:t>
      </w:r>
      <w:r>
        <w:rPr>
          <w:color w:val="auto"/>
          <w:lang w:val="zh-CN"/>
        </w:rPr>
        <w:t>或设施的</w:t>
      </w:r>
      <w:r>
        <w:rPr>
          <w:rFonts w:hint="eastAsia"/>
          <w:color w:val="auto"/>
          <w:lang w:val="zh-CN"/>
        </w:rPr>
        <w:t>防火</w:t>
      </w:r>
      <w:r>
        <w:rPr>
          <w:color w:val="auto"/>
          <w:lang w:val="zh-CN"/>
        </w:rPr>
        <w:t>距离</w:t>
      </w:r>
      <w:r>
        <w:rPr>
          <w:rFonts w:hint="eastAsia"/>
          <w:color w:val="auto"/>
          <w:lang w:val="zh-CN"/>
        </w:rPr>
        <w:t>符合规范和标准要求；</w:t>
      </w:r>
      <w:r>
        <w:rPr>
          <w:rFonts w:ascii="宋体" w:cs="宋体"/>
          <w:color w:val="auto"/>
          <w:szCs w:val="28"/>
        </w:rPr>
        <w:t>设有通道</w:t>
      </w:r>
      <w:r>
        <w:rPr>
          <w:rFonts w:ascii="宋体" w:cs="宋体" w:hint="eastAsia"/>
          <w:color w:val="auto"/>
          <w:szCs w:val="28"/>
        </w:rPr>
        <w:t>及装卸车场，</w:t>
      </w:r>
      <w:r>
        <w:rPr>
          <w:rFonts w:ascii="宋体" w:cs="宋体"/>
          <w:color w:val="auto"/>
          <w:szCs w:val="28"/>
        </w:rPr>
        <w:t>能保证</w:t>
      </w:r>
      <w:r>
        <w:rPr>
          <w:rFonts w:ascii="宋体" w:cs="宋体" w:hint="eastAsia"/>
          <w:color w:val="auto"/>
          <w:szCs w:val="28"/>
        </w:rPr>
        <w:t>物资运输、</w:t>
      </w:r>
      <w:r>
        <w:rPr>
          <w:rFonts w:ascii="宋体" w:cs="宋体"/>
          <w:color w:val="auto"/>
          <w:szCs w:val="28"/>
        </w:rPr>
        <w:t>安全操作及疏散方便。项目</w:t>
      </w:r>
      <w:r>
        <w:rPr>
          <w:rFonts w:hint="eastAsia"/>
          <w:bCs/>
          <w:snapToGrid w:val="0"/>
          <w:color w:val="auto"/>
          <w:kern w:val="0"/>
          <w:szCs w:val="28"/>
        </w:rPr>
        <w:t>总平面布置满足</w:t>
      </w:r>
      <w:r>
        <w:rPr>
          <w:rFonts w:hint="eastAsia"/>
          <w:color w:val="auto"/>
        </w:rPr>
        <w:t>《建</w:t>
      </w:r>
      <w:r>
        <w:rPr>
          <w:rFonts w:hint="eastAsia"/>
          <w:color w:val="auto"/>
        </w:rPr>
        <w:lastRenderedPageBreak/>
        <w:t>筑设计防火规范（</w:t>
      </w:r>
      <w:r>
        <w:rPr>
          <w:rFonts w:hint="eastAsia"/>
          <w:color w:val="auto"/>
        </w:rPr>
        <w:t>2018</w:t>
      </w:r>
      <w:r>
        <w:rPr>
          <w:rFonts w:hint="eastAsia"/>
          <w:color w:val="auto"/>
        </w:rPr>
        <w:t>年版）》（</w:t>
      </w:r>
      <w:r>
        <w:rPr>
          <w:rFonts w:hint="eastAsia"/>
          <w:color w:val="auto"/>
        </w:rPr>
        <w:t>GB50016-2014</w:t>
      </w:r>
      <w:r>
        <w:rPr>
          <w:rFonts w:hint="eastAsia"/>
          <w:color w:val="auto"/>
        </w:rPr>
        <w:t>）</w:t>
      </w:r>
      <w:r>
        <w:rPr>
          <w:rFonts w:hint="eastAsia"/>
          <w:bCs/>
          <w:snapToGrid w:val="0"/>
          <w:color w:val="auto"/>
          <w:kern w:val="0"/>
          <w:szCs w:val="28"/>
        </w:rPr>
        <w:t>等规范的要求。</w:t>
      </w:r>
      <w:r>
        <w:rPr>
          <w:rFonts w:hint="eastAsia"/>
          <w:color w:val="auto"/>
          <w:lang w:val="zh-CN"/>
        </w:rPr>
        <w:t>当厂内发生事故时，对厂外周边建筑不会产生影响。厂区外部的正常生产生活不会对本项目产生影响。</w:t>
      </w:r>
    </w:p>
    <w:p w:rsidR="003F13AB" w:rsidRDefault="00EC6E7E">
      <w:pPr>
        <w:ind w:firstLine="560"/>
        <w:rPr>
          <w:color w:val="auto"/>
        </w:rPr>
      </w:pPr>
      <w:r>
        <w:rPr>
          <w:color w:val="auto"/>
          <w:lang w:val="zh-CN"/>
        </w:rPr>
        <w:t>项目所在地的自然条件对</w:t>
      </w:r>
      <w:r>
        <w:rPr>
          <w:rFonts w:hint="eastAsia"/>
          <w:color w:val="auto"/>
          <w:lang w:val="zh-CN"/>
        </w:rPr>
        <w:t>本</w:t>
      </w:r>
      <w:r>
        <w:rPr>
          <w:color w:val="auto"/>
          <w:lang w:val="zh-CN"/>
        </w:rPr>
        <w:t>项目的影响在可接受和</w:t>
      </w:r>
      <w:proofErr w:type="gramStart"/>
      <w:r>
        <w:rPr>
          <w:color w:val="auto"/>
          <w:lang w:val="zh-CN"/>
        </w:rPr>
        <w:t>可</w:t>
      </w:r>
      <w:proofErr w:type="gramEnd"/>
      <w:r>
        <w:rPr>
          <w:color w:val="auto"/>
          <w:lang w:val="zh-CN"/>
        </w:rPr>
        <w:t>控制的范围内，没有发现重大不利安全影响。</w:t>
      </w:r>
    </w:p>
    <w:p w:rsidR="003F13AB" w:rsidRDefault="00EC6E7E">
      <w:pPr>
        <w:pStyle w:val="2"/>
      </w:pPr>
      <w:bookmarkStart w:id="343" w:name="_Toc166857624"/>
      <w:bookmarkStart w:id="344" w:name="_Toc187914510"/>
      <w:r>
        <w:rPr>
          <w:rFonts w:hint="eastAsia"/>
        </w:rPr>
        <w:t>6.2 生产工艺及设备设施单元评价</w:t>
      </w:r>
      <w:bookmarkEnd w:id="343"/>
      <w:bookmarkEnd w:id="344"/>
    </w:p>
    <w:p w:rsidR="003F13AB" w:rsidRDefault="00EC6E7E">
      <w:pPr>
        <w:pStyle w:val="3"/>
      </w:pPr>
      <w:bookmarkStart w:id="345" w:name="_Toc187914511"/>
      <w:r>
        <w:rPr>
          <w:rFonts w:hint="eastAsia"/>
        </w:rPr>
        <w:t>6.2.1 生产工艺及设备设施安全检查表评价</w:t>
      </w:r>
      <w:bookmarkEnd w:id="345"/>
    </w:p>
    <w:p w:rsidR="003F13AB" w:rsidRDefault="00EC6E7E">
      <w:pPr>
        <w:ind w:firstLine="560"/>
        <w:rPr>
          <w:color w:val="auto"/>
          <w:lang w:val="zh-CN"/>
        </w:rPr>
      </w:pPr>
      <w:r>
        <w:rPr>
          <w:rFonts w:hint="eastAsia"/>
          <w:color w:val="auto"/>
          <w:lang w:val="zh-CN"/>
        </w:rPr>
        <w:t>本节根据</w:t>
      </w:r>
      <w:r>
        <w:rPr>
          <w:rFonts w:hint="eastAsia"/>
        </w:rPr>
        <w:t>《生产过程安全卫生要求总则》（</w:t>
      </w:r>
      <w:r>
        <w:rPr>
          <w:rFonts w:hint="eastAsia"/>
        </w:rPr>
        <w:t>GB/T12801-2008</w:t>
      </w:r>
      <w:r>
        <w:rPr>
          <w:rFonts w:hint="eastAsia"/>
        </w:rPr>
        <w:t>）、《生产设备安全卫生设计总则》（</w:t>
      </w:r>
      <w:r>
        <w:rPr>
          <w:rFonts w:hint="eastAsia"/>
        </w:rPr>
        <w:t>GB5083-2023</w:t>
      </w:r>
      <w:r>
        <w:rPr>
          <w:rFonts w:hint="eastAsia"/>
        </w:rPr>
        <w:t>）、《石油化工企业设计防火标准》（</w:t>
      </w:r>
      <w:r>
        <w:rPr>
          <w:rFonts w:hint="eastAsia"/>
        </w:rPr>
        <w:t>GB50160-2008</w:t>
      </w:r>
      <w:r>
        <w:rPr>
          <w:rFonts w:hint="eastAsia"/>
        </w:rPr>
        <w:t>）（</w:t>
      </w:r>
      <w:r>
        <w:rPr>
          <w:rFonts w:hint="eastAsia"/>
        </w:rPr>
        <w:t>2018</w:t>
      </w:r>
      <w:r>
        <w:rPr>
          <w:rFonts w:hint="eastAsia"/>
        </w:rPr>
        <w:t>年版）</w:t>
      </w:r>
      <w:r>
        <w:rPr>
          <w:rFonts w:hint="eastAsia"/>
          <w:color w:val="auto"/>
          <w:lang w:val="zh-CN"/>
        </w:rPr>
        <w:t>等标准、规范，对农家乐公司储存工艺及设备进行安全检查，具体检查情况见附表</w:t>
      </w:r>
      <w:r>
        <w:rPr>
          <w:rFonts w:hint="eastAsia"/>
          <w:color w:val="auto"/>
          <w:lang w:val="zh-CN"/>
        </w:rPr>
        <w:t>6.2-1</w:t>
      </w:r>
      <w:r>
        <w:rPr>
          <w:rFonts w:hint="eastAsia"/>
          <w:color w:val="auto"/>
          <w:lang w:val="zh-CN"/>
        </w:rPr>
        <w:t>。</w:t>
      </w:r>
    </w:p>
    <w:p w:rsidR="003F13AB" w:rsidRDefault="00EC6E7E">
      <w:pPr>
        <w:pStyle w:val="a8"/>
        <w:widowControl w:val="0"/>
        <w:ind w:leftChars="0" w:left="0" w:firstLineChars="0" w:firstLine="0"/>
        <w:jc w:val="center"/>
        <w:rPr>
          <w:rFonts w:ascii="宋体" w:hAnsi="宋体"/>
          <w:color w:val="auto"/>
          <w:sz w:val="28"/>
          <w:szCs w:val="28"/>
          <w:lang w:val="zh-CN"/>
        </w:rPr>
      </w:pPr>
      <w:r>
        <w:rPr>
          <w:rFonts w:ascii="宋体" w:hAnsi="宋体" w:hint="eastAsia"/>
          <w:color w:val="auto"/>
          <w:sz w:val="28"/>
          <w:szCs w:val="28"/>
          <w:lang w:val="zh-CN"/>
        </w:rPr>
        <w:t>附表6.2-1 生产工艺及设备安全检查表</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5"/>
        <w:gridCol w:w="3492"/>
        <w:gridCol w:w="1974"/>
        <w:gridCol w:w="2398"/>
        <w:gridCol w:w="643"/>
      </w:tblGrid>
      <w:tr w:rsidR="003F13AB">
        <w:trPr>
          <w:trHeight w:val="302"/>
          <w:tblHeader/>
          <w:jc w:val="center"/>
        </w:trPr>
        <w:tc>
          <w:tcPr>
            <w:tcW w:w="567" w:type="dxa"/>
            <w:vAlign w:val="center"/>
          </w:tcPr>
          <w:p w:rsidR="003F13AB" w:rsidRDefault="00EC6E7E">
            <w:pPr>
              <w:adjustRightInd/>
              <w:spacing w:line="240" w:lineRule="auto"/>
              <w:ind w:firstLineChars="0" w:firstLine="0"/>
              <w:jc w:val="left"/>
              <w:rPr>
                <w:rFonts w:ascii="宋体" w:hAnsi="宋体" w:cs="宋体"/>
                <w:b/>
                <w:bCs/>
                <w:color w:val="auto"/>
                <w:sz w:val="21"/>
                <w:szCs w:val="21"/>
              </w:rPr>
            </w:pPr>
            <w:r>
              <w:rPr>
                <w:rFonts w:ascii="宋体" w:hAnsi="宋体" w:cs="宋体" w:hint="eastAsia"/>
                <w:b/>
                <w:bCs/>
                <w:color w:val="auto"/>
                <w:sz w:val="21"/>
                <w:szCs w:val="21"/>
              </w:rPr>
              <w:t>序号</w:t>
            </w:r>
          </w:p>
        </w:tc>
        <w:tc>
          <w:tcPr>
            <w:tcW w:w="3512" w:type="dxa"/>
            <w:vAlign w:val="center"/>
          </w:tcPr>
          <w:p w:rsidR="003F13AB" w:rsidRDefault="00EC6E7E">
            <w:pPr>
              <w:adjustRightInd/>
              <w:spacing w:line="240" w:lineRule="auto"/>
              <w:ind w:firstLineChars="0" w:firstLine="0"/>
              <w:jc w:val="center"/>
              <w:rPr>
                <w:rFonts w:ascii="宋体" w:hAnsi="宋体" w:cs="宋体"/>
                <w:b/>
                <w:bCs/>
                <w:color w:val="auto"/>
                <w:sz w:val="21"/>
                <w:szCs w:val="21"/>
              </w:rPr>
            </w:pPr>
            <w:r>
              <w:rPr>
                <w:rFonts w:ascii="宋体" w:hAnsi="宋体" w:cs="宋体" w:hint="eastAsia"/>
                <w:b/>
                <w:bCs/>
                <w:color w:val="auto"/>
                <w:sz w:val="21"/>
                <w:szCs w:val="21"/>
              </w:rPr>
              <w:t>检  查  内  容</w:t>
            </w:r>
          </w:p>
        </w:tc>
        <w:tc>
          <w:tcPr>
            <w:tcW w:w="1985" w:type="dxa"/>
            <w:vAlign w:val="center"/>
          </w:tcPr>
          <w:p w:rsidR="003F13AB" w:rsidRDefault="00EC6E7E">
            <w:pPr>
              <w:adjustRightInd/>
              <w:spacing w:line="240" w:lineRule="auto"/>
              <w:ind w:firstLineChars="0" w:firstLine="0"/>
              <w:jc w:val="center"/>
              <w:rPr>
                <w:rFonts w:ascii="宋体" w:hAnsi="宋体" w:cs="宋体"/>
                <w:b/>
                <w:bCs/>
                <w:color w:val="auto"/>
                <w:sz w:val="21"/>
                <w:szCs w:val="21"/>
              </w:rPr>
            </w:pPr>
            <w:r>
              <w:rPr>
                <w:rFonts w:ascii="宋体" w:hAnsi="宋体" w:cs="宋体" w:hint="eastAsia"/>
                <w:b/>
                <w:bCs/>
                <w:color w:val="auto"/>
                <w:sz w:val="21"/>
                <w:szCs w:val="21"/>
              </w:rPr>
              <w:t>检 查 依 据</w:t>
            </w:r>
          </w:p>
        </w:tc>
        <w:tc>
          <w:tcPr>
            <w:tcW w:w="2411" w:type="dxa"/>
            <w:vAlign w:val="center"/>
          </w:tcPr>
          <w:p w:rsidR="003F13AB" w:rsidRDefault="00EC6E7E">
            <w:pPr>
              <w:adjustRightInd/>
              <w:spacing w:line="240" w:lineRule="auto"/>
              <w:ind w:firstLineChars="0" w:firstLine="0"/>
              <w:jc w:val="center"/>
              <w:rPr>
                <w:rFonts w:ascii="宋体" w:hAnsi="宋体" w:cs="宋体"/>
                <w:b/>
                <w:bCs/>
                <w:color w:val="auto"/>
                <w:sz w:val="21"/>
                <w:szCs w:val="21"/>
              </w:rPr>
            </w:pPr>
            <w:r>
              <w:rPr>
                <w:rFonts w:ascii="宋体" w:hAnsi="宋体" w:cs="宋体" w:hint="eastAsia"/>
                <w:b/>
                <w:bCs/>
                <w:color w:val="auto"/>
                <w:sz w:val="21"/>
                <w:szCs w:val="21"/>
              </w:rPr>
              <w:t xml:space="preserve">检  查  情  </w:t>
            </w:r>
            <w:proofErr w:type="gramStart"/>
            <w:r>
              <w:rPr>
                <w:rFonts w:ascii="宋体" w:hAnsi="宋体" w:cs="宋体" w:hint="eastAsia"/>
                <w:b/>
                <w:bCs/>
                <w:color w:val="auto"/>
                <w:sz w:val="21"/>
                <w:szCs w:val="21"/>
              </w:rPr>
              <w:t>况</w:t>
            </w:r>
            <w:proofErr w:type="gramEnd"/>
          </w:p>
        </w:tc>
        <w:tc>
          <w:tcPr>
            <w:tcW w:w="646" w:type="dxa"/>
            <w:vAlign w:val="center"/>
          </w:tcPr>
          <w:p w:rsidR="003F13AB" w:rsidRDefault="00EC6E7E">
            <w:pPr>
              <w:adjustRightInd/>
              <w:spacing w:line="240" w:lineRule="auto"/>
              <w:ind w:firstLineChars="0" w:firstLine="0"/>
              <w:jc w:val="center"/>
              <w:rPr>
                <w:rFonts w:ascii="宋体" w:hAnsi="宋体" w:cs="宋体"/>
                <w:b/>
                <w:bCs/>
                <w:color w:val="auto"/>
                <w:sz w:val="21"/>
                <w:szCs w:val="21"/>
              </w:rPr>
            </w:pPr>
            <w:r>
              <w:rPr>
                <w:rFonts w:ascii="宋体" w:hAnsi="宋体" w:cs="宋体" w:hint="eastAsia"/>
                <w:b/>
                <w:bCs/>
                <w:color w:val="auto"/>
                <w:sz w:val="21"/>
                <w:szCs w:val="21"/>
              </w:rPr>
              <w:t>检查</w:t>
            </w:r>
          </w:p>
          <w:p w:rsidR="003F13AB" w:rsidRDefault="00EC6E7E">
            <w:pPr>
              <w:adjustRightInd/>
              <w:spacing w:line="240" w:lineRule="auto"/>
              <w:ind w:firstLineChars="0" w:firstLine="0"/>
              <w:jc w:val="center"/>
              <w:rPr>
                <w:rFonts w:ascii="宋体" w:hAnsi="宋体" w:cs="宋体"/>
                <w:b/>
                <w:bCs/>
                <w:color w:val="auto"/>
                <w:sz w:val="21"/>
                <w:szCs w:val="21"/>
              </w:rPr>
            </w:pPr>
            <w:r>
              <w:rPr>
                <w:rFonts w:ascii="宋体" w:hAnsi="宋体" w:cs="宋体" w:hint="eastAsia"/>
                <w:b/>
                <w:bCs/>
                <w:color w:val="auto"/>
                <w:sz w:val="21"/>
                <w:szCs w:val="21"/>
              </w:rPr>
              <w:t>结果</w:t>
            </w:r>
          </w:p>
        </w:tc>
      </w:tr>
      <w:tr w:rsidR="003F13AB">
        <w:trPr>
          <w:trHeight w:val="70"/>
          <w:jc w:val="center"/>
        </w:trPr>
        <w:tc>
          <w:tcPr>
            <w:tcW w:w="567"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1</w:t>
            </w:r>
          </w:p>
        </w:tc>
        <w:tc>
          <w:tcPr>
            <w:tcW w:w="3512" w:type="dxa"/>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设计、组织和实施的原则：</w:t>
            </w:r>
          </w:p>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a）应防止工作人员直接接触具有或能产生危险和有害因素的设备、设施、生产物料、产品和剩余物料；</w:t>
            </w:r>
          </w:p>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b）应优先采用没有危害或危害较小的新工艺、新技术、新设备、新材料；</w:t>
            </w:r>
          </w:p>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c）对具有危险和有害因素的生产过程应合理地采用机械化、自动化和计算机技术，实现遥控或隔离操作；</w:t>
            </w:r>
          </w:p>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d）对产生危险和有害因素的过程，应配置监控检测仪器、仪表，必要时配置自动</w:t>
            </w:r>
            <w:proofErr w:type="gramStart"/>
            <w:r>
              <w:rPr>
                <w:rFonts w:ascii="宋体" w:hAnsi="宋体" w:cs="宋体" w:hint="eastAsia"/>
                <w:color w:val="auto"/>
                <w:sz w:val="21"/>
                <w:szCs w:val="21"/>
              </w:rPr>
              <w:t>联锁</w:t>
            </w:r>
            <w:proofErr w:type="gramEnd"/>
            <w:r>
              <w:rPr>
                <w:rFonts w:ascii="宋体" w:hAnsi="宋体" w:cs="宋体" w:hint="eastAsia"/>
                <w:color w:val="auto"/>
                <w:sz w:val="21"/>
                <w:szCs w:val="21"/>
              </w:rPr>
              <w:t>、自动报警装置；</w:t>
            </w:r>
          </w:p>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f）危险性较大的生产装置或系统，应设置能保证人员安全、设备紧急停止运行的安全监控系统。</w:t>
            </w:r>
          </w:p>
        </w:tc>
        <w:tc>
          <w:tcPr>
            <w:tcW w:w="1985"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《生产过程安全卫生要求总则》（GB/T12801-2008）5.3.1</w:t>
            </w:r>
          </w:p>
        </w:tc>
        <w:tc>
          <w:tcPr>
            <w:tcW w:w="2411" w:type="dxa"/>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项目采用自动控制，工作人员未直接接触产生危险的设备、设施、生产物料；对产生危险和有害因素的过程，配置监控检测仪器、仪表，配置必要的自动</w:t>
            </w:r>
            <w:proofErr w:type="gramStart"/>
            <w:r>
              <w:rPr>
                <w:rFonts w:ascii="宋体" w:hAnsi="宋体" w:cs="宋体" w:hint="eastAsia"/>
                <w:color w:val="auto"/>
                <w:sz w:val="21"/>
                <w:szCs w:val="21"/>
              </w:rPr>
              <w:t>联锁</w:t>
            </w:r>
            <w:proofErr w:type="gramEnd"/>
            <w:r>
              <w:rPr>
                <w:rFonts w:ascii="宋体" w:hAnsi="宋体" w:cs="宋体" w:hint="eastAsia"/>
                <w:color w:val="auto"/>
                <w:sz w:val="21"/>
                <w:szCs w:val="21"/>
              </w:rPr>
              <w:t>；能保证人员安全及设备紧急停止运行的安全监控系统。</w:t>
            </w:r>
          </w:p>
        </w:tc>
        <w:tc>
          <w:tcPr>
            <w:tcW w:w="646"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70"/>
          <w:jc w:val="center"/>
        </w:trPr>
        <w:tc>
          <w:tcPr>
            <w:tcW w:w="567"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2</w:t>
            </w:r>
          </w:p>
        </w:tc>
        <w:tc>
          <w:tcPr>
            <w:tcW w:w="3512" w:type="dxa"/>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应尽量选用自动化程度高的设备。危险性较大的、重要的关键性生产设备，应由具备有效资质的单位进行设计、制造和检验。</w:t>
            </w:r>
          </w:p>
        </w:tc>
        <w:tc>
          <w:tcPr>
            <w:tcW w:w="1985"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《生产过程安全卫生要求总则》（GB/T12801-2008）5.6.1</w:t>
            </w:r>
          </w:p>
        </w:tc>
        <w:tc>
          <w:tcPr>
            <w:tcW w:w="2411"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采用有效资质的单位进行设计、制造和检验。</w:t>
            </w:r>
          </w:p>
        </w:tc>
        <w:tc>
          <w:tcPr>
            <w:tcW w:w="646"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442"/>
          <w:jc w:val="center"/>
        </w:trPr>
        <w:tc>
          <w:tcPr>
            <w:tcW w:w="567"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3</w:t>
            </w:r>
          </w:p>
        </w:tc>
        <w:tc>
          <w:tcPr>
            <w:tcW w:w="3512" w:type="dxa"/>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生产设备（包括零部件）应有符合产品安全性能的力学特性、稳定性和可靠性。在按规定条件制造、运输、储存、安装、使用和拆除时，不得对人员造成危害。</w:t>
            </w:r>
          </w:p>
        </w:tc>
        <w:tc>
          <w:tcPr>
            <w:tcW w:w="1985"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《生产设备安全卫生设计总则》（GB5083-2023）4.2</w:t>
            </w:r>
          </w:p>
        </w:tc>
        <w:tc>
          <w:tcPr>
            <w:tcW w:w="2411"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项目生产设备设施选择有资质单位生产的合格产品。</w:t>
            </w:r>
          </w:p>
        </w:tc>
        <w:tc>
          <w:tcPr>
            <w:tcW w:w="646"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74"/>
          <w:jc w:val="center"/>
        </w:trPr>
        <w:tc>
          <w:tcPr>
            <w:tcW w:w="567"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lastRenderedPageBreak/>
              <w:t>4</w:t>
            </w:r>
          </w:p>
        </w:tc>
        <w:tc>
          <w:tcPr>
            <w:tcW w:w="3512" w:type="dxa"/>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生产设备正常运行过程中，不应向工作场所、大气、水体和土壤排放超过国家标准限值的化学毒物，粉尘等有毒、有害物质，不应排放和产生超过国家标准限值的噪声、振动、电离辐射、非电离辐射和其他污染。</w:t>
            </w:r>
          </w:p>
        </w:tc>
        <w:tc>
          <w:tcPr>
            <w:tcW w:w="1985"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《生产设备安全卫生设计总则》（GB5083-2023）4.3</w:t>
            </w:r>
          </w:p>
        </w:tc>
        <w:tc>
          <w:tcPr>
            <w:tcW w:w="2411"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项目采用降噪降尘设施，正常生产过程中，不向工作场所和大气排放有害物质。</w:t>
            </w:r>
          </w:p>
        </w:tc>
        <w:tc>
          <w:tcPr>
            <w:tcW w:w="646"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74"/>
          <w:jc w:val="center"/>
        </w:trPr>
        <w:tc>
          <w:tcPr>
            <w:tcW w:w="567"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5</w:t>
            </w:r>
          </w:p>
        </w:tc>
        <w:tc>
          <w:tcPr>
            <w:tcW w:w="3512" w:type="dxa"/>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设备的设计应符合人类工效学原则，以保护作业人员生理和心理健康。</w:t>
            </w:r>
          </w:p>
        </w:tc>
        <w:tc>
          <w:tcPr>
            <w:tcW w:w="1985"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《生产设备安全卫生设计总则》（GB5083-2023）4.4</w:t>
            </w:r>
          </w:p>
        </w:tc>
        <w:tc>
          <w:tcPr>
            <w:tcW w:w="2411"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项目生产设备具有一定自动化程度，能减轻操作人员的体力、脑力消耗。</w:t>
            </w:r>
          </w:p>
        </w:tc>
        <w:tc>
          <w:tcPr>
            <w:tcW w:w="646"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74"/>
          <w:jc w:val="center"/>
        </w:trPr>
        <w:tc>
          <w:tcPr>
            <w:tcW w:w="567"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6</w:t>
            </w:r>
          </w:p>
        </w:tc>
        <w:tc>
          <w:tcPr>
            <w:tcW w:w="3512" w:type="dxa"/>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在正常使用环境下，不应使用国家明令禁止使用的材料制造生产设备。</w:t>
            </w:r>
          </w:p>
        </w:tc>
        <w:tc>
          <w:tcPr>
            <w:tcW w:w="1985"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《生产设备安全卫生设计总则》（GB5083-2023）5．2．2</w:t>
            </w:r>
          </w:p>
        </w:tc>
        <w:tc>
          <w:tcPr>
            <w:tcW w:w="2411"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项目不使用对人体有危害的材料制造的生产设备。</w:t>
            </w:r>
          </w:p>
        </w:tc>
        <w:tc>
          <w:tcPr>
            <w:tcW w:w="646"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74"/>
          <w:jc w:val="center"/>
        </w:trPr>
        <w:tc>
          <w:tcPr>
            <w:tcW w:w="567"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7</w:t>
            </w:r>
          </w:p>
        </w:tc>
        <w:tc>
          <w:tcPr>
            <w:tcW w:w="3512" w:type="dxa"/>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不应使用能与工作介质发生反应而造成危害（火灾、爆炸危险或生成有毒、有害物质等）的材料。</w:t>
            </w:r>
          </w:p>
        </w:tc>
        <w:tc>
          <w:tcPr>
            <w:tcW w:w="1985"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《生产设备安全卫生设计总则》（GB5083-2023）5．2．5</w:t>
            </w:r>
          </w:p>
        </w:tc>
        <w:tc>
          <w:tcPr>
            <w:tcW w:w="2411"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项目未使用能与工作介质发生反应造成危害的材料。</w:t>
            </w:r>
          </w:p>
        </w:tc>
        <w:tc>
          <w:tcPr>
            <w:tcW w:w="646"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74"/>
          <w:jc w:val="center"/>
        </w:trPr>
        <w:tc>
          <w:tcPr>
            <w:tcW w:w="567"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8</w:t>
            </w:r>
          </w:p>
        </w:tc>
        <w:tc>
          <w:tcPr>
            <w:tcW w:w="3512"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 xml:space="preserve">工艺设备（以下简称设备）、管道和构件的材料应符合下列规定： 1. 设备本体（不含衬里）及其基础，管道（不含衬里）及其支、吊架和基础应采用不燃烧材料，但储罐底板垫层可采用沥青砂； 2. 设备和管道的保温层应采用不燃烧材料，当设备和管道的保冷层采用阻燃型泡沫塑料制品时，其氧指数不应小于30； 3. 建筑物的构件耐火极限应符合《建筑设计防火规范》（GB50016）的有关规定。 </w:t>
            </w:r>
          </w:p>
        </w:tc>
        <w:tc>
          <w:tcPr>
            <w:tcW w:w="1985"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《石油化工企业设计防火标准》（GB50160-2008）（2018年版）第5.1.1条</w:t>
            </w:r>
          </w:p>
        </w:tc>
        <w:tc>
          <w:tcPr>
            <w:tcW w:w="2411"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工艺设备</w:t>
            </w:r>
            <w:proofErr w:type="gramStart"/>
            <w:r>
              <w:rPr>
                <w:rFonts w:ascii="宋体" w:hAnsi="宋体" w:cs="宋体" w:hint="eastAsia"/>
                <w:color w:val="auto"/>
                <w:sz w:val="21"/>
                <w:szCs w:val="21"/>
              </w:rPr>
              <w:t>符合左述要求</w:t>
            </w:r>
            <w:proofErr w:type="gramEnd"/>
            <w:r>
              <w:rPr>
                <w:rFonts w:ascii="宋体" w:hAnsi="宋体" w:cs="宋体" w:hint="eastAsia"/>
                <w:color w:val="auto"/>
                <w:sz w:val="21"/>
                <w:szCs w:val="21"/>
              </w:rPr>
              <w:t>。</w:t>
            </w:r>
          </w:p>
        </w:tc>
        <w:tc>
          <w:tcPr>
            <w:tcW w:w="646"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74"/>
          <w:jc w:val="center"/>
        </w:trPr>
        <w:tc>
          <w:tcPr>
            <w:tcW w:w="567"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9</w:t>
            </w:r>
          </w:p>
        </w:tc>
        <w:tc>
          <w:tcPr>
            <w:tcW w:w="3512"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设备和管道应根据其内部物料的火灾危险性和操作条件，设置相应的仪表、自动</w:t>
            </w:r>
            <w:proofErr w:type="gramStart"/>
            <w:r>
              <w:rPr>
                <w:rFonts w:ascii="宋体" w:hAnsi="宋体" w:cs="宋体" w:hint="eastAsia"/>
                <w:color w:val="auto"/>
                <w:sz w:val="21"/>
                <w:szCs w:val="21"/>
              </w:rPr>
              <w:t>联锁</w:t>
            </w:r>
            <w:proofErr w:type="gramEnd"/>
            <w:r>
              <w:rPr>
                <w:rFonts w:ascii="宋体" w:hAnsi="宋体" w:cs="宋体" w:hint="eastAsia"/>
                <w:color w:val="auto"/>
                <w:sz w:val="21"/>
                <w:szCs w:val="21"/>
              </w:rPr>
              <w:t>保护系统或紧急停车措施。</w:t>
            </w:r>
          </w:p>
        </w:tc>
        <w:tc>
          <w:tcPr>
            <w:tcW w:w="1985"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《石油化工企业设计防火标准》（GB50160-2008）（2018年版）第5.1.2条</w:t>
            </w:r>
          </w:p>
        </w:tc>
        <w:tc>
          <w:tcPr>
            <w:tcW w:w="2411"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在锅炉房和热风炉附近设置防爆型数显声光报警可燃气体检测系统，在线监测锅炉房室内天然气的含量。报警信号引至控制室，可燃气体浓度超标时，现场探测器发出声光报警信号并在控制室进行集中报警，同时启动事故排风机，关闭天然气进气总管电磁切断阀。</w:t>
            </w:r>
          </w:p>
        </w:tc>
        <w:tc>
          <w:tcPr>
            <w:tcW w:w="646"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243"/>
          <w:jc w:val="center"/>
        </w:trPr>
        <w:tc>
          <w:tcPr>
            <w:tcW w:w="567"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10</w:t>
            </w:r>
          </w:p>
        </w:tc>
        <w:tc>
          <w:tcPr>
            <w:tcW w:w="3512"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 xml:space="preserve">在使用或产生甲类气体或甲、乙A类液体的工艺装置、系统单元和储运设施区内，应按区域控制和重点控制相结合的原则，设置可燃气体报警系统。 </w:t>
            </w:r>
          </w:p>
        </w:tc>
        <w:tc>
          <w:tcPr>
            <w:tcW w:w="1985"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《石油化工企业设计防火标准》（GB50160-2008）（2018年版）第5.1.3条</w:t>
            </w:r>
          </w:p>
        </w:tc>
        <w:tc>
          <w:tcPr>
            <w:tcW w:w="2411" w:type="dxa"/>
            <w:vAlign w:val="center"/>
          </w:tcPr>
          <w:p w:rsidR="003F13AB" w:rsidRDefault="00EC6E7E">
            <w:pPr>
              <w:adjustRightInd/>
              <w:spacing w:line="240" w:lineRule="auto"/>
              <w:ind w:firstLineChars="0" w:firstLine="0"/>
              <w:jc w:val="left"/>
              <w:rPr>
                <w:rFonts w:ascii="宋体" w:hAnsi="宋体" w:cs="宋体"/>
                <w:color w:val="auto"/>
                <w:sz w:val="21"/>
                <w:szCs w:val="21"/>
              </w:rPr>
            </w:pPr>
            <w:r>
              <w:rPr>
                <w:rFonts w:ascii="宋体" w:hAnsi="宋体" w:cs="宋体" w:hint="eastAsia"/>
                <w:color w:val="auto"/>
                <w:sz w:val="21"/>
                <w:szCs w:val="21"/>
              </w:rPr>
              <w:t>项目锅炉房、热风炉使用的燃料为天然气，属于使用甲类气体工艺装置，现场已在锅炉房、热风炉设置可燃气体检测报警装置。</w:t>
            </w:r>
          </w:p>
        </w:tc>
        <w:tc>
          <w:tcPr>
            <w:tcW w:w="646"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符合要求</w:t>
            </w:r>
          </w:p>
        </w:tc>
      </w:tr>
    </w:tbl>
    <w:p w:rsidR="003F13AB" w:rsidRDefault="003F13AB">
      <w:pPr>
        <w:pStyle w:val="a8"/>
        <w:widowControl w:val="0"/>
        <w:ind w:leftChars="0" w:left="0" w:firstLineChars="0" w:firstLine="0"/>
        <w:jc w:val="left"/>
        <w:rPr>
          <w:rFonts w:ascii="宋体" w:hAnsi="宋体"/>
          <w:color w:val="auto"/>
          <w:sz w:val="28"/>
          <w:szCs w:val="28"/>
          <w:lang w:val="zh-CN"/>
        </w:rPr>
      </w:pPr>
    </w:p>
    <w:p w:rsidR="003F13AB" w:rsidRDefault="00EC6E7E">
      <w:pPr>
        <w:ind w:firstLine="560"/>
        <w:rPr>
          <w:color w:val="auto"/>
        </w:rPr>
      </w:pPr>
      <w:r>
        <w:rPr>
          <w:rFonts w:hint="eastAsia"/>
          <w:color w:val="auto"/>
        </w:rPr>
        <w:t>通过对项目工艺及设备进行检查，共检查</w:t>
      </w:r>
      <w:r>
        <w:rPr>
          <w:rFonts w:hint="eastAsia"/>
          <w:color w:val="auto"/>
        </w:rPr>
        <w:t>10</w:t>
      </w:r>
      <w:r>
        <w:rPr>
          <w:rFonts w:hint="eastAsia"/>
          <w:color w:val="auto"/>
        </w:rPr>
        <w:t>项，全部符合</w:t>
      </w:r>
      <w:r>
        <w:rPr>
          <w:rFonts w:ascii="宋体" w:hAnsi="宋体" w:hint="eastAsia"/>
          <w:color w:val="auto"/>
          <w:szCs w:val="28"/>
        </w:rPr>
        <w:t>。</w:t>
      </w:r>
    </w:p>
    <w:p w:rsidR="003F13AB" w:rsidRDefault="00EC6E7E">
      <w:pPr>
        <w:pStyle w:val="3"/>
      </w:pPr>
      <w:bookmarkStart w:id="346" w:name="_Toc187914512"/>
      <w:r>
        <w:rPr>
          <w:rFonts w:hint="eastAsia"/>
        </w:rPr>
        <w:t>6.2.2单元小结</w:t>
      </w:r>
      <w:bookmarkEnd w:id="346"/>
    </w:p>
    <w:p w:rsidR="003F13AB" w:rsidRDefault="00EC6E7E">
      <w:pPr>
        <w:ind w:firstLine="560"/>
        <w:rPr>
          <w:color w:val="auto"/>
        </w:rPr>
      </w:pPr>
      <w:r>
        <w:rPr>
          <w:rFonts w:hint="eastAsia"/>
          <w:color w:val="auto"/>
        </w:rPr>
        <w:t>项目生产工艺、设备为国内成熟工艺、设备生产，不属于国家明令禁止使用或淘汰的。生产设备为正规厂家生产，生产设施、设备安全维护符合相关要求，工艺过程及作业场所、储存设施、安全设施符合相关安全规范。</w:t>
      </w:r>
    </w:p>
    <w:p w:rsidR="003F13AB" w:rsidRDefault="00EC6E7E">
      <w:pPr>
        <w:pStyle w:val="2"/>
      </w:pPr>
      <w:bookmarkStart w:id="347" w:name="_Toc187914513"/>
      <w:bookmarkStart w:id="348" w:name="_Toc166857625"/>
      <w:r>
        <w:rPr>
          <w:rFonts w:hint="eastAsia"/>
        </w:rPr>
        <w:t>6.3 公用工程及辅助设施单元评价</w:t>
      </w:r>
      <w:bookmarkEnd w:id="347"/>
      <w:bookmarkEnd w:id="348"/>
    </w:p>
    <w:p w:rsidR="003F13AB" w:rsidRDefault="00EC6E7E">
      <w:pPr>
        <w:pStyle w:val="3"/>
      </w:pPr>
      <w:bookmarkStart w:id="349" w:name="_Toc187914514"/>
      <w:r>
        <w:rPr>
          <w:rFonts w:hint="eastAsia"/>
        </w:rPr>
        <w:t>6.3.1公用工程及辅助设施单元评价</w:t>
      </w:r>
      <w:bookmarkEnd w:id="349"/>
    </w:p>
    <w:p w:rsidR="003F13AB" w:rsidRDefault="00EC6E7E">
      <w:pPr>
        <w:ind w:firstLine="560"/>
        <w:rPr>
          <w:color w:val="auto"/>
        </w:rPr>
      </w:pPr>
      <w:r>
        <w:rPr>
          <w:rFonts w:hint="eastAsia"/>
          <w:color w:val="auto"/>
        </w:rPr>
        <w:t>本节根据《供配电系统设计规范》（</w:t>
      </w:r>
      <w:r>
        <w:rPr>
          <w:rFonts w:hint="eastAsia"/>
          <w:color w:val="auto"/>
        </w:rPr>
        <w:t>GB50052-2009</w:t>
      </w:r>
      <w:r>
        <w:rPr>
          <w:rFonts w:hint="eastAsia"/>
          <w:color w:val="auto"/>
        </w:rPr>
        <w:t>）、《爆炸危险环境电力装置设计规范》（</w:t>
      </w:r>
      <w:r>
        <w:rPr>
          <w:rFonts w:hint="eastAsia"/>
          <w:color w:val="auto"/>
        </w:rPr>
        <w:t>GB50058-2014</w:t>
      </w:r>
      <w:r>
        <w:rPr>
          <w:rFonts w:hint="eastAsia"/>
          <w:color w:val="auto"/>
        </w:rPr>
        <w:t>）、《中华人民共和国消防法》（中华人民共和国主席令第</w:t>
      </w:r>
      <w:r>
        <w:rPr>
          <w:rFonts w:hint="eastAsia"/>
          <w:color w:val="auto"/>
        </w:rPr>
        <w:t>6</w:t>
      </w:r>
      <w:r>
        <w:rPr>
          <w:rFonts w:hint="eastAsia"/>
          <w:color w:val="auto"/>
        </w:rPr>
        <w:t>号，第</w:t>
      </w:r>
      <w:r>
        <w:rPr>
          <w:rFonts w:hint="eastAsia"/>
          <w:color w:val="auto"/>
        </w:rPr>
        <w:t>29</w:t>
      </w:r>
      <w:r>
        <w:rPr>
          <w:rFonts w:hint="eastAsia"/>
          <w:color w:val="auto"/>
        </w:rPr>
        <w:t>号修订，</w:t>
      </w:r>
      <w:r>
        <w:rPr>
          <w:rFonts w:hint="eastAsia"/>
          <w:color w:val="auto"/>
        </w:rPr>
        <w:t>2019</w:t>
      </w:r>
      <w:r>
        <w:rPr>
          <w:rFonts w:hint="eastAsia"/>
          <w:color w:val="auto"/>
        </w:rPr>
        <w:t>年</w:t>
      </w:r>
      <w:r>
        <w:rPr>
          <w:rFonts w:hint="eastAsia"/>
          <w:color w:val="auto"/>
        </w:rPr>
        <w:t>11</w:t>
      </w:r>
      <w:r>
        <w:rPr>
          <w:rFonts w:hint="eastAsia"/>
          <w:color w:val="auto"/>
        </w:rPr>
        <w:t>月</w:t>
      </w:r>
      <w:r>
        <w:rPr>
          <w:rFonts w:hint="eastAsia"/>
          <w:color w:val="auto"/>
        </w:rPr>
        <w:t>1</w:t>
      </w:r>
      <w:r>
        <w:rPr>
          <w:rFonts w:hint="eastAsia"/>
          <w:color w:val="auto"/>
        </w:rPr>
        <w:t>日起施行）、</w:t>
      </w:r>
      <w:r w:rsidRPr="00F9729A">
        <w:rPr>
          <w:rFonts w:hint="eastAsia"/>
          <w:color w:val="auto"/>
        </w:rPr>
        <w:t>《建筑灭火器配置设计规范》（</w:t>
      </w:r>
      <w:r w:rsidRPr="00F9729A">
        <w:rPr>
          <w:rFonts w:hint="eastAsia"/>
          <w:color w:val="auto"/>
        </w:rPr>
        <w:t>GB</w:t>
      </w:r>
      <w:r>
        <w:rPr>
          <w:rFonts w:hint="eastAsia"/>
          <w:color w:val="auto"/>
        </w:rPr>
        <w:t xml:space="preserve"> 50140-2005</w:t>
      </w:r>
      <w:r>
        <w:rPr>
          <w:rFonts w:hint="eastAsia"/>
          <w:color w:val="auto"/>
        </w:rPr>
        <w:t>）、《建筑设计防火规范》（</w:t>
      </w:r>
      <w:r>
        <w:rPr>
          <w:rFonts w:hint="eastAsia"/>
          <w:color w:val="auto"/>
        </w:rPr>
        <w:t>GB50016-2014</w:t>
      </w:r>
      <w:r>
        <w:rPr>
          <w:rFonts w:hint="eastAsia"/>
          <w:color w:val="auto"/>
        </w:rPr>
        <w:t>（</w:t>
      </w:r>
      <w:r>
        <w:rPr>
          <w:rFonts w:hint="eastAsia"/>
          <w:color w:val="auto"/>
        </w:rPr>
        <w:t>2018</w:t>
      </w:r>
      <w:r>
        <w:rPr>
          <w:rFonts w:hint="eastAsia"/>
          <w:color w:val="auto"/>
        </w:rPr>
        <w:t>年版））等标准规范编制安全检查表对项目公用工程进行分析评价，具体检查情况见附表</w:t>
      </w:r>
      <w:r>
        <w:rPr>
          <w:rFonts w:hint="eastAsia"/>
          <w:color w:val="auto"/>
        </w:rPr>
        <w:t>6.3-1</w:t>
      </w:r>
      <w:r>
        <w:rPr>
          <w:rFonts w:hint="eastAsia"/>
          <w:color w:val="auto"/>
        </w:rPr>
        <w:t>。</w:t>
      </w:r>
    </w:p>
    <w:p w:rsidR="003F13AB" w:rsidRDefault="00EC6E7E">
      <w:pPr>
        <w:widowControl/>
        <w:adjustRightInd/>
        <w:snapToGrid/>
        <w:spacing w:line="240" w:lineRule="auto"/>
        <w:ind w:firstLineChars="0" w:firstLine="0"/>
        <w:jc w:val="center"/>
        <w:rPr>
          <w:rFonts w:ascii="宋体" w:hAnsi="宋体"/>
          <w:color w:val="auto"/>
          <w:szCs w:val="21"/>
        </w:rPr>
      </w:pPr>
      <w:r>
        <w:rPr>
          <w:rFonts w:ascii="宋体" w:hAnsi="宋体" w:hint="eastAsia"/>
          <w:color w:val="auto"/>
          <w:szCs w:val="21"/>
        </w:rPr>
        <w:t>附表6.3-1  公</w:t>
      </w:r>
      <w:proofErr w:type="gramStart"/>
      <w:r>
        <w:rPr>
          <w:rFonts w:ascii="宋体" w:hAnsi="宋体" w:hint="eastAsia"/>
          <w:color w:val="auto"/>
          <w:szCs w:val="21"/>
        </w:rPr>
        <w:t>辅设施</w:t>
      </w:r>
      <w:proofErr w:type="gramEnd"/>
      <w:r>
        <w:rPr>
          <w:rFonts w:ascii="宋体" w:hAnsi="宋体" w:hint="eastAsia"/>
          <w:color w:val="auto"/>
          <w:szCs w:val="21"/>
        </w:rPr>
        <w:t>安全检查表</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2499"/>
        <w:gridCol w:w="651"/>
        <w:gridCol w:w="2029"/>
        <w:gridCol w:w="54"/>
        <w:gridCol w:w="2028"/>
        <w:gridCol w:w="1167"/>
      </w:tblGrid>
      <w:tr w:rsidR="003F13AB">
        <w:trPr>
          <w:trHeight w:val="368"/>
          <w:tblHeader/>
        </w:trPr>
        <w:tc>
          <w:tcPr>
            <w:tcW w:w="644" w:type="dxa"/>
            <w:vAlign w:val="center"/>
          </w:tcPr>
          <w:p w:rsidR="003F13AB" w:rsidRDefault="00EC6E7E">
            <w:pPr>
              <w:adjustRightInd/>
              <w:spacing w:line="240" w:lineRule="auto"/>
              <w:ind w:firstLineChars="0" w:firstLine="0"/>
              <w:jc w:val="center"/>
              <w:rPr>
                <w:rFonts w:ascii="宋体" w:hAnsi="宋体" w:cs="宋体"/>
                <w:b/>
                <w:color w:val="auto"/>
                <w:sz w:val="21"/>
                <w:szCs w:val="21"/>
              </w:rPr>
            </w:pPr>
            <w:r>
              <w:rPr>
                <w:rFonts w:ascii="宋体" w:hAnsi="宋体" w:cs="宋体" w:hint="eastAsia"/>
                <w:b/>
                <w:color w:val="auto"/>
                <w:sz w:val="21"/>
                <w:szCs w:val="21"/>
              </w:rPr>
              <w:t>序号</w:t>
            </w:r>
          </w:p>
        </w:tc>
        <w:tc>
          <w:tcPr>
            <w:tcW w:w="2499" w:type="dxa"/>
            <w:vAlign w:val="center"/>
          </w:tcPr>
          <w:p w:rsidR="003F13AB" w:rsidRDefault="00EC6E7E">
            <w:pPr>
              <w:adjustRightInd/>
              <w:spacing w:line="240" w:lineRule="auto"/>
              <w:ind w:firstLineChars="0" w:firstLine="0"/>
              <w:jc w:val="center"/>
              <w:rPr>
                <w:rFonts w:ascii="宋体" w:hAnsi="宋体" w:cs="宋体"/>
                <w:b/>
                <w:color w:val="auto"/>
                <w:sz w:val="21"/>
                <w:szCs w:val="21"/>
              </w:rPr>
            </w:pPr>
            <w:r>
              <w:rPr>
                <w:rFonts w:ascii="宋体" w:hAnsi="宋体" w:cs="宋体" w:hint="eastAsia"/>
                <w:b/>
                <w:color w:val="auto"/>
                <w:sz w:val="21"/>
                <w:szCs w:val="21"/>
              </w:rPr>
              <w:t>项目检查内容</w:t>
            </w:r>
          </w:p>
        </w:tc>
        <w:tc>
          <w:tcPr>
            <w:tcW w:w="2680" w:type="dxa"/>
            <w:gridSpan w:val="2"/>
            <w:vAlign w:val="center"/>
          </w:tcPr>
          <w:p w:rsidR="003F13AB" w:rsidRDefault="00EC6E7E">
            <w:pPr>
              <w:adjustRightInd/>
              <w:spacing w:line="240" w:lineRule="auto"/>
              <w:ind w:firstLineChars="0" w:firstLine="0"/>
              <w:jc w:val="center"/>
              <w:rPr>
                <w:rFonts w:ascii="宋体" w:hAnsi="宋体" w:cs="宋体"/>
                <w:b/>
                <w:color w:val="auto"/>
                <w:sz w:val="21"/>
                <w:szCs w:val="21"/>
              </w:rPr>
            </w:pPr>
            <w:r>
              <w:rPr>
                <w:rFonts w:ascii="宋体" w:hAnsi="宋体" w:cs="宋体" w:hint="eastAsia"/>
                <w:b/>
                <w:color w:val="auto"/>
                <w:sz w:val="21"/>
                <w:szCs w:val="21"/>
              </w:rPr>
              <w:t>依据标准</w:t>
            </w:r>
          </w:p>
        </w:tc>
        <w:tc>
          <w:tcPr>
            <w:tcW w:w="2082" w:type="dxa"/>
            <w:gridSpan w:val="2"/>
            <w:vAlign w:val="center"/>
          </w:tcPr>
          <w:p w:rsidR="003F13AB" w:rsidRDefault="00EC6E7E">
            <w:pPr>
              <w:adjustRightInd/>
              <w:spacing w:line="240" w:lineRule="auto"/>
              <w:ind w:firstLineChars="0" w:firstLine="0"/>
              <w:jc w:val="center"/>
              <w:rPr>
                <w:rFonts w:ascii="宋体" w:hAnsi="宋体" w:cs="宋体"/>
                <w:b/>
                <w:color w:val="auto"/>
                <w:sz w:val="21"/>
                <w:szCs w:val="21"/>
              </w:rPr>
            </w:pPr>
            <w:r>
              <w:rPr>
                <w:rFonts w:ascii="宋体" w:hAnsi="宋体" w:cs="宋体" w:hint="eastAsia"/>
                <w:b/>
                <w:color w:val="auto"/>
                <w:sz w:val="21"/>
                <w:szCs w:val="21"/>
              </w:rPr>
              <w:t>检查记录</w:t>
            </w:r>
          </w:p>
        </w:tc>
        <w:tc>
          <w:tcPr>
            <w:tcW w:w="1167" w:type="dxa"/>
            <w:vAlign w:val="center"/>
          </w:tcPr>
          <w:p w:rsidR="003F13AB" w:rsidRDefault="00EC6E7E">
            <w:pPr>
              <w:adjustRightInd/>
              <w:spacing w:line="240" w:lineRule="auto"/>
              <w:ind w:firstLineChars="0" w:firstLine="0"/>
              <w:jc w:val="center"/>
              <w:rPr>
                <w:rFonts w:ascii="宋体" w:hAnsi="宋体" w:cs="宋体"/>
                <w:b/>
                <w:color w:val="auto"/>
                <w:sz w:val="21"/>
                <w:szCs w:val="21"/>
              </w:rPr>
            </w:pPr>
            <w:r>
              <w:rPr>
                <w:rFonts w:ascii="宋体" w:hAnsi="宋体" w:cs="宋体" w:hint="eastAsia"/>
                <w:b/>
                <w:color w:val="auto"/>
                <w:sz w:val="21"/>
                <w:szCs w:val="21"/>
              </w:rPr>
              <w:t>结论</w:t>
            </w:r>
          </w:p>
        </w:tc>
      </w:tr>
      <w:tr w:rsidR="003F13AB">
        <w:trPr>
          <w:trHeight w:val="392"/>
          <w:tblHeader/>
        </w:trPr>
        <w:tc>
          <w:tcPr>
            <w:tcW w:w="9072" w:type="dxa"/>
            <w:gridSpan w:val="7"/>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b/>
                <w:bCs/>
                <w:color w:val="auto"/>
                <w:sz w:val="21"/>
                <w:szCs w:val="21"/>
              </w:rPr>
              <w:t>供配电系统</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1</w:t>
            </w:r>
          </w:p>
        </w:tc>
        <w:tc>
          <w:tcPr>
            <w:tcW w:w="3150" w:type="dxa"/>
            <w:gridSpan w:val="2"/>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s="宋体" w:hint="eastAsia"/>
                <w:color w:val="auto"/>
                <w:sz w:val="21"/>
                <w:szCs w:val="21"/>
              </w:rPr>
              <w:t>低压配电带电导体系统的型式宜采用单相二线制、两相三线制、三相三线制和三相四线制。</w:t>
            </w:r>
          </w:p>
        </w:tc>
        <w:tc>
          <w:tcPr>
            <w:tcW w:w="2083" w:type="dxa"/>
            <w:gridSpan w:val="2"/>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kern w:val="0"/>
                <w:sz w:val="21"/>
                <w:szCs w:val="21"/>
              </w:rPr>
              <w:t>《供配电系统设计规范》（GB50052-2009）7.0.1</w:t>
            </w:r>
          </w:p>
        </w:tc>
        <w:tc>
          <w:tcPr>
            <w:tcW w:w="2028" w:type="dxa"/>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项目低压配电电压为220/380V，带电导体系统的型式采用三相四线制。</w:t>
            </w:r>
          </w:p>
        </w:tc>
        <w:tc>
          <w:tcPr>
            <w:tcW w:w="1167" w:type="dxa"/>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789"/>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2</w:t>
            </w:r>
          </w:p>
        </w:tc>
        <w:tc>
          <w:tcPr>
            <w:tcW w:w="3150" w:type="dxa"/>
            <w:gridSpan w:val="2"/>
            <w:vAlign w:val="center"/>
          </w:tcPr>
          <w:p w:rsidR="003F13AB" w:rsidRDefault="00EC6E7E">
            <w:pPr>
              <w:adjustRightInd/>
              <w:spacing w:line="240" w:lineRule="auto"/>
              <w:ind w:firstLineChars="0" w:firstLine="0"/>
              <w:rPr>
                <w:rFonts w:ascii="宋体" w:hAnsi="宋体" w:cs="宋体"/>
                <w:color w:val="auto"/>
                <w:sz w:val="21"/>
                <w:szCs w:val="21"/>
                <w:u w:val="dotted"/>
              </w:rPr>
            </w:pPr>
            <w:r>
              <w:rPr>
                <w:rFonts w:ascii="宋体" w:hAnsi="宋体" w:cs="宋体" w:hint="eastAsia"/>
                <w:color w:val="auto"/>
                <w:sz w:val="21"/>
                <w:szCs w:val="21"/>
              </w:rPr>
              <w:t>当采用220/380V的TN及TT系统接地型式的低压电网时，照明和电力设备宜由同一台变压器供电。必要时亦可单独设置照明变压器供电。</w:t>
            </w:r>
          </w:p>
        </w:tc>
        <w:tc>
          <w:tcPr>
            <w:tcW w:w="2083" w:type="dxa"/>
            <w:gridSpan w:val="2"/>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kern w:val="0"/>
                <w:sz w:val="21"/>
                <w:szCs w:val="21"/>
              </w:rPr>
              <w:t>《供配电系统设计规范》（GB50052-2009）7.0.9</w:t>
            </w:r>
          </w:p>
        </w:tc>
        <w:tc>
          <w:tcPr>
            <w:tcW w:w="2028" w:type="dxa"/>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项目采用220/380V的TN系统接地型式的低压电网，照明和其它电力设备均由同一台变压器供电。</w:t>
            </w:r>
          </w:p>
        </w:tc>
        <w:tc>
          <w:tcPr>
            <w:tcW w:w="1167" w:type="dxa"/>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789"/>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3</w:t>
            </w:r>
          </w:p>
        </w:tc>
        <w:tc>
          <w:tcPr>
            <w:tcW w:w="3150" w:type="dxa"/>
            <w:gridSpan w:val="2"/>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一般条件下，用电产品的周围应留有足够的安全通道及工作空间，且不应堆放易燃、易爆和腐蚀性物品。</w:t>
            </w:r>
          </w:p>
        </w:tc>
        <w:tc>
          <w:tcPr>
            <w:tcW w:w="2083" w:type="dxa"/>
            <w:gridSpan w:val="2"/>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《用电安全导则》GB/T 13869-2017</w:t>
            </w:r>
          </w:p>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s="宋体"/>
                <w:color w:val="auto"/>
                <w:kern w:val="0"/>
                <w:sz w:val="21"/>
                <w:szCs w:val="21"/>
              </w:rPr>
              <w:t>5.1.1</w:t>
            </w:r>
          </w:p>
        </w:tc>
        <w:tc>
          <w:tcPr>
            <w:tcW w:w="2028" w:type="dxa"/>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项目用电产品周围留有足够的安全通道及工作空间，且未堆放易燃、易爆和腐蚀性物品。</w:t>
            </w:r>
          </w:p>
        </w:tc>
        <w:tc>
          <w:tcPr>
            <w:tcW w:w="1167" w:type="dxa"/>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lastRenderedPageBreak/>
              <w:t>4</w:t>
            </w:r>
          </w:p>
        </w:tc>
        <w:tc>
          <w:tcPr>
            <w:tcW w:w="3150" w:type="dxa"/>
            <w:gridSpan w:val="2"/>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在爆炸性环境内，电气设备应根据下列因素进行选择：</w:t>
            </w:r>
          </w:p>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1 爆炸危险区域的分区；</w:t>
            </w:r>
          </w:p>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2 可燃性物质和可燃性粉尘的分级；</w:t>
            </w:r>
          </w:p>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3 可燃性物质的引燃温度；</w:t>
            </w:r>
          </w:p>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kern w:val="0"/>
                <w:sz w:val="21"/>
                <w:szCs w:val="21"/>
              </w:rPr>
              <w:t>4 可燃性粉尘云、可燃性粉尘层的最低引燃温度。</w:t>
            </w:r>
          </w:p>
        </w:tc>
        <w:tc>
          <w:tcPr>
            <w:tcW w:w="2083" w:type="dxa"/>
            <w:gridSpan w:val="2"/>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《爆炸危险环境电力装置设计规范》GB50058-2014</w:t>
            </w:r>
          </w:p>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color w:val="auto"/>
                <w:kern w:val="0"/>
                <w:sz w:val="21"/>
                <w:szCs w:val="21"/>
              </w:rPr>
              <w:t>5.2.1</w:t>
            </w:r>
          </w:p>
        </w:tc>
        <w:tc>
          <w:tcPr>
            <w:tcW w:w="2028" w:type="dxa"/>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kern w:val="0"/>
                <w:sz w:val="21"/>
                <w:szCs w:val="21"/>
              </w:rPr>
              <w:t>项目不涉及爆炸危险区域。</w:t>
            </w:r>
          </w:p>
        </w:tc>
        <w:tc>
          <w:tcPr>
            <w:tcW w:w="1167" w:type="dxa"/>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5</w:t>
            </w:r>
          </w:p>
        </w:tc>
        <w:tc>
          <w:tcPr>
            <w:tcW w:w="3150" w:type="dxa"/>
            <w:gridSpan w:val="2"/>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kern w:val="0"/>
                <w:sz w:val="21"/>
                <w:szCs w:val="21"/>
              </w:rPr>
              <w:t>配电室的门、窗关闭应密合；与室外相通的洞、通风孔应</w:t>
            </w:r>
            <w:proofErr w:type="gramStart"/>
            <w:r>
              <w:rPr>
                <w:rFonts w:ascii="宋体" w:hAnsi="宋体" w:cs="宋体" w:hint="eastAsia"/>
                <w:color w:val="auto"/>
                <w:kern w:val="0"/>
                <w:sz w:val="21"/>
                <w:szCs w:val="21"/>
              </w:rPr>
              <w:t>设防止</w:t>
            </w:r>
            <w:proofErr w:type="gramEnd"/>
            <w:r>
              <w:rPr>
                <w:rFonts w:ascii="宋体" w:hAnsi="宋体" w:cs="宋体" w:hint="eastAsia"/>
                <w:color w:val="auto"/>
                <w:kern w:val="0"/>
                <w:sz w:val="21"/>
                <w:szCs w:val="21"/>
              </w:rPr>
              <w:t>鼠、蛇类小动物进入网罩，其防护等级不宜低于现行国家标准《外壳防护等级》GB4208规定的IP3X级。</w:t>
            </w:r>
          </w:p>
        </w:tc>
        <w:tc>
          <w:tcPr>
            <w:tcW w:w="2083" w:type="dxa"/>
            <w:gridSpan w:val="2"/>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kern w:val="0"/>
                <w:sz w:val="21"/>
                <w:szCs w:val="21"/>
              </w:rPr>
              <w:t>《低压配电设计规范》 GB 50054-2011 4.3.7</w:t>
            </w:r>
          </w:p>
        </w:tc>
        <w:tc>
          <w:tcPr>
            <w:tcW w:w="2028" w:type="dxa"/>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kern w:val="0"/>
                <w:sz w:val="21"/>
                <w:szCs w:val="21"/>
              </w:rPr>
              <w:t>项目配电室的门、窗关闭密合。</w:t>
            </w:r>
          </w:p>
        </w:tc>
        <w:tc>
          <w:tcPr>
            <w:tcW w:w="1167" w:type="dxa"/>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9072" w:type="dxa"/>
            <w:gridSpan w:val="7"/>
            <w:tcBorders>
              <w:right w:val="single" w:sz="4" w:space="0" w:color="auto"/>
            </w:tcBorders>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b/>
                <w:bCs/>
                <w:color w:val="auto"/>
                <w:kern w:val="0"/>
                <w:sz w:val="21"/>
                <w:szCs w:val="21"/>
              </w:rPr>
              <w:t>消防系统</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1</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hint="eastAsia"/>
                <w:color w:val="auto"/>
                <w:sz w:val="21"/>
                <w:szCs w:val="21"/>
              </w:rPr>
              <w:t>按照国家标准、行业标准配置消防设施、器材，设置消防安全标志，并定期组织检验、维修，确保完好有效；</w:t>
            </w:r>
          </w:p>
        </w:tc>
        <w:tc>
          <w:tcPr>
            <w:tcW w:w="2083" w:type="dxa"/>
            <w:gridSpan w:val="2"/>
            <w:vMerge w:val="restart"/>
            <w:tcBorders>
              <w:top w:val="single" w:sz="4" w:space="0" w:color="auto"/>
              <w:left w:val="single" w:sz="4" w:space="0" w:color="auto"/>
              <w:right w:val="single" w:sz="4" w:space="0" w:color="auto"/>
            </w:tcBorders>
            <w:vAlign w:val="center"/>
          </w:tcPr>
          <w:p w:rsidR="003F13AB" w:rsidRDefault="00EC6E7E">
            <w:pPr>
              <w:topLinePunct/>
              <w:adjustRightInd/>
              <w:snapToGrid/>
              <w:spacing w:line="240" w:lineRule="auto"/>
              <w:ind w:firstLineChars="0" w:firstLine="0"/>
              <w:contextualSpacing/>
              <w:rPr>
                <w:rFonts w:ascii="宋体" w:hAnsi="宋体"/>
                <w:color w:val="auto"/>
                <w:sz w:val="21"/>
                <w:szCs w:val="21"/>
              </w:rPr>
            </w:pPr>
            <w:r>
              <w:rPr>
                <w:rFonts w:ascii="宋体" w:hAnsi="宋体" w:hint="eastAsia"/>
                <w:color w:val="auto"/>
                <w:sz w:val="21"/>
                <w:szCs w:val="21"/>
              </w:rPr>
              <w:t>《中华人民共和国消防法》</w:t>
            </w:r>
          </w:p>
          <w:p w:rsidR="003F13AB" w:rsidRDefault="00EC6E7E">
            <w:pPr>
              <w:topLinePunct/>
              <w:adjustRightInd/>
              <w:snapToGrid/>
              <w:spacing w:line="240" w:lineRule="auto"/>
              <w:ind w:firstLineChars="0" w:firstLine="0"/>
              <w:contextualSpacing/>
              <w:rPr>
                <w:rFonts w:ascii="宋体" w:hAnsi="宋体"/>
                <w:color w:val="auto"/>
                <w:sz w:val="21"/>
                <w:szCs w:val="21"/>
              </w:rPr>
            </w:pPr>
            <w:r>
              <w:rPr>
                <w:rFonts w:ascii="宋体" w:hAnsi="宋体" w:hint="eastAsia"/>
                <w:color w:val="auto"/>
                <w:sz w:val="21"/>
                <w:szCs w:val="21"/>
              </w:rPr>
              <w:t>第十六条</w:t>
            </w:r>
          </w:p>
        </w:tc>
        <w:tc>
          <w:tcPr>
            <w:tcW w:w="20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hint="eastAsia"/>
                <w:color w:val="auto"/>
                <w:sz w:val="21"/>
                <w:szCs w:val="21"/>
              </w:rPr>
              <w:t>消防设施、器材配置符合要求，并设有消防安全标志。消防设施、器材完好有效。</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2</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hint="eastAsia"/>
                <w:color w:val="auto"/>
                <w:sz w:val="21"/>
                <w:szCs w:val="21"/>
              </w:rPr>
              <w:t>保障疏散通道、安全出口、消防车通道畅通，保证防火防烟分区、防火间距符合消防技术标准；</w:t>
            </w:r>
          </w:p>
        </w:tc>
        <w:tc>
          <w:tcPr>
            <w:tcW w:w="2083" w:type="dxa"/>
            <w:gridSpan w:val="2"/>
            <w:vMerge/>
            <w:tcBorders>
              <w:left w:val="single" w:sz="4" w:space="0" w:color="auto"/>
              <w:bottom w:val="single" w:sz="4" w:space="0" w:color="auto"/>
              <w:right w:val="single" w:sz="4" w:space="0" w:color="auto"/>
            </w:tcBorders>
            <w:vAlign w:val="center"/>
          </w:tcPr>
          <w:p w:rsidR="003F13AB" w:rsidRDefault="003F13AB">
            <w:pPr>
              <w:adjustRightInd/>
              <w:spacing w:line="240" w:lineRule="auto"/>
              <w:ind w:firstLineChars="0" w:firstLine="0"/>
              <w:rPr>
                <w:rFonts w:ascii="宋体" w:hAnsi="宋体" w:cs="宋体"/>
                <w:color w:val="auto"/>
                <w:kern w:val="0"/>
                <w:sz w:val="21"/>
                <w:szCs w:val="21"/>
              </w:rPr>
            </w:pPr>
          </w:p>
        </w:tc>
        <w:tc>
          <w:tcPr>
            <w:tcW w:w="20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hint="eastAsia"/>
                <w:color w:val="auto"/>
                <w:sz w:val="21"/>
                <w:szCs w:val="21"/>
              </w:rPr>
              <w:t>经现场核实保障疏散通道、安全出口、消防车通道畅通，防火间距符合消防技术标准。</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3</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hint="eastAsia"/>
                <w:color w:val="auto"/>
                <w:sz w:val="21"/>
                <w:szCs w:val="21"/>
              </w:rPr>
              <w:t>消防产品必须符合国家标准；没有国家标准的，必须符合行业标准。禁止生产、销售或者使用不合格的消防产品以及国家明令淘汰的消防产品。</w:t>
            </w:r>
          </w:p>
        </w:tc>
        <w:tc>
          <w:tcPr>
            <w:tcW w:w="2083"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hint="eastAsia"/>
                <w:color w:val="auto"/>
                <w:sz w:val="21"/>
                <w:szCs w:val="21"/>
              </w:rPr>
              <w:t>第二十四条</w:t>
            </w:r>
          </w:p>
        </w:tc>
        <w:tc>
          <w:tcPr>
            <w:tcW w:w="20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未使用不符合标准的灭火器。</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4</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hint="eastAsia"/>
                <w:color w:val="auto"/>
                <w:sz w:val="21"/>
                <w:szCs w:val="21"/>
              </w:rPr>
              <w:t>工厂、仓库区内应设置消防车道。高层厂房，占地面积大于3000m</w:t>
            </w:r>
            <w:r>
              <w:rPr>
                <w:rFonts w:ascii="宋体" w:hAnsi="宋体" w:hint="eastAsia"/>
                <w:color w:val="auto"/>
                <w:sz w:val="21"/>
                <w:szCs w:val="21"/>
                <w:vertAlign w:val="superscript"/>
              </w:rPr>
              <w:t>2</w:t>
            </w:r>
            <w:r>
              <w:rPr>
                <w:rFonts w:ascii="宋体" w:hAnsi="宋体" w:hint="eastAsia"/>
                <w:color w:val="auto"/>
                <w:sz w:val="21"/>
                <w:szCs w:val="21"/>
              </w:rPr>
              <w:t>的甲、乙、丙类厂房或占地面积大于1500m</w:t>
            </w:r>
            <w:r>
              <w:rPr>
                <w:rFonts w:ascii="宋体" w:hAnsi="宋体" w:hint="eastAsia"/>
                <w:color w:val="auto"/>
                <w:sz w:val="21"/>
                <w:szCs w:val="21"/>
                <w:vertAlign w:val="superscript"/>
              </w:rPr>
              <w:t>2</w:t>
            </w:r>
            <w:r>
              <w:rPr>
                <w:rFonts w:ascii="宋体" w:hAnsi="宋体" w:hint="eastAsia"/>
                <w:color w:val="auto"/>
                <w:sz w:val="21"/>
                <w:szCs w:val="21"/>
              </w:rPr>
              <w:t>的乙、丙类仓库，应设置</w:t>
            </w:r>
            <w:proofErr w:type="gramStart"/>
            <w:r>
              <w:rPr>
                <w:rFonts w:ascii="宋体" w:hAnsi="宋体" w:hint="eastAsia"/>
                <w:color w:val="auto"/>
                <w:sz w:val="21"/>
                <w:szCs w:val="21"/>
              </w:rPr>
              <w:t>环形消防</w:t>
            </w:r>
            <w:proofErr w:type="gramEnd"/>
            <w:r>
              <w:rPr>
                <w:rFonts w:ascii="宋体" w:hAnsi="宋体" w:hint="eastAsia"/>
                <w:color w:val="auto"/>
                <w:sz w:val="21"/>
                <w:szCs w:val="21"/>
              </w:rPr>
              <w:t>车道，确有困难时，应沿建筑物的两个长边设置消防车道。</w:t>
            </w:r>
          </w:p>
        </w:tc>
        <w:tc>
          <w:tcPr>
            <w:tcW w:w="2083"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s="宋体" w:hint="eastAsia"/>
                <w:color w:val="auto"/>
                <w:kern w:val="0"/>
                <w:sz w:val="21"/>
                <w:szCs w:val="21"/>
              </w:rPr>
              <w:t>《建筑设计防火规范》（GB50016-2014（2018年版））7.1.3</w:t>
            </w:r>
          </w:p>
        </w:tc>
        <w:tc>
          <w:tcPr>
            <w:tcW w:w="20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厂区设置有</w:t>
            </w:r>
            <w:proofErr w:type="gramStart"/>
            <w:r>
              <w:rPr>
                <w:rFonts w:ascii="宋体" w:hAnsi="宋体" w:hint="eastAsia"/>
                <w:color w:val="auto"/>
                <w:sz w:val="21"/>
                <w:szCs w:val="21"/>
              </w:rPr>
              <w:t>环形消防</w:t>
            </w:r>
            <w:proofErr w:type="gramEnd"/>
            <w:r>
              <w:rPr>
                <w:rFonts w:ascii="宋体" w:hAnsi="宋体" w:hint="eastAsia"/>
                <w:color w:val="auto"/>
                <w:sz w:val="21"/>
                <w:szCs w:val="21"/>
              </w:rPr>
              <w:t>通道。</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5</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消防车道应符合下列要求：</w:t>
            </w:r>
          </w:p>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1车道的净宽度和净空高度均不应小于4.0m；</w:t>
            </w:r>
          </w:p>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2转弯半径应满足消防车转弯的要求；</w:t>
            </w:r>
          </w:p>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hint="eastAsia"/>
                <w:color w:val="auto"/>
                <w:sz w:val="21"/>
                <w:szCs w:val="21"/>
              </w:rPr>
              <w:t>3消防车道与建筑之间不应设置妨碍消防车操作的树木、架空管线等障碍物。</w:t>
            </w:r>
          </w:p>
        </w:tc>
        <w:tc>
          <w:tcPr>
            <w:tcW w:w="2083"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第7.1.8条</w:t>
            </w:r>
          </w:p>
        </w:tc>
        <w:tc>
          <w:tcPr>
            <w:tcW w:w="20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消防车道的净宽度和净空高度均不应小于4m；转弯半径满足消防车转弯的要求；消防车道与建筑之间未设置妨碍消防车操作的树木、架空管线等障碍物。</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6</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proofErr w:type="gramStart"/>
            <w:r>
              <w:rPr>
                <w:rFonts w:ascii="宋体" w:hAnsi="宋体" w:hint="eastAsia"/>
                <w:color w:val="auto"/>
                <w:sz w:val="21"/>
                <w:szCs w:val="21"/>
              </w:rPr>
              <w:t>环形消防</w:t>
            </w:r>
            <w:proofErr w:type="gramEnd"/>
            <w:r>
              <w:rPr>
                <w:rFonts w:ascii="宋体" w:hAnsi="宋体" w:hint="eastAsia"/>
                <w:color w:val="auto"/>
                <w:sz w:val="21"/>
                <w:szCs w:val="21"/>
              </w:rPr>
              <w:t>车道至少应有两处与其它车道连通。</w:t>
            </w:r>
            <w:proofErr w:type="gramStart"/>
            <w:r>
              <w:rPr>
                <w:rFonts w:ascii="宋体" w:hAnsi="宋体" w:hint="eastAsia"/>
                <w:color w:val="auto"/>
                <w:sz w:val="21"/>
                <w:szCs w:val="21"/>
              </w:rPr>
              <w:t>尽头式</w:t>
            </w:r>
            <w:proofErr w:type="gramEnd"/>
            <w:r>
              <w:rPr>
                <w:rFonts w:ascii="宋体" w:hAnsi="宋体" w:hint="eastAsia"/>
                <w:color w:val="auto"/>
                <w:sz w:val="21"/>
                <w:szCs w:val="21"/>
              </w:rPr>
              <w:t>消防车道应设置回车道或回车场，回车场的面积不应小于12.0m×12.0m；供重型消防车使用时，不宜小于18.0m×18.0m。</w:t>
            </w:r>
          </w:p>
        </w:tc>
        <w:tc>
          <w:tcPr>
            <w:tcW w:w="2083"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hint="eastAsia"/>
                <w:color w:val="auto"/>
                <w:sz w:val="21"/>
                <w:szCs w:val="21"/>
              </w:rPr>
              <w:t>第7.1.9条</w:t>
            </w:r>
          </w:p>
        </w:tc>
        <w:tc>
          <w:tcPr>
            <w:tcW w:w="20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消防车道按要求设置。</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lastRenderedPageBreak/>
              <w:t>7</w:t>
            </w:r>
          </w:p>
        </w:tc>
        <w:tc>
          <w:tcPr>
            <w:tcW w:w="3150"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hint="eastAsia"/>
                <w:color w:val="auto"/>
                <w:sz w:val="21"/>
                <w:szCs w:val="21"/>
              </w:rPr>
              <w:t>在同一灭火器配置场所，当选用两种或两种以上类型灭火器时，应采用灭火剂相容的灭火器。</w:t>
            </w:r>
          </w:p>
        </w:tc>
        <w:tc>
          <w:tcPr>
            <w:tcW w:w="2083" w:type="dxa"/>
            <w:gridSpan w:val="2"/>
            <w:tcBorders>
              <w:top w:val="single" w:sz="4" w:space="0" w:color="auto"/>
              <w:left w:val="single" w:sz="4" w:space="0" w:color="auto"/>
              <w:bottom w:val="single" w:sz="4" w:space="0" w:color="auto"/>
              <w:right w:val="single" w:sz="4" w:space="0" w:color="auto"/>
            </w:tcBorders>
            <w:vAlign w:val="center"/>
          </w:tcPr>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hint="eastAsia"/>
                <w:color w:val="auto"/>
                <w:sz w:val="21"/>
                <w:szCs w:val="21"/>
              </w:rPr>
              <w:t>《建筑灭火器配置设计规范》</w:t>
            </w:r>
          </w:p>
          <w:p w:rsidR="003F13AB" w:rsidRDefault="00EC6E7E">
            <w:pPr>
              <w:topLinePunct/>
              <w:adjustRightInd/>
              <w:snapToGrid/>
              <w:spacing w:line="240" w:lineRule="auto"/>
              <w:ind w:firstLineChars="0" w:firstLine="0"/>
              <w:contextualSpacing/>
              <w:jc w:val="left"/>
              <w:rPr>
                <w:rFonts w:ascii="宋体" w:hAnsi="宋体"/>
                <w:color w:val="auto"/>
                <w:sz w:val="21"/>
                <w:szCs w:val="21"/>
              </w:rPr>
            </w:pPr>
            <w:r>
              <w:rPr>
                <w:rFonts w:ascii="宋体" w:hAnsi="宋体"/>
                <w:color w:val="auto"/>
                <w:sz w:val="21"/>
                <w:szCs w:val="21"/>
              </w:rPr>
              <w:t>GB 50140-2005</w:t>
            </w:r>
          </w:p>
          <w:p w:rsidR="003F13AB" w:rsidRDefault="00EC6E7E">
            <w:pPr>
              <w:adjustRightInd/>
              <w:spacing w:line="240" w:lineRule="auto"/>
              <w:ind w:firstLineChars="0" w:firstLine="0"/>
              <w:rPr>
                <w:rFonts w:ascii="宋体" w:hAnsi="宋体" w:cs="宋体"/>
                <w:color w:val="auto"/>
                <w:kern w:val="0"/>
                <w:sz w:val="21"/>
                <w:szCs w:val="21"/>
              </w:rPr>
            </w:pPr>
            <w:r>
              <w:rPr>
                <w:rFonts w:ascii="宋体" w:hAnsi="宋体"/>
                <w:color w:val="auto"/>
                <w:sz w:val="21"/>
                <w:szCs w:val="21"/>
              </w:rPr>
              <w:t>4.1.3</w:t>
            </w:r>
          </w:p>
        </w:tc>
        <w:tc>
          <w:tcPr>
            <w:tcW w:w="2028"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hint="eastAsia"/>
                <w:color w:val="auto"/>
                <w:sz w:val="21"/>
                <w:szCs w:val="21"/>
              </w:rPr>
              <w:t>灭火器选用满足要求。</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8</w:t>
            </w:r>
          </w:p>
        </w:tc>
        <w:tc>
          <w:tcPr>
            <w:tcW w:w="3150" w:type="dxa"/>
            <w:gridSpan w:val="2"/>
            <w:tcBorders>
              <w:top w:val="single" w:sz="4" w:space="0" w:color="auto"/>
              <w:left w:val="single" w:sz="4" w:space="0" w:color="auto"/>
              <w:bottom w:val="single" w:sz="4" w:space="0" w:color="auto"/>
              <w:right w:val="single" w:sz="4" w:space="0" w:color="auto"/>
            </w:tcBorders>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灭火器应设置在位置明显和便于取用的地点,且不得影响安全疏散。</w:t>
            </w:r>
          </w:p>
        </w:tc>
        <w:tc>
          <w:tcPr>
            <w:tcW w:w="2083" w:type="dxa"/>
            <w:gridSpan w:val="2"/>
            <w:tcBorders>
              <w:top w:val="single" w:sz="4" w:space="0" w:color="auto"/>
              <w:left w:val="single" w:sz="4" w:space="0" w:color="auto"/>
              <w:bottom w:val="single" w:sz="4" w:space="0" w:color="auto"/>
              <w:right w:val="single" w:sz="4" w:space="0" w:color="auto"/>
            </w:tcBorders>
          </w:tcPr>
          <w:p w:rsidR="003F13AB" w:rsidRDefault="00EC6E7E">
            <w:pPr>
              <w:ind w:firstLineChars="0" w:firstLine="0"/>
              <w:rPr>
                <w:rFonts w:ascii="宋体" w:hAnsi="宋体"/>
                <w:color w:val="auto"/>
                <w:sz w:val="21"/>
                <w:szCs w:val="21"/>
              </w:rPr>
            </w:pPr>
            <w:r>
              <w:rPr>
                <w:rFonts w:ascii="宋体" w:hAnsi="宋体"/>
                <w:color w:val="auto"/>
                <w:sz w:val="21"/>
                <w:szCs w:val="21"/>
              </w:rPr>
              <w:t>5.1.1</w:t>
            </w:r>
          </w:p>
        </w:tc>
        <w:tc>
          <w:tcPr>
            <w:tcW w:w="2028" w:type="dxa"/>
            <w:tcBorders>
              <w:top w:val="single" w:sz="4" w:space="0" w:color="auto"/>
              <w:left w:val="single" w:sz="4" w:space="0" w:color="auto"/>
              <w:bottom w:val="single" w:sz="4" w:space="0" w:color="auto"/>
              <w:right w:val="single" w:sz="4" w:space="0" w:color="auto"/>
            </w:tcBorders>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灭火器设置明显和便于取用的地点。</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9</w:t>
            </w:r>
          </w:p>
        </w:tc>
        <w:tc>
          <w:tcPr>
            <w:tcW w:w="3150" w:type="dxa"/>
            <w:gridSpan w:val="2"/>
            <w:tcBorders>
              <w:top w:val="single" w:sz="4" w:space="0" w:color="auto"/>
              <w:left w:val="single" w:sz="4" w:space="0" w:color="auto"/>
              <w:bottom w:val="single" w:sz="4" w:space="0" w:color="auto"/>
              <w:right w:val="single" w:sz="4" w:space="0" w:color="auto"/>
            </w:tcBorders>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灭火器不得设置在超出其使用温度范围的地点。</w:t>
            </w:r>
          </w:p>
        </w:tc>
        <w:tc>
          <w:tcPr>
            <w:tcW w:w="2083" w:type="dxa"/>
            <w:gridSpan w:val="2"/>
            <w:tcBorders>
              <w:top w:val="single" w:sz="4" w:space="0" w:color="auto"/>
              <w:left w:val="single" w:sz="4" w:space="0" w:color="auto"/>
              <w:bottom w:val="single" w:sz="4" w:space="0" w:color="auto"/>
              <w:right w:val="single" w:sz="4" w:space="0" w:color="auto"/>
            </w:tcBorders>
          </w:tcPr>
          <w:p w:rsidR="003F13AB" w:rsidRDefault="00EC6E7E">
            <w:pPr>
              <w:ind w:firstLineChars="0" w:firstLine="0"/>
              <w:rPr>
                <w:rFonts w:ascii="宋体" w:hAnsi="宋体"/>
                <w:color w:val="auto"/>
                <w:sz w:val="21"/>
                <w:szCs w:val="21"/>
              </w:rPr>
            </w:pPr>
            <w:r>
              <w:rPr>
                <w:rFonts w:ascii="宋体" w:hAnsi="宋体"/>
                <w:color w:val="auto"/>
                <w:sz w:val="21"/>
                <w:szCs w:val="21"/>
              </w:rPr>
              <w:t>5.1.5</w:t>
            </w:r>
          </w:p>
        </w:tc>
        <w:tc>
          <w:tcPr>
            <w:tcW w:w="2028" w:type="dxa"/>
            <w:tcBorders>
              <w:top w:val="single" w:sz="4" w:space="0" w:color="auto"/>
              <w:left w:val="single" w:sz="4" w:space="0" w:color="auto"/>
              <w:bottom w:val="single" w:sz="4" w:space="0" w:color="auto"/>
              <w:right w:val="single" w:sz="4" w:space="0" w:color="auto"/>
            </w:tcBorders>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灭火器设置地点合理。</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10</w:t>
            </w:r>
          </w:p>
        </w:tc>
        <w:tc>
          <w:tcPr>
            <w:tcW w:w="3150" w:type="dxa"/>
            <w:gridSpan w:val="2"/>
            <w:tcBorders>
              <w:top w:val="single" w:sz="4" w:space="0" w:color="auto"/>
              <w:left w:val="single" w:sz="4" w:space="0" w:color="auto"/>
              <w:bottom w:val="single" w:sz="4" w:space="0" w:color="auto"/>
              <w:right w:val="single" w:sz="4" w:space="0" w:color="auto"/>
            </w:tcBorders>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设置在火灾场所的灭火器，其最大保护距离应符合GB50140－2005表5.2.1、5.2.2的规定。</w:t>
            </w:r>
          </w:p>
        </w:tc>
        <w:tc>
          <w:tcPr>
            <w:tcW w:w="2083" w:type="dxa"/>
            <w:gridSpan w:val="2"/>
            <w:tcBorders>
              <w:top w:val="single" w:sz="4" w:space="0" w:color="auto"/>
              <w:left w:val="single" w:sz="4" w:space="0" w:color="auto"/>
              <w:bottom w:val="single" w:sz="4" w:space="0" w:color="auto"/>
              <w:right w:val="single" w:sz="4" w:space="0" w:color="auto"/>
            </w:tcBorders>
          </w:tcPr>
          <w:p w:rsidR="003F13AB" w:rsidRDefault="00EC6E7E">
            <w:pPr>
              <w:ind w:firstLineChars="0" w:firstLine="0"/>
              <w:rPr>
                <w:rFonts w:ascii="宋体" w:hAnsi="宋体"/>
                <w:color w:val="auto"/>
                <w:sz w:val="21"/>
                <w:szCs w:val="21"/>
              </w:rPr>
            </w:pPr>
            <w:r>
              <w:rPr>
                <w:rFonts w:ascii="宋体" w:hAnsi="宋体"/>
                <w:color w:val="auto"/>
                <w:sz w:val="21"/>
                <w:szCs w:val="21"/>
              </w:rPr>
              <w:t>5.2</w:t>
            </w:r>
          </w:p>
        </w:tc>
        <w:tc>
          <w:tcPr>
            <w:tcW w:w="2028" w:type="dxa"/>
            <w:tcBorders>
              <w:top w:val="single" w:sz="4" w:space="0" w:color="auto"/>
              <w:left w:val="single" w:sz="4" w:space="0" w:color="auto"/>
              <w:bottom w:val="single" w:sz="4" w:space="0" w:color="auto"/>
              <w:right w:val="single" w:sz="4" w:space="0" w:color="auto"/>
            </w:tcBorders>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灭火器最大保护距离符合规定。</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r w:rsidR="003F13AB">
        <w:trPr>
          <w:trHeight w:val="146"/>
          <w:tblHeader/>
        </w:trPr>
        <w:tc>
          <w:tcPr>
            <w:tcW w:w="644" w:type="dxa"/>
            <w:vAlign w:val="center"/>
          </w:tcPr>
          <w:p w:rsidR="003F13AB" w:rsidRDefault="00EC6E7E">
            <w:pPr>
              <w:adjustRightInd/>
              <w:spacing w:line="240" w:lineRule="auto"/>
              <w:ind w:firstLineChars="0" w:firstLine="0"/>
              <w:jc w:val="center"/>
              <w:rPr>
                <w:rFonts w:ascii="宋体" w:hAnsi="宋体" w:cs="宋体"/>
                <w:color w:val="auto"/>
                <w:sz w:val="21"/>
                <w:szCs w:val="21"/>
              </w:rPr>
            </w:pPr>
            <w:r>
              <w:rPr>
                <w:rFonts w:ascii="宋体" w:hAnsi="宋体" w:cs="宋体" w:hint="eastAsia"/>
                <w:color w:val="auto"/>
                <w:sz w:val="21"/>
                <w:szCs w:val="21"/>
              </w:rPr>
              <w:t>11</w:t>
            </w:r>
          </w:p>
        </w:tc>
        <w:tc>
          <w:tcPr>
            <w:tcW w:w="3150" w:type="dxa"/>
            <w:gridSpan w:val="2"/>
            <w:tcBorders>
              <w:top w:val="single" w:sz="4" w:space="0" w:color="auto"/>
              <w:left w:val="single" w:sz="4" w:space="0" w:color="auto"/>
              <w:bottom w:val="single" w:sz="4" w:space="0" w:color="auto"/>
              <w:right w:val="single" w:sz="4" w:space="0" w:color="auto"/>
            </w:tcBorders>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一个计算单元内配置的灭火器数量不得少于2具。每个设置点的灭火器数量不宜多于5具。</w:t>
            </w:r>
          </w:p>
        </w:tc>
        <w:tc>
          <w:tcPr>
            <w:tcW w:w="2083" w:type="dxa"/>
            <w:gridSpan w:val="2"/>
            <w:tcBorders>
              <w:top w:val="single" w:sz="4" w:space="0" w:color="auto"/>
              <w:left w:val="single" w:sz="4" w:space="0" w:color="auto"/>
              <w:bottom w:val="single" w:sz="4" w:space="0" w:color="auto"/>
              <w:right w:val="single" w:sz="4" w:space="0" w:color="auto"/>
            </w:tcBorders>
          </w:tcPr>
          <w:p w:rsidR="003F13AB" w:rsidRDefault="00EC6E7E">
            <w:pPr>
              <w:ind w:firstLineChars="0" w:firstLine="0"/>
              <w:rPr>
                <w:rFonts w:ascii="宋体" w:hAnsi="宋体"/>
                <w:color w:val="auto"/>
                <w:sz w:val="21"/>
                <w:szCs w:val="21"/>
              </w:rPr>
            </w:pPr>
            <w:r>
              <w:rPr>
                <w:rFonts w:ascii="宋体" w:hAnsi="宋体" w:hint="eastAsia"/>
                <w:color w:val="auto"/>
                <w:sz w:val="21"/>
                <w:szCs w:val="21"/>
              </w:rPr>
              <w:t>6.1.1、6.1.2</w:t>
            </w:r>
          </w:p>
        </w:tc>
        <w:tc>
          <w:tcPr>
            <w:tcW w:w="2028" w:type="dxa"/>
            <w:tcBorders>
              <w:top w:val="single" w:sz="4" w:space="0" w:color="auto"/>
              <w:left w:val="single" w:sz="4" w:space="0" w:color="auto"/>
              <w:bottom w:val="single" w:sz="4" w:space="0" w:color="auto"/>
              <w:right w:val="single" w:sz="4" w:space="0" w:color="auto"/>
            </w:tcBorders>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灭火器数量基本满足要求。</w:t>
            </w:r>
          </w:p>
        </w:tc>
        <w:tc>
          <w:tcPr>
            <w:tcW w:w="1167" w:type="dxa"/>
            <w:tcBorders>
              <w:top w:val="single" w:sz="4" w:space="0" w:color="auto"/>
              <w:left w:val="single" w:sz="4" w:space="0" w:color="auto"/>
              <w:bottom w:val="single" w:sz="4" w:space="0" w:color="auto"/>
              <w:right w:val="single" w:sz="4" w:space="0" w:color="auto"/>
            </w:tcBorders>
            <w:vAlign w:val="center"/>
          </w:tcPr>
          <w:p w:rsidR="003F13AB" w:rsidRDefault="00EC6E7E">
            <w:pPr>
              <w:adjustRightInd/>
              <w:spacing w:line="240" w:lineRule="auto"/>
              <w:ind w:firstLineChars="0" w:firstLine="0"/>
              <w:rPr>
                <w:rFonts w:ascii="宋体" w:hAnsi="宋体" w:cs="宋体"/>
                <w:color w:val="auto"/>
                <w:sz w:val="21"/>
                <w:szCs w:val="21"/>
              </w:rPr>
            </w:pPr>
            <w:r>
              <w:rPr>
                <w:rFonts w:ascii="宋体" w:hAnsi="宋体" w:cs="宋体" w:hint="eastAsia"/>
                <w:color w:val="auto"/>
                <w:sz w:val="21"/>
                <w:szCs w:val="21"/>
              </w:rPr>
              <w:t>符合要求</w:t>
            </w:r>
          </w:p>
        </w:tc>
      </w:tr>
    </w:tbl>
    <w:p w:rsidR="003F13AB" w:rsidRDefault="003F13AB">
      <w:pPr>
        <w:ind w:firstLine="560"/>
        <w:rPr>
          <w:color w:val="auto"/>
        </w:rPr>
      </w:pPr>
    </w:p>
    <w:p w:rsidR="003F13AB" w:rsidRDefault="00EC6E7E">
      <w:pPr>
        <w:pStyle w:val="3"/>
      </w:pPr>
      <w:bookmarkStart w:id="350" w:name="_Toc187914515"/>
      <w:r>
        <w:rPr>
          <w:rFonts w:hint="eastAsia"/>
        </w:rPr>
        <w:t>6.3.2 单元小结</w:t>
      </w:r>
      <w:bookmarkEnd w:id="350"/>
    </w:p>
    <w:p w:rsidR="003F13AB" w:rsidRDefault="00EC6E7E">
      <w:pPr>
        <w:ind w:firstLine="560"/>
        <w:rPr>
          <w:color w:val="auto"/>
        </w:rPr>
      </w:pPr>
      <w:r>
        <w:rPr>
          <w:rFonts w:hint="eastAsia"/>
          <w:color w:val="auto"/>
        </w:rPr>
        <w:t>本节通过采用安全检查表评价，对</w:t>
      </w:r>
      <w:r>
        <w:rPr>
          <w:rFonts w:hint="eastAsia"/>
          <w:color w:val="auto"/>
          <w:szCs w:val="28"/>
        </w:rPr>
        <w:t>公</w:t>
      </w:r>
      <w:proofErr w:type="gramStart"/>
      <w:r>
        <w:rPr>
          <w:rFonts w:hint="eastAsia"/>
          <w:color w:val="auto"/>
          <w:szCs w:val="28"/>
        </w:rPr>
        <w:t>辅设施</w:t>
      </w:r>
      <w:proofErr w:type="gramEnd"/>
      <w:r>
        <w:rPr>
          <w:rFonts w:hint="eastAsia"/>
          <w:color w:val="auto"/>
        </w:rPr>
        <w:t>进行安全检查评价。项目供电、消防设施有保障。</w:t>
      </w:r>
    </w:p>
    <w:p w:rsidR="003F13AB" w:rsidRDefault="00EC6E7E">
      <w:pPr>
        <w:pStyle w:val="2"/>
      </w:pPr>
      <w:bookmarkStart w:id="351" w:name="_Toc62219379"/>
      <w:bookmarkStart w:id="352" w:name="_Toc187914516"/>
      <w:bookmarkStart w:id="353" w:name="_Toc166857626"/>
      <w:r>
        <w:rPr>
          <w:rFonts w:hint="eastAsia"/>
          <w:bCs w:val="0"/>
        </w:rPr>
        <w:t xml:space="preserve">6.4 </w:t>
      </w:r>
      <w:r>
        <w:rPr>
          <w:rFonts w:hint="eastAsia"/>
        </w:rPr>
        <w:t>安全管理及应急救援单元评价</w:t>
      </w:r>
      <w:bookmarkEnd w:id="351"/>
      <w:bookmarkEnd w:id="352"/>
      <w:bookmarkEnd w:id="353"/>
    </w:p>
    <w:p w:rsidR="003F13AB" w:rsidRDefault="00EC6E7E">
      <w:pPr>
        <w:pStyle w:val="3"/>
      </w:pPr>
      <w:bookmarkStart w:id="354" w:name="_Toc187914517"/>
      <w:r>
        <w:rPr>
          <w:rFonts w:hint="eastAsia"/>
        </w:rPr>
        <w:t>6.4.1 安全管理安全评价</w:t>
      </w:r>
      <w:bookmarkEnd w:id="354"/>
    </w:p>
    <w:p w:rsidR="003F13AB" w:rsidRDefault="00EC6E7E">
      <w:pPr>
        <w:ind w:firstLine="560"/>
        <w:rPr>
          <w:color w:val="auto"/>
        </w:rPr>
      </w:pPr>
      <w:r>
        <w:rPr>
          <w:rFonts w:hint="eastAsia"/>
          <w:color w:val="auto"/>
        </w:rPr>
        <w:t>（</w:t>
      </w:r>
      <w:r>
        <w:rPr>
          <w:rFonts w:hint="eastAsia"/>
          <w:color w:val="auto"/>
        </w:rPr>
        <w:t>1</w:t>
      </w:r>
      <w:r>
        <w:rPr>
          <w:rFonts w:hint="eastAsia"/>
          <w:color w:val="auto"/>
        </w:rPr>
        <w:t>）安全管理安全检查表</w:t>
      </w:r>
    </w:p>
    <w:p w:rsidR="003F13AB" w:rsidRDefault="00EC6E7E">
      <w:pPr>
        <w:ind w:firstLine="560"/>
        <w:rPr>
          <w:color w:val="auto"/>
        </w:rPr>
      </w:pPr>
      <w:r>
        <w:rPr>
          <w:rFonts w:hint="eastAsia"/>
          <w:color w:val="auto"/>
        </w:rPr>
        <w:t>本节根据《中华人民共和国安全生产法》、《生产经营单位安全培训规定》、《用人单位劳动防护用品管理规范》等法律、法规的要求，对农家乐公司的安全管理进行检查评价，具体检查情况见附表</w:t>
      </w:r>
      <w:r>
        <w:rPr>
          <w:rFonts w:hint="eastAsia"/>
          <w:color w:val="auto"/>
        </w:rPr>
        <w:t>6.4-1</w:t>
      </w:r>
      <w:r>
        <w:rPr>
          <w:rFonts w:hint="eastAsia"/>
          <w:color w:val="auto"/>
        </w:rPr>
        <w:t>。</w:t>
      </w:r>
    </w:p>
    <w:p w:rsidR="003F13AB" w:rsidRDefault="00EC6E7E">
      <w:pPr>
        <w:ind w:firstLineChars="0" w:firstLine="0"/>
        <w:jc w:val="center"/>
        <w:rPr>
          <w:rFonts w:ascii="宋体" w:hAnsi="宋体"/>
          <w:color w:val="auto"/>
          <w:kern w:val="0"/>
          <w:szCs w:val="28"/>
          <w:lang w:val="zh-CN"/>
        </w:rPr>
      </w:pPr>
      <w:r>
        <w:rPr>
          <w:rFonts w:ascii="宋体" w:hAnsi="宋体" w:hint="eastAsia"/>
          <w:color w:val="auto"/>
          <w:kern w:val="0"/>
          <w:szCs w:val="28"/>
          <w:lang w:val="zh-CN"/>
        </w:rPr>
        <w:t>附表6.4-</w:t>
      </w:r>
      <w:r>
        <w:rPr>
          <w:rFonts w:ascii="宋体" w:hAnsi="宋体" w:hint="eastAsia"/>
          <w:color w:val="auto"/>
          <w:kern w:val="0"/>
          <w:szCs w:val="28"/>
        </w:rPr>
        <w:t>1安全管理</w:t>
      </w:r>
      <w:r>
        <w:rPr>
          <w:rFonts w:ascii="宋体" w:hAnsi="宋体" w:hint="eastAsia"/>
          <w:color w:val="auto"/>
          <w:kern w:val="0"/>
          <w:szCs w:val="28"/>
          <w:lang w:val="zh-CN"/>
        </w:rPr>
        <w:t>安全检查表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807"/>
        <w:gridCol w:w="1695"/>
        <w:gridCol w:w="1689"/>
        <w:gridCol w:w="1151"/>
      </w:tblGrid>
      <w:tr w:rsidR="003F13AB">
        <w:trPr>
          <w:trHeight w:val="454"/>
          <w:tblHeader/>
          <w:jc w:val="center"/>
        </w:trPr>
        <w:tc>
          <w:tcPr>
            <w:tcW w:w="730" w:type="dxa"/>
            <w:vAlign w:val="center"/>
          </w:tcPr>
          <w:p w:rsidR="003F13AB" w:rsidRDefault="00EC6E7E">
            <w:pPr>
              <w:topLinePunct/>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序号</w:t>
            </w:r>
          </w:p>
        </w:tc>
        <w:tc>
          <w:tcPr>
            <w:tcW w:w="3807" w:type="dxa"/>
            <w:vAlign w:val="center"/>
          </w:tcPr>
          <w:p w:rsidR="003F13AB" w:rsidRDefault="00EC6E7E">
            <w:pPr>
              <w:topLinePunct/>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评价内容</w:t>
            </w:r>
          </w:p>
        </w:tc>
        <w:tc>
          <w:tcPr>
            <w:tcW w:w="1695" w:type="dxa"/>
            <w:vAlign w:val="center"/>
          </w:tcPr>
          <w:p w:rsidR="003F13AB" w:rsidRDefault="00EC6E7E">
            <w:pPr>
              <w:topLinePunct/>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评价依据</w:t>
            </w:r>
          </w:p>
        </w:tc>
        <w:tc>
          <w:tcPr>
            <w:tcW w:w="1689" w:type="dxa"/>
            <w:vAlign w:val="center"/>
          </w:tcPr>
          <w:p w:rsidR="003F13AB" w:rsidRDefault="00EC6E7E">
            <w:pPr>
              <w:topLinePunct/>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评价记录</w:t>
            </w:r>
          </w:p>
        </w:tc>
        <w:tc>
          <w:tcPr>
            <w:tcW w:w="1151" w:type="dxa"/>
            <w:vAlign w:val="center"/>
          </w:tcPr>
          <w:p w:rsidR="003F13AB" w:rsidRDefault="00EC6E7E">
            <w:pPr>
              <w:topLinePunct/>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评价结果</w:t>
            </w:r>
          </w:p>
        </w:tc>
      </w:tr>
      <w:tr w:rsidR="003F13AB">
        <w:trPr>
          <w:trHeight w:val="454"/>
          <w:jc w:val="center"/>
        </w:trPr>
        <w:tc>
          <w:tcPr>
            <w:tcW w:w="730" w:type="dxa"/>
            <w:vAlign w:val="center"/>
          </w:tcPr>
          <w:p w:rsidR="003F13AB" w:rsidRDefault="00EC6E7E">
            <w:pPr>
              <w:topLinePunct/>
              <w:spacing w:line="240" w:lineRule="auto"/>
              <w:ind w:firstLineChars="0" w:firstLine="0"/>
              <w:jc w:val="center"/>
              <w:rPr>
                <w:rFonts w:ascii="宋体" w:hAnsi="宋体"/>
                <w:bCs/>
                <w:color w:val="auto"/>
                <w:sz w:val="21"/>
                <w:szCs w:val="21"/>
              </w:rPr>
            </w:pPr>
            <w:bookmarkStart w:id="355" w:name="_Hlk5910964"/>
            <w:r>
              <w:rPr>
                <w:rFonts w:ascii="宋体" w:hAnsi="宋体" w:hint="eastAsia"/>
                <w:bCs/>
                <w:color w:val="auto"/>
                <w:sz w:val="21"/>
                <w:szCs w:val="21"/>
              </w:rPr>
              <w:t>1</w:t>
            </w:r>
          </w:p>
        </w:tc>
        <w:tc>
          <w:tcPr>
            <w:tcW w:w="3807" w:type="dxa"/>
            <w:vAlign w:val="center"/>
          </w:tcPr>
          <w:p w:rsidR="003F13AB" w:rsidRDefault="00EC6E7E">
            <w:pPr>
              <w:topLinePunct/>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生产经营单位主要负责人和安全生产管理人员初次安全培训时间不得少于32学时。每年再培训时间不得少于12学时。</w:t>
            </w:r>
          </w:p>
        </w:tc>
        <w:tc>
          <w:tcPr>
            <w:tcW w:w="1695" w:type="dxa"/>
            <w:vAlign w:val="center"/>
          </w:tcPr>
          <w:p w:rsidR="003F13AB" w:rsidRDefault="00EC6E7E">
            <w:pPr>
              <w:topLinePunct/>
              <w:spacing w:line="240" w:lineRule="auto"/>
              <w:ind w:firstLineChars="0" w:firstLine="0"/>
              <w:rPr>
                <w:rFonts w:ascii="宋体" w:hAnsi="宋体"/>
                <w:bCs/>
                <w:color w:val="auto"/>
                <w:sz w:val="21"/>
                <w:szCs w:val="21"/>
              </w:rPr>
            </w:pPr>
            <w:r>
              <w:rPr>
                <w:rFonts w:ascii="宋体" w:hAnsi="宋体" w:hint="eastAsia"/>
                <w:bCs/>
                <w:color w:val="auto"/>
                <w:sz w:val="21"/>
                <w:szCs w:val="21"/>
              </w:rPr>
              <w:t>《生产经营单位安全培训规定》第九条</w:t>
            </w:r>
          </w:p>
        </w:tc>
        <w:tc>
          <w:tcPr>
            <w:tcW w:w="1689" w:type="dxa"/>
            <w:vAlign w:val="center"/>
          </w:tcPr>
          <w:p w:rsidR="003F13AB" w:rsidRDefault="00EC6E7E">
            <w:pPr>
              <w:topLinePunct/>
              <w:spacing w:line="240" w:lineRule="auto"/>
              <w:ind w:firstLineChars="0" w:firstLine="0"/>
              <w:rPr>
                <w:rFonts w:ascii="宋体" w:hAnsi="宋体"/>
                <w:bCs/>
                <w:color w:val="auto"/>
                <w:sz w:val="21"/>
                <w:szCs w:val="21"/>
              </w:rPr>
            </w:pPr>
            <w:r>
              <w:rPr>
                <w:rFonts w:ascii="宋体" w:hAnsi="宋体" w:hint="eastAsia"/>
                <w:bCs/>
                <w:color w:val="auto"/>
                <w:sz w:val="21"/>
                <w:szCs w:val="21"/>
              </w:rPr>
              <w:t>主要负责人、安全管理人员经过培训并持证上岗。</w:t>
            </w:r>
          </w:p>
        </w:tc>
        <w:tc>
          <w:tcPr>
            <w:tcW w:w="115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符合要求</w:t>
            </w:r>
          </w:p>
        </w:tc>
      </w:tr>
      <w:bookmarkEnd w:id="355"/>
      <w:tr w:rsidR="003F13AB">
        <w:trPr>
          <w:trHeight w:val="454"/>
          <w:jc w:val="center"/>
        </w:trPr>
        <w:tc>
          <w:tcPr>
            <w:tcW w:w="730" w:type="dxa"/>
            <w:vAlign w:val="center"/>
          </w:tcPr>
          <w:p w:rsidR="003F13AB" w:rsidRDefault="00EC6E7E">
            <w:pPr>
              <w:topLinePunct/>
              <w:spacing w:line="240" w:lineRule="auto"/>
              <w:ind w:firstLineChars="0" w:firstLine="0"/>
              <w:jc w:val="center"/>
              <w:rPr>
                <w:rFonts w:ascii="宋体" w:hAnsi="宋体"/>
                <w:bCs/>
                <w:color w:val="auto"/>
                <w:sz w:val="21"/>
                <w:szCs w:val="21"/>
              </w:rPr>
            </w:pPr>
            <w:r>
              <w:rPr>
                <w:rFonts w:ascii="宋体" w:hAnsi="宋体" w:hint="eastAsia"/>
                <w:bCs/>
                <w:color w:val="auto"/>
                <w:sz w:val="21"/>
                <w:szCs w:val="21"/>
              </w:rPr>
              <w:t>2</w:t>
            </w:r>
          </w:p>
        </w:tc>
        <w:tc>
          <w:tcPr>
            <w:tcW w:w="3807" w:type="dxa"/>
            <w:vAlign w:val="center"/>
          </w:tcPr>
          <w:p w:rsidR="003F13AB" w:rsidRDefault="00EC6E7E">
            <w:pPr>
              <w:topLinePunct/>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生产经营单位的特种作业人员必须按照国家有关规定经专门的安全作业培训，取得相应资格，方可上岗作业。</w:t>
            </w:r>
          </w:p>
        </w:tc>
        <w:tc>
          <w:tcPr>
            <w:tcW w:w="169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《中华人民共和国安全生产法》</w:t>
            </w:r>
          </w:p>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第三十条</w:t>
            </w:r>
          </w:p>
        </w:tc>
        <w:tc>
          <w:tcPr>
            <w:tcW w:w="1689" w:type="dxa"/>
            <w:vAlign w:val="center"/>
          </w:tcPr>
          <w:p w:rsidR="003F13AB" w:rsidRDefault="00EC6E7E">
            <w:pPr>
              <w:topLinePunct/>
              <w:spacing w:line="240" w:lineRule="auto"/>
              <w:ind w:firstLineChars="0" w:firstLine="0"/>
              <w:rPr>
                <w:rFonts w:ascii="宋体" w:hAnsi="宋体"/>
                <w:bCs/>
                <w:color w:val="auto"/>
                <w:sz w:val="21"/>
                <w:szCs w:val="21"/>
              </w:rPr>
            </w:pPr>
            <w:r>
              <w:rPr>
                <w:rFonts w:ascii="宋体" w:hAnsi="宋体" w:hint="eastAsia"/>
                <w:bCs/>
                <w:color w:val="auto"/>
                <w:sz w:val="21"/>
                <w:szCs w:val="21"/>
              </w:rPr>
              <w:t>公司有一名电工、一名焊工，已分别取得电工、焊工作业资格证，详见附件8.19。</w:t>
            </w:r>
          </w:p>
        </w:tc>
        <w:tc>
          <w:tcPr>
            <w:tcW w:w="1151" w:type="dxa"/>
            <w:vAlign w:val="center"/>
          </w:tcPr>
          <w:p w:rsidR="003F13AB" w:rsidRDefault="00EC6E7E">
            <w:pPr>
              <w:topLinePunct/>
              <w:spacing w:line="240" w:lineRule="auto"/>
              <w:ind w:firstLineChars="0" w:firstLine="0"/>
              <w:rPr>
                <w:rFonts w:ascii="宋体" w:hAnsi="宋体"/>
                <w:bCs/>
                <w:color w:val="auto"/>
                <w:sz w:val="21"/>
                <w:szCs w:val="21"/>
              </w:rPr>
            </w:pPr>
            <w:r>
              <w:rPr>
                <w:rFonts w:ascii="宋体" w:hAnsi="宋体" w:hint="eastAsia"/>
                <w:bCs/>
                <w:color w:val="auto"/>
                <w:sz w:val="21"/>
                <w:szCs w:val="21"/>
              </w:rPr>
              <w:t>符合要求</w:t>
            </w:r>
          </w:p>
        </w:tc>
      </w:tr>
      <w:tr w:rsidR="003F13AB">
        <w:trPr>
          <w:trHeight w:val="454"/>
          <w:jc w:val="center"/>
        </w:trPr>
        <w:tc>
          <w:tcPr>
            <w:tcW w:w="730" w:type="dxa"/>
            <w:vAlign w:val="center"/>
          </w:tcPr>
          <w:p w:rsidR="003F13AB" w:rsidRDefault="00EC6E7E">
            <w:pPr>
              <w:topLinePunct/>
              <w:spacing w:line="240" w:lineRule="auto"/>
              <w:ind w:firstLineChars="0" w:firstLine="0"/>
              <w:jc w:val="center"/>
              <w:rPr>
                <w:rFonts w:ascii="宋体" w:hAnsi="宋体"/>
                <w:bCs/>
                <w:color w:val="auto"/>
                <w:sz w:val="21"/>
                <w:szCs w:val="21"/>
              </w:rPr>
            </w:pPr>
            <w:r>
              <w:rPr>
                <w:rFonts w:ascii="宋体" w:hAnsi="宋体" w:hint="eastAsia"/>
                <w:bCs/>
                <w:color w:val="auto"/>
                <w:sz w:val="21"/>
                <w:szCs w:val="21"/>
              </w:rPr>
              <w:t>3</w:t>
            </w:r>
          </w:p>
        </w:tc>
        <w:tc>
          <w:tcPr>
            <w:tcW w:w="3807" w:type="dxa"/>
            <w:vAlign w:val="center"/>
          </w:tcPr>
          <w:p w:rsidR="003F13AB" w:rsidRDefault="00EC6E7E">
            <w:pPr>
              <w:topLinePunct/>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生产经营单位对重大危险</w:t>
            </w:r>
            <w:proofErr w:type="gramStart"/>
            <w:r>
              <w:rPr>
                <w:rFonts w:ascii="宋体" w:hAnsi="宋体" w:hint="eastAsia"/>
                <w:color w:val="auto"/>
                <w:kern w:val="0"/>
                <w:sz w:val="21"/>
                <w:szCs w:val="21"/>
              </w:rPr>
              <w:t>源应当</w:t>
            </w:r>
            <w:proofErr w:type="gramEnd"/>
            <w:r>
              <w:rPr>
                <w:rFonts w:ascii="宋体" w:hAnsi="宋体" w:hint="eastAsia"/>
                <w:color w:val="auto"/>
                <w:kern w:val="0"/>
                <w:sz w:val="21"/>
                <w:szCs w:val="21"/>
              </w:rPr>
              <w:t>登记建</w:t>
            </w:r>
            <w:r>
              <w:rPr>
                <w:rFonts w:ascii="宋体" w:hAnsi="宋体" w:hint="eastAsia"/>
                <w:color w:val="auto"/>
                <w:kern w:val="0"/>
                <w:sz w:val="21"/>
                <w:szCs w:val="21"/>
              </w:rPr>
              <w:lastRenderedPageBreak/>
              <w:t>档，进行定期检测、评估、监控，并制定应急预案，告知从业人员和相关人员在紧急情况下应当采取的应急措施。</w:t>
            </w:r>
          </w:p>
          <w:p w:rsidR="003F13AB" w:rsidRDefault="00EC6E7E">
            <w:pPr>
              <w:topLinePunct/>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生产经营单位应当按照国家有关规定将本单位重大危险源及有关安全措施、应急措施报有关地方人民政府安全生产监督管理部门和有关部门备案。</w:t>
            </w:r>
          </w:p>
        </w:tc>
        <w:tc>
          <w:tcPr>
            <w:tcW w:w="169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《中华人民共和</w:t>
            </w:r>
            <w:r>
              <w:rPr>
                <w:rFonts w:ascii="宋体" w:hAnsi="宋体" w:hint="eastAsia"/>
                <w:color w:val="auto"/>
                <w:sz w:val="21"/>
                <w:szCs w:val="21"/>
              </w:rPr>
              <w:lastRenderedPageBreak/>
              <w:t>国安全生产法》</w:t>
            </w:r>
          </w:p>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第四十条</w:t>
            </w:r>
          </w:p>
        </w:tc>
        <w:tc>
          <w:tcPr>
            <w:tcW w:w="1689" w:type="dxa"/>
            <w:vAlign w:val="center"/>
          </w:tcPr>
          <w:p w:rsidR="003F13AB" w:rsidRDefault="00EC6E7E">
            <w:pPr>
              <w:topLinePunct/>
              <w:spacing w:line="240" w:lineRule="auto"/>
              <w:ind w:firstLineChars="0" w:firstLine="0"/>
              <w:rPr>
                <w:rFonts w:ascii="宋体" w:hAnsi="宋体"/>
                <w:bCs/>
                <w:color w:val="auto"/>
                <w:sz w:val="21"/>
                <w:szCs w:val="21"/>
              </w:rPr>
            </w:pPr>
            <w:r>
              <w:rPr>
                <w:rFonts w:ascii="宋体" w:hAnsi="宋体" w:hint="eastAsia"/>
                <w:bCs/>
                <w:color w:val="auto"/>
                <w:sz w:val="21"/>
                <w:szCs w:val="21"/>
              </w:rPr>
              <w:lastRenderedPageBreak/>
              <w:t>项目</w:t>
            </w:r>
            <w:proofErr w:type="gramStart"/>
            <w:r>
              <w:rPr>
                <w:rFonts w:ascii="宋体" w:hAnsi="宋体" w:hint="eastAsia"/>
                <w:bCs/>
                <w:color w:val="auto"/>
                <w:sz w:val="21"/>
                <w:szCs w:val="21"/>
              </w:rPr>
              <w:t>不构危险化</w:t>
            </w:r>
            <w:r>
              <w:rPr>
                <w:rFonts w:ascii="宋体" w:hAnsi="宋体" w:hint="eastAsia"/>
                <w:bCs/>
                <w:color w:val="auto"/>
                <w:sz w:val="21"/>
                <w:szCs w:val="21"/>
              </w:rPr>
              <w:lastRenderedPageBreak/>
              <w:t>学品成重大</w:t>
            </w:r>
            <w:proofErr w:type="gramEnd"/>
            <w:r>
              <w:rPr>
                <w:rFonts w:ascii="宋体" w:hAnsi="宋体" w:hint="eastAsia"/>
                <w:bCs/>
                <w:color w:val="auto"/>
                <w:sz w:val="21"/>
                <w:szCs w:val="21"/>
              </w:rPr>
              <w:t>危险源。</w:t>
            </w:r>
          </w:p>
        </w:tc>
        <w:tc>
          <w:tcPr>
            <w:tcW w:w="115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符合要求</w:t>
            </w:r>
          </w:p>
        </w:tc>
      </w:tr>
      <w:tr w:rsidR="003F13AB">
        <w:trPr>
          <w:trHeight w:val="454"/>
          <w:jc w:val="center"/>
        </w:trPr>
        <w:tc>
          <w:tcPr>
            <w:tcW w:w="730"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lastRenderedPageBreak/>
              <w:t>4</w:t>
            </w:r>
          </w:p>
        </w:tc>
        <w:tc>
          <w:tcPr>
            <w:tcW w:w="3807" w:type="dxa"/>
            <w:vAlign w:val="center"/>
          </w:tcPr>
          <w:p w:rsidR="003F13AB" w:rsidRDefault="00EC6E7E">
            <w:pPr>
              <w:topLinePunct/>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生产经营单位应当建立安全风险分级管控制度，按照安全风险分级采取相应的管控措施。生产经营单位应当建立健全生产安全事故隐患排查治理制度，采取技术、管理措施，及时发现并消除事故隐患。事故隐患排查治理情况应当如实记录，并向从业人员通报。</w:t>
            </w:r>
          </w:p>
          <w:p w:rsidR="003F13AB" w:rsidRDefault="00EC6E7E">
            <w:pPr>
              <w:topLinePunct/>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县级以上地方各级人民政府负有安全生产监督管理职责的部门应当建立健全重大事故隐患治理督办制度，督促生产经营单位消除重大事故隐患。</w:t>
            </w:r>
          </w:p>
        </w:tc>
        <w:tc>
          <w:tcPr>
            <w:tcW w:w="169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《中华人民共和国安全生产法》</w:t>
            </w:r>
          </w:p>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第四十一条</w:t>
            </w:r>
          </w:p>
        </w:tc>
        <w:tc>
          <w:tcPr>
            <w:tcW w:w="1689" w:type="dxa"/>
            <w:vAlign w:val="center"/>
          </w:tcPr>
          <w:p w:rsidR="003F13AB" w:rsidRDefault="00EC6E7E">
            <w:pPr>
              <w:topLinePunct/>
              <w:spacing w:line="240" w:lineRule="auto"/>
              <w:ind w:firstLineChars="0" w:firstLine="0"/>
              <w:rPr>
                <w:rFonts w:ascii="宋体" w:hAnsi="宋体"/>
                <w:bCs/>
                <w:color w:val="auto"/>
                <w:sz w:val="21"/>
                <w:szCs w:val="21"/>
              </w:rPr>
            </w:pPr>
            <w:r>
              <w:rPr>
                <w:rFonts w:ascii="宋体" w:hAnsi="宋体" w:hint="eastAsia"/>
                <w:bCs/>
                <w:color w:val="auto"/>
                <w:sz w:val="21"/>
                <w:szCs w:val="21"/>
              </w:rPr>
              <w:t>有隐患排查和隐患整改方面的安全管理制度。</w:t>
            </w:r>
          </w:p>
        </w:tc>
        <w:tc>
          <w:tcPr>
            <w:tcW w:w="115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bCs/>
                <w:color w:val="auto"/>
                <w:sz w:val="21"/>
                <w:szCs w:val="21"/>
              </w:rPr>
              <w:t>符合要求</w:t>
            </w:r>
          </w:p>
        </w:tc>
      </w:tr>
      <w:tr w:rsidR="003F13AB">
        <w:trPr>
          <w:trHeight w:val="454"/>
          <w:jc w:val="center"/>
        </w:trPr>
        <w:tc>
          <w:tcPr>
            <w:tcW w:w="730"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5</w:t>
            </w:r>
          </w:p>
        </w:tc>
        <w:tc>
          <w:tcPr>
            <w:tcW w:w="3807" w:type="dxa"/>
            <w:vAlign w:val="center"/>
          </w:tcPr>
          <w:p w:rsidR="003F13AB" w:rsidRDefault="00EC6E7E">
            <w:pPr>
              <w:topLinePunct/>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生产经营单位应当教育和督促从业人员严格执行本单位的安全生产规章制度和安全操作规程；并向从业人员如实告知作业场所和工作岗位存在的危险因素、防范措施以及事故应急措施。</w:t>
            </w:r>
          </w:p>
        </w:tc>
        <w:tc>
          <w:tcPr>
            <w:tcW w:w="169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《中华人民共和国安全生产法》</w:t>
            </w:r>
          </w:p>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第四十四条</w:t>
            </w:r>
          </w:p>
        </w:tc>
        <w:tc>
          <w:tcPr>
            <w:tcW w:w="1689" w:type="dxa"/>
            <w:vAlign w:val="center"/>
          </w:tcPr>
          <w:p w:rsidR="003F13AB" w:rsidRDefault="00EC6E7E">
            <w:pPr>
              <w:topLinePunct/>
              <w:spacing w:line="240" w:lineRule="auto"/>
              <w:ind w:firstLineChars="0" w:firstLine="0"/>
              <w:rPr>
                <w:rFonts w:ascii="宋体" w:hAnsi="宋体"/>
                <w:bCs/>
                <w:color w:val="auto"/>
                <w:sz w:val="21"/>
                <w:szCs w:val="21"/>
              </w:rPr>
            </w:pPr>
            <w:r>
              <w:rPr>
                <w:rFonts w:ascii="宋体" w:hAnsi="宋体" w:hint="eastAsia"/>
                <w:bCs/>
                <w:color w:val="auto"/>
                <w:sz w:val="21"/>
                <w:szCs w:val="21"/>
              </w:rPr>
              <w:t>建立有相关制度，各作业场所有管理人员监督制度、规程的执行。</w:t>
            </w:r>
          </w:p>
        </w:tc>
        <w:tc>
          <w:tcPr>
            <w:tcW w:w="115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bCs/>
                <w:color w:val="auto"/>
                <w:sz w:val="21"/>
                <w:szCs w:val="21"/>
              </w:rPr>
              <w:t>符合要求</w:t>
            </w:r>
          </w:p>
        </w:tc>
      </w:tr>
      <w:tr w:rsidR="003F13AB">
        <w:trPr>
          <w:trHeight w:val="454"/>
          <w:jc w:val="center"/>
        </w:trPr>
        <w:tc>
          <w:tcPr>
            <w:tcW w:w="730" w:type="dxa"/>
            <w:vAlign w:val="center"/>
          </w:tcPr>
          <w:p w:rsidR="003F13AB" w:rsidRDefault="00EC6E7E">
            <w:pPr>
              <w:topLinePunct/>
              <w:spacing w:line="240" w:lineRule="auto"/>
              <w:ind w:firstLineChars="0" w:firstLine="0"/>
              <w:jc w:val="center"/>
              <w:rPr>
                <w:rFonts w:ascii="宋体" w:hAnsi="宋体"/>
                <w:color w:val="auto"/>
                <w:sz w:val="21"/>
                <w:szCs w:val="21"/>
              </w:rPr>
            </w:pPr>
            <w:r>
              <w:rPr>
                <w:rFonts w:ascii="宋体" w:hAnsi="宋体" w:hint="eastAsia"/>
                <w:color w:val="auto"/>
                <w:sz w:val="21"/>
                <w:szCs w:val="21"/>
              </w:rPr>
              <w:t>6</w:t>
            </w:r>
          </w:p>
        </w:tc>
        <w:tc>
          <w:tcPr>
            <w:tcW w:w="3807" w:type="dxa"/>
            <w:vAlign w:val="center"/>
          </w:tcPr>
          <w:p w:rsidR="003F13AB" w:rsidRDefault="00EC6E7E">
            <w:pPr>
              <w:topLinePunct/>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p w:rsidR="003F13AB" w:rsidRDefault="00EC6E7E">
            <w:pPr>
              <w:topLinePunct/>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生产经营单位的安全生产管理人员在检查中发现重大事故隐患，依照前款规定向本单位有关负责人报告，有关负责人不及时处理的，安全生产管理人员可以向主管的负有安全生产监督管理职责的部门报告，接到报告的部门应当依法及时处理。</w:t>
            </w:r>
          </w:p>
        </w:tc>
        <w:tc>
          <w:tcPr>
            <w:tcW w:w="169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《中华人民共和国安全生产法》</w:t>
            </w:r>
          </w:p>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第四十六条</w:t>
            </w:r>
          </w:p>
        </w:tc>
        <w:tc>
          <w:tcPr>
            <w:tcW w:w="1689" w:type="dxa"/>
            <w:vAlign w:val="center"/>
          </w:tcPr>
          <w:p w:rsidR="003F13AB" w:rsidRDefault="00EC6E7E">
            <w:pPr>
              <w:topLinePunct/>
              <w:spacing w:line="240" w:lineRule="auto"/>
              <w:ind w:firstLineChars="0" w:firstLine="0"/>
              <w:rPr>
                <w:rFonts w:ascii="宋体" w:hAnsi="宋体"/>
                <w:bCs/>
                <w:color w:val="auto"/>
                <w:sz w:val="21"/>
                <w:szCs w:val="21"/>
              </w:rPr>
            </w:pPr>
            <w:r>
              <w:rPr>
                <w:rFonts w:ascii="宋体" w:hAnsi="宋体" w:hint="eastAsia"/>
                <w:bCs/>
                <w:color w:val="auto"/>
                <w:sz w:val="21"/>
                <w:szCs w:val="21"/>
              </w:rPr>
              <w:t>制定有安全检查制度，并定期进行安全检查。</w:t>
            </w:r>
          </w:p>
        </w:tc>
        <w:tc>
          <w:tcPr>
            <w:tcW w:w="115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bCs/>
                <w:color w:val="auto"/>
                <w:sz w:val="21"/>
                <w:szCs w:val="21"/>
              </w:rPr>
              <w:t>符合要求</w:t>
            </w:r>
          </w:p>
        </w:tc>
      </w:tr>
      <w:tr w:rsidR="003F13AB">
        <w:trPr>
          <w:trHeight w:val="454"/>
          <w:jc w:val="center"/>
        </w:trPr>
        <w:tc>
          <w:tcPr>
            <w:tcW w:w="730" w:type="dxa"/>
            <w:vAlign w:val="center"/>
          </w:tcPr>
          <w:p w:rsidR="003F13AB" w:rsidRDefault="00EC6E7E">
            <w:pPr>
              <w:topLinePunct/>
              <w:spacing w:line="240" w:lineRule="auto"/>
              <w:ind w:firstLineChars="0" w:firstLine="0"/>
              <w:jc w:val="center"/>
              <w:rPr>
                <w:rFonts w:ascii="宋体" w:hAnsi="宋体"/>
                <w:bCs/>
                <w:color w:val="auto"/>
                <w:sz w:val="21"/>
                <w:szCs w:val="21"/>
              </w:rPr>
            </w:pPr>
            <w:r>
              <w:rPr>
                <w:rFonts w:ascii="宋体" w:hAnsi="宋体" w:hint="eastAsia"/>
                <w:bCs/>
                <w:color w:val="auto"/>
                <w:sz w:val="21"/>
                <w:szCs w:val="21"/>
              </w:rPr>
              <w:t>7</w:t>
            </w:r>
          </w:p>
        </w:tc>
        <w:tc>
          <w:tcPr>
            <w:tcW w:w="3807" w:type="dxa"/>
            <w:vAlign w:val="center"/>
          </w:tcPr>
          <w:p w:rsidR="003F13AB" w:rsidRDefault="00EC6E7E">
            <w:pPr>
              <w:topLinePunct/>
              <w:spacing w:line="240" w:lineRule="auto"/>
              <w:ind w:firstLineChars="0" w:firstLine="0"/>
              <w:rPr>
                <w:rFonts w:ascii="宋体" w:hAnsi="宋体"/>
                <w:color w:val="auto"/>
                <w:kern w:val="0"/>
                <w:sz w:val="21"/>
                <w:szCs w:val="21"/>
              </w:rPr>
            </w:pPr>
            <w:r>
              <w:rPr>
                <w:rFonts w:ascii="宋体" w:hAnsi="宋体" w:hint="eastAsia"/>
                <w:color w:val="auto"/>
                <w:kern w:val="0"/>
                <w:sz w:val="21"/>
                <w:szCs w:val="21"/>
              </w:rPr>
              <w:t>生产经营单位必须依法参加工伤保险，为从业人员缴纳保险费。</w:t>
            </w:r>
          </w:p>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kern w:val="0"/>
                <w:sz w:val="21"/>
                <w:szCs w:val="21"/>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tc>
        <w:tc>
          <w:tcPr>
            <w:tcW w:w="169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《中华人民共和国安全生产法》</w:t>
            </w:r>
          </w:p>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第五十一条</w:t>
            </w:r>
          </w:p>
        </w:tc>
        <w:tc>
          <w:tcPr>
            <w:tcW w:w="1689" w:type="dxa"/>
            <w:vAlign w:val="center"/>
          </w:tcPr>
          <w:p w:rsidR="003F13AB" w:rsidRDefault="00EC6E7E">
            <w:pPr>
              <w:topLinePunct/>
              <w:spacing w:line="240" w:lineRule="auto"/>
              <w:ind w:firstLineChars="0" w:firstLine="0"/>
              <w:rPr>
                <w:rFonts w:ascii="宋体" w:hAnsi="宋体"/>
                <w:bCs/>
                <w:color w:val="auto"/>
                <w:sz w:val="21"/>
                <w:szCs w:val="21"/>
              </w:rPr>
            </w:pPr>
            <w:r>
              <w:rPr>
                <w:rFonts w:ascii="宋体" w:hAnsi="宋体" w:hint="eastAsia"/>
                <w:bCs/>
                <w:color w:val="auto"/>
                <w:sz w:val="21"/>
                <w:szCs w:val="21"/>
              </w:rPr>
              <w:t>依法为员工购买了工伤保险，详见附件8.22。</w:t>
            </w:r>
          </w:p>
        </w:tc>
        <w:tc>
          <w:tcPr>
            <w:tcW w:w="115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bCs/>
                <w:color w:val="auto"/>
                <w:sz w:val="21"/>
                <w:szCs w:val="21"/>
              </w:rPr>
              <w:t>符合要求</w:t>
            </w:r>
          </w:p>
        </w:tc>
      </w:tr>
      <w:tr w:rsidR="003F13AB">
        <w:trPr>
          <w:trHeight w:val="454"/>
          <w:jc w:val="center"/>
        </w:trPr>
        <w:tc>
          <w:tcPr>
            <w:tcW w:w="730" w:type="dxa"/>
            <w:vAlign w:val="center"/>
          </w:tcPr>
          <w:p w:rsidR="003F13AB" w:rsidRDefault="00EC6E7E">
            <w:pPr>
              <w:topLinePunct/>
              <w:spacing w:line="240" w:lineRule="auto"/>
              <w:ind w:firstLineChars="0" w:firstLine="0"/>
              <w:jc w:val="center"/>
              <w:rPr>
                <w:rFonts w:ascii="宋体" w:hAnsi="宋体"/>
                <w:bCs/>
                <w:color w:val="auto"/>
                <w:sz w:val="21"/>
                <w:szCs w:val="21"/>
              </w:rPr>
            </w:pPr>
            <w:r>
              <w:rPr>
                <w:rFonts w:ascii="宋体" w:hAnsi="宋体" w:hint="eastAsia"/>
                <w:bCs/>
                <w:color w:val="auto"/>
                <w:sz w:val="21"/>
                <w:szCs w:val="21"/>
              </w:rPr>
              <w:t>8</w:t>
            </w:r>
          </w:p>
        </w:tc>
        <w:tc>
          <w:tcPr>
            <w:tcW w:w="3807" w:type="dxa"/>
            <w:vAlign w:val="center"/>
          </w:tcPr>
          <w:p w:rsidR="003F13AB" w:rsidRDefault="00EC6E7E">
            <w:pPr>
              <w:topLinePunct/>
              <w:spacing w:line="240" w:lineRule="auto"/>
              <w:ind w:firstLineChars="0" w:firstLine="0"/>
              <w:rPr>
                <w:rFonts w:ascii="宋体" w:hAnsi="宋体" w:cs="仿宋_GB2312"/>
                <w:color w:val="auto"/>
                <w:sz w:val="21"/>
                <w:szCs w:val="21"/>
              </w:rPr>
            </w:pPr>
            <w:r>
              <w:rPr>
                <w:rFonts w:ascii="宋体" w:hAnsi="宋体" w:cs="仿宋_GB2312" w:hint="eastAsia"/>
                <w:color w:val="auto"/>
                <w:sz w:val="21"/>
                <w:szCs w:val="21"/>
              </w:rPr>
              <w:t>用人单位应当为劳动者提供符合国家标准或者行业标准的劳动防护用品。使用</w:t>
            </w:r>
            <w:r>
              <w:rPr>
                <w:rFonts w:ascii="宋体" w:hAnsi="宋体" w:cs="仿宋_GB2312" w:hint="eastAsia"/>
                <w:color w:val="auto"/>
                <w:sz w:val="21"/>
                <w:szCs w:val="21"/>
              </w:rPr>
              <w:lastRenderedPageBreak/>
              <w:t>进口的劳动防护用品，其防护性能不得低于我国相关标准。</w:t>
            </w:r>
          </w:p>
        </w:tc>
        <w:tc>
          <w:tcPr>
            <w:tcW w:w="1695"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《用人单位劳动防护用品管理规</w:t>
            </w:r>
            <w:r>
              <w:rPr>
                <w:rFonts w:ascii="宋体" w:hAnsi="宋体" w:hint="eastAsia"/>
                <w:color w:val="auto"/>
                <w:sz w:val="21"/>
                <w:szCs w:val="21"/>
              </w:rPr>
              <w:lastRenderedPageBreak/>
              <w:t>范》第七条</w:t>
            </w:r>
          </w:p>
        </w:tc>
        <w:tc>
          <w:tcPr>
            <w:tcW w:w="1689"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公司为从业人员配备有劳动防护</w:t>
            </w:r>
            <w:r>
              <w:rPr>
                <w:rFonts w:ascii="宋体" w:hAnsi="宋体" w:hint="eastAsia"/>
                <w:color w:val="auto"/>
                <w:sz w:val="21"/>
                <w:szCs w:val="21"/>
              </w:rPr>
              <w:lastRenderedPageBreak/>
              <w:t>用品，发放记录详见附件8.23。</w:t>
            </w:r>
          </w:p>
        </w:tc>
        <w:tc>
          <w:tcPr>
            <w:tcW w:w="1151"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bCs/>
                <w:color w:val="auto"/>
                <w:sz w:val="21"/>
                <w:szCs w:val="21"/>
              </w:rPr>
              <w:lastRenderedPageBreak/>
              <w:t>符合要求</w:t>
            </w:r>
          </w:p>
        </w:tc>
      </w:tr>
      <w:tr w:rsidR="003F13AB">
        <w:trPr>
          <w:trHeight w:val="454"/>
          <w:jc w:val="center"/>
        </w:trPr>
        <w:tc>
          <w:tcPr>
            <w:tcW w:w="730" w:type="dxa"/>
            <w:vAlign w:val="center"/>
          </w:tcPr>
          <w:p w:rsidR="003F13AB" w:rsidRDefault="00EC6E7E">
            <w:pPr>
              <w:topLinePunct/>
              <w:spacing w:line="240" w:lineRule="auto"/>
              <w:ind w:firstLineChars="0" w:firstLine="0"/>
              <w:jc w:val="center"/>
              <w:rPr>
                <w:rFonts w:ascii="宋体" w:hAnsi="宋体"/>
                <w:bCs/>
                <w:color w:val="auto"/>
                <w:sz w:val="21"/>
                <w:szCs w:val="21"/>
              </w:rPr>
            </w:pPr>
            <w:r>
              <w:rPr>
                <w:rFonts w:ascii="宋体" w:hAnsi="宋体" w:hint="eastAsia"/>
                <w:bCs/>
                <w:color w:val="auto"/>
                <w:sz w:val="21"/>
                <w:szCs w:val="21"/>
              </w:rPr>
              <w:lastRenderedPageBreak/>
              <w:t>9</w:t>
            </w:r>
          </w:p>
        </w:tc>
        <w:tc>
          <w:tcPr>
            <w:tcW w:w="3807" w:type="dxa"/>
          </w:tcPr>
          <w:p w:rsidR="003F13AB" w:rsidRDefault="00EC6E7E">
            <w:pPr>
              <w:spacing w:line="240" w:lineRule="auto"/>
              <w:ind w:firstLineChars="0" w:firstLine="0"/>
              <w:rPr>
                <w:rFonts w:ascii="宋体" w:hAnsi="宋体" w:cs="仿宋_GB2312"/>
                <w:color w:val="auto"/>
                <w:sz w:val="21"/>
                <w:szCs w:val="21"/>
              </w:rPr>
            </w:pPr>
            <w:r>
              <w:rPr>
                <w:rFonts w:ascii="宋体" w:hAnsi="宋体" w:cs="仿宋_GB2312" w:hint="eastAsia"/>
                <w:color w:val="auto"/>
                <w:sz w:val="21"/>
                <w:szCs w:val="21"/>
              </w:rPr>
              <w:t>企业应当建立健全内部安全费用管理制度，明确安全费用提取和使用的程序、职责及权限，落实责任，确保按规定提取和使用企业安全生产费用。</w:t>
            </w:r>
          </w:p>
        </w:tc>
        <w:tc>
          <w:tcPr>
            <w:tcW w:w="1695" w:type="dxa"/>
          </w:tcPr>
          <w:p w:rsidR="003F13AB" w:rsidRDefault="00EC6E7E">
            <w:pPr>
              <w:spacing w:line="240" w:lineRule="auto"/>
              <w:ind w:firstLineChars="0" w:firstLine="0"/>
              <w:rPr>
                <w:rFonts w:ascii="宋体" w:hAnsi="宋体" w:cs="仿宋_GB2312"/>
                <w:color w:val="auto"/>
                <w:sz w:val="21"/>
                <w:szCs w:val="21"/>
              </w:rPr>
            </w:pPr>
            <w:r>
              <w:rPr>
                <w:rFonts w:ascii="宋体" w:hAnsi="宋体" w:cs="仿宋_GB2312" w:hint="eastAsia"/>
                <w:color w:val="auto"/>
                <w:sz w:val="21"/>
                <w:szCs w:val="21"/>
              </w:rPr>
              <w:t>《企业安全生产费用提取和使用管理办法》（财资[2022]136号 第四十五条</w:t>
            </w:r>
          </w:p>
        </w:tc>
        <w:tc>
          <w:tcPr>
            <w:tcW w:w="1689" w:type="dxa"/>
            <w:vAlign w:val="center"/>
          </w:tcPr>
          <w:p w:rsidR="003F13AB" w:rsidRDefault="00EC6E7E">
            <w:pPr>
              <w:topLinePunct/>
              <w:spacing w:line="240" w:lineRule="auto"/>
              <w:ind w:firstLineChars="0" w:firstLine="0"/>
              <w:rPr>
                <w:rFonts w:ascii="宋体" w:hAnsi="宋体"/>
                <w:color w:val="auto"/>
                <w:sz w:val="21"/>
                <w:szCs w:val="21"/>
              </w:rPr>
            </w:pPr>
            <w:r>
              <w:rPr>
                <w:rFonts w:ascii="宋体" w:hAnsi="宋体" w:hint="eastAsia"/>
                <w:color w:val="auto"/>
                <w:sz w:val="21"/>
                <w:szCs w:val="21"/>
              </w:rPr>
              <w:t>企业建立了安全管理投入制度。</w:t>
            </w:r>
          </w:p>
        </w:tc>
        <w:tc>
          <w:tcPr>
            <w:tcW w:w="1151" w:type="dxa"/>
            <w:vAlign w:val="center"/>
          </w:tcPr>
          <w:p w:rsidR="003F13AB" w:rsidRDefault="00EC6E7E">
            <w:pPr>
              <w:topLinePunct/>
              <w:spacing w:line="240" w:lineRule="auto"/>
              <w:ind w:firstLineChars="0" w:firstLine="0"/>
              <w:rPr>
                <w:rFonts w:ascii="宋体" w:hAnsi="宋体"/>
                <w:bCs/>
                <w:color w:val="auto"/>
                <w:sz w:val="21"/>
                <w:szCs w:val="21"/>
              </w:rPr>
            </w:pPr>
            <w:r>
              <w:rPr>
                <w:rFonts w:ascii="宋体" w:hAnsi="宋体" w:hint="eastAsia"/>
                <w:bCs/>
                <w:color w:val="auto"/>
                <w:sz w:val="21"/>
                <w:szCs w:val="21"/>
              </w:rPr>
              <w:t>符合要求</w:t>
            </w:r>
          </w:p>
        </w:tc>
      </w:tr>
    </w:tbl>
    <w:p w:rsidR="003F13AB" w:rsidRDefault="003F13AB">
      <w:pPr>
        <w:ind w:firstLine="560"/>
        <w:rPr>
          <w:color w:val="auto"/>
        </w:rPr>
      </w:pPr>
    </w:p>
    <w:p w:rsidR="003F13AB" w:rsidRDefault="00EC6E7E">
      <w:pPr>
        <w:pStyle w:val="3"/>
      </w:pPr>
      <w:bookmarkStart w:id="356" w:name="_Toc187914518"/>
      <w:bookmarkStart w:id="357" w:name="_Toc62219380"/>
      <w:r>
        <w:rPr>
          <w:rFonts w:hint="eastAsia"/>
        </w:rPr>
        <w:t>6.4.2 应急救援预案安全评价</w:t>
      </w:r>
      <w:bookmarkEnd w:id="356"/>
      <w:bookmarkEnd w:id="357"/>
    </w:p>
    <w:p w:rsidR="003F13AB" w:rsidRDefault="00EC6E7E">
      <w:pPr>
        <w:ind w:firstLine="560"/>
        <w:rPr>
          <w:color w:val="auto"/>
          <w:lang w:val="zh-CN"/>
        </w:rPr>
      </w:pPr>
      <w:r>
        <w:rPr>
          <w:rFonts w:hint="eastAsia"/>
          <w:color w:val="auto"/>
          <w:lang w:val="zh-CN"/>
        </w:rPr>
        <w:t>（</w:t>
      </w:r>
      <w:r>
        <w:rPr>
          <w:rFonts w:hint="eastAsia"/>
          <w:color w:val="auto"/>
          <w:lang w:val="zh-CN"/>
        </w:rPr>
        <w:t>1</w:t>
      </w:r>
      <w:r>
        <w:rPr>
          <w:rFonts w:hint="eastAsia"/>
          <w:color w:val="auto"/>
          <w:lang w:val="zh-CN"/>
        </w:rPr>
        <w:t>）应急救援单元安全检查表</w:t>
      </w:r>
    </w:p>
    <w:p w:rsidR="003F13AB" w:rsidRDefault="00EC6E7E">
      <w:pPr>
        <w:ind w:firstLine="560"/>
        <w:rPr>
          <w:color w:val="auto"/>
          <w:lang w:val="zh-CN"/>
        </w:rPr>
      </w:pPr>
      <w:r>
        <w:rPr>
          <w:rFonts w:hint="eastAsia"/>
          <w:color w:val="auto"/>
          <w:lang w:val="zh-CN"/>
        </w:rPr>
        <w:t>本节根据《生产安全事故应急条例》（国务院令第</w:t>
      </w:r>
      <w:r>
        <w:rPr>
          <w:rFonts w:hint="eastAsia"/>
          <w:color w:val="auto"/>
          <w:lang w:val="zh-CN"/>
        </w:rPr>
        <w:t>708</w:t>
      </w:r>
      <w:r>
        <w:rPr>
          <w:rFonts w:hint="eastAsia"/>
          <w:color w:val="auto"/>
          <w:lang w:val="zh-CN"/>
        </w:rPr>
        <w:t>号）、《生产安全事故应急预案管理办法》（</w:t>
      </w:r>
      <w:r>
        <w:rPr>
          <w:rFonts w:hint="eastAsia"/>
          <w:color w:val="auto"/>
          <w:lang w:val="zh-CN"/>
        </w:rPr>
        <w:t>2019</w:t>
      </w:r>
      <w:r>
        <w:rPr>
          <w:rFonts w:hint="eastAsia"/>
          <w:color w:val="auto"/>
          <w:lang w:val="zh-CN"/>
        </w:rPr>
        <w:t>年</w:t>
      </w:r>
      <w:r>
        <w:rPr>
          <w:rFonts w:hint="eastAsia"/>
          <w:color w:val="auto"/>
          <w:lang w:val="zh-CN"/>
        </w:rPr>
        <w:t>7</w:t>
      </w:r>
      <w:r>
        <w:rPr>
          <w:rFonts w:hint="eastAsia"/>
          <w:color w:val="auto"/>
          <w:lang w:val="zh-CN"/>
        </w:rPr>
        <w:t>月</w:t>
      </w:r>
      <w:r>
        <w:rPr>
          <w:rFonts w:hint="eastAsia"/>
          <w:color w:val="auto"/>
          <w:lang w:val="zh-CN"/>
        </w:rPr>
        <w:t>11</w:t>
      </w:r>
      <w:r>
        <w:rPr>
          <w:rFonts w:hint="eastAsia"/>
          <w:color w:val="auto"/>
          <w:lang w:val="zh-CN"/>
        </w:rPr>
        <w:t>日应急管理部令第</w:t>
      </w:r>
      <w:r>
        <w:rPr>
          <w:rFonts w:hint="eastAsia"/>
          <w:color w:val="auto"/>
          <w:lang w:val="zh-CN"/>
        </w:rPr>
        <w:t>2</w:t>
      </w:r>
      <w:r>
        <w:rPr>
          <w:rFonts w:hint="eastAsia"/>
          <w:color w:val="auto"/>
          <w:lang w:val="zh-CN"/>
        </w:rPr>
        <w:t>号令修订）、《生产经营单位生产安全事故应急预案编制导则》（</w:t>
      </w:r>
      <w:r>
        <w:rPr>
          <w:rFonts w:hint="eastAsia"/>
          <w:color w:val="auto"/>
          <w:lang w:val="zh-CN"/>
        </w:rPr>
        <w:t>GB/T29639-</w:t>
      </w:r>
      <w:r>
        <w:rPr>
          <w:color w:val="auto"/>
          <w:lang w:val="zh-CN"/>
        </w:rPr>
        <w:t>2020</w:t>
      </w:r>
      <w:r>
        <w:rPr>
          <w:rFonts w:hint="eastAsia"/>
          <w:color w:val="auto"/>
          <w:lang w:val="zh-CN"/>
        </w:rPr>
        <w:t>）等有关要求，对农家乐公司的应急救援进行检查评价，具体检查情况见</w:t>
      </w:r>
      <w:r>
        <w:rPr>
          <w:snapToGrid w:val="0"/>
          <w:color w:val="auto"/>
        </w:rPr>
        <w:t>附</w:t>
      </w:r>
      <w:r>
        <w:rPr>
          <w:rFonts w:hint="eastAsia"/>
          <w:color w:val="auto"/>
          <w:lang w:val="zh-CN"/>
        </w:rPr>
        <w:t>表</w:t>
      </w:r>
      <w:r>
        <w:rPr>
          <w:rFonts w:hint="eastAsia"/>
          <w:color w:val="auto"/>
          <w:lang w:val="zh-CN"/>
        </w:rPr>
        <w:t>6.4-2</w:t>
      </w:r>
      <w:r>
        <w:rPr>
          <w:rFonts w:hint="eastAsia"/>
          <w:color w:val="auto"/>
          <w:lang w:val="zh-CN"/>
        </w:rPr>
        <w:t>。</w:t>
      </w:r>
    </w:p>
    <w:p w:rsidR="003F13AB" w:rsidRDefault="00EC6E7E">
      <w:pPr>
        <w:ind w:firstLineChars="0" w:firstLine="0"/>
        <w:jc w:val="center"/>
        <w:rPr>
          <w:rFonts w:ascii="宋体" w:hAnsi="宋体"/>
          <w:color w:val="auto"/>
          <w:kern w:val="0"/>
          <w:szCs w:val="28"/>
          <w:lang w:val="zh-CN"/>
        </w:rPr>
      </w:pPr>
      <w:r>
        <w:rPr>
          <w:snapToGrid w:val="0"/>
          <w:color w:val="auto"/>
          <w:kern w:val="0"/>
          <w:szCs w:val="28"/>
        </w:rPr>
        <w:t>附</w:t>
      </w:r>
      <w:r>
        <w:rPr>
          <w:rFonts w:ascii="宋体" w:hAnsi="宋体" w:hint="eastAsia"/>
          <w:color w:val="auto"/>
          <w:kern w:val="0"/>
          <w:szCs w:val="28"/>
          <w:lang w:val="zh-CN"/>
        </w:rPr>
        <w:t xml:space="preserve">表6.4-2 </w:t>
      </w:r>
      <w:r>
        <w:rPr>
          <w:rFonts w:ascii="宋体" w:hAnsi="宋体" w:hint="eastAsia"/>
          <w:color w:val="auto"/>
          <w:kern w:val="0"/>
          <w:szCs w:val="28"/>
        </w:rPr>
        <w:t>事故应急救援</w:t>
      </w:r>
      <w:r>
        <w:rPr>
          <w:rFonts w:ascii="宋体" w:hAnsi="宋体" w:hint="eastAsia"/>
          <w:color w:val="auto"/>
          <w:kern w:val="0"/>
          <w:szCs w:val="28"/>
          <w:lang w:val="zh-CN"/>
        </w:rPr>
        <w:t>安全检查表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839"/>
        <w:gridCol w:w="1950"/>
        <w:gridCol w:w="1343"/>
        <w:gridCol w:w="1210"/>
      </w:tblGrid>
      <w:tr w:rsidR="003F13AB">
        <w:trPr>
          <w:trHeight w:val="397"/>
          <w:tblHeader/>
          <w:jc w:val="center"/>
        </w:trPr>
        <w:tc>
          <w:tcPr>
            <w:tcW w:w="730" w:type="dxa"/>
            <w:vAlign w:val="center"/>
          </w:tcPr>
          <w:p w:rsidR="003F13AB" w:rsidRDefault="00EC6E7E">
            <w:pPr>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序号</w:t>
            </w:r>
          </w:p>
        </w:tc>
        <w:tc>
          <w:tcPr>
            <w:tcW w:w="3839" w:type="dxa"/>
            <w:vAlign w:val="center"/>
          </w:tcPr>
          <w:p w:rsidR="003F13AB" w:rsidRDefault="00EC6E7E">
            <w:pPr>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评价内容</w:t>
            </w:r>
          </w:p>
        </w:tc>
        <w:tc>
          <w:tcPr>
            <w:tcW w:w="1950" w:type="dxa"/>
            <w:vAlign w:val="center"/>
          </w:tcPr>
          <w:p w:rsidR="003F13AB" w:rsidRDefault="00EC6E7E">
            <w:pPr>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评价依据</w:t>
            </w:r>
          </w:p>
        </w:tc>
        <w:tc>
          <w:tcPr>
            <w:tcW w:w="1343" w:type="dxa"/>
            <w:vAlign w:val="center"/>
          </w:tcPr>
          <w:p w:rsidR="003F13AB" w:rsidRDefault="00EC6E7E">
            <w:pPr>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评价记录</w:t>
            </w:r>
          </w:p>
        </w:tc>
        <w:tc>
          <w:tcPr>
            <w:tcW w:w="1210" w:type="dxa"/>
            <w:vAlign w:val="center"/>
          </w:tcPr>
          <w:p w:rsidR="003F13AB" w:rsidRDefault="00EC6E7E">
            <w:pPr>
              <w:spacing w:line="240" w:lineRule="auto"/>
              <w:ind w:firstLineChars="0" w:firstLine="0"/>
              <w:jc w:val="center"/>
              <w:rPr>
                <w:rFonts w:ascii="宋体" w:hAnsi="宋体"/>
                <w:b/>
                <w:bCs/>
                <w:color w:val="auto"/>
                <w:sz w:val="21"/>
                <w:szCs w:val="21"/>
              </w:rPr>
            </w:pPr>
            <w:r>
              <w:rPr>
                <w:rFonts w:ascii="宋体" w:hAnsi="宋体" w:hint="eastAsia"/>
                <w:b/>
                <w:bCs/>
                <w:color w:val="auto"/>
                <w:sz w:val="21"/>
                <w:szCs w:val="21"/>
              </w:rPr>
              <w:t>评价结果</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1</w:t>
            </w:r>
          </w:p>
        </w:tc>
        <w:tc>
          <w:tcPr>
            <w:tcW w:w="3839" w:type="dxa"/>
            <w:vAlign w:val="center"/>
          </w:tcPr>
          <w:p w:rsidR="003F13AB" w:rsidRDefault="00EC6E7E">
            <w:pPr>
              <w:spacing w:before="148" w:line="240" w:lineRule="auto"/>
              <w:ind w:firstLineChars="0" w:firstLine="0"/>
              <w:jc w:val="left"/>
              <w:rPr>
                <w:rFonts w:ascii="宋体" w:hAnsi="宋体"/>
                <w:color w:val="auto"/>
                <w:sz w:val="21"/>
                <w:szCs w:val="21"/>
              </w:rPr>
            </w:pPr>
            <w:r>
              <w:rPr>
                <w:rFonts w:ascii="宋体" w:hAnsi="宋体" w:hint="eastAsia"/>
                <w:color w:val="auto"/>
                <w:kern w:val="0"/>
                <w:sz w:val="21"/>
                <w:szCs w:val="21"/>
              </w:rPr>
              <w:t>生产经营单位的应急预案体系主要有综合应急预案、专项应急预案和现场处置方案构成。生产经营单位应根据本单位组织管理体系、生产规模、危险源的性质以及可能发生的事故类型确定应急预案体系，并可根据本单位的实际情况，确定是否编制专项应急救援预案。风险因素单一的小型生产经营单位可只编写现场处置方案。</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bookmarkStart w:id="358" w:name="_Hlk5911307"/>
            <w:r>
              <w:rPr>
                <w:rFonts w:ascii="宋体" w:hAnsi="宋体" w:hint="eastAsia"/>
                <w:color w:val="auto"/>
                <w:sz w:val="21"/>
                <w:szCs w:val="21"/>
              </w:rPr>
              <w:t>《生产经营单位生产安全事故应急预案编制导则》GB/T29639-</w:t>
            </w:r>
            <w:bookmarkEnd w:id="358"/>
            <w:r>
              <w:rPr>
                <w:rFonts w:ascii="宋体" w:hAnsi="宋体"/>
                <w:color w:val="auto"/>
                <w:sz w:val="21"/>
                <w:szCs w:val="21"/>
              </w:rPr>
              <w:t>2020</w:t>
            </w:r>
          </w:p>
        </w:tc>
        <w:tc>
          <w:tcPr>
            <w:tcW w:w="1343" w:type="dxa"/>
            <w:vAlign w:val="center"/>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已按照要求编制应急预案并到应急管理局备案，详见附件8.25。</w:t>
            </w:r>
          </w:p>
        </w:tc>
        <w:tc>
          <w:tcPr>
            <w:tcW w:w="121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bCs/>
                <w:color w:val="auto"/>
                <w:sz w:val="21"/>
                <w:szCs w:val="21"/>
              </w:rPr>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2</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生产经营单位主要负责人负责组织编制和实施本单位的应急预案，并对应急预案的真实性和实用性负责；各分管负责人应当按照职责分工落实应急预案规定的职责。</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《生产安全事故应急预案管理办法》第五条</w:t>
            </w:r>
          </w:p>
        </w:tc>
        <w:tc>
          <w:tcPr>
            <w:tcW w:w="1343" w:type="dxa"/>
            <w:vAlign w:val="center"/>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编制了应急预案并到应急管理局备案，详见附件8.25。</w:t>
            </w:r>
          </w:p>
        </w:tc>
        <w:tc>
          <w:tcPr>
            <w:tcW w:w="121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3</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生产经营单位应急预案分为综合应急预案、专项应急预案和现场处置方案。</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《生产安全事故应急预案管理办法》</w:t>
            </w:r>
          </w:p>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第六条</w:t>
            </w:r>
          </w:p>
        </w:tc>
        <w:tc>
          <w:tcPr>
            <w:tcW w:w="1343" w:type="dxa"/>
            <w:vAlign w:val="center"/>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有相关内容。</w:t>
            </w:r>
          </w:p>
        </w:tc>
        <w:tc>
          <w:tcPr>
            <w:tcW w:w="121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4</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bookmarkStart w:id="359" w:name="_Toc12004005"/>
            <w:bookmarkStart w:id="360" w:name="_Toc531615501"/>
            <w:bookmarkStart w:id="361" w:name="_Toc528656310"/>
            <w:bookmarkStart w:id="362" w:name="_Toc528335548"/>
            <w:bookmarkStart w:id="363" w:name="_Toc5915999"/>
            <w:r>
              <w:rPr>
                <w:rFonts w:ascii="宋体" w:hAnsi="宋体" w:hint="eastAsia"/>
                <w:bCs/>
                <w:color w:val="auto"/>
                <w:sz w:val="21"/>
                <w:szCs w:val="21"/>
              </w:rPr>
              <w:t>编制应急预案前，编制单位应当进行事故风险评估和应急资源调查</w:t>
            </w:r>
            <w:bookmarkEnd w:id="359"/>
            <w:bookmarkEnd w:id="360"/>
            <w:bookmarkEnd w:id="361"/>
            <w:bookmarkEnd w:id="362"/>
            <w:bookmarkEnd w:id="363"/>
            <w:r>
              <w:rPr>
                <w:rFonts w:ascii="宋体" w:hAnsi="宋体" w:hint="eastAsia"/>
                <w:bCs/>
                <w:color w:val="auto"/>
                <w:sz w:val="21"/>
                <w:szCs w:val="21"/>
              </w:rPr>
              <w:t>。</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《生产安全事故应急预案管理办法》</w:t>
            </w:r>
          </w:p>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第十条</w:t>
            </w:r>
          </w:p>
        </w:tc>
        <w:tc>
          <w:tcPr>
            <w:tcW w:w="1343" w:type="dxa"/>
            <w:vAlign w:val="center"/>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有相关内容。</w:t>
            </w:r>
          </w:p>
        </w:tc>
        <w:tc>
          <w:tcPr>
            <w:tcW w:w="121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5</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生产经营单位应当在编制应急预案的基</w:t>
            </w:r>
            <w:r>
              <w:rPr>
                <w:rFonts w:ascii="宋体" w:hAnsi="宋体" w:hint="eastAsia"/>
                <w:bCs/>
                <w:color w:val="auto"/>
                <w:sz w:val="21"/>
                <w:szCs w:val="21"/>
              </w:rPr>
              <w:lastRenderedPageBreak/>
              <w:t>础上，针对工作场所、岗位的特点，编制简明、实用、有效的应急处置卡。</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lastRenderedPageBreak/>
              <w:t>《生产安全事故应</w:t>
            </w:r>
            <w:r>
              <w:rPr>
                <w:rFonts w:ascii="宋体" w:hAnsi="宋体" w:hint="eastAsia"/>
                <w:color w:val="auto"/>
                <w:sz w:val="21"/>
                <w:szCs w:val="21"/>
              </w:rPr>
              <w:lastRenderedPageBreak/>
              <w:t>急预案管理办法》</w:t>
            </w:r>
          </w:p>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第十九条</w:t>
            </w:r>
          </w:p>
        </w:tc>
        <w:tc>
          <w:tcPr>
            <w:tcW w:w="1343" w:type="dxa"/>
            <w:vAlign w:val="center"/>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lastRenderedPageBreak/>
              <w:t>公司已按相</w:t>
            </w:r>
            <w:r>
              <w:rPr>
                <w:rFonts w:ascii="宋体" w:hAnsi="宋体" w:hint="eastAsia"/>
                <w:color w:val="auto"/>
                <w:sz w:val="21"/>
                <w:szCs w:val="21"/>
              </w:rPr>
              <w:lastRenderedPageBreak/>
              <w:t>关要求执行。</w:t>
            </w:r>
          </w:p>
        </w:tc>
        <w:tc>
          <w:tcPr>
            <w:tcW w:w="121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lastRenderedPageBreak/>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lastRenderedPageBreak/>
              <w:t>6</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生产经营单位应当制定本单位的应急预案演练计划，根据本单位的事故风险特点，每年至少组织一次综合应急预案演练或者专项应急预案演练，每半年至少组织一次现场处置方案演练</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《生产安全事故应急预案管理办法》</w:t>
            </w:r>
          </w:p>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第三十三条</w:t>
            </w:r>
          </w:p>
        </w:tc>
        <w:tc>
          <w:tcPr>
            <w:tcW w:w="1343" w:type="dxa"/>
            <w:vAlign w:val="center"/>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公司按相关要求执行。</w:t>
            </w:r>
          </w:p>
        </w:tc>
        <w:tc>
          <w:tcPr>
            <w:tcW w:w="121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7</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应急预案演练结束后，应急预案演练组织单位应当对应急预案演练效果进行评估，撰写应急预案演练评估报告，分析存在的问题，并对应急预案提出修订意见。</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《生产安全事故应急预案管理办法》</w:t>
            </w:r>
          </w:p>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第三十四条</w:t>
            </w:r>
          </w:p>
        </w:tc>
        <w:tc>
          <w:tcPr>
            <w:tcW w:w="1343" w:type="dxa"/>
            <w:vAlign w:val="center"/>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公司按相关要求执行。</w:t>
            </w:r>
          </w:p>
        </w:tc>
        <w:tc>
          <w:tcPr>
            <w:tcW w:w="121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8</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生产经营单位应当按照应急预案的规定，落实应急指挥体系、应急救援队伍、应急物资及装备，建立应急物资、装备配备及其使用档案，并对应急物资、装备进行定期检测和维护，使其处于适用状态。</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《生产安全事故应急预案管理办法》</w:t>
            </w:r>
          </w:p>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第三十八条</w:t>
            </w:r>
          </w:p>
        </w:tc>
        <w:tc>
          <w:tcPr>
            <w:tcW w:w="1343" w:type="dxa"/>
            <w:vAlign w:val="center"/>
          </w:tcPr>
          <w:p w:rsidR="003F13AB" w:rsidRDefault="00EC6E7E">
            <w:pPr>
              <w:spacing w:line="240" w:lineRule="auto"/>
              <w:ind w:firstLineChars="0" w:firstLine="0"/>
              <w:rPr>
                <w:rFonts w:ascii="宋体" w:hAnsi="宋体"/>
                <w:color w:val="auto"/>
                <w:sz w:val="21"/>
                <w:szCs w:val="21"/>
              </w:rPr>
            </w:pPr>
            <w:r>
              <w:rPr>
                <w:rFonts w:ascii="宋体" w:hAnsi="宋体" w:hint="eastAsia"/>
                <w:color w:val="auto"/>
                <w:sz w:val="21"/>
                <w:szCs w:val="21"/>
              </w:rPr>
              <w:t>公司按相关要求执行。</w:t>
            </w:r>
          </w:p>
        </w:tc>
        <w:tc>
          <w:tcPr>
            <w:tcW w:w="121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9</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生产经营单位应当针对本单位可能发生的生产安全事故的特点和危害，进行风险辨识和评估，制定相应的生产安全事故应急救援预案，并向本单位从业人员公布。</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bookmarkStart w:id="364" w:name="_Toc12004007"/>
            <w:bookmarkStart w:id="365" w:name="_Toc5916001"/>
            <w:r>
              <w:rPr>
                <w:rFonts w:ascii="宋体" w:hAnsi="宋体" w:hint="eastAsia"/>
                <w:color w:val="auto"/>
                <w:sz w:val="21"/>
                <w:szCs w:val="21"/>
              </w:rPr>
              <w:t>《生产安全事故应急条例》</w:t>
            </w:r>
            <w:bookmarkEnd w:id="364"/>
            <w:bookmarkEnd w:id="365"/>
          </w:p>
          <w:p w:rsidR="003F13AB" w:rsidRDefault="00EC6E7E">
            <w:pPr>
              <w:spacing w:line="240" w:lineRule="auto"/>
              <w:ind w:firstLineChars="0" w:firstLine="0"/>
              <w:jc w:val="left"/>
              <w:rPr>
                <w:rFonts w:ascii="宋体" w:hAnsi="宋体"/>
                <w:color w:val="auto"/>
                <w:sz w:val="21"/>
                <w:szCs w:val="21"/>
              </w:rPr>
            </w:pPr>
            <w:bookmarkStart w:id="366" w:name="_Toc12004008"/>
            <w:bookmarkStart w:id="367" w:name="_Toc5916002"/>
            <w:r>
              <w:rPr>
                <w:rFonts w:ascii="宋体" w:hAnsi="宋体" w:hint="eastAsia"/>
                <w:color w:val="auto"/>
                <w:sz w:val="21"/>
                <w:szCs w:val="21"/>
              </w:rPr>
              <w:t>第十五条</w:t>
            </w:r>
            <w:bookmarkEnd w:id="366"/>
            <w:bookmarkEnd w:id="367"/>
          </w:p>
        </w:tc>
        <w:tc>
          <w:tcPr>
            <w:tcW w:w="1343" w:type="dxa"/>
            <w:vAlign w:val="center"/>
          </w:tcPr>
          <w:p w:rsidR="003F13AB" w:rsidRDefault="00EC6E7E">
            <w:pPr>
              <w:spacing w:line="240" w:lineRule="auto"/>
              <w:ind w:firstLineChars="0" w:firstLine="0"/>
              <w:rPr>
                <w:rFonts w:ascii="宋体" w:hAnsi="宋体"/>
                <w:bCs/>
                <w:color w:val="auto"/>
                <w:sz w:val="21"/>
                <w:szCs w:val="21"/>
              </w:rPr>
            </w:pPr>
            <w:r>
              <w:rPr>
                <w:rFonts w:ascii="宋体" w:hAnsi="宋体" w:hint="eastAsia"/>
                <w:bCs/>
                <w:color w:val="auto"/>
                <w:sz w:val="21"/>
                <w:szCs w:val="21"/>
              </w:rPr>
              <w:t>编制的应急预案有相应的内容，并向从业人员公布。</w:t>
            </w:r>
          </w:p>
        </w:tc>
        <w:tc>
          <w:tcPr>
            <w:tcW w:w="1210"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10</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生产经营单位应当对从业人员进行应急教育和培训，保证从业人员具备必要的应急知识，掌握风险防范技能和事故应急措施。</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bookmarkStart w:id="368" w:name="_Toc5916003"/>
            <w:bookmarkStart w:id="369" w:name="_Toc12004009"/>
            <w:r>
              <w:rPr>
                <w:rFonts w:ascii="宋体" w:hAnsi="宋体" w:hint="eastAsia"/>
                <w:color w:val="auto"/>
                <w:sz w:val="21"/>
                <w:szCs w:val="21"/>
              </w:rPr>
              <w:t>《生产安全事故应急条例》</w:t>
            </w:r>
            <w:bookmarkEnd w:id="368"/>
            <w:bookmarkEnd w:id="369"/>
          </w:p>
          <w:p w:rsidR="003F13AB" w:rsidRDefault="00EC6E7E">
            <w:pPr>
              <w:spacing w:line="240" w:lineRule="auto"/>
              <w:ind w:firstLineChars="0" w:firstLine="0"/>
              <w:jc w:val="left"/>
              <w:rPr>
                <w:rFonts w:ascii="宋体" w:hAnsi="宋体"/>
                <w:color w:val="auto"/>
                <w:sz w:val="21"/>
                <w:szCs w:val="21"/>
              </w:rPr>
            </w:pPr>
            <w:bookmarkStart w:id="370" w:name="_Toc5916004"/>
            <w:bookmarkStart w:id="371" w:name="_Toc12004010"/>
            <w:r>
              <w:rPr>
                <w:rFonts w:ascii="宋体" w:hAnsi="宋体" w:hint="eastAsia"/>
                <w:color w:val="auto"/>
                <w:sz w:val="21"/>
                <w:szCs w:val="21"/>
              </w:rPr>
              <w:t>第十五条</w:t>
            </w:r>
            <w:bookmarkEnd w:id="370"/>
            <w:bookmarkEnd w:id="371"/>
          </w:p>
        </w:tc>
        <w:tc>
          <w:tcPr>
            <w:tcW w:w="1343" w:type="dxa"/>
            <w:vAlign w:val="center"/>
          </w:tcPr>
          <w:p w:rsidR="003F13AB" w:rsidRDefault="00EC6E7E">
            <w:pPr>
              <w:spacing w:line="240" w:lineRule="auto"/>
              <w:ind w:firstLineChars="0" w:firstLine="0"/>
              <w:rPr>
                <w:rFonts w:ascii="宋体" w:hAnsi="宋体"/>
                <w:bCs/>
                <w:color w:val="auto"/>
                <w:sz w:val="21"/>
                <w:szCs w:val="21"/>
              </w:rPr>
            </w:pPr>
            <w:r>
              <w:rPr>
                <w:rFonts w:ascii="宋体" w:hAnsi="宋体" w:hint="eastAsia"/>
                <w:bCs/>
                <w:color w:val="auto"/>
                <w:sz w:val="21"/>
                <w:szCs w:val="21"/>
              </w:rPr>
              <w:t>对从业人员进行教育和培训。</w:t>
            </w:r>
          </w:p>
        </w:tc>
        <w:tc>
          <w:tcPr>
            <w:tcW w:w="1210"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11</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生产经营单位应当制定和实施本单位的生产安全事故应急救援预案和操作岗位应急处理措施，应急救援预案每年至少组织演练一次。</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《生产安全事故应急条例》</w:t>
            </w:r>
          </w:p>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第二十五条</w:t>
            </w:r>
          </w:p>
        </w:tc>
        <w:tc>
          <w:tcPr>
            <w:tcW w:w="1343" w:type="dxa"/>
            <w:vAlign w:val="center"/>
          </w:tcPr>
          <w:p w:rsidR="003F13AB" w:rsidRDefault="00EC6E7E">
            <w:pPr>
              <w:spacing w:line="240" w:lineRule="auto"/>
              <w:ind w:firstLineChars="0" w:firstLine="0"/>
              <w:rPr>
                <w:rFonts w:ascii="宋体" w:hAnsi="宋体"/>
                <w:bCs/>
                <w:color w:val="auto"/>
                <w:sz w:val="21"/>
                <w:szCs w:val="21"/>
              </w:rPr>
            </w:pPr>
            <w:r>
              <w:rPr>
                <w:rFonts w:ascii="宋体" w:hAnsi="宋体" w:hint="eastAsia"/>
                <w:bCs/>
                <w:color w:val="auto"/>
                <w:sz w:val="21"/>
                <w:szCs w:val="21"/>
              </w:rPr>
              <w:t>组织从业人员进行应急演练，演练记录详见附件8.26。</w:t>
            </w:r>
          </w:p>
        </w:tc>
        <w:tc>
          <w:tcPr>
            <w:tcW w:w="1210"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hint="eastAsia"/>
                <w:bCs/>
                <w:color w:val="auto"/>
                <w:sz w:val="21"/>
                <w:szCs w:val="21"/>
              </w:rPr>
              <w:t>符合要求</w:t>
            </w:r>
          </w:p>
        </w:tc>
      </w:tr>
      <w:tr w:rsidR="003F13AB">
        <w:trPr>
          <w:trHeight w:val="397"/>
          <w:jc w:val="center"/>
        </w:trPr>
        <w:tc>
          <w:tcPr>
            <w:tcW w:w="730" w:type="dxa"/>
            <w:vAlign w:val="center"/>
          </w:tcPr>
          <w:p w:rsidR="003F13AB" w:rsidRDefault="00EC6E7E">
            <w:pPr>
              <w:spacing w:line="240" w:lineRule="auto"/>
              <w:ind w:firstLineChars="0" w:firstLine="0"/>
              <w:jc w:val="center"/>
              <w:rPr>
                <w:rFonts w:ascii="宋体" w:hAnsi="宋体"/>
                <w:color w:val="auto"/>
                <w:sz w:val="21"/>
                <w:szCs w:val="21"/>
              </w:rPr>
            </w:pPr>
            <w:r>
              <w:rPr>
                <w:rFonts w:ascii="宋体" w:hAnsi="宋体" w:hint="eastAsia"/>
                <w:color w:val="auto"/>
                <w:sz w:val="21"/>
                <w:szCs w:val="21"/>
              </w:rPr>
              <w:t>12</w:t>
            </w:r>
          </w:p>
        </w:tc>
        <w:tc>
          <w:tcPr>
            <w:tcW w:w="3839" w:type="dxa"/>
            <w:vAlign w:val="center"/>
          </w:tcPr>
          <w:p w:rsidR="003F13AB" w:rsidRDefault="00EC6E7E">
            <w:pPr>
              <w:spacing w:line="240" w:lineRule="auto"/>
              <w:ind w:firstLineChars="0" w:firstLine="0"/>
              <w:jc w:val="left"/>
              <w:rPr>
                <w:rFonts w:ascii="宋体" w:hAnsi="宋体"/>
                <w:bCs/>
                <w:color w:val="auto"/>
                <w:sz w:val="21"/>
                <w:szCs w:val="21"/>
              </w:rPr>
            </w:pPr>
            <w:r>
              <w:rPr>
                <w:rFonts w:ascii="宋体" w:hAnsi="宋体" w:cs="宋体" w:hint="eastAsia"/>
                <w:color w:val="auto"/>
                <w:kern w:val="0"/>
                <w:sz w:val="21"/>
                <w:szCs w:val="21"/>
              </w:rPr>
              <w:t>生产经营单位应当按照应急预案的规定，落实应急指挥体系、应急救援队伍、应急物资及装备，建立应急物资、装备配备及其使用档案，并对应急物资、装备进行定期检测和维护，使其处于适用状态。</w:t>
            </w:r>
          </w:p>
        </w:tc>
        <w:tc>
          <w:tcPr>
            <w:tcW w:w="195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《生产安全事故应急预案管理办法》</w:t>
            </w:r>
          </w:p>
          <w:p w:rsidR="003F13AB" w:rsidRDefault="00EC6E7E">
            <w:pPr>
              <w:spacing w:line="240" w:lineRule="auto"/>
              <w:ind w:firstLineChars="0" w:firstLine="0"/>
              <w:jc w:val="left"/>
              <w:rPr>
                <w:rFonts w:ascii="宋体" w:hAnsi="宋体"/>
                <w:color w:val="auto"/>
                <w:sz w:val="21"/>
                <w:szCs w:val="21"/>
              </w:rPr>
            </w:pPr>
            <w:r>
              <w:rPr>
                <w:rFonts w:ascii="宋体" w:hAnsi="宋体" w:hint="eastAsia"/>
                <w:color w:val="auto"/>
                <w:sz w:val="21"/>
                <w:szCs w:val="21"/>
              </w:rPr>
              <w:t>第三十八条</w:t>
            </w:r>
          </w:p>
        </w:tc>
        <w:tc>
          <w:tcPr>
            <w:tcW w:w="1343" w:type="dxa"/>
            <w:vAlign w:val="center"/>
          </w:tcPr>
          <w:p w:rsidR="003F13AB" w:rsidRDefault="00EC6E7E">
            <w:pPr>
              <w:spacing w:line="240" w:lineRule="auto"/>
              <w:ind w:firstLineChars="0" w:firstLine="0"/>
              <w:rPr>
                <w:rFonts w:ascii="宋体" w:hAnsi="宋体"/>
                <w:bCs/>
                <w:color w:val="auto"/>
                <w:sz w:val="21"/>
                <w:szCs w:val="21"/>
              </w:rPr>
            </w:pPr>
            <w:r>
              <w:rPr>
                <w:rFonts w:ascii="宋体" w:hAnsi="宋体" w:hint="eastAsia"/>
                <w:bCs/>
                <w:color w:val="auto"/>
                <w:sz w:val="21"/>
                <w:szCs w:val="21"/>
              </w:rPr>
              <w:t>应急物资及装备定期维护。</w:t>
            </w:r>
          </w:p>
        </w:tc>
        <w:tc>
          <w:tcPr>
            <w:tcW w:w="1210" w:type="dxa"/>
            <w:vAlign w:val="center"/>
          </w:tcPr>
          <w:p w:rsidR="003F13AB" w:rsidRDefault="00EC6E7E">
            <w:pPr>
              <w:spacing w:line="240" w:lineRule="auto"/>
              <w:ind w:firstLineChars="0" w:firstLine="0"/>
              <w:jc w:val="left"/>
              <w:rPr>
                <w:rFonts w:ascii="宋体" w:hAnsi="宋体"/>
                <w:color w:val="auto"/>
                <w:sz w:val="21"/>
                <w:szCs w:val="21"/>
              </w:rPr>
            </w:pPr>
            <w:r>
              <w:rPr>
                <w:rFonts w:ascii="宋体" w:hAnsi="宋体" w:hint="eastAsia"/>
                <w:bCs/>
                <w:color w:val="auto"/>
                <w:sz w:val="21"/>
                <w:szCs w:val="21"/>
              </w:rPr>
              <w:t>符合要求</w:t>
            </w:r>
          </w:p>
        </w:tc>
      </w:tr>
    </w:tbl>
    <w:p w:rsidR="003F13AB" w:rsidRDefault="003F13AB">
      <w:pPr>
        <w:topLinePunct/>
        <w:ind w:firstLine="560"/>
        <w:rPr>
          <w:rFonts w:ascii="宋体" w:hAnsi="宋体"/>
          <w:color w:val="auto"/>
        </w:rPr>
      </w:pPr>
    </w:p>
    <w:p w:rsidR="003F13AB" w:rsidRDefault="00EC6E7E">
      <w:pPr>
        <w:pStyle w:val="3"/>
      </w:pPr>
      <w:bookmarkStart w:id="372" w:name="_Toc187914519"/>
      <w:r>
        <w:rPr>
          <w:rFonts w:hint="eastAsia"/>
        </w:rPr>
        <w:t>6.4.3单元小结</w:t>
      </w:r>
      <w:bookmarkEnd w:id="372"/>
    </w:p>
    <w:p w:rsidR="003F13AB" w:rsidRDefault="00EC6E7E">
      <w:pPr>
        <w:ind w:firstLine="560"/>
        <w:rPr>
          <w:color w:val="auto"/>
        </w:rPr>
      </w:pPr>
      <w:r>
        <w:rPr>
          <w:rFonts w:hint="eastAsia"/>
          <w:color w:val="auto"/>
        </w:rPr>
        <w:t>根据上表知，农家乐公司主要负责人、安全管理人员经过培训取得相关资格证，持证上岗；为从业人员配备有劳动防护用品；建立了安全生产责任制、安全管理制度、安全操作规程，编制了安全生产应急预案并到应</w:t>
      </w:r>
      <w:r>
        <w:rPr>
          <w:rFonts w:hint="eastAsia"/>
          <w:color w:val="auto"/>
        </w:rPr>
        <w:lastRenderedPageBreak/>
        <w:t>急管局备案；配备了相应急器材及设施，并定期组织演练。</w:t>
      </w:r>
    </w:p>
    <w:p w:rsidR="003F13AB" w:rsidRDefault="00EC6E7E">
      <w:pPr>
        <w:pStyle w:val="2"/>
      </w:pPr>
      <w:bookmarkStart w:id="373" w:name="_Toc62219376"/>
      <w:bookmarkStart w:id="374" w:name="_Toc166857627"/>
      <w:bookmarkStart w:id="375" w:name="_Toc187914520"/>
      <w:r>
        <w:rPr>
          <w:rFonts w:hint="eastAsia"/>
        </w:rPr>
        <w:t>6.5 重大安全隐患判定</w:t>
      </w:r>
      <w:bookmarkEnd w:id="373"/>
      <w:r>
        <w:rPr>
          <w:rFonts w:hint="eastAsia"/>
        </w:rPr>
        <w:t>符合性分析</w:t>
      </w:r>
      <w:bookmarkEnd w:id="374"/>
      <w:bookmarkEnd w:id="375"/>
    </w:p>
    <w:p w:rsidR="003F13AB" w:rsidRDefault="00EC6E7E">
      <w:pPr>
        <w:pStyle w:val="3"/>
      </w:pPr>
      <w:bookmarkStart w:id="376" w:name="_Toc187914521"/>
      <w:r>
        <w:rPr>
          <w:rFonts w:hint="eastAsia"/>
        </w:rPr>
        <w:t>6.5.1 重大生产安全事故隐患判定</w:t>
      </w:r>
      <w:bookmarkEnd w:id="376"/>
    </w:p>
    <w:p w:rsidR="003F13AB" w:rsidRDefault="00EC6E7E">
      <w:pPr>
        <w:ind w:firstLine="560"/>
        <w:rPr>
          <w:color w:val="auto"/>
        </w:rPr>
      </w:pPr>
      <w:r>
        <w:rPr>
          <w:rFonts w:hint="eastAsia"/>
          <w:color w:val="auto"/>
        </w:rPr>
        <w:t>本节根据《工贸企业重大事故隐患判定标准》（中华人民共和国应急管理部令第</w:t>
      </w:r>
      <w:r>
        <w:rPr>
          <w:rFonts w:hint="eastAsia"/>
          <w:color w:val="auto"/>
        </w:rPr>
        <w:t>10</w:t>
      </w:r>
      <w:r>
        <w:rPr>
          <w:rFonts w:hint="eastAsia"/>
          <w:color w:val="auto"/>
        </w:rPr>
        <w:t>号）、《特种设备重大事故隐患判定准则》（</w:t>
      </w:r>
      <w:r>
        <w:rPr>
          <w:rFonts w:hint="eastAsia"/>
          <w:color w:val="auto"/>
        </w:rPr>
        <w:t>GB45067-2024</w:t>
      </w:r>
      <w:r>
        <w:rPr>
          <w:rFonts w:hint="eastAsia"/>
          <w:color w:val="auto"/>
        </w:rPr>
        <w:t>）、《重大火灾隐患判定方法》（</w:t>
      </w:r>
      <w:r>
        <w:rPr>
          <w:rFonts w:hint="eastAsia"/>
          <w:color w:val="auto"/>
        </w:rPr>
        <w:t>GB35181-2017</w:t>
      </w:r>
      <w:r>
        <w:rPr>
          <w:rFonts w:hint="eastAsia"/>
          <w:color w:val="auto"/>
        </w:rPr>
        <w:t>）有关内容，对农家乐公司进行重大安全隐患判定：</w:t>
      </w:r>
    </w:p>
    <w:p w:rsidR="003F13AB" w:rsidRDefault="00EC6E7E">
      <w:pPr>
        <w:widowControl/>
        <w:adjustRightInd/>
        <w:snapToGrid/>
        <w:spacing w:line="240" w:lineRule="auto"/>
        <w:ind w:firstLineChars="0" w:firstLine="0"/>
        <w:jc w:val="center"/>
        <w:rPr>
          <w:rFonts w:ascii="宋体" w:hAnsi="宋体"/>
          <w:color w:val="auto"/>
          <w:szCs w:val="28"/>
          <w:lang w:val="zh-CN"/>
        </w:rPr>
      </w:pPr>
      <w:r>
        <w:rPr>
          <w:rFonts w:ascii="宋体" w:hAnsi="宋体" w:hint="eastAsia"/>
          <w:color w:val="auto"/>
          <w:szCs w:val="28"/>
          <w:lang w:val="zh-CN"/>
        </w:rPr>
        <w:t>附表6.5-1 重大生产安全事故隐患判定表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3827"/>
        <w:gridCol w:w="1285"/>
        <w:gridCol w:w="2552"/>
        <w:gridCol w:w="707"/>
      </w:tblGrid>
      <w:tr w:rsidR="003F13AB" w:rsidRPr="00F9729A">
        <w:trPr>
          <w:trHeight w:val="397"/>
          <w:tblHeader/>
          <w:jc w:val="center"/>
        </w:trPr>
        <w:tc>
          <w:tcPr>
            <w:tcW w:w="701" w:type="dxa"/>
            <w:vAlign w:val="center"/>
          </w:tcPr>
          <w:p w:rsidR="003F13AB" w:rsidRPr="00F9729A" w:rsidRDefault="00EC6E7E">
            <w:pPr>
              <w:topLinePunct/>
              <w:spacing w:line="240" w:lineRule="auto"/>
              <w:ind w:firstLineChars="0" w:firstLine="0"/>
              <w:jc w:val="center"/>
              <w:rPr>
                <w:rFonts w:ascii="宋体" w:hAnsi="宋体"/>
                <w:b/>
                <w:bCs/>
                <w:color w:val="auto"/>
                <w:sz w:val="21"/>
                <w:szCs w:val="21"/>
              </w:rPr>
            </w:pPr>
            <w:r w:rsidRPr="00F9729A">
              <w:rPr>
                <w:rFonts w:ascii="宋体" w:hAnsi="宋体" w:hint="eastAsia"/>
                <w:b/>
                <w:bCs/>
                <w:color w:val="auto"/>
                <w:sz w:val="21"/>
                <w:szCs w:val="21"/>
              </w:rPr>
              <w:t>序号</w:t>
            </w:r>
          </w:p>
        </w:tc>
        <w:tc>
          <w:tcPr>
            <w:tcW w:w="3827" w:type="dxa"/>
            <w:vAlign w:val="center"/>
          </w:tcPr>
          <w:p w:rsidR="003F13AB" w:rsidRPr="00F9729A" w:rsidRDefault="00EC6E7E">
            <w:pPr>
              <w:topLinePunct/>
              <w:spacing w:line="240" w:lineRule="auto"/>
              <w:ind w:firstLineChars="0" w:firstLine="0"/>
              <w:jc w:val="center"/>
              <w:rPr>
                <w:rFonts w:ascii="宋体" w:hAnsi="宋体"/>
                <w:b/>
                <w:bCs/>
                <w:color w:val="auto"/>
                <w:sz w:val="21"/>
                <w:szCs w:val="21"/>
              </w:rPr>
            </w:pPr>
            <w:r w:rsidRPr="00F9729A">
              <w:rPr>
                <w:rFonts w:ascii="宋体" w:hAnsi="宋体" w:hint="eastAsia"/>
                <w:b/>
                <w:bCs/>
                <w:color w:val="auto"/>
                <w:sz w:val="21"/>
                <w:szCs w:val="21"/>
              </w:rPr>
              <w:t>检查项目及内容</w:t>
            </w:r>
          </w:p>
        </w:tc>
        <w:tc>
          <w:tcPr>
            <w:tcW w:w="1285" w:type="dxa"/>
            <w:vAlign w:val="center"/>
          </w:tcPr>
          <w:p w:rsidR="003F13AB" w:rsidRPr="00F9729A" w:rsidRDefault="00EC6E7E">
            <w:pPr>
              <w:topLinePunct/>
              <w:spacing w:line="240" w:lineRule="auto"/>
              <w:ind w:firstLineChars="0" w:firstLine="0"/>
              <w:jc w:val="center"/>
              <w:rPr>
                <w:rFonts w:ascii="宋体" w:hAnsi="宋体"/>
                <w:b/>
                <w:bCs/>
                <w:color w:val="auto"/>
                <w:sz w:val="21"/>
                <w:szCs w:val="21"/>
              </w:rPr>
            </w:pPr>
            <w:r w:rsidRPr="00F9729A">
              <w:rPr>
                <w:rFonts w:ascii="宋体" w:hAnsi="宋体" w:hint="eastAsia"/>
                <w:b/>
                <w:bCs/>
                <w:color w:val="auto"/>
                <w:sz w:val="21"/>
                <w:szCs w:val="21"/>
              </w:rPr>
              <w:t>检查依据</w:t>
            </w:r>
          </w:p>
        </w:tc>
        <w:tc>
          <w:tcPr>
            <w:tcW w:w="2552" w:type="dxa"/>
            <w:vAlign w:val="center"/>
          </w:tcPr>
          <w:p w:rsidR="003F13AB" w:rsidRPr="00F9729A" w:rsidRDefault="00EC6E7E">
            <w:pPr>
              <w:topLinePunct/>
              <w:spacing w:line="240" w:lineRule="auto"/>
              <w:ind w:firstLineChars="0" w:firstLine="0"/>
              <w:jc w:val="center"/>
              <w:rPr>
                <w:rFonts w:ascii="宋体" w:hAnsi="宋体"/>
                <w:b/>
                <w:bCs/>
                <w:color w:val="auto"/>
                <w:sz w:val="21"/>
                <w:szCs w:val="21"/>
              </w:rPr>
            </w:pPr>
            <w:r w:rsidRPr="00F9729A">
              <w:rPr>
                <w:rFonts w:ascii="宋体" w:hAnsi="宋体" w:hint="eastAsia"/>
                <w:b/>
                <w:bCs/>
                <w:color w:val="auto"/>
                <w:sz w:val="21"/>
                <w:szCs w:val="21"/>
              </w:rPr>
              <w:t>检查记录</w:t>
            </w:r>
          </w:p>
        </w:tc>
        <w:tc>
          <w:tcPr>
            <w:tcW w:w="707" w:type="dxa"/>
            <w:vAlign w:val="center"/>
          </w:tcPr>
          <w:p w:rsidR="003F13AB" w:rsidRPr="00F9729A" w:rsidRDefault="00EC6E7E">
            <w:pPr>
              <w:topLinePunct/>
              <w:spacing w:line="240" w:lineRule="auto"/>
              <w:ind w:firstLineChars="0" w:firstLine="0"/>
              <w:jc w:val="center"/>
              <w:rPr>
                <w:rFonts w:ascii="宋体" w:hAnsi="宋体"/>
                <w:b/>
                <w:bCs/>
                <w:color w:val="auto"/>
                <w:sz w:val="21"/>
                <w:szCs w:val="21"/>
              </w:rPr>
            </w:pPr>
            <w:r w:rsidRPr="00F9729A">
              <w:rPr>
                <w:rFonts w:ascii="宋体" w:hAnsi="宋体" w:hint="eastAsia"/>
                <w:b/>
                <w:bCs/>
                <w:color w:val="auto"/>
                <w:sz w:val="21"/>
                <w:szCs w:val="21"/>
              </w:rPr>
              <w:t>检查结果</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未对承包单位、承租单位的安全生产工作统一协调、管理，或者未定期进行安全检查的；</w:t>
            </w:r>
          </w:p>
        </w:tc>
        <w:tc>
          <w:tcPr>
            <w:tcW w:w="1285" w:type="dxa"/>
            <w:vMerge w:val="restart"/>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《工贸企业重大事故隐患判定标准》（中华人民共和国应急管理部令第10号）</w:t>
            </w: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农家乐公司定期进行安全检查。</w:t>
            </w:r>
          </w:p>
        </w:tc>
        <w:tc>
          <w:tcPr>
            <w:tcW w:w="707" w:type="dxa"/>
            <w:vAlign w:val="center"/>
          </w:tcPr>
          <w:p w:rsidR="003F13AB" w:rsidRPr="00F9729A" w:rsidRDefault="00EC6E7E">
            <w:pPr>
              <w:topLinePunct/>
              <w:spacing w:line="240" w:lineRule="auto"/>
              <w:ind w:firstLineChars="0" w:firstLine="0"/>
              <w:jc w:val="left"/>
              <w:rPr>
                <w:rFonts w:ascii="宋体" w:hAnsi="宋体"/>
                <w:bCs/>
                <w:color w:val="auto"/>
                <w:sz w:val="21"/>
                <w:szCs w:val="21"/>
              </w:rPr>
            </w:pPr>
            <w:r w:rsidRPr="00F9729A">
              <w:rPr>
                <w:rFonts w:ascii="宋体" w:hAnsi="宋体" w:cs="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特种作业人员未按照规定经专门的安全作业培训并取得相应资格，上岗作业的；</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公司特种作业人员（电工、焊工）已持证上岗。</w:t>
            </w:r>
          </w:p>
        </w:tc>
        <w:tc>
          <w:tcPr>
            <w:tcW w:w="707" w:type="dxa"/>
            <w:vAlign w:val="center"/>
          </w:tcPr>
          <w:p w:rsidR="003F13AB" w:rsidRPr="00F9729A" w:rsidRDefault="00EC6E7E">
            <w:pPr>
              <w:topLinePunct/>
              <w:spacing w:line="240" w:lineRule="auto"/>
              <w:ind w:firstLineChars="0" w:firstLine="0"/>
              <w:jc w:val="left"/>
              <w:rPr>
                <w:rFonts w:ascii="宋体" w:hAnsi="宋体"/>
                <w:bCs/>
                <w:color w:val="auto"/>
                <w:sz w:val="21"/>
                <w:szCs w:val="21"/>
              </w:rPr>
            </w:pPr>
            <w:r w:rsidRPr="00F9729A">
              <w:rPr>
                <w:rFonts w:ascii="宋体" w:hAnsi="宋体" w:cs="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金属冶炼企业主要负责人、安全生产管理人员未按照规定经考核合格的；</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企业不属于金属冶炼企业。主要负责人、安全员已按照规定经培训后考试合格，取得安全生产知识和管理能力考核合格证。</w:t>
            </w:r>
          </w:p>
        </w:tc>
        <w:tc>
          <w:tcPr>
            <w:tcW w:w="707" w:type="dxa"/>
            <w:vAlign w:val="center"/>
          </w:tcPr>
          <w:p w:rsidR="003F13AB" w:rsidRPr="00F9729A" w:rsidRDefault="00EC6E7E">
            <w:pPr>
              <w:topLinePunct/>
              <w:spacing w:line="240" w:lineRule="auto"/>
              <w:ind w:firstLineChars="0" w:firstLine="0"/>
              <w:jc w:val="left"/>
              <w:rPr>
                <w:rFonts w:ascii="宋体" w:hAnsi="宋体"/>
                <w:bCs/>
                <w:color w:val="auto"/>
                <w:sz w:val="21"/>
                <w:szCs w:val="21"/>
              </w:rPr>
            </w:pPr>
            <w:r w:rsidRPr="00F9729A">
              <w:rPr>
                <w:rFonts w:ascii="宋体" w:hAnsi="宋体" w:cs="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未对有限空间进行辨识、建立安全管理台账，并且未设置明显安全警示标志的；</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已对有限空间进行辨识，并设置明显安全警示标志。</w:t>
            </w:r>
          </w:p>
        </w:tc>
        <w:tc>
          <w:tcPr>
            <w:tcW w:w="707" w:type="dxa"/>
            <w:vAlign w:val="center"/>
          </w:tcPr>
          <w:p w:rsidR="003F13AB" w:rsidRPr="00F9729A" w:rsidRDefault="00EC6E7E">
            <w:pPr>
              <w:topLinePunct/>
              <w:spacing w:line="240" w:lineRule="auto"/>
              <w:ind w:firstLineChars="0" w:firstLine="0"/>
              <w:jc w:val="left"/>
              <w:rPr>
                <w:rFonts w:ascii="宋体" w:hAnsi="宋体"/>
                <w:bCs/>
                <w:color w:val="auto"/>
                <w:sz w:val="21"/>
                <w:szCs w:val="21"/>
              </w:rPr>
            </w:pPr>
            <w:r w:rsidRPr="00F9729A">
              <w:rPr>
                <w:rFonts w:ascii="宋体" w:hAnsi="宋体" w:cs="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未落实有限空间作业审批，或者未执行“先通风、再检测、后作业”要求，或者作业现场未设置监护人员的。</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已制定有限空间作业安全操作规程。</w:t>
            </w:r>
          </w:p>
        </w:tc>
        <w:tc>
          <w:tcPr>
            <w:tcW w:w="707" w:type="dxa"/>
            <w:vAlign w:val="center"/>
          </w:tcPr>
          <w:p w:rsidR="003F13AB" w:rsidRPr="00F9729A" w:rsidRDefault="00EC6E7E">
            <w:pPr>
              <w:topLinePunct/>
              <w:spacing w:line="240" w:lineRule="auto"/>
              <w:ind w:firstLineChars="0" w:firstLine="0"/>
              <w:jc w:val="left"/>
              <w:rPr>
                <w:rFonts w:ascii="宋体" w:hAnsi="宋体"/>
                <w:bCs/>
                <w:color w:val="auto"/>
                <w:sz w:val="21"/>
                <w:szCs w:val="21"/>
              </w:rPr>
            </w:pPr>
            <w:r w:rsidRPr="00F9729A">
              <w:rPr>
                <w:rFonts w:ascii="宋体" w:hAnsi="宋体" w:cs="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日用玻璃、陶瓷制造企业采用预混燃烧方式的燃气密炉(热发生炉煤气密炉除外）的燃气总管未设置管道压力监测报警装置，或者监测报警装置未与紧急自动切断装置</w:t>
            </w:r>
            <w:proofErr w:type="gramStart"/>
            <w:r w:rsidRPr="00F9729A">
              <w:rPr>
                <w:rFonts w:ascii="宋体" w:hAnsi="宋体" w:hint="eastAsia"/>
                <w:color w:val="auto"/>
                <w:sz w:val="21"/>
                <w:szCs w:val="21"/>
              </w:rPr>
              <w:t>联锁</w:t>
            </w:r>
            <w:proofErr w:type="gramEnd"/>
            <w:r w:rsidRPr="00F9729A">
              <w:rPr>
                <w:rFonts w:ascii="宋体" w:hAnsi="宋体" w:hint="eastAsia"/>
                <w:color w:val="auto"/>
                <w:sz w:val="21"/>
                <w:szCs w:val="21"/>
              </w:rPr>
              <w:t>的；</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项目不属于日用玻璃、陶瓷制造企业，但生产过程中使用到的燃气锅炉、热风炉天然气总管已设置压力检测报警装置并与紧急切断阀</w:t>
            </w:r>
            <w:proofErr w:type="gramStart"/>
            <w:r w:rsidRPr="00F9729A">
              <w:rPr>
                <w:rFonts w:ascii="宋体" w:hAnsi="宋体" w:hint="eastAsia"/>
                <w:color w:val="auto"/>
                <w:sz w:val="21"/>
                <w:szCs w:val="21"/>
              </w:rPr>
              <w:t>联锁</w:t>
            </w:r>
            <w:proofErr w:type="gramEnd"/>
            <w:r w:rsidRPr="00F9729A">
              <w:rPr>
                <w:rFonts w:ascii="宋体" w:hAnsi="宋体" w:hint="eastAsia"/>
                <w:color w:val="auto"/>
                <w:sz w:val="21"/>
                <w:szCs w:val="21"/>
              </w:rPr>
              <w:t>。</w:t>
            </w:r>
          </w:p>
        </w:tc>
        <w:tc>
          <w:tcPr>
            <w:tcW w:w="707" w:type="dxa"/>
            <w:vAlign w:val="center"/>
          </w:tcPr>
          <w:p w:rsidR="003F13AB" w:rsidRPr="00F9729A" w:rsidRDefault="00EC6E7E">
            <w:pPr>
              <w:topLinePunct/>
              <w:spacing w:line="240" w:lineRule="auto"/>
              <w:ind w:firstLineChars="0" w:firstLine="0"/>
              <w:jc w:val="left"/>
              <w:rPr>
                <w:rFonts w:ascii="宋体" w:hAnsi="宋体" w:cs="宋体"/>
                <w:color w:val="auto"/>
                <w:sz w:val="21"/>
                <w:szCs w:val="21"/>
              </w:rPr>
            </w:pPr>
            <w:r w:rsidRPr="00F9729A">
              <w:rPr>
                <w:rFonts w:ascii="宋体" w:hAnsi="宋体" w:cs="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cs="宋体" w:hint="eastAsia"/>
                <w:color w:val="auto"/>
                <w:kern w:val="0"/>
                <w:sz w:val="21"/>
                <w:szCs w:val="21"/>
              </w:rPr>
              <w:t>本标准所列情形中直</w:t>
            </w:r>
            <w:proofErr w:type="gramStart"/>
            <w:r w:rsidRPr="00F9729A">
              <w:rPr>
                <w:rFonts w:ascii="宋体" w:hAnsi="宋体" w:cs="宋体" w:hint="eastAsia"/>
                <w:color w:val="auto"/>
                <w:kern w:val="0"/>
                <w:sz w:val="21"/>
                <w:szCs w:val="21"/>
              </w:rPr>
              <w:t>接关系</w:t>
            </w:r>
            <w:proofErr w:type="gramEnd"/>
            <w:r w:rsidRPr="00F9729A">
              <w:rPr>
                <w:rFonts w:ascii="宋体" w:hAnsi="宋体" w:cs="宋体" w:hint="eastAsia"/>
                <w:color w:val="auto"/>
                <w:kern w:val="0"/>
                <w:sz w:val="21"/>
                <w:szCs w:val="21"/>
              </w:rPr>
              <w:t>生产安全的监控、报警、防护等设施、设备、装置，应当保证正常运行、使用，失效或者无效均判定为重大事故隐患。</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现场检查，项目监控视频、可燃气体检测报警装置等正常运行。</w:t>
            </w:r>
          </w:p>
        </w:tc>
        <w:tc>
          <w:tcPr>
            <w:tcW w:w="707" w:type="dxa"/>
            <w:vAlign w:val="center"/>
          </w:tcPr>
          <w:p w:rsidR="003F13AB" w:rsidRPr="00F9729A" w:rsidRDefault="00EC6E7E">
            <w:pPr>
              <w:topLinePunct/>
              <w:spacing w:line="240" w:lineRule="auto"/>
              <w:ind w:firstLineChars="0" w:firstLine="0"/>
              <w:jc w:val="left"/>
              <w:rPr>
                <w:rFonts w:ascii="宋体" w:hAnsi="宋体"/>
                <w:bCs/>
                <w:color w:val="auto"/>
                <w:sz w:val="21"/>
                <w:szCs w:val="21"/>
              </w:rPr>
            </w:pPr>
            <w:r w:rsidRPr="00F9729A">
              <w:rPr>
                <w:rFonts w:ascii="宋体" w:hAnsi="宋体" w:cs="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特种设备有下列情形</w:t>
            </w:r>
            <w:proofErr w:type="gramStart"/>
            <w:r w:rsidRPr="00F9729A">
              <w:rPr>
                <w:rFonts w:ascii="宋体" w:hAnsi="宋体" w:cs="宋体" w:hint="eastAsia"/>
                <w:color w:val="auto"/>
                <w:kern w:val="0"/>
                <w:sz w:val="21"/>
                <w:szCs w:val="21"/>
              </w:rPr>
              <w:t>之一仍</w:t>
            </w:r>
            <w:proofErr w:type="gramEnd"/>
            <w:r w:rsidRPr="00F9729A">
              <w:rPr>
                <w:rFonts w:ascii="宋体" w:hAnsi="宋体" w:cs="宋体" w:hint="eastAsia"/>
                <w:color w:val="auto"/>
                <w:kern w:val="0"/>
                <w:sz w:val="21"/>
                <w:szCs w:val="21"/>
              </w:rPr>
              <w:t>继续使用的，应判定为重大事故隐患。</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a）特种设备未取得许可生产、因安全问题国家明令淘汰、已经报废或者达到报废条件。</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b)特种设备发生过事故，未对其进行全面检查、消除事故隐患。</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lastRenderedPageBreak/>
              <w:t>c）未按规定进行监督检验或者监督检验不合格。</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d)有4.2-4.10中规定的超过规定参数、使用范围的情形。</w:t>
            </w:r>
          </w:p>
        </w:tc>
        <w:tc>
          <w:tcPr>
            <w:tcW w:w="1285" w:type="dxa"/>
            <w:vMerge w:val="restart"/>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lastRenderedPageBreak/>
              <w:t>《特种设备重大事故隐患判定准则》（GB45067-2024）</w:t>
            </w: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项目使用的锅炉、压力容器、压力管道、叉车、电梯等特种设备已经检验合格，取得特种设备使用登记证。</w:t>
            </w:r>
          </w:p>
        </w:tc>
        <w:tc>
          <w:tcPr>
            <w:tcW w:w="707" w:type="dxa"/>
            <w:vAlign w:val="center"/>
          </w:tcPr>
          <w:p w:rsidR="003F13AB" w:rsidRPr="00F9729A" w:rsidRDefault="00EC6E7E">
            <w:pPr>
              <w:topLinePunct/>
              <w:spacing w:line="240" w:lineRule="auto"/>
              <w:ind w:firstLineChars="0" w:firstLine="0"/>
              <w:jc w:val="left"/>
              <w:rPr>
                <w:rFonts w:ascii="宋体" w:hAnsi="宋体" w:cs="宋体"/>
                <w:color w:val="auto"/>
                <w:sz w:val="21"/>
                <w:szCs w:val="21"/>
              </w:rPr>
            </w:pPr>
            <w:r w:rsidRPr="00F9729A">
              <w:rPr>
                <w:rFonts w:ascii="宋体" w:hAnsi="宋体" w:cs="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锅炉有下列情形</w:t>
            </w:r>
            <w:proofErr w:type="gramStart"/>
            <w:r w:rsidRPr="00F9729A">
              <w:rPr>
                <w:rFonts w:ascii="宋体" w:hAnsi="宋体" w:cs="宋体" w:hint="eastAsia"/>
                <w:color w:val="auto"/>
                <w:kern w:val="0"/>
                <w:sz w:val="21"/>
                <w:szCs w:val="21"/>
              </w:rPr>
              <w:t>之一仍</w:t>
            </w:r>
            <w:proofErr w:type="gramEnd"/>
            <w:r w:rsidRPr="00F9729A">
              <w:rPr>
                <w:rFonts w:ascii="宋体" w:hAnsi="宋体" w:cs="宋体" w:hint="eastAsia"/>
                <w:color w:val="auto"/>
                <w:kern w:val="0"/>
                <w:sz w:val="21"/>
                <w:szCs w:val="21"/>
              </w:rPr>
              <w:t>继续使用的，应判定为重大事故隐患。</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a）定期检验的检验结论为“不符合要求”。</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b)热工仪表失效或控制电（气)源中断，导致无法监视、调整主要运行参数。</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c）安全阀（爆破片装置）缺失或失效。</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d)系统报警装置缺失或失效。</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e)</w:t>
            </w:r>
            <w:proofErr w:type="gramStart"/>
            <w:r w:rsidRPr="00F9729A">
              <w:rPr>
                <w:rFonts w:ascii="宋体" w:hAnsi="宋体" w:cs="宋体" w:hint="eastAsia"/>
                <w:color w:val="auto"/>
                <w:kern w:val="0"/>
                <w:sz w:val="21"/>
                <w:szCs w:val="21"/>
              </w:rPr>
              <w:t>联锁</w:t>
            </w:r>
            <w:proofErr w:type="gramEnd"/>
            <w:r w:rsidRPr="00F9729A">
              <w:rPr>
                <w:rFonts w:ascii="宋体" w:hAnsi="宋体" w:cs="宋体" w:hint="eastAsia"/>
                <w:color w:val="auto"/>
                <w:kern w:val="0"/>
                <w:sz w:val="21"/>
                <w:szCs w:val="21"/>
              </w:rPr>
              <w:t>保护装置缺失或失效。</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f）熄火保护装置缺失或失效。</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g）电站锅炉主要汽水管道泄漏或锅炉范围内管道破裂。</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项目使用的锅炉经检验合格，并取得特种设备使用登记证，安全阀、压力表等安全附件经检验有效，正常投用。</w:t>
            </w:r>
          </w:p>
        </w:tc>
        <w:tc>
          <w:tcPr>
            <w:tcW w:w="707" w:type="dxa"/>
            <w:vAlign w:val="center"/>
          </w:tcPr>
          <w:p w:rsidR="003F13AB" w:rsidRPr="00F9729A" w:rsidRDefault="00EC6E7E">
            <w:pPr>
              <w:topLinePunct/>
              <w:spacing w:line="240" w:lineRule="auto"/>
              <w:ind w:firstLineChars="0" w:firstLine="0"/>
              <w:jc w:val="left"/>
              <w:rPr>
                <w:rFonts w:ascii="宋体" w:hAnsi="宋体" w:cs="宋体"/>
                <w:color w:val="auto"/>
                <w:sz w:val="21"/>
                <w:szCs w:val="21"/>
              </w:rPr>
            </w:pPr>
            <w:r w:rsidRPr="00F9729A">
              <w:rPr>
                <w:rFonts w:ascii="宋体" w:hAnsi="宋体" w:cs="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压力容器有下列情形</w:t>
            </w:r>
            <w:proofErr w:type="gramStart"/>
            <w:r w:rsidRPr="00F9729A">
              <w:rPr>
                <w:rFonts w:ascii="宋体" w:hAnsi="宋体" w:cs="宋体" w:hint="eastAsia"/>
                <w:color w:val="auto"/>
                <w:kern w:val="0"/>
                <w:sz w:val="21"/>
                <w:szCs w:val="21"/>
              </w:rPr>
              <w:t>之一仍</w:t>
            </w:r>
            <w:proofErr w:type="gramEnd"/>
            <w:r w:rsidRPr="00F9729A">
              <w:rPr>
                <w:rFonts w:ascii="宋体" w:hAnsi="宋体" w:cs="宋体" w:hint="eastAsia"/>
                <w:color w:val="auto"/>
                <w:kern w:val="0"/>
                <w:sz w:val="21"/>
                <w:szCs w:val="21"/>
              </w:rPr>
              <w:t>继续使用的，应判定为重大事故隐患。</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a）定期检验的检验结论为“不符合要求”。</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b）固定式压力容器改做移动式压力容器使用。</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c)固定式压力容器、移动式压力容器的安全阀、爆破片装置、紧急切断装置缺失或失效。</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d)快开门</w:t>
            </w:r>
            <w:proofErr w:type="gramStart"/>
            <w:r w:rsidRPr="00F9729A">
              <w:rPr>
                <w:rFonts w:ascii="宋体" w:hAnsi="宋体" w:cs="宋体" w:hint="eastAsia"/>
                <w:color w:val="auto"/>
                <w:kern w:val="0"/>
                <w:sz w:val="21"/>
                <w:szCs w:val="21"/>
              </w:rPr>
              <w:t>式压力</w:t>
            </w:r>
            <w:proofErr w:type="gramEnd"/>
            <w:r w:rsidRPr="00F9729A">
              <w:rPr>
                <w:rFonts w:ascii="宋体" w:hAnsi="宋体" w:cs="宋体" w:hint="eastAsia"/>
                <w:color w:val="auto"/>
                <w:kern w:val="0"/>
                <w:sz w:val="21"/>
                <w:szCs w:val="21"/>
              </w:rPr>
              <w:t>容器的快开安全保护联锁装置缺失或失效。</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e)氧舱的接地装置缺失或失效。</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f）氧</w:t>
            </w:r>
            <w:proofErr w:type="gramStart"/>
            <w:r w:rsidRPr="00F9729A">
              <w:rPr>
                <w:rFonts w:ascii="宋体" w:hAnsi="宋体" w:cs="宋体" w:hint="eastAsia"/>
                <w:color w:val="auto"/>
                <w:kern w:val="0"/>
                <w:sz w:val="21"/>
                <w:szCs w:val="21"/>
              </w:rPr>
              <w:t>舱安全</w:t>
            </w:r>
            <w:proofErr w:type="gramEnd"/>
            <w:r w:rsidRPr="00F9729A">
              <w:rPr>
                <w:rFonts w:ascii="宋体" w:hAnsi="宋体" w:cs="宋体" w:hint="eastAsia"/>
                <w:color w:val="auto"/>
                <w:kern w:val="0"/>
                <w:sz w:val="21"/>
                <w:szCs w:val="21"/>
              </w:rPr>
              <w:t>保护联锁装置（</w:t>
            </w:r>
            <w:proofErr w:type="gramStart"/>
            <w:r w:rsidRPr="00F9729A">
              <w:rPr>
                <w:rFonts w:ascii="宋体" w:hAnsi="宋体" w:cs="宋体" w:hint="eastAsia"/>
                <w:color w:val="auto"/>
                <w:kern w:val="0"/>
                <w:sz w:val="21"/>
                <w:szCs w:val="21"/>
              </w:rPr>
              <w:t>联锁</w:t>
            </w:r>
            <w:proofErr w:type="gramEnd"/>
            <w:r w:rsidRPr="00F9729A">
              <w:rPr>
                <w:rFonts w:ascii="宋体" w:hAnsi="宋体" w:cs="宋体" w:hint="eastAsia"/>
                <w:color w:val="auto"/>
                <w:kern w:val="0"/>
                <w:sz w:val="21"/>
                <w:szCs w:val="21"/>
              </w:rPr>
              <w:t>功能）失效。</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项目使用的压力容器经检验合格，并取得特种设备使用登记证，安全阀、压力表等安全附件经检验合格，正常投用。</w:t>
            </w:r>
          </w:p>
        </w:tc>
        <w:tc>
          <w:tcPr>
            <w:tcW w:w="707" w:type="dxa"/>
            <w:vAlign w:val="center"/>
          </w:tcPr>
          <w:p w:rsidR="003F13AB" w:rsidRPr="00F9729A" w:rsidRDefault="00EC6E7E">
            <w:pPr>
              <w:topLinePunct/>
              <w:spacing w:line="240" w:lineRule="auto"/>
              <w:ind w:firstLineChars="0" w:firstLine="0"/>
              <w:jc w:val="left"/>
              <w:rPr>
                <w:rFonts w:ascii="宋体" w:hAnsi="宋体" w:cs="宋体"/>
                <w:color w:val="auto"/>
                <w:sz w:val="21"/>
                <w:szCs w:val="21"/>
              </w:rPr>
            </w:pPr>
            <w:r w:rsidRPr="00F9729A">
              <w:rPr>
                <w:rFonts w:ascii="宋体" w:hAnsi="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场（厂）内专用机动车辆有下列情形</w:t>
            </w:r>
            <w:proofErr w:type="gramStart"/>
            <w:r w:rsidRPr="00F9729A">
              <w:rPr>
                <w:rFonts w:ascii="宋体" w:hAnsi="宋体" w:cs="宋体" w:hint="eastAsia"/>
                <w:color w:val="auto"/>
                <w:kern w:val="0"/>
                <w:sz w:val="21"/>
                <w:szCs w:val="21"/>
              </w:rPr>
              <w:t>之一仍</w:t>
            </w:r>
            <w:proofErr w:type="gramEnd"/>
            <w:r w:rsidRPr="00F9729A">
              <w:rPr>
                <w:rFonts w:ascii="宋体" w:hAnsi="宋体" w:cs="宋体" w:hint="eastAsia"/>
                <w:color w:val="auto"/>
                <w:kern w:val="0"/>
                <w:sz w:val="21"/>
                <w:szCs w:val="21"/>
              </w:rPr>
              <w:t>继续使用的，应判定为重大事故隐患。</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a）定期检验的检验结论为“不合格”。</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b）电动车辆电源紧急切断装置缺失或失效。</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c)制动（包括行车、驻车）装置缺失或失效。</w:t>
            </w:r>
          </w:p>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d）观光列车的牵引连接装置及其二次保护装置缺失或失效。</w:t>
            </w:r>
          </w:p>
          <w:p w:rsidR="003F13AB" w:rsidRPr="00F9729A" w:rsidRDefault="00EC6E7E">
            <w:pPr>
              <w:pStyle w:val="Default1"/>
              <w:rPr>
                <w:rFonts w:hint="default"/>
                <w:color w:val="auto"/>
              </w:rPr>
            </w:pPr>
            <w:r w:rsidRPr="00F9729A">
              <w:rPr>
                <w:rFonts w:ascii="宋体" w:hAnsi="宋体" w:cs="宋体"/>
                <w:color w:val="auto"/>
                <w:sz w:val="21"/>
                <w:szCs w:val="21"/>
              </w:rPr>
              <w:t>e)</w:t>
            </w:r>
            <w:proofErr w:type="gramStart"/>
            <w:r w:rsidRPr="00F9729A">
              <w:rPr>
                <w:rFonts w:ascii="宋体" w:hAnsi="宋体" w:cs="宋体"/>
                <w:color w:val="auto"/>
                <w:sz w:val="21"/>
                <w:szCs w:val="21"/>
              </w:rPr>
              <w:t>非公路</w:t>
            </w:r>
            <w:proofErr w:type="gramEnd"/>
            <w:r w:rsidRPr="00F9729A">
              <w:rPr>
                <w:rFonts w:ascii="宋体" w:hAnsi="宋体" w:cs="宋体"/>
                <w:color w:val="auto"/>
                <w:sz w:val="21"/>
                <w:szCs w:val="21"/>
              </w:rPr>
              <w:t>用旅游观光车辆超过最大行驶坡度使用。</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项目使用的叉车经检验合格，并取得特种设备使用登记证，电源紧急切断装置、制动等等安全附件经检验合格，正常投用。</w:t>
            </w:r>
          </w:p>
        </w:tc>
        <w:tc>
          <w:tcPr>
            <w:tcW w:w="70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生产、储存和装卸易燃易爆危险品的工厂、仓库和专用车站、码头、储罐区，未设置在城市的边缘或相对独立的安全地带。</w:t>
            </w:r>
          </w:p>
        </w:tc>
        <w:tc>
          <w:tcPr>
            <w:tcW w:w="1285" w:type="dxa"/>
            <w:vMerge w:val="restart"/>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《重大火灾隐患判定方法》（GB35181-2017）</w:t>
            </w: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项目位于晋宁工业园区内，符合相关要求。</w:t>
            </w:r>
          </w:p>
        </w:tc>
        <w:tc>
          <w:tcPr>
            <w:tcW w:w="70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生产、储存、经营易燃易爆危险品的场所与人员密集场所、居住场所设置在同</w:t>
            </w:r>
            <w:r w:rsidRPr="00F9729A">
              <w:rPr>
                <w:rFonts w:ascii="宋体" w:hAnsi="宋体" w:cs="宋体" w:hint="eastAsia"/>
                <w:color w:val="auto"/>
                <w:kern w:val="0"/>
                <w:sz w:val="21"/>
                <w:szCs w:val="21"/>
              </w:rPr>
              <w:lastRenderedPageBreak/>
              <w:t>一建筑物内，或与人员密集场所、居住场所的防火间距小于国家工程建设消防技术标准规定值的75%。</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项目不涉及生产、储存、经营易燃易爆危险化学</w:t>
            </w:r>
            <w:r w:rsidRPr="00F9729A">
              <w:rPr>
                <w:rFonts w:ascii="宋体" w:hAnsi="宋体" w:hint="eastAsia"/>
                <w:color w:val="auto"/>
                <w:sz w:val="21"/>
                <w:szCs w:val="21"/>
              </w:rPr>
              <w:lastRenderedPageBreak/>
              <w:t>品。</w:t>
            </w:r>
          </w:p>
        </w:tc>
        <w:tc>
          <w:tcPr>
            <w:tcW w:w="70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lastRenderedPageBreak/>
              <w:t>符合要求</w:t>
            </w:r>
          </w:p>
        </w:tc>
      </w:tr>
      <w:tr w:rsidR="003F13AB" w:rsidRPr="00F9729A">
        <w:trPr>
          <w:trHeight w:val="397"/>
          <w:jc w:val="center"/>
        </w:trPr>
        <w:tc>
          <w:tcPr>
            <w:tcW w:w="701" w:type="dxa"/>
            <w:vAlign w:val="center"/>
          </w:tcPr>
          <w:p w:rsidR="003F13AB" w:rsidRPr="00F9729A" w:rsidRDefault="003F13AB">
            <w:pPr>
              <w:pStyle w:val="12"/>
              <w:numPr>
                <w:ilvl w:val="0"/>
                <w:numId w:val="18"/>
              </w:numPr>
              <w:topLinePunct/>
              <w:spacing w:line="240" w:lineRule="auto"/>
              <w:ind w:left="0" w:firstLineChars="0" w:firstLine="0"/>
              <w:jc w:val="center"/>
              <w:rPr>
                <w:rFonts w:ascii="宋体" w:hAnsi="宋体"/>
                <w:bCs/>
                <w:color w:val="auto"/>
                <w:sz w:val="21"/>
                <w:szCs w:val="21"/>
              </w:rPr>
            </w:pPr>
          </w:p>
        </w:tc>
        <w:tc>
          <w:tcPr>
            <w:tcW w:w="3827" w:type="dxa"/>
            <w:vAlign w:val="center"/>
          </w:tcPr>
          <w:p w:rsidR="003F13AB" w:rsidRPr="00F9729A" w:rsidRDefault="00EC6E7E">
            <w:pPr>
              <w:topLinePunct/>
              <w:spacing w:line="240" w:lineRule="auto"/>
              <w:ind w:firstLineChars="0" w:firstLine="0"/>
              <w:rPr>
                <w:rFonts w:ascii="宋体" w:hAnsi="宋体" w:cs="宋体"/>
                <w:color w:val="auto"/>
                <w:kern w:val="0"/>
                <w:sz w:val="21"/>
                <w:szCs w:val="21"/>
              </w:rPr>
            </w:pPr>
            <w:r w:rsidRPr="00F9729A">
              <w:rPr>
                <w:rFonts w:ascii="宋体" w:hAnsi="宋体" w:cs="宋体" w:hint="eastAsia"/>
                <w:color w:val="auto"/>
                <w:kern w:val="0"/>
                <w:sz w:val="21"/>
                <w:szCs w:val="21"/>
              </w:rPr>
              <w:t>易燃可燃液体、可燃气体储罐（区）未按国家工程建设消防技术标准的规定设置固定灭火、冷却、可燃气体浓度报警、火灾报警设施。</w:t>
            </w:r>
          </w:p>
        </w:tc>
        <w:tc>
          <w:tcPr>
            <w:tcW w:w="1285" w:type="dxa"/>
            <w:vMerge/>
            <w:vAlign w:val="center"/>
          </w:tcPr>
          <w:p w:rsidR="003F13AB" w:rsidRPr="00F9729A" w:rsidRDefault="003F13AB">
            <w:pPr>
              <w:topLinePunct/>
              <w:spacing w:line="240" w:lineRule="auto"/>
              <w:ind w:firstLineChars="0" w:firstLine="0"/>
              <w:jc w:val="left"/>
              <w:rPr>
                <w:rFonts w:ascii="宋体" w:hAnsi="宋体"/>
                <w:color w:val="auto"/>
                <w:sz w:val="21"/>
                <w:szCs w:val="21"/>
              </w:rPr>
            </w:pPr>
          </w:p>
        </w:tc>
        <w:tc>
          <w:tcPr>
            <w:tcW w:w="2552"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项目不涉及易燃可燃液体、可燃气体，已按要求设置固定灭火、可燃气体浓度报警、火灾报警设施。</w:t>
            </w:r>
          </w:p>
        </w:tc>
        <w:tc>
          <w:tcPr>
            <w:tcW w:w="707" w:type="dxa"/>
            <w:vAlign w:val="center"/>
          </w:tcPr>
          <w:p w:rsidR="003F13AB" w:rsidRPr="00F9729A" w:rsidRDefault="00EC6E7E">
            <w:pPr>
              <w:topLinePunct/>
              <w:spacing w:line="240" w:lineRule="auto"/>
              <w:ind w:firstLineChars="0" w:firstLine="0"/>
              <w:jc w:val="left"/>
              <w:rPr>
                <w:rFonts w:ascii="宋体" w:hAnsi="宋体"/>
                <w:color w:val="auto"/>
                <w:sz w:val="21"/>
                <w:szCs w:val="21"/>
              </w:rPr>
            </w:pPr>
            <w:r w:rsidRPr="00F9729A">
              <w:rPr>
                <w:rFonts w:ascii="宋体" w:hAnsi="宋体" w:hint="eastAsia"/>
                <w:color w:val="auto"/>
                <w:sz w:val="21"/>
                <w:szCs w:val="21"/>
              </w:rPr>
              <w:t>符合要求</w:t>
            </w:r>
          </w:p>
        </w:tc>
      </w:tr>
    </w:tbl>
    <w:p w:rsidR="003F13AB" w:rsidRDefault="00EC6E7E">
      <w:pPr>
        <w:pStyle w:val="3"/>
      </w:pPr>
      <w:bookmarkStart w:id="377" w:name="_Toc187914522"/>
      <w:r>
        <w:rPr>
          <w:rFonts w:hint="eastAsia"/>
        </w:rPr>
        <w:t>5.5.2 单元小结</w:t>
      </w:r>
      <w:bookmarkEnd w:id="377"/>
    </w:p>
    <w:p w:rsidR="003F13AB" w:rsidRDefault="00EC6E7E">
      <w:pPr>
        <w:ind w:firstLine="560"/>
        <w:rPr>
          <w:color w:val="auto"/>
        </w:rPr>
      </w:pPr>
      <w:r>
        <w:rPr>
          <w:rFonts w:hint="eastAsia"/>
          <w:color w:val="auto"/>
        </w:rPr>
        <w:t>由上表检查可知，企业不涉及《工贸企业重大事故隐患判定标准》（中华人民共和国应急管理部令第</w:t>
      </w:r>
      <w:r>
        <w:rPr>
          <w:rFonts w:hint="eastAsia"/>
          <w:color w:val="auto"/>
        </w:rPr>
        <w:t>10</w:t>
      </w:r>
      <w:r>
        <w:rPr>
          <w:rFonts w:hint="eastAsia"/>
          <w:color w:val="auto"/>
        </w:rPr>
        <w:t>号）、《特种设备重大事故隐患判定准则》（</w:t>
      </w:r>
      <w:r>
        <w:rPr>
          <w:rFonts w:hint="eastAsia"/>
          <w:color w:val="auto"/>
        </w:rPr>
        <w:t>GB45067-2024</w:t>
      </w:r>
      <w:r>
        <w:rPr>
          <w:rFonts w:hint="eastAsia"/>
          <w:color w:val="auto"/>
        </w:rPr>
        <w:t>）、《重大火灾隐患判定方法》（</w:t>
      </w:r>
      <w:r>
        <w:rPr>
          <w:rFonts w:hint="eastAsia"/>
          <w:color w:val="auto"/>
        </w:rPr>
        <w:t>GB35181-2017</w:t>
      </w:r>
      <w:r>
        <w:rPr>
          <w:rFonts w:hint="eastAsia"/>
          <w:color w:val="auto"/>
        </w:rPr>
        <w:t>中的重大隐患。</w:t>
      </w:r>
    </w:p>
    <w:p w:rsidR="003F13AB" w:rsidRDefault="00EC6E7E">
      <w:pPr>
        <w:pStyle w:val="1"/>
        <w:keepNext w:val="0"/>
        <w:keepLines w:val="0"/>
        <w:textAlignment w:val="center"/>
        <w:rPr>
          <w:rFonts w:ascii="宋体" w:hAnsi="宋体"/>
          <w:b/>
          <w:bCs w:val="0"/>
          <w:color w:val="auto"/>
          <w:szCs w:val="20"/>
        </w:rPr>
      </w:pPr>
      <w:bookmarkStart w:id="378" w:name="_Toc187914523"/>
      <w:bookmarkStart w:id="379" w:name="_Toc166857628"/>
      <w:r>
        <w:rPr>
          <w:rFonts w:ascii="宋体" w:hAnsi="宋体" w:hint="eastAsia"/>
          <w:b/>
          <w:bCs w:val="0"/>
          <w:color w:val="auto"/>
          <w:szCs w:val="20"/>
        </w:rPr>
        <w:lastRenderedPageBreak/>
        <w:t>附件7  评价依据</w:t>
      </w:r>
      <w:bookmarkEnd w:id="378"/>
      <w:bookmarkEnd w:id="379"/>
    </w:p>
    <w:p w:rsidR="003F13AB" w:rsidRDefault="00EC6E7E">
      <w:pPr>
        <w:pStyle w:val="2"/>
      </w:pPr>
      <w:bookmarkStart w:id="380" w:name="_Toc317766303"/>
      <w:bookmarkStart w:id="381" w:name="_Toc22334"/>
      <w:bookmarkStart w:id="382" w:name="_Toc13891_WPSOffice_Level2"/>
      <w:bookmarkStart w:id="383" w:name="_Toc3787_WPSOffice_Level2"/>
      <w:bookmarkStart w:id="384" w:name="_Toc166857629"/>
      <w:bookmarkStart w:id="385" w:name="_Toc187914524"/>
      <w:r>
        <w:rPr>
          <w:rFonts w:hint="eastAsia"/>
        </w:rPr>
        <w:t xml:space="preserve">7.1 </w:t>
      </w:r>
      <w:bookmarkEnd w:id="380"/>
      <w:bookmarkEnd w:id="381"/>
      <w:bookmarkEnd w:id="382"/>
      <w:bookmarkEnd w:id="383"/>
      <w:r>
        <w:rPr>
          <w:rFonts w:hint="eastAsia"/>
        </w:rPr>
        <w:t>法律法规</w:t>
      </w:r>
      <w:bookmarkEnd w:id="384"/>
      <w:bookmarkEnd w:id="385"/>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《中华人民共和国安全生产法（2021年修订）》（中华人民共和国主席令第八十八号修订后公布，2021年9月1日施行）；</w:t>
      </w:r>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《中华人民共和国消防法（2021）》（中华人民共和国主席令第81号，2021年4月29日施行）</w:t>
      </w:r>
      <w:r>
        <w:rPr>
          <w:rFonts w:hAnsi="宋体"/>
          <w:color w:val="auto"/>
          <w:szCs w:val="28"/>
        </w:rPr>
        <w:t>；</w:t>
      </w:r>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《中华人民共和国职业病防治法》（中华人民共和国主席令第48号修订，2017年11月4日第81号令修改，2018年第十三届国家主席令第24号修正，自2018年12月29日起施行）；</w:t>
      </w:r>
    </w:p>
    <w:p w:rsidR="003F13AB" w:rsidRDefault="00EC6E7E">
      <w:pPr>
        <w:numPr>
          <w:ilvl w:val="0"/>
          <w:numId w:val="19"/>
        </w:numPr>
        <w:adjustRightInd/>
        <w:snapToGrid/>
        <w:ind w:left="0" w:firstLine="560"/>
        <w:rPr>
          <w:rFonts w:ascii="宋体" w:hAnsi="宋体"/>
          <w:color w:val="auto"/>
          <w:szCs w:val="28"/>
        </w:rPr>
      </w:pPr>
      <w:r>
        <w:rPr>
          <w:color w:val="auto"/>
          <w:szCs w:val="28"/>
        </w:rPr>
        <w:t>《中华人民共和国劳动法》（中华人民共和国主席令第</w:t>
      </w:r>
      <w:r>
        <w:rPr>
          <w:color w:val="auto"/>
          <w:szCs w:val="28"/>
        </w:rPr>
        <w:t>28</w:t>
      </w:r>
      <w:r>
        <w:rPr>
          <w:color w:val="auto"/>
          <w:szCs w:val="28"/>
        </w:rPr>
        <w:t>号，</w:t>
      </w:r>
      <w:r>
        <w:rPr>
          <w:rFonts w:hint="eastAsia"/>
          <w:color w:val="auto"/>
          <w:szCs w:val="28"/>
        </w:rPr>
        <w:t>2018</w:t>
      </w:r>
      <w:r>
        <w:rPr>
          <w:rFonts w:hint="eastAsia"/>
          <w:color w:val="auto"/>
          <w:szCs w:val="28"/>
        </w:rPr>
        <w:t>年第十三届国家主席令第</w:t>
      </w:r>
      <w:r>
        <w:rPr>
          <w:rFonts w:hint="eastAsia"/>
          <w:color w:val="auto"/>
          <w:szCs w:val="28"/>
        </w:rPr>
        <w:t>24</w:t>
      </w:r>
      <w:r>
        <w:rPr>
          <w:rFonts w:hint="eastAsia"/>
          <w:color w:val="auto"/>
          <w:szCs w:val="28"/>
        </w:rPr>
        <w:t>号修正，自</w:t>
      </w:r>
      <w:r>
        <w:rPr>
          <w:rFonts w:hint="eastAsia"/>
          <w:color w:val="auto"/>
          <w:szCs w:val="28"/>
        </w:rPr>
        <w:t>2018</w:t>
      </w:r>
      <w:r>
        <w:rPr>
          <w:rFonts w:hint="eastAsia"/>
          <w:color w:val="auto"/>
          <w:szCs w:val="28"/>
        </w:rPr>
        <w:t>年</w:t>
      </w:r>
      <w:r>
        <w:rPr>
          <w:rFonts w:hint="eastAsia"/>
          <w:color w:val="auto"/>
          <w:szCs w:val="28"/>
        </w:rPr>
        <w:t>12</w:t>
      </w:r>
      <w:r>
        <w:rPr>
          <w:rFonts w:hint="eastAsia"/>
          <w:color w:val="auto"/>
          <w:szCs w:val="28"/>
        </w:rPr>
        <w:t>月</w:t>
      </w:r>
      <w:r>
        <w:rPr>
          <w:rFonts w:hint="eastAsia"/>
          <w:color w:val="auto"/>
          <w:szCs w:val="28"/>
        </w:rPr>
        <w:t>29</w:t>
      </w:r>
      <w:r>
        <w:rPr>
          <w:rFonts w:hint="eastAsia"/>
          <w:color w:val="auto"/>
          <w:szCs w:val="28"/>
        </w:rPr>
        <w:t>日起施行）；</w:t>
      </w:r>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《中华人民共和国大气污染防治法》（1987年9月5日中华人民共和国主席令第57号颁布，第十二届国家主席令第31号修订，2018年第十三届第16号主席令修改，自2018年10月26日起施行）；</w:t>
      </w:r>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《中华人民共和国环境保护法》（国家主席令第9号，2015年1月1日实施）；</w:t>
      </w:r>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《中华人民共和国突发事件应对法》（国家主席令第69号，2007年11月1日施行）；</w:t>
      </w:r>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《中华人民共和国环境噪声污染防治法》（1996年第八届全国人民代表大会常务委员会第二十二次会议通过 ，中华人民共和国主席令第77号公布，2022年6月5日起施行）；</w:t>
      </w:r>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《中华人民共和国清洁生产促进法》(国家主席令第54号，自2012年7月1日起施行）；</w:t>
      </w:r>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w:t>
      </w:r>
      <w:r>
        <w:rPr>
          <w:rFonts w:ascii="宋体" w:hAnsi="宋体"/>
          <w:color w:val="auto"/>
          <w:szCs w:val="28"/>
        </w:rPr>
        <w:t>中华人民共和国水污染防治法</w:t>
      </w:r>
      <w:r>
        <w:rPr>
          <w:rFonts w:ascii="宋体" w:hAnsi="宋体" w:hint="eastAsia"/>
          <w:color w:val="auto"/>
          <w:szCs w:val="28"/>
        </w:rPr>
        <w:t>》</w:t>
      </w:r>
      <w:r>
        <w:rPr>
          <w:rFonts w:ascii="宋体" w:hAnsi="宋体"/>
          <w:color w:val="auto"/>
          <w:szCs w:val="28"/>
        </w:rPr>
        <w:t>（国家主席令第70</w:t>
      </w:r>
      <w:r>
        <w:rPr>
          <w:rFonts w:ascii="宋体" w:hAnsi="宋体" w:hint="eastAsia"/>
          <w:color w:val="auto"/>
          <w:szCs w:val="28"/>
        </w:rPr>
        <w:t>号</w:t>
      </w:r>
      <w:r>
        <w:rPr>
          <w:rFonts w:ascii="宋体" w:hAnsi="宋体"/>
          <w:color w:val="auto"/>
          <w:szCs w:val="28"/>
        </w:rPr>
        <w:t>发布，2017</w:t>
      </w:r>
      <w:r>
        <w:rPr>
          <w:rFonts w:ascii="宋体" w:hAnsi="宋体" w:hint="eastAsia"/>
          <w:color w:val="auto"/>
          <w:szCs w:val="28"/>
        </w:rPr>
        <w:t>年</w:t>
      </w:r>
      <w:r>
        <w:rPr>
          <w:rFonts w:ascii="宋体" w:hAnsi="宋体"/>
          <w:color w:val="auto"/>
          <w:szCs w:val="28"/>
        </w:rPr>
        <w:t>6</w:t>
      </w:r>
      <w:r>
        <w:rPr>
          <w:rFonts w:ascii="宋体" w:hAnsi="宋体" w:hint="eastAsia"/>
          <w:color w:val="auto"/>
          <w:szCs w:val="28"/>
        </w:rPr>
        <w:t>月</w:t>
      </w:r>
      <w:r>
        <w:rPr>
          <w:rFonts w:ascii="宋体" w:hAnsi="宋体"/>
          <w:color w:val="auto"/>
          <w:szCs w:val="28"/>
        </w:rPr>
        <w:t>27</w:t>
      </w:r>
      <w:r>
        <w:rPr>
          <w:rFonts w:ascii="宋体" w:hAnsi="宋体" w:hint="eastAsia"/>
          <w:color w:val="auto"/>
          <w:szCs w:val="28"/>
        </w:rPr>
        <w:t>日第十二届全国人民代表大会常务委员会第二十八次会议修</w:t>
      </w:r>
      <w:r>
        <w:rPr>
          <w:rFonts w:ascii="宋体" w:hAnsi="宋体" w:hint="eastAsia"/>
          <w:color w:val="auto"/>
          <w:szCs w:val="28"/>
        </w:rPr>
        <w:lastRenderedPageBreak/>
        <w:t>正，自2018年1月1日起施行</w:t>
      </w:r>
      <w:r>
        <w:rPr>
          <w:rFonts w:ascii="宋体" w:hAnsi="宋体"/>
          <w:color w:val="auto"/>
          <w:szCs w:val="28"/>
        </w:rPr>
        <w:t>）</w:t>
      </w:r>
      <w:r>
        <w:rPr>
          <w:rFonts w:ascii="宋体" w:hAnsi="宋体" w:hint="eastAsia"/>
          <w:color w:val="auto"/>
          <w:szCs w:val="28"/>
        </w:rPr>
        <w:t>；</w:t>
      </w:r>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《中华人民共和国劳动合同法实施条例》（国务院令第535号，2008年9月18日起实施）；</w:t>
      </w:r>
    </w:p>
    <w:p w:rsidR="003F13AB" w:rsidRDefault="00EC6E7E">
      <w:pPr>
        <w:numPr>
          <w:ilvl w:val="0"/>
          <w:numId w:val="19"/>
        </w:numPr>
        <w:adjustRightInd/>
        <w:snapToGrid/>
        <w:ind w:left="0" w:firstLine="560"/>
        <w:rPr>
          <w:rFonts w:ascii="宋体" w:hAnsi="宋体"/>
          <w:color w:val="auto"/>
          <w:szCs w:val="28"/>
        </w:rPr>
      </w:pPr>
      <w:r>
        <w:rPr>
          <w:rFonts w:ascii="宋体" w:hAnsi="宋体" w:hint="eastAsia"/>
          <w:color w:val="auto"/>
          <w:szCs w:val="28"/>
        </w:rPr>
        <w:t>《中华人民共和国特种设备安全法》（国家主席令第4号，自2014年1月1日起施行）。</w:t>
      </w:r>
    </w:p>
    <w:p w:rsidR="003F13AB" w:rsidRDefault="00EC6E7E">
      <w:pPr>
        <w:pStyle w:val="2"/>
      </w:pPr>
      <w:bookmarkStart w:id="386" w:name="_Toc187914525"/>
      <w:bookmarkStart w:id="387" w:name="_Toc166857630"/>
      <w:r>
        <w:rPr>
          <w:rFonts w:hint="eastAsia"/>
        </w:rPr>
        <w:t>7.2 行政法规</w:t>
      </w:r>
      <w:bookmarkEnd w:id="386"/>
    </w:p>
    <w:p w:rsidR="003F13AB" w:rsidRDefault="00EC6E7E">
      <w:pPr>
        <w:ind w:firstLine="560"/>
        <w:rPr>
          <w:rFonts w:ascii="宋体" w:hAnsi="宋体"/>
        </w:rPr>
      </w:pPr>
      <w:r>
        <w:rPr>
          <w:rFonts w:ascii="宋体" w:hAnsi="宋体" w:hint="eastAsia"/>
        </w:rPr>
        <w:t>（1）《建设工程安全生产管理条例》（中华人民共和国国务院令第393号）；</w:t>
      </w:r>
    </w:p>
    <w:p w:rsidR="003F13AB" w:rsidRDefault="00EC6E7E">
      <w:pPr>
        <w:ind w:firstLine="560"/>
        <w:rPr>
          <w:rFonts w:ascii="宋体" w:hAnsi="宋体"/>
        </w:rPr>
      </w:pPr>
      <w:r>
        <w:rPr>
          <w:rFonts w:ascii="宋体" w:hAnsi="宋体" w:hint="eastAsia"/>
          <w:color w:val="auto"/>
          <w:szCs w:val="28"/>
        </w:rPr>
        <w:t>（2）《国务院关于修改&lt;工伤保险条例&gt;的决定》（国务院令第586号，自2011年1月1日实施）；</w:t>
      </w:r>
    </w:p>
    <w:p w:rsidR="003F13AB" w:rsidRDefault="00EC6E7E">
      <w:pPr>
        <w:ind w:firstLine="560"/>
        <w:rPr>
          <w:rFonts w:ascii="宋体" w:hAnsi="宋体"/>
        </w:rPr>
      </w:pPr>
      <w:r>
        <w:rPr>
          <w:rFonts w:ascii="宋体" w:hAnsi="宋体" w:hint="eastAsia"/>
          <w:color w:val="auto"/>
          <w:szCs w:val="28"/>
        </w:rPr>
        <w:t>（3）《危险化学品安全管理条例》（国务院第591号令，645号修订，自2013年12月7日起施行）；</w:t>
      </w:r>
    </w:p>
    <w:p w:rsidR="003F13AB" w:rsidRDefault="00EC6E7E">
      <w:pPr>
        <w:ind w:firstLine="560"/>
        <w:rPr>
          <w:rFonts w:ascii="宋体" w:hAnsi="宋体"/>
        </w:rPr>
      </w:pPr>
      <w:r>
        <w:rPr>
          <w:rFonts w:ascii="宋体" w:hAnsi="宋体"/>
          <w:color w:val="auto"/>
          <w:szCs w:val="28"/>
        </w:rPr>
        <w:t>（</w:t>
      </w:r>
      <w:r>
        <w:rPr>
          <w:rFonts w:ascii="宋体" w:hAnsi="宋体" w:hint="eastAsia"/>
          <w:color w:val="auto"/>
          <w:szCs w:val="28"/>
        </w:rPr>
        <w:t>4）</w:t>
      </w:r>
      <w:r>
        <w:rPr>
          <w:rFonts w:ascii="宋体" w:hAnsi="宋体"/>
          <w:color w:val="auto"/>
          <w:szCs w:val="28"/>
        </w:rPr>
        <w:t>《易制毒化学品管理条例》（</w:t>
      </w:r>
      <w:r>
        <w:rPr>
          <w:rFonts w:ascii="宋体" w:hAnsi="宋体" w:hint="eastAsia"/>
          <w:color w:val="auto"/>
          <w:szCs w:val="28"/>
        </w:rPr>
        <w:t>中华人民共和国国务院令第445号颁布，第653、666、703号修改，自2018年9月18日起施行</w:t>
      </w:r>
      <w:r>
        <w:rPr>
          <w:rFonts w:ascii="宋体" w:hAnsi="宋体"/>
          <w:color w:val="auto"/>
          <w:szCs w:val="28"/>
        </w:rPr>
        <w:t>）</w:t>
      </w:r>
      <w:r>
        <w:rPr>
          <w:rFonts w:ascii="宋体" w:hAnsi="宋体" w:hint="eastAsia"/>
          <w:color w:val="auto"/>
          <w:szCs w:val="28"/>
        </w:rPr>
        <w:t>；</w:t>
      </w:r>
    </w:p>
    <w:p w:rsidR="003F13AB" w:rsidRDefault="00EC6E7E">
      <w:pPr>
        <w:ind w:firstLine="560"/>
        <w:rPr>
          <w:rFonts w:ascii="宋体" w:hAnsi="宋体"/>
        </w:rPr>
      </w:pPr>
      <w:r>
        <w:rPr>
          <w:rFonts w:ascii="宋体" w:hAnsi="宋体" w:hint="eastAsia"/>
        </w:rPr>
        <w:t>（5）</w:t>
      </w:r>
      <w:r>
        <w:rPr>
          <w:rFonts w:ascii="宋体" w:hAnsi="宋体" w:hint="eastAsia"/>
          <w:color w:val="auto"/>
          <w:szCs w:val="28"/>
        </w:rPr>
        <w:t>《生产安全事故应急条例》</w:t>
      </w:r>
      <w:r>
        <w:rPr>
          <w:rFonts w:ascii="宋体" w:hAnsi="宋体"/>
          <w:color w:val="auto"/>
          <w:szCs w:val="28"/>
        </w:rPr>
        <w:t>（</w:t>
      </w:r>
      <w:r>
        <w:rPr>
          <w:rFonts w:ascii="宋体" w:hAnsi="宋体" w:hint="eastAsia"/>
          <w:color w:val="auto"/>
          <w:szCs w:val="28"/>
        </w:rPr>
        <w:t>中华人民共和国国务院令第708号</w:t>
      </w:r>
      <w:r>
        <w:rPr>
          <w:rFonts w:ascii="宋体" w:hAnsi="宋体"/>
          <w:color w:val="auto"/>
          <w:szCs w:val="28"/>
        </w:rPr>
        <w:t>，2019</w:t>
      </w:r>
      <w:r>
        <w:rPr>
          <w:rFonts w:ascii="宋体" w:hAnsi="宋体" w:hint="eastAsia"/>
          <w:color w:val="auto"/>
          <w:szCs w:val="28"/>
        </w:rPr>
        <w:t>年</w:t>
      </w:r>
      <w:r>
        <w:rPr>
          <w:rFonts w:ascii="宋体" w:hAnsi="宋体"/>
          <w:color w:val="auto"/>
          <w:szCs w:val="28"/>
        </w:rPr>
        <w:t>4</w:t>
      </w:r>
      <w:r>
        <w:rPr>
          <w:rFonts w:ascii="宋体" w:hAnsi="宋体" w:hint="eastAsia"/>
          <w:color w:val="auto"/>
          <w:szCs w:val="28"/>
        </w:rPr>
        <w:t>月</w:t>
      </w:r>
      <w:r>
        <w:rPr>
          <w:rFonts w:ascii="宋体" w:hAnsi="宋体"/>
          <w:color w:val="auto"/>
          <w:szCs w:val="28"/>
        </w:rPr>
        <w:t>1</w:t>
      </w:r>
      <w:r>
        <w:rPr>
          <w:rFonts w:ascii="宋体" w:hAnsi="宋体" w:hint="eastAsia"/>
          <w:color w:val="auto"/>
          <w:szCs w:val="28"/>
        </w:rPr>
        <w:t>日起实施</w:t>
      </w:r>
      <w:r>
        <w:rPr>
          <w:rFonts w:ascii="宋体" w:hAnsi="宋体"/>
          <w:color w:val="auto"/>
          <w:szCs w:val="28"/>
        </w:rPr>
        <w:t>）；</w:t>
      </w:r>
    </w:p>
    <w:p w:rsidR="003F13AB" w:rsidRDefault="00EC6E7E">
      <w:pPr>
        <w:ind w:firstLine="560"/>
        <w:rPr>
          <w:rFonts w:ascii="宋体" w:hAnsi="宋体"/>
        </w:rPr>
      </w:pPr>
      <w:r>
        <w:rPr>
          <w:rFonts w:ascii="宋体" w:hAnsi="宋体" w:hint="eastAsia"/>
        </w:rPr>
        <w:t>（6）《生产安全事故报告和调查处理条例》（中华人民共和国国务院令第493号）；</w:t>
      </w:r>
    </w:p>
    <w:p w:rsidR="003F13AB" w:rsidRDefault="00EC6E7E">
      <w:pPr>
        <w:ind w:firstLine="560"/>
        <w:rPr>
          <w:rFonts w:ascii="宋体" w:hAnsi="宋体"/>
        </w:rPr>
      </w:pPr>
      <w:r>
        <w:rPr>
          <w:rFonts w:ascii="宋体" w:hAnsi="宋体" w:hint="eastAsia"/>
        </w:rPr>
        <w:t>（7）《中华人民共和国劳动合同法实施条例》（中华人民共和国国务院令第535号）；</w:t>
      </w:r>
    </w:p>
    <w:p w:rsidR="003F13AB" w:rsidRDefault="00EC6E7E">
      <w:pPr>
        <w:ind w:firstLine="560"/>
        <w:rPr>
          <w:rFonts w:ascii="宋体" w:hAnsi="宋体"/>
        </w:rPr>
      </w:pPr>
      <w:r>
        <w:rPr>
          <w:rFonts w:ascii="宋体" w:hAnsi="宋体" w:hint="eastAsia"/>
        </w:rPr>
        <w:t>（8）《国务院关于进一步加强企业安全生产工作的通知》（国发〔2010〕23号，2010年7月19日起施行）；</w:t>
      </w:r>
    </w:p>
    <w:p w:rsidR="003F13AB" w:rsidRPr="00F9729A" w:rsidRDefault="00EC6E7E">
      <w:pPr>
        <w:ind w:firstLine="560"/>
        <w:rPr>
          <w:rFonts w:ascii="宋体" w:hAnsi="宋体"/>
          <w:color w:val="auto"/>
        </w:rPr>
      </w:pPr>
      <w:r>
        <w:rPr>
          <w:rFonts w:ascii="宋体" w:hAnsi="宋体" w:hint="eastAsia"/>
        </w:rPr>
        <w:t>（9）</w:t>
      </w:r>
      <w:r w:rsidRPr="00F9729A">
        <w:rPr>
          <w:rFonts w:ascii="宋体" w:hAnsi="宋体" w:hint="eastAsia"/>
          <w:color w:val="auto"/>
        </w:rPr>
        <w:t>《国务院关于修改〈特种设备安全监察条例〉的决定》（中华人民共和国国务院令第549号，已经2009年1月14日国务院第46次常务会议通过，现予公布，自2009年5月1日起施行）；</w:t>
      </w:r>
    </w:p>
    <w:p w:rsidR="003F13AB" w:rsidRPr="00F9729A" w:rsidRDefault="00EC6E7E">
      <w:pPr>
        <w:ind w:firstLine="560"/>
        <w:rPr>
          <w:rFonts w:ascii="宋体" w:hAnsi="宋体"/>
          <w:color w:val="auto"/>
        </w:rPr>
      </w:pPr>
      <w:r w:rsidRPr="00F9729A">
        <w:rPr>
          <w:rFonts w:ascii="宋体" w:hAnsi="宋体" w:hint="eastAsia"/>
          <w:color w:val="auto"/>
        </w:rPr>
        <w:lastRenderedPageBreak/>
        <w:t>（10）《特种设备使用单位落实使用安全主体责任监督管理规定》（2023年4月4日国家市场监督管理总局令第74号公布 自2023年5月5日起施行）；</w:t>
      </w:r>
    </w:p>
    <w:p w:rsidR="003F13AB" w:rsidRPr="00F9729A" w:rsidRDefault="00EC6E7E">
      <w:pPr>
        <w:ind w:firstLine="560"/>
        <w:rPr>
          <w:rFonts w:ascii="宋体" w:hAnsi="宋体"/>
          <w:color w:val="auto"/>
        </w:rPr>
      </w:pPr>
      <w:r w:rsidRPr="00F9729A">
        <w:rPr>
          <w:rFonts w:ascii="宋体" w:hAnsi="宋体" w:hint="eastAsia"/>
          <w:color w:val="auto"/>
        </w:rPr>
        <w:t>（11）《工贸企业有限空间作业安全规定》（</w:t>
      </w:r>
      <w:proofErr w:type="gramStart"/>
      <w:r w:rsidRPr="00F9729A">
        <w:rPr>
          <w:rFonts w:ascii="宋体" w:hAnsi="宋体" w:hint="eastAsia"/>
          <w:color w:val="auto"/>
        </w:rPr>
        <w:t>应急部</w:t>
      </w:r>
      <w:proofErr w:type="gramEnd"/>
      <w:r w:rsidRPr="00F9729A">
        <w:rPr>
          <w:rFonts w:ascii="宋体" w:hAnsi="宋体" w:hint="eastAsia"/>
          <w:color w:val="auto"/>
        </w:rPr>
        <w:t>第13号令）</w:t>
      </w:r>
    </w:p>
    <w:p w:rsidR="003F13AB" w:rsidRPr="00F9729A" w:rsidRDefault="00EC6E7E">
      <w:pPr>
        <w:ind w:firstLine="560"/>
        <w:rPr>
          <w:rFonts w:ascii="宋体" w:hAnsi="宋体"/>
          <w:color w:val="auto"/>
        </w:rPr>
      </w:pPr>
      <w:r w:rsidRPr="00F9729A">
        <w:rPr>
          <w:rFonts w:ascii="宋体" w:hAnsi="宋体" w:hint="eastAsia"/>
          <w:color w:val="auto"/>
        </w:rPr>
        <w:t>（12）《锅炉安全技术规程》（TSG11-2020）。</w:t>
      </w:r>
    </w:p>
    <w:p w:rsidR="003F13AB" w:rsidRDefault="00EC6E7E">
      <w:pPr>
        <w:pStyle w:val="2"/>
      </w:pPr>
      <w:bookmarkStart w:id="388" w:name="_Toc187914526"/>
      <w:r>
        <w:rPr>
          <w:rFonts w:hint="eastAsia"/>
        </w:rPr>
        <w:t>7.3 部门规章</w:t>
      </w:r>
      <w:bookmarkEnd w:id="387"/>
      <w:bookmarkEnd w:id="388"/>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《防雷减灾管理办法》（中国气象局令第24号）；</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《工贸企业重大事故隐患判定标准》（中华人民共和国应急管理部令第10号，2023年5月15日起施行）；</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国家安全监管总局、工业和信息化部关于危险化学品企业贯彻落实《国务院关于进一步加强企业安全生产工作的通知》的实施意见（安监总管三〔2010〕</w:t>
      </w:r>
      <w:r>
        <w:rPr>
          <w:rFonts w:ascii="宋体" w:hAnsi="宋体" w:hint="eastAsia"/>
          <w:color w:val="auto"/>
          <w:szCs w:val="28"/>
        </w:rPr>
        <w:t>186</w:t>
      </w:r>
      <w:r>
        <w:rPr>
          <w:rFonts w:ascii="宋体" w:hAnsi="宋体"/>
          <w:color w:val="auto"/>
          <w:szCs w:val="28"/>
        </w:rPr>
        <w:t>号）；</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《特种作业人员安全技术培训考核管理规定》（国家安全生产监督管理总局令30号，</w:t>
      </w:r>
      <w:r>
        <w:rPr>
          <w:rFonts w:ascii="宋体" w:hAnsi="宋体" w:hint="eastAsia"/>
          <w:color w:val="auto"/>
          <w:szCs w:val="28"/>
        </w:rPr>
        <w:t>80号令修订，</w:t>
      </w:r>
      <w:r>
        <w:rPr>
          <w:rFonts w:ascii="宋体" w:hAnsi="宋体"/>
          <w:color w:val="auto"/>
          <w:szCs w:val="28"/>
        </w:rPr>
        <w:t>2015年</w:t>
      </w:r>
      <w:r>
        <w:rPr>
          <w:rFonts w:ascii="宋体" w:hAnsi="宋体" w:hint="eastAsia"/>
          <w:color w:val="auto"/>
          <w:szCs w:val="28"/>
        </w:rPr>
        <w:t>7</w:t>
      </w:r>
      <w:r>
        <w:rPr>
          <w:rFonts w:ascii="宋体" w:hAnsi="宋体"/>
          <w:color w:val="auto"/>
          <w:szCs w:val="28"/>
        </w:rPr>
        <w:t>月</w:t>
      </w:r>
      <w:r>
        <w:rPr>
          <w:rFonts w:ascii="宋体" w:hAnsi="宋体" w:hint="eastAsia"/>
          <w:color w:val="auto"/>
          <w:szCs w:val="28"/>
        </w:rPr>
        <w:t>1</w:t>
      </w:r>
      <w:r>
        <w:rPr>
          <w:rFonts w:ascii="宋体" w:hAnsi="宋体"/>
          <w:color w:val="auto"/>
          <w:szCs w:val="28"/>
        </w:rPr>
        <w:t>日</w:t>
      </w:r>
      <w:r>
        <w:rPr>
          <w:rFonts w:ascii="宋体" w:hAnsi="宋体" w:hint="eastAsia"/>
          <w:color w:val="auto"/>
          <w:szCs w:val="28"/>
        </w:rPr>
        <w:t>实施</w:t>
      </w:r>
      <w:r>
        <w:rPr>
          <w:rFonts w:ascii="宋体" w:hAnsi="宋体"/>
          <w:color w:val="auto"/>
          <w:szCs w:val="28"/>
        </w:rPr>
        <w:t>）；</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《国家安全监管总局关于修改〈生产经营单位安全培训规定〉等11件规章的决定》（国家安全生产监督管理总局第63号公布，自2013年8月29日起施行）；</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《国家安全监管总局关于废止和修改劳动防护用品和安全培训等领域十部规章的决定》（国家安全生产监督管理总局令第80号，自2015年7月1日起施行）；</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《生产安全事故应急预案管理办法》（</w:t>
      </w:r>
      <w:r>
        <w:rPr>
          <w:rFonts w:ascii="宋体" w:hAnsi="宋体" w:hint="eastAsia"/>
          <w:color w:val="auto"/>
          <w:szCs w:val="28"/>
        </w:rPr>
        <w:t>2019年7月11日应急管理部令第2号令修订</w:t>
      </w:r>
      <w:r>
        <w:rPr>
          <w:rFonts w:ascii="宋体" w:hAnsi="宋体"/>
          <w:color w:val="auto"/>
          <w:szCs w:val="28"/>
        </w:rPr>
        <w:t>）；</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《危险化学品目录》（</w:t>
      </w:r>
      <w:r>
        <w:rPr>
          <w:rFonts w:ascii="宋体" w:hAnsi="宋体" w:hint="eastAsia"/>
          <w:color w:val="auto"/>
          <w:szCs w:val="28"/>
        </w:rPr>
        <w:t>2022调整</w:t>
      </w:r>
      <w:r>
        <w:rPr>
          <w:rFonts w:ascii="宋体" w:hAnsi="宋体"/>
          <w:color w:val="auto"/>
          <w:szCs w:val="28"/>
        </w:rPr>
        <w:t>版）</w:t>
      </w:r>
      <w:r>
        <w:rPr>
          <w:rFonts w:ascii="宋体" w:hAnsi="宋体" w:hint="eastAsia"/>
          <w:color w:val="auto"/>
          <w:szCs w:val="28"/>
        </w:rPr>
        <w:t>（应急管理部等10部门公告2022年第8号）</w:t>
      </w:r>
      <w:r>
        <w:rPr>
          <w:rFonts w:ascii="宋体" w:hAnsi="宋体"/>
          <w:color w:val="auto"/>
          <w:szCs w:val="28"/>
        </w:rPr>
        <w:t>；</w:t>
      </w:r>
    </w:p>
    <w:p w:rsidR="003F13AB" w:rsidRDefault="00EC6E7E">
      <w:pPr>
        <w:numPr>
          <w:ilvl w:val="0"/>
          <w:numId w:val="20"/>
        </w:numPr>
        <w:adjustRightInd/>
        <w:snapToGrid/>
        <w:ind w:left="0" w:firstLine="560"/>
        <w:rPr>
          <w:rFonts w:ascii="宋体" w:hAnsi="宋体"/>
          <w:color w:val="auto"/>
          <w:szCs w:val="28"/>
        </w:rPr>
      </w:pPr>
      <w:bookmarkStart w:id="389" w:name="_Hlk71365016"/>
      <w:r>
        <w:rPr>
          <w:rFonts w:ascii="宋体" w:hAnsi="宋体"/>
          <w:color w:val="auto"/>
          <w:szCs w:val="28"/>
        </w:rPr>
        <w:t>《危险化学品目录（2015版）实施指南（试行）》</w:t>
      </w:r>
      <w:bookmarkEnd w:id="389"/>
      <w:r>
        <w:rPr>
          <w:rFonts w:ascii="宋体" w:hAnsi="宋体"/>
          <w:color w:val="auto"/>
          <w:szCs w:val="28"/>
        </w:rPr>
        <w:t>（安</w:t>
      </w:r>
      <w:proofErr w:type="gramStart"/>
      <w:r>
        <w:rPr>
          <w:rFonts w:ascii="宋体" w:hAnsi="宋体"/>
          <w:color w:val="auto"/>
          <w:szCs w:val="28"/>
        </w:rPr>
        <w:t>监总厅</w:t>
      </w:r>
      <w:proofErr w:type="gramEnd"/>
      <w:r>
        <w:rPr>
          <w:rFonts w:ascii="宋体" w:hAnsi="宋体"/>
          <w:color w:val="auto"/>
          <w:szCs w:val="28"/>
        </w:rPr>
        <w:t>管</w:t>
      </w:r>
      <w:r>
        <w:rPr>
          <w:rFonts w:ascii="宋体" w:hAnsi="宋体"/>
          <w:color w:val="auto"/>
          <w:szCs w:val="28"/>
        </w:rPr>
        <w:lastRenderedPageBreak/>
        <w:t xml:space="preserve">三〔2015〕80号）； </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《建设项目安全设施“三同时”监督管理办法》（国家安全生产监督管理总局令第36号，2010公布，2015年国家安全监管总局令第77号修正）；</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《关于首批重点</w:t>
      </w:r>
      <w:r>
        <w:rPr>
          <w:rFonts w:ascii="宋体" w:hAnsi="宋体" w:hint="eastAsia"/>
          <w:color w:val="auto"/>
          <w:szCs w:val="28"/>
        </w:rPr>
        <w:t>监管</w:t>
      </w:r>
      <w:r>
        <w:rPr>
          <w:rFonts w:ascii="宋体" w:hAnsi="宋体"/>
          <w:color w:val="auto"/>
          <w:szCs w:val="28"/>
        </w:rPr>
        <w:t>的危险化工工艺目录的通知》（安监总管三[2009]116号）；</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《国家安全监管总局关于公布第二批重点监管危险化工工艺目录和调整首批重点监管危险化工工艺中部分典型工艺的通知》（安监总管三〔2013〕3号）；</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《国家安全监管总局关于公布首批重点监管的危险化学品名录的通知》（安监总管三〔2011〕95号）；</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《国家安全监管总局关于公布第二批重点监管危险化学品名录的通知》（安监总管三〔2013〕12号）；</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《危险化学品重大危险源监督管理暂行规定》（国家安全生产监督管理总局令第40号，79号令修订，自2015年7月1日实施）；</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《安全生产事故隐患排查治理暂行规定》（国家安全生产监督管理总局令第16号，自2008年2月1日起施行）；</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《安全生产违法行为行政处罚办法》（国家安全生产监督管理总局令第1</w:t>
      </w:r>
      <w:r>
        <w:rPr>
          <w:rFonts w:ascii="宋体" w:hAnsi="宋体" w:hint="eastAsia"/>
          <w:color w:val="auto"/>
          <w:szCs w:val="28"/>
        </w:rPr>
        <w:t>5</w:t>
      </w:r>
      <w:r>
        <w:rPr>
          <w:rFonts w:ascii="宋体" w:hAnsi="宋体"/>
          <w:color w:val="auto"/>
          <w:szCs w:val="28"/>
        </w:rPr>
        <w:t>号公布</w:t>
      </w:r>
      <w:r>
        <w:rPr>
          <w:rFonts w:ascii="宋体" w:hAnsi="宋体" w:hint="eastAsia"/>
          <w:color w:val="auto"/>
          <w:szCs w:val="28"/>
        </w:rPr>
        <w:t>，77号修改，自2015年5月1日起施行）；</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《机关、团体、企业、事业单位消防安全管理规定》（公安部第61号</w:t>
      </w:r>
      <w:r>
        <w:rPr>
          <w:rFonts w:ascii="宋体" w:hAnsi="宋体" w:hint="eastAsia"/>
          <w:color w:val="auto"/>
          <w:szCs w:val="28"/>
        </w:rPr>
        <w:t>公布，自</w:t>
      </w:r>
      <w:r>
        <w:rPr>
          <w:rFonts w:ascii="宋体" w:hAnsi="宋体"/>
          <w:color w:val="auto"/>
          <w:szCs w:val="28"/>
        </w:rPr>
        <w:t>200</w:t>
      </w:r>
      <w:r>
        <w:rPr>
          <w:rFonts w:ascii="宋体" w:hAnsi="宋体" w:hint="eastAsia"/>
          <w:color w:val="auto"/>
          <w:szCs w:val="28"/>
        </w:rPr>
        <w:t>2</w:t>
      </w:r>
      <w:r>
        <w:rPr>
          <w:rFonts w:ascii="宋体" w:hAnsi="宋体"/>
          <w:color w:val="auto"/>
          <w:szCs w:val="28"/>
        </w:rPr>
        <w:t>年</w:t>
      </w:r>
      <w:r>
        <w:rPr>
          <w:rFonts w:ascii="宋体" w:hAnsi="宋体" w:hint="eastAsia"/>
          <w:color w:val="auto"/>
          <w:szCs w:val="28"/>
        </w:rPr>
        <w:t>5月1日起施行</w:t>
      </w:r>
      <w:r>
        <w:rPr>
          <w:rFonts w:ascii="宋体" w:hAnsi="宋体"/>
          <w:color w:val="auto"/>
          <w:szCs w:val="28"/>
        </w:rPr>
        <w:t>）；</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《消防监督检查规定》（公安部令第120号公布, 自2012年11月1日起施行）；</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《关于印发&lt;企业安全生产费用提取和使用管理办法&gt;的通知》（财资[2022]136号，2022年11月21日）；</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lastRenderedPageBreak/>
        <w:t>《产业结构调整指导目录（2024年本）》（根据《国务院关于发布实施&lt;促进产业结构调整暂行规定&gt;的决定》（国发[2005]40号），国家发展改革委牵头会同相关部门共同修订形成）；</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《生产经营单位安全培训规定（2015修正）》（国家安监总局令第3号公布，第63号第一次修正，第80号第二次修正，自2015年7月1日实施）；</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《国家安全监督管理总局办公厅关于印发生产经营单位生产安全事故应急预案评审指南（试行）的通知》（安</w:t>
      </w:r>
      <w:proofErr w:type="gramStart"/>
      <w:r>
        <w:rPr>
          <w:rFonts w:ascii="宋体" w:hAnsi="宋体" w:hint="eastAsia"/>
          <w:color w:val="auto"/>
          <w:szCs w:val="28"/>
        </w:rPr>
        <w:t>监总厅</w:t>
      </w:r>
      <w:proofErr w:type="gramEnd"/>
      <w:r>
        <w:rPr>
          <w:rFonts w:ascii="宋体" w:hAnsi="宋体" w:hint="eastAsia"/>
          <w:color w:val="auto"/>
          <w:szCs w:val="28"/>
        </w:rPr>
        <w:t>应急[2009]73号）；</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《特别管控危险化学品目录（第一版）》（应急管理部 工业和信息化部 公安部 交通运输部2020年公告第3号）；</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《建设工程消防设计审查验收管理暂行规定》(中华人民共和国住房和城乡建设部令第51号自2020年6月1日起施行)；</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w:t>
      </w:r>
      <w:r>
        <w:rPr>
          <w:rFonts w:ascii="宋体" w:hAnsi="宋体" w:hint="eastAsia"/>
          <w:color w:val="auto"/>
          <w:szCs w:val="28"/>
        </w:rPr>
        <w:t>各类监控化学品名录》（中华人民共和国工业和信息化部令第52号）</w:t>
      </w:r>
      <w:r>
        <w:rPr>
          <w:rFonts w:ascii="宋体" w:hAnsi="宋体"/>
          <w:color w:val="auto"/>
          <w:szCs w:val="28"/>
        </w:rPr>
        <w:t>；</w:t>
      </w:r>
    </w:p>
    <w:p w:rsidR="003F13AB" w:rsidRDefault="00EC6E7E">
      <w:pPr>
        <w:numPr>
          <w:ilvl w:val="0"/>
          <w:numId w:val="20"/>
        </w:numPr>
        <w:adjustRightInd/>
        <w:snapToGrid/>
        <w:ind w:left="0" w:firstLine="560"/>
        <w:rPr>
          <w:rFonts w:ascii="宋体" w:hAnsi="宋体"/>
          <w:color w:val="auto"/>
          <w:szCs w:val="28"/>
        </w:rPr>
      </w:pPr>
      <w:r>
        <w:rPr>
          <w:rFonts w:ascii="宋体" w:hAnsi="宋体"/>
          <w:color w:val="auto"/>
          <w:szCs w:val="28"/>
        </w:rPr>
        <w:t>《</w:t>
      </w:r>
      <w:r>
        <w:rPr>
          <w:rFonts w:ascii="宋体" w:hAnsi="宋体" w:hint="eastAsia"/>
          <w:color w:val="auto"/>
          <w:szCs w:val="28"/>
        </w:rPr>
        <w:t>危险化学品建设项目安全评价细则(试行）》（安</w:t>
      </w:r>
      <w:proofErr w:type="gramStart"/>
      <w:r>
        <w:rPr>
          <w:rFonts w:ascii="宋体" w:hAnsi="宋体" w:hint="eastAsia"/>
          <w:color w:val="auto"/>
          <w:szCs w:val="28"/>
        </w:rPr>
        <w:t>监总危化</w:t>
      </w:r>
      <w:proofErr w:type="gramEnd"/>
      <w:r>
        <w:rPr>
          <w:rFonts w:ascii="宋体" w:hAnsi="宋体" w:hint="eastAsia"/>
          <w:color w:val="auto"/>
          <w:szCs w:val="28"/>
        </w:rPr>
        <w:t>〔2007〕255号）；</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《工作场所职业卫生管理规定》（国家卫生健康委令第5号，已经2020年12月4日第2次委</w:t>
      </w:r>
      <w:proofErr w:type="gramStart"/>
      <w:r>
        <w:rPr>
          <w:rFonts w:ascii="宋体" w:hAnsi="宋体" w:hint="eastAsia"/>
          <w:color w:val="auto"/>
          <w:szCs w:val="28"/>
        </w:rPr>
        <w:t>务</w:t>
      </w:r>
      <w:proofErr w:type="gramEnd"/>
      <w:r>
        <w:rPr>
          <w:rFonts w:ascii="宋体" w:hAnsi="宋体" w:hint="eastAsia"/>
          <w:color w:val="auto"/>
          <w:szCs w:val="28"/>
        </w:rPr>
        <w:t>会议审议通过，自2021年2月1日起施行）；</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《用人单位劳动防护用品管理规范》（安</w:t>
      </w:r>
      <w:proofErr w:type="gramStart"/>
      <w:r>
        <w:rPr>
          <w:rFonts w:ascii="宋体" w:hAnsi="宋体" w:hint="eastAsia"/>
          <w:color w:val="auto"/>
          <w:szCs w:val="28"/>
        </w:rPr>
        <w:t>监总厅安</w:t>
      </w:r>
      <w:proofErr w:type="gramEnd"/>
      <w:r>
        <w:rPr>
          <w:rFonts w:ascii="宋体" w:hAnsi="宋体" w:hint="eastAsia"/>
          <w:color w:val="auto"/>
          <w:szCs w:val="28"/>
        </w:rPr>
        <w:t>健〔2018〕3号）；</w:t>
      </w:r>
    </w:p>
    <w:p w:rsidR="003F13AB" w:rsidRDefault="00EC6E7E">
      <w:pPr>
        <w:numPr>
          <w:ilvl w:val="0"/>
          <w:numId w:val="20"/>
        </w:numPr>
        <w:adjustRightInd/>
        <w:snapToGrid/>
        <w:ind w:left="0" w:firstLine="560"/>
        <w:rPr>
          <w:rFonts w:ascii="宋体" w:hAnsi="宋体"/>
          <w:color w:val="auto"/>
          <w:szCs w:val="28"/>
        </w:rPr>
      </w:pPr>
      <w:r>
        <w:rPr>
          <w:rFonts w:ascii="宋体" w:hAnsi="宋体" w:hint="eastAsia"/>
          <w:color w:val="auto"/>
          <w:szCs w:val="28"/>
        </w:rPr>
        <w:t>《生产安全事故罚款处罚规定》（中华人民共和国应急管理部令第14号，自2024年3月1日起施行）。</w:t>
      </w:r>
    </w:p>
    <w:p w:rsidR="003F13AB" w:rsidRDefault="00EC6E7E">
      <w:pPr>
        <w:pStyle w:val="2"/>
      </w:pPr>
      <w:bookmarkStart w:id="390" w:name="_Toc166857631"/>
      <w:bookmarkStart w:id="391" w:name="_Toc187914527"/>
      <w:bookmarkStart w:id="392" w:name="_Toc297737206"/>
      <w:bookmarkStart w:id="393" w:name="_Toc338949236"/>
      <w:bookmarkStart w:id="394" w:name="_Toc313716326"/>
      <w:bookmarkStart w:id="395" w:name="_Toc310243823"/>
      <w:bookmarkStart w:id="396" w:name="_Toc316585295"/>
      <w:bookmarkStart w:id="397" w:name="_Toc339727428"/>
      <w:bookmarkStart w:id="398" w:name="_Toc173155557"/>
      <w:bookmarkStart w:id="399" w:name="_Toc342479346"/>
      <w:bookmarkStart w:id="400" w:name="_Toc316585033"/>
      <w:bookmarkStart w:id="401" w:name="_Toc306353292"/>
      <w:bookmarkStart w:id="402" w:name="_Toc297900061"/>
      <w:bookmarkStart w:id="403" w:name="_Toc293586538"/>
      <w:bookmarkStart w:id="404" w:name="_Toc392234470"/>
      <w:bookmarkStart w:id="405" w:name="_Toc293647158"/>
      <w:bookmarkStart w:id="406" w:name="_Toc314084037"/>
      <w:bookmarkStart w:id="407" w:name="_Toc424062635"/>
      <w:bookmarkStart w:id="408" w:name="_Toc325135708"/>
      <w:bookmarkStart w:id="409" w:name="_Toc300059764"/>
      <w:bookmarkStart w:id="410" w:name="_Toc184381176"/>
      <w:bookmarkStart w:id="411" w:name="_Toc413331913"/>
      <w:r>
        <w:rPr>
          <w:rFonts w:hint="eastAsia"/>
        </w:rPr>
        <w:t>7.4地方法规及文件</w:t>
      </w:r>
      <w:bookmarkEnd w:id="390"/>
      <w:bookmarkEnd w:id="391"/>
    </w:p>
    <w:p w:rsidR="003F13AB" w:rsidRDefault="00EC6E7E">
      <w:pPr>
        <w:numPr>
          <w:ilvl w:val="0"/>
          <w:numId w:val="21"/>
        </w:numPr>
        <w:adjustRightInd/>
        <w:snapToGrid/>
        <w:ind w:left="0" w:firstLine="560"/>
        <w:rPr>
          <w:rFonts w:ascii="宋体" w:hAnsi="宋体"/>
          <w:color w:val="auto"/>
          <w:szCs w:val="28"/>
        </w:rPr>
      </w:pPr>
      <w:r>
        <w:rPr>
          <w:rFonts w:ascii="宋体" w:hAnsi="宋体"/>
          <w:color w:val="auto"/>
          <w:szCs w:val="28"/>
        </w:rPr>
        <w:t>《云南省安全生产条例》（</w:t>
      </w:r>
      <w:r>
        <w:rPr>
          <w:rFonts w:ascii="宋体" w:hAnsi="宋体" w:hint="eastAsia"/>
          <w:color w:val="auto"/>
          <w:szCs w:val="28"/>
        </w:rPr>
        <w:t>云南省第十二届人民代表大会常务委</w:t>
      </w:r>
      <w:r>
        <w:rPr>
          <w:rFonts w:ascii="宋体" w:hAnsi="宋体" w:hint="eastAsia"/>
          <w:color w:val="auto"/>
          <w:szCs w:val="28"/>
        </w:rPr>
        <w:lastRenderedPageBreak/>
        <w:t>员会公告（第63号），2017年11月30日云南省第十二届人民代表大会常务委员会第三十八次会议通过，自2018年1月1日起施行</w:t>
      </w:r>
      <w:r>
        <w:rPr>
          <w:rFonts w:ascii="宋体" w:hAnsi="宋体"/>
          <w:color w:val="auto"/>
          <w:szCs w:val="28"/>
        </w:rPr>
        <w:t>）；</w:t>
      </w:r>
    </w:p>
    <w:p w:rsidR="003F13AB" w:rsidRDefault="00EC6E7E">
      <w:pPr>
        <w:numPr>
          <w:ilvl w:val="0"/>
          <w:numId w:val="21"/>
        </w:numPr>
        <w:adjustRightInd/>
        <w:snapToGrid/>
        <w:ind w:left="0" w:firstLine="560"/>
        <w:rPr>
          <w:rFonts w:ascii="宋体" w:hAnsi="宋体"/>
          <w:color w:val="auto"/>
          <w:szCs w:val="28"/>
        </w:rPr>
      </w:pPr>
      <w:r>
        <w:rPr>
          <w:rFonts w:ascii="宋体" w:hAnsi="宋体" w:hint="eastAsia"/>
          <w:color w:val="auto"/>
          <w:szCs w:val="28"/>
        </w:rPr>
        <w:t>《云南省安全生产委员会关于进一步落实企业全员安全生产责任制的指导意见》（云安〔2017〕10号）</w:t>
      </w:r>
      <w:r>
        <w:rPr>
          <w:rFonts w:ascii="宋体" w:hAnsi="宋体"/>
          <w:color w:val="auto"/>
          <w:szCs w:val="28"/>
        </w:rPr>
        <w:t>；</w:t>
      </w:r>
    </w:p>
    <w:p w:rsidR="003F13AB" w:rsidRDefault="00EC6E7E">
      <w:pPr>
        <w:numPr>
          <w:ilvl w:val="0"/>
          <w:numId w:val="21"/>
        </w:numPr>
        <w:adjustRightInd/>
        <w:snapToGrid/>
        <w:ind w:left="0" w:firstLine="560"/>
        <w:rPr>
          <w:rFonts w:ascii="宋体" w:hAnsi="宋体"/>
          <w:color w:val="auto"/>
          <w:szCs w:val="28"/>
        </w:rPr>
      </w:pPr>
      <w:r>
        <w:rPr>
          <w:rFonts w:ascii="宋体" w:hAnsi="宋体"/>
          <w:color w:val="auto"/>
          <w:szCs w:val="28"/>
        </w:rPr>
        <w:t>《云南省消防条例》（</w:t>
      </w:r>
      <w:r>
        <w:rPr>
          <w:rFonts w:ascii="宋体" w:hAnsi="宋体" w:hint="eastAsia"/>
          <w:color w:val="auto"/>
          <w:szCs w:val="28"/>
        </w:rPr>
        <w:t>云南</w:t>
      </w:r>
      <w:r>
        <w:rPr>
          <w:rFonts w:ascii="宋体" w:hAnsi="宋体"/>
          <w:color w:val="auto"/>
          <w:szCs w:val="28"/>
        </w:rPr>
        <w:t>省十一届人大常委会公告第31号</w:t>
      </w:r>
      <w:r>
        <w:rPr>
          <w:rFonts w:ascii="宋体" w:hAnsi="宋体" w:hint="eastAsia"/>
          <w:color w:val="auto"/>
          <w:szCs w:val="28"/>
        </w:rPr>
        <w:t>，</w:t>
      </w:r>
      <w:r>
        <w:rPr>
          <w:rFonts w:ascii="宋体" w:hAnsi="宋体"/>
          <w:color w:val="auto"/>
          <w:szCs w:val="28"/>
        </w:rPr>
        <w:t>2020年11月25日修订，2021年1月19日实施）；</w:t>
      </w:r>
    </w:p>
    <w:p w:rsidR="003F13AB" w:rsidRDefault="00EC6E7E">
      <w:pPr>
        <w:numPr>
          <w:ilvl w:val="0"/>
          <w:numId w:val="21"/>
        </w:numPr>
        <w:adjustRightInd/>
        <w:snapToGrid/>
        <w:ind w:left="0" w:firstLine="560"/>
        <w:rPr>
          <w:rFonts w:ascii="宋体" w:hAnsi="宋体"/>
          <w:color w:val="auto"/>
          <w:szCs w:val="28"/>
        </w:rPr>
      </w:pPr>
      <w:r>
        <w:rPr>
          <w:rFonts w:ascii="宋体" w:hAnsi="宋体" w:hint="eastAsia"/>
          <w:color w:val="auto"/>
          <w:szCs w:val="28"/>
        </w:rPr>
        <w:tab/>
        <w:t>《云南省安全生产委员会办公室关于印发生产安全事故隐患排查治理实施细则的通知》（云安办〔2017〕66号）；</w:t>
      </w:r>
    </w:p>
    <w:p w:rsidR="003F13AB" w:rsidRDefault="00EC6E7E">
      <w:pPr>
        <w:numPr>
          <w:ilvl w:val="0"/>
          <w:numId w:val="21"/>
        </w:numPr>
        <w:adjustRightInd/>
        <w:snapToGrid/>
        <w:ind w:left="0" w:firstLine="560"/>
        <w:rPr>
          <w:rFonts w:ascii="宋体" w:hAnsi="宋体"/>
          <w:color w:val="auto"/>
          <w:szCs w:val="28"/>
        </w:rPr>
      </w:pPr>
      <w:r>
        <w:rPr>
          <w:rFonts w:ascii="宋体" w:hAnsi="宋体" w:hint="eastAsia"/>
          <w:color w:val="auto"/>
          <w:szCs w:val="28"/>
        </w:rPr>
        <w:t>《云南省实施〈工伤保险条例〉办法》(云政发〔2011〕255号)；</w:t>
      </w:r>
    </w:p>
    <w:p w:rsidR="003F13AB" w:rsidRDefault="00EC6E7E">
      <w:pPr>
        <w:numPr>
          <w:ilvl w:val="0"/>
          <w:numId w:val="21"/>
        </w:numPr>
        <w:adjustRightInd/>
        <w:snapToGrid/>
        <w:ind w:left="0" w:firstLine="560"/>
        <w:rPr>
          <w:rFonts w:ascii="宋体" w:hAnsi="宋体"/>
          <w:color w:val="auto"/>
          <w:szCs w:val="28"/>
        </w:rPr>
      </w:pPr>
      <w:r>
        <w:rPr>
          <w:rFonts w:ascii="宋体" w:hAnsi="宋体" w:hint="eastAsia"/>
          <w:color w:val="auto"/>
          <w:szCs w:val="28"/>
        </w:rPr>
        <w:t>《云南省突发事件应对条例》（云南省第十二届人民代表大会常务委员会第十次会议于2014年7月27日审议通过，自2014年12月1日起施行）；</w:t>
      </w:r>
    </w:p>
    <w:p w:rsidR="003F13AB" w:rsidRDefault="00EC6E7E">
      <w:pPr>
        <w:numPr>
          <w:ilvl w:val="0"/>
          <w:numId w:val="21"/>
        </w:numPr>
        <w:adjustRightInd/>
        <w:snapToGrid/>
        <w:ind w:left="0" w:firstLine="560"/>
        <w:rPr>
          <w:rFonts w:ascii="宋体" w:hAnsi="宋体"/>
          <w:color w:val="auto"/>
          <w:szCs w:val="28"/>
        </w:rPr>
      </w:pPr>
      <w:r>
        <w:rPr>
          <w:rFonts w:ascii="宋体" w:hAnsi="宋体" w:hint="eastAsia"/>
          <w:color w:val="auto"/>
          <w:szCs w:val="28"/>
        </w:rPr>
        <w:t>《云南省应急管理厅关于印发云南省危险化学品生产储存企业四区分离技术指导意见的通知》（云应急〔2021〕4号）；</w:t>
      </w:r>
    </w:p>
    <w:p w:rsidR="003F13AB" w:rsidRDefault="00EC6E7E">
      <w:pPr>
        <w:numPr>
          <w:ilvl w:val="0"/>
          <w:numId w:val="21"/>
        </w:numPr>
        <w:adjustRightInd/>
        <w:snapToGrid/>
        <w:ind w:left="0" w:firstLine="560"/>
        <w:rPr>
          <w:rFonts w:ascii="宋体" w:hAnsi="宋体"/>
          <w:color w:val="auto"/>
          <w:szCs w:val="28"/>
        </w:rPr>
      </w:pPr>
      <w:r>
        <w:rPr>
          <w:rFonts w:ascii="宋体" w:hAnsi="宋体" w:hint="eastAsia"/>
          <w:color w:val="auto"/>
          <w:szCs w:val="28"/>
        </w:rPr>
        <w:t>《云南省生产安全事故应急办法》（云南省人民政府令第227号）。</w:t>
      </w:r>
    </w:p>
    <w:p w:rsidR="003F13AB" w:rsidRDefault="00EC6E7E">
      <w:pPr>
        <w:pStyle w:val="2"/>
      </w:pPr>
      <w:bookmarkStart w:id="412" w:name="_Toc166857632"/>
      <w:bookmarkStart w:id="413" w:name="_Toc187914528"/>
      <w:r>
        <w:rPr>
          <w:rFonts w:hint="eastAsia"/>
        </w:rPr>
        <w:t>7.5 国家及行业有关规范、标准</w:t>
      </w:r>
      <w:bookmarkEnd w:id="412"/>
      <w:bookmarkEnd w:id="413"/>
    </w:p>
    <w:p w:rsidR="003F13AB" w:rsidRDefault="00EC6E7E">
      <w:pPr>
        <w:numPr>
          <w:ilvl w:val="0"/>
          <w:numId w:val="22"/>
        </w:numPr>
        <w:adjustRightInd/>
        <w:snapToGrid/>
        <w:ind w:left="0" w:firstLine="560"/>
        <w:rPr>
          <w:rFonts w:ascii="宋体" w:hAnsi="宋体"/>
          <w:color w:val="auto"/>
          <w:szCs w:val="28"/>
        </w:rPr>
      </w:pPr>
      <w:r>
        <w:rPr>
          <w:rFonts w:ascii="宋体" w:hAnsi="宋体" w:hint="eastAsia"/>
          <w:color w:val="auto"/>
          <w:szCs w:val="28"/>
        </w:rPr>
        <w:t>《安全评价通则》（AQ8001-2007）；</w:t>
      </w:r>
    </w:p>
    <w:p w:rsidR="003F13AB" w:rsidRDefault="00EC6E7E">
      <w:pPr>
        <w:numPr>
          <w:ilvl w:val="0"/>
          <w:numId w:val="22"/>
        </w:numPr>
        <w:adjustRightInd/>
        <w:snapToGrid/>
        <w:ind w:left="0" w:firstLine="560"/>
        <w:rPr>
          <w:rFonts w:ascii="宋体" w:hAnsi="宋体"/>
          <w:color w:val="auto"/>
          <w:szCs w:val="28"/>
        </w:rPr>
      </w:pPr>
      <w:r>
        <w:rPr>
          <w:rFonts w:ascii="宋体" w:hAnsi="宋体" w:hint="eastAsia"/>
          <w:color w:val="auto"/>
          <w:szCs w:val="28"/>
        </w:rPr>
        <w:t>《建筑设计防火规范(2018年版)》（GB50016-2014）；</w:t>
      </w:r>
    </w:p>
    <w:p w:rsidR="003F13AB" w:rsidRDefault="00EC6E7E">
      <w:pPr>
        <w:numPr>
          <w:ilvl w:val="0"/>
          <w:numId w:val="22"/>
        </w:numPr>
        <w:adjustRightInd/>
        <w:snapToGrid/>
        <w:ind w:left="0" w:firstLine="560"/>
        <w:rPr>
          <w:rFonts w:ascii="宋体" w:hAnsi="宋体"/>
          <w:color w:val="auto"/>
          <w:szCs w:val="28"/>
        </w:rPr>
      </w:pPr>
      <w:r>
        <w:rPr>
          <w:rFonts w:ascii="宋体" w:hAnsi="宋体" w:hint="eastAsia"/>
          <w:color w:val="auto"/>
          <w:szCs w:val="28"/>
        </w:rPr>
        <w:tab/>
        <w:t>《建筑防火通用规范》（GB55037-2022）；</w:t>
      </w:r>
    </w:p>
    <w:p w:rsidR="003F13AB" w:rsidRDefault="00EC6E7E">
      <w:pPr>
        <w:numPr>
          <w:ilvl w:val="0"/>
          <w:numId w:val="22"/>
        </w:numPr>
        <w:adjustRightInd/>
        <w:snapToGrid/>
        <w:ind w:left="0" w:firstLine="560"/>
        <w:rPr>
          <w:rFonts w:ascii="宋体" w:hAnsi="宋体"/>
          <w:color w:val="auto"/>
          <w:szCs w:val="28"/>
        </w:rPr>
      </w:pPr>
      <w:r>
        <w:rPr>
          <w:rFonts w:ascii="宋体" w:hAnsi="宋体" w:hint="eastAsia"/>
          <w:color w:val="auto"/>
          <w:szCs w:val="28"/>
        </w:rPr>
        <w:t>《锅炉房设计标准》》（</w:t>
      </w:r>
      <w:r>
        <w:rPr>
          <w:rFonts w:ascii="宋体" w:hAnsi="宋体" w:hint="eastAsia"/>
          <w:color w:val="auto"/>
          <w:szCs w:val="28"/>
        </w:rPr>
        <w:tab/>
        <w:t>GB50041-2020）；</w:t>
      </w:r>
    </w:p>
    <w:p w:rsidR="003F13AB" w:rsidRDefault="00EC6E7E">
      <w:pPr>
        <w:numPr>
          <w:ilvl w:val="0"/>
          <w:numId w:val="22"/>
        </w:numPr>
        <w:adjustRightInd/>
        <w:snapToGrid/>
        <w:ind w:left="0" w:firstLine="560"/>
        <w:rPr>
          <w:rFonts w:ascii="宋体" w:hAnsi="宋体"/>
          <w:color w:val="auto"/>
          <w:szCs w:val="28"/>
        </w:rPr>
      </w:pPr>
      <w:r>
        <w:rPr>
          <w:rFonts w:ascii="宋体" w:hAnsi="宋体" w:hint="eastAsia"/>
          <w:color w:val="auto"/>
          <w:szCs w:val="28"/>
        </w:rPr>
        <w:t>《固定式压力容器安全技术监察规程》（TSG21-2016）；</w:t>
      </w:r>
    </w:p>
    <w:p w:rsidR="003F13AB" w:rsidRDefault="00EC6E7E">
      <w:pPr>
        <w:numPr>
          <w:ilvl w:val="0"/>
          <w:numId w:val="22"/>
        </w:numPr>
        <w:adjustRightInd/>
        <w:snapToGrid/>
        <w:ind w:left="0" w:firstLine="560"/>
        <w:rPr>
          <w:rFonts w:ascii="宋体" w:hAnsi="宋体"/>
          <w:color w:val="auto"/>
          <w:szCs w:val="28"/>
        </w:rPr>
      </w:pPr>
      <w:r>
        <w:rPr>
          <w:rFonts w:ascii="宋体" w:hAnsi="宋体" w:hint="eastAsia"/>
          <w:color w:val="auto"/>
          <w:szCs w:val="28"/>
        </w:rPr>
        <w:t>《机械安全 防护装置 固定式和活动式防护装置的设计与制造一般要求》（</w:t>
      </w:r>
      <w:r>
        <w:rPr>
          <w:rFonts w:ascii="宋体" w:hAnsi="宋体" w:hint="eastAsia"/>
          <w:color w:val="auto"/>
          <w:szCs w:val="28"/>
        </w:rPr>
        <w:tab/>
        <w:t>GB /T 8196-2018）；</w:t>
      </w:r>
    </w:p>
    <w:p w:rsidR="003F13AB" w:rsidRDefault="00EC6E7E">
      <w:pPr>
        <w:numPr>
          <w:ilvl w:val="0"/>
          <w:numId w:val="22"/>
        </w:numPr>
        <w:adjustRightInd/>
        <w:snapToGrid/>
        <w:ind w:left="0" w:firstLine="560"/>
        <w:rPr>
          <w:rFonts w:ascii="宋体" w:hAnsi="宋体"/>
          <w:color w:val="auto"/>
          <w:szCs w:val="28"/>
        </w:rPr>
      </w:pPr>
      <w:r>
        <w:rPr>
          <w:rFonts w:ascii="宋体" w:hAnsi="宋体" w:hint="eastAsia"/>
          <w:color w:val="auto"/>
          <w:szCs w:val="28"/>
        </w:rPr>
        <w:t>《危险化学品重大危险源辨识》（</w:t>
      </w:r>
      <w:r>
        <w:rPr>
          <w:rFonts w:ascii="宋体" w:hAnsi="宋体" w:hint="eastAsia"/>
          <w:color w:val="auto"/>
          <w:szCs w:val="28"/>
        </w:rPr>
        <w:tab/>
        <w:t>GB18218-2018）；</w:t>
      </w:r>
    </w:p>
    <w:p w:rsidR="003F13AB" w:rsidRDefault="00EC6E7E">
      <w:pPr>
        <w:numPr>
          <w:ilvl w:val="0"/>
          <w:numId w:val="22"/>
        </w:numPr>
        <w:adjustRightInd/>
        <w:snapToGrid/>
        <w:ind w:left="0" w:firstLine="560"/>
        <w:rPr>
          <w:rFonts w:ascii="宋体" w:hAnsi="宋体"/>
          <w:color w:val="auto"/>
          <w:szCs w:val="28"/>
        </w:rPr>
      </w:pPr>
      <w:r>
        <w:rPr>
          <w:rFonts w:ascii="宋体" w:hAnsi="宋体" w:hint="eastAsia"/>
          <w:color w:val="auto"/>
          <w:szCs w:val="28"/>
        </w:rPr>
        <w:t xml:space="preserve">《固定式钢梯及平台安全要求第1部分：钢直梯》（GB </w:t>
      </w:r>
      <w:r>
        <w:rPr>
          <w:rFonts w:ascii="宋体" w:hAnsi="宋体" w:hint="eastAsia"/>
          <w:color w:val="auto"/>
          <w:szCs w:val="28"/>
        </w:rPr>
        <w:lastRenderedPageBreak/>
        <w:t>4053.1-2009）；</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《固定式钢梯及平台安全要求第2部分：钢斜梯》（GB 4053.2-2009）；</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《固定式钢梯及平台安全要求第3部分：工业防护栏杆及钢平台》（GB 4053.3-2009）；</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《工业企业总平面设计规范》（GB50187-2012）；</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《化工企业总图运输设计规范》（GB50489-2009）；</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《工业企业设计卫生标准》（GBZ1-2010）；</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《工业企业厂内铁路、道路运输安全规程》(GB4387-2008)；</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《生产设备安全卫生设计总则》（GB5083-2023）；</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《建筑物防雷设计规范》（GB50057-2010）；</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《建筑抗震设计规范（2024年版）》（GB50011-2010</w:t>
      </w:r>
      <w:r w:rsidRPr="00F9729A">
        <w:rPr>
          <w:rFonts w:ascii="宋体" w:hAnsi="宋体"/>
          <w:color w:val="auto"/>
          <w:szCs w:val="28"/>
        </w:rPr>
        <w:t>）</w:t>
      </w:r>
      <w:r w:rsidRPr="00F9729A">
        <w:rPr>
          <w:rFonts w:ascii="宋体" w:hAnsi="宋体" w:hint="eastAsia"/>
          <w:color w:val="auto"/>
          <w:szCs w:val="28"/>
        </w:rPr>
        <w:t>；</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《石油化工可燃气体和有毒气体检测报警设计标准》（GB/T 50493-2019）；</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《企业职工伤亡事故分类》（GB6441-1986）；</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《生产过程危险和有害因素分类与代码》（GB/T 13861-2022）；</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《危险化学品重大危险源辨识》（GB18218-2018）；</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《用电安全导则》(GB/T13869-2017)；</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《安全标志及其使用导则》（GB2894-2008）；</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《消防安全标志 第1部分：标志》（GB 13495.1-2015）；</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《消防安全标志设置要求》（GB15630-1995）；</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《工业管道的基本识别色、识别符号和安全标识》(GB7231-2003)；</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《建筑灭火器配置设计规范》（GB50140-2005）；</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《职业性接触毒物危害程度分级》（GBZ230-2010）；</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lastRenderedPageBreak/>
        <w:t>《低压配电设计规范》（GB50054-2011）；</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《供配电系统设计规范》（GB50052-2009）；</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《消防设施通用规范》（GB55036-2022）；</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《消防给水及消火栓系统技术规范》（GB50974-2014）；</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《生产经营单位生产安全事故应急预案编制导则》（GB/T29639-20</w:t>
      </w:r>
      <w:r w:rsidRPr="00F9729A">
        <w:rPr>
          <w:rFonts w:ascii="宋体" w:hAnsi="宋体"/>
          <w:color w:val="auto"/>
          <w:szCs w:val="28"/>
        </w:rPr>
        <w:t>20</w:t>
      </w:r>
      <w:r w:rsidRPr="00F9729A">
        <w:rPr>
          <w:rFonts w:ascii="宋体" w:hAnsi="宋体" w:hint="eastAsia"/>
          <w:color w:val="auto"/>
          <w:szCs w:val="28"/>
        </w:rPr>
        <w:t>）；</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《缓释肥料》（GB/T 23348-2009）；</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《稳定性肥料》（GB/T 35113-2017）；</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《复合肥料》（GB/T 15063-2020）；</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《生产安全事故应急演练基本规范》（AQ/T9007-20</w:t>
      </w:r>
      <w:r w:rsidRPr="00F9729A">
        <w:rPr>
          <w:rFonts w:ascii="宋体" w:hAnsi="宋体"/>
          <w:color w:val="auto"/>
          <w:szCs w:val="28"/>
        </w:rPr>
        <w:t>19</w:t>
      </w:r>
      <w:r w:rsidRPr="00F9729A">
        <w:rPr>
          <w:rFonts w:ascii="宋体" w:hAnsi="宋体" w:hint="eastAsia"/>
          <w:color w:val="auto"/>
          <w:szCs w:val="28"/>
        </w:rPr>
        <w:t>）；</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《腐蚀性商品储存养护技术条件》（GB 17915-2013）；</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《爆炸危险环境电力装置设计规范》（GB50058-2014）；</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《个体防护装备选用规范 第一部分：总则》（GB39800.1-2020）；</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《安全色》（GB2893-2008）；</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《工业管道的基本识别色、识别符号和安全标识》（GB7231-2003）；</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《图形符号安全色和安全标志 第5部分：安全标志使用原则与要求》（GB/T2893.5-2020）；</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《特种设备重大事故隐患判定准则》（GB45067-2024）；</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《重大火灾隐患判定方法》（GB35181-2017）；</w:t>
      </w:r>
    </w:p>
    <w:p w:rsidR="003F13AB" w:rsidRPr="00F9729A" w:rsidRDefault="00EC6E7E">
      <w:pPr>
        <w:numPr>
          <w:ilvl w:val="0"/>
          <w:numId w:val="22"/>
        </w:numPr>
        <w:adjustRightInd/>
        <w:snapToGrid/>
        <w:ind w:left="0" w:firstLine="560"/>
        <w:rPr>
          <w:rFonts w:ascii="宋体" w:hAnsi="宋体"/>
          <w:color w:val="auto"/>
          <w:szCs w:val="28"/>
        </w:rPr>
      </w:pPr>
      <w:r w:rsidRPr="00F9729A">
        <w:rPr>
          <w:rFonts w:ascii="宋体" w:hAnsi="宋体" w:hint="eastAsia"/>
          <w:color w:val="auto"/>
          <w:szCs w:val="28"/>
        </w:rPr>
        <w:t>《用电检查规范》（GB/T43456-2023）。</w:t>
      </w:r>
    </w:p>
    <w:p w:rsidR="003F13AB" w:rsidRPr="00F9729A" w:rsidRDefault="00EC6E7E">
      <w:pPr>
        <w:pStyle w:val="2"/>
      </w:pPr>
      <w:bookmarkStart w:id="414" w:name="_Toc17920"/>
      <w:bookmarkStart w:id="415" w:name="_Toc166857633"/>
      <w:bookmarkStart w:id="416" w:name="_Toc187914529"/>
      <w:r w:rsidRPr="00F9729A">
        <w:rPr>
          <w:rFonts w:hint="eastAsia"/>
        </w:rPr>
        <w:t>7.6 被评价单位提供的相关资料</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4"/>
      <w:bookmarkEnd w:id="415"/>
      <w:bookmarkEnd w:id="416"/>
    </w:p>
    <w:p w:rsidR="003F13AB" w:rsidRDefault="00EC6E7E">
      <w:pPr>
        <w:ind w:firstLine="560"/>
        <w:rPr>
          <w:color w:val="auto"/>
        </w:rPr>
      </w:pPr>
      <w:r w:rsidRPr="00F9729A">
        <w:rPr>
          <w:rFonts w:hint="eastAsia"/>
          <w:color w:val="auto"/>
        </w:rPr>
        <w:t>（</w:t>
      </w:r>
      <w:r w:rsidRPr="00F9729A">
        <w:rPr>
          <w:rFonts w:hint="eastAsia"/>
          <w:color w:val="auto"/>
        </w:rPr>
        <w:t>1</w:t>
      </w:r>
      <w:r w:rsidRPr="00F9729A">
        <w:rPr>
          <w:rFonts w:hint="eastAsia"/>
          <w:color w:val="auto"/>
        </w:rPr>
        <w:t>）安全验收评价委托书、技</w:t>
      </w:r>
      <w:r>
        <w:rPr>
          <w:rFonts w:hint="eastAsia"/>
          <w:color w:val="auto"/>
        </w:rPr>
        <w:t>术咨询服务合同；</w:t>
      </w:r>
    </w:p>
    <w:p w:rsidR="003F13AB" w:rsidRDefault="00EC6E7E">
      <w:pPr>
        <w:ind w:firstLine="560"/>
        <w:rPr>
          <w:color w:val="auto"/>
        </w:rPr>
      </w:pPr>
      <w:r>
        <w:rPr>
          <w:rFonts w:hint="eastAsia"/>
          <w:color w:val="auto"/>
        </w:rPr>
        <w:t>（</w:t>
      </w:r>
      <w:r>
        <w:rPr>
          <w:rFonts w:hint="eastAsia"/>
          <w:color w:val="auto"/>
        </w:rPr>
        <w:t>2</w:t>
      </w:r>
      <w:r>
        <w:rPr>
          <w:rFonts w:hint="eastAsia"/>
          <w:color w:val="auto"/>
        </w:rPr>
        <w:t>）营业执照；</w:t>
      </w:r>
    </w:p>
    <w:p w:rsidR="003F13AB" w:rsidRDefault="00EC6E7E">
      <w:pPr>
        <w:ind w:firstLine="560"/>
        <w:rPr>
          <w:color w:val="auto"/>
        </w:rPr>
      </w:pPr>
      <w:r>
        <w:rPr>
          <w:rFonts w:hint="eastAsia"/>
          <w:color w:val="auto"/>
        </w:rPr>
        <w:t>（</w:t>
      </w:r>
      <w:r>
        <w:rPr>
          <w:rFonts w:hint="eastAsia"/>
          <w:color w:val="auto"/>
        </w:rPr>
        <w:t>3</w:t>
      </w:r>
      <w:r>
        <w:rPr>
          <w:rFonts w:hint="eastAsia"/>
          <w:color w:val="auto"/>
        </w:rPr>
        <w:t>）</w:t>
      </w:r>
      <w:bookmarkStart w:id="417" w:name="_Toc392234471"/>
      <w:bookmarkStart w:id="418" w:name="_Toc338949237"/>
      <w:bookmarkStart w:id="419" w:name="_Toc339727429"/>
      <w:bookmarkStart w:id="420" w:name="_Toc424062636"/>
      <w:bookmarkStart w:id="421" w:name="_Toc342479347"/>
      <w:r>
        <w:rPr>
          <w:rFonts w:hint="eastAsia"/>
          <w:color w:val="auto"/>
        </w:rPr>
        <w:t>投资项目备案证；</w:t>
      </w:r>
    </w:p>
    <w:p w:rsidR="003F13AB" w:rsidRDefault="00EC6E7E">
      <w:pPr>
        <w:ind w:firstLine="560"/>
        <w:rPr>
          <w:color w:val="auto"/>
        </w:rPr>
      </w:pPr>
      <w:r>
        <w:rPr>
          <w:rFonts w:hint="eastAsia"/>
          <w:color w:val="auto"/>
        </w:rPr>
        <w:lastRenderedPageBreak/>
        <w:t>（</w:t>
      </w:r>
      <w:r>
        <w:rPr>
          <w:rFonts w:hint="eastAsia"/>
          <w:color w:val="auto"/>
        </w:rPr>
        <w:t>4</w:t>
      </w:r>
      <w:r>
        <w:rPr>
          <w:rFonts w:hint="eastAsia"/>
          <w:color w:val="auto"/>
        </w:rPr>
        <w:t>）其它相关技术资料</w:t>
      </w:r>
      <w:bookmarkEnd w:id="417"/>
      <w:bookmarkEnd w:id="418"/>
      <w:bookmarkEnd w:id="419"/>
      <w:bookmarkEnd w:id="420"/>
      <w:bookmarkEnd w:id="421"/>
      <w:r>
        <w:rPr>
          <w:rFonts w:hint="eastAsia"/>
          <w:color w:val="auto"/>
        </w:rPr>
        <w:t>。</w:t>
      </w:r>
      <w:bookmarkEnd w:id="235"/>
      <w:bookmarkEnd w:id="236"/>
    </w:p>
    <w:p w:rsidR="003F13AB" w:rsidRDefault="00EC6E7E">
      <w:pPr>
        <w:pStyle w:val="1"/>
        <w:keepNext w:val="0"/>
        <w:keepLines w:val="0"/>
        <w:textAlignment w:val="center"/>
        <w:rPr>
          <w:rFonts w:ascii="宋体" w:hAnsi="宋体"/>
          <w:b/>
          <w:bCs w:val="0"/>
          <w:color w:val="auto"/>
          <w:szCs w:val="20"/>
        </w:rPr>
      </w:pPr>
      <w:bookmarkStart w:id="422" w:name="_Toc509659555"/>
      <w:bookmarkStart w:id="423" w:name="_Toc272416103"/>
      <w:bookmarkStart w:id="424" w:name="_Toc182625085"/>
      <w:bookmarkStart w:id="425" w:name="_Toc332670317"/>
      <w:bookmarkStart w:id="426" w:name="_Toc31008_WPSOffice_Level1"/>
      <w:bookmarkStart w:id="427" w:name="_Toc187718335"/>
      <w:bookmarkStart w:id="428" w:name="_Toc3522_WPSOffice_Level1"/>
      <w:bookmarkStart w:id="429" w:name="_Toc187914530"/>
      <w:bookmarkStart w:id="430" w:name="_Toc166857634"/>
      <w:r>
        <w:rPr>
          <w:rFonts w:ascii="宋体" w:hAnsi="宋体" w:hint="eastAsia"/>
          <w:b/>
          <w:bCs w:val="0"/>
          <w:color w:val="auto"/>
          <w:szCs w:val="20"/>
        </w:rPr>
        <w:lastRenderedPageBreak/>
        <w:t>附件</w:t>
      </w:r>
      <w:bookmarkEnd w:id="422"/>
      <w:bookmarkEnd w:id="423"/>
      <w:bookmarkEnd w:id="424"/>
      <w:bookmarkEnd w:id="425"/>
      <w:bookmarkEnd w:id="426"/>
      <w:bookmarkEnd w:id="427"/>
      <w:bookmarkEnd w:id="428"/>
      <w:r>
        <w:rPr>
          <w:rFonts w:ascii="宋体" w:hAnsi="宋体" w:hint="eastAsia"/>
          <w:b/>
          <w:bCs w:val="0"/>
          <w:color w:val="auto"/>
          <w:szCs w:val="20"/>
        </w:rPr>
        <w:t>8  企业提供的原始资料</w:t>
      </w:r>
      <w:bookmarkEnd w:id="429"/>
      <w:bookmarkEnd w:id="430"/>
    </w:p>
    <w:p w:rsidR="003F13AB" w:rsidRDefault="00EC6E7E">
      <w:pPr>
        <w:pStyle w:val="12"/>
        <w:adjustRightInd/>
        <w:snapToGrid/>
        <w:ind w:left="560" w:firstLineChars="0" w:firstLine="0"/>
        <w:rPr>
          <w:color w:val="auto"/>
        </w:rPr>
      </w:pPr>
      <w:bookmarkStart w:id="431" w:name="OLE_LINK2"/>
      <w:r>
        <w:rPr>
          <w:rFonts w:hint="eastAsia"/>
          <w:color w:val="auto"/>
        </w:rPr>
        <w:t>附件</w:t>
      </w:r>
      <w:r>
        <w:rPr>
          <w:rFonts w:hint="eastAsia"/>
          <w:color w:val="auto"/>
        </w:rPr>
        <w:t>8.1</w:t>
      </w:r>
      <w:r>
        <w:rPr>
          <w:rFonts w:hint="eastAsia"/>
          <w:color w:val="auto"/>
        </w:rPr>
        <w:t>安全评价委托书</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8.2</w:t>
      </w:r>
      <w:r>
        <w:rPr>
          <w:rFonts w:hint="eastAsia"/>
          <w:color w:val="auto"/>
        </w:rPr>
        <w:t>材料真实性承诺书</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8.3</w:t>
      </w:r>
      <w:r>
        <w:rPr>
          <w:rFonts w:hint="eastAsia"/>
          <w:color w:val="auto"/>
        </w:rPr>
        <w:t>营业执照</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8.4</w:t>
      </w:r>
      <w:r>
        <w:rPr>
          <w:rFonts w:hint="eastAsia"/>
          <w:color w:val="auto"/>
        </w:rPr>
        <w:t>企业名称变更登记保留意见书</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8.5</w:t>
      </w:r>
      <w:r>
        <w:rPr>
          <w:rFonts w:hint="eastAsia"/>
          <w:color w:val="auto"/>
        </w:rPr>
        <w:t>云南省固定资产投资项目备案证</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8.6</w:t>
      </w:r>
      <w:r>
        <w:rPr>
          <w:rFonts w:hint="eastAsia"/>
          <w:color w:val="auto"/>
        </w:rPr>
        <w:t>建设用地规划许可证</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8.7</w:t>
      </w:r>
      <w:r>
        <w:rPr>
          <w:rFonts w:hint="eastAsia"/>
          <w:color w:val="auto"/>
        </w:rPr>
        <w:t>消防检测报告</w:t>
      </w:r>
      <w:r w:rsidR="008458AF" w:rsidRPr="008458AF">
        <w:rPr>
          <w:rFonts w:hint="eastAsia"/>
          <w:color w:val="auto"/>
        </w:rPr>
        <w:t>、建设工程消防验收备案凭证</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8.8</w:t>
      </w:r>
      <w:r>
        <w:rPr>
          <w:rFonts w:hint="eastAsia"/>
          <w:color w:val="auto"/>
        </w:rPr>
        <w:t>安全生产条件和设施综合分析报告封面、目录</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8.9</w:t>
      </w:r>
      <w:r>
        <w:rPr>
          <w:rFonts w:hint="eastAsia"/>
          <w:color w:val="auto"/>
        </w:rPr>
        <w:t>安全设施设计报告封面及设计单位资质</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8.10</w:t>
      </w:r>
      <w:proofErr w:type="gramStart"/>
      <w:r>
        <w:rPr>
          <w:rFonts w:hint="eastAsia"/>
          <w:color w:val="auto"/>
        </w:rPr>
        <w:t>一</w:t>
      </w:r>
      <w:proofErr w:type="gramEnd"/>
      <w:r>
        <w:rPr>
          <w:rFonts w:hint="eastAsia"/>
          <w:color w:val="auto"/>
        </w:rPr>
        <w:t>期（造粒塔）设计单位营业执照及资质</w:t>
      </w:r>
    </w:p>
    <w:p w:rsidR="003F13AB" w:rsidRDefault="00EC6E7E">
      <w:pPr>
        <w:pStyle w:val="12"/>
        <w:adjustRightInd/>
        <w:snapToGrid/>
        <w:ind w:left="560" w:firstLineChars="0" w:firstLine="0"/>
        <w:rPr>
          <w:color w:val="auto"/>
        </w:rPr>
      </w:pPr>
      <w:bookmarkStart w:id="432" w:name="_Toc25158213"/>
      <w:r>
        <w:rPr>
          <w:rFonts w:hint="eastAsia"/>
          <w:color w:val="auto"/>
        </w:rPr>
        <w:t>附件</w:t>
      </w:r>
      <w:r>
        <w:rPr>
          <w:rFonts w:hint="eastAsia"/>
          <w:color w:val="auto"/>
        </w:rPr>
        <w:t>8.11</w:t>
      </w:r>
      <w:bookmarkEnd w:id="432"/>
      <w:proofErr w:type="gramStart"/>
      <w:r>
        <w:rPr>
          <w:rFonts w:hint="eastAsia"/>
          <w:color w:val="auto"/>
        </w:rPr>
        <w:t>二期设计</w:t>
      </w:r>
      <w:proofErr w:type="gramEnd"/>
      <w:r>
        <w:rPr>
          <w:rFonts w:hint="eastAsia"/>
          <w:color w:val="auto"/>
        </w:rPr>
        <w:t>单位资质</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8.12</w:t>
      </w:r>
      <w:proofErr w:type="gramStart"/>
      <w:r>
        <w:rPr>
          <w:rFonts w:hint="eastAsia"/>
          <w:color w:val="auto"/>
        </w:rPr>
        <w:t>一</w:t>
      </w:r>
      <w:proofErr w:type="gramEnd"/>
      <w:r>
        <w:rPr>
          <w:rFonts w:hint="eastAsia"/>
          <w:color w:val="auto"/>
        </w:rPr>
        <w:t>期（造粒塔）施工单位营业执照及资质</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8.13</w:t>
      </w:r>
      <w:proofErr w:type="gramStart"/>
      <w:r>
        <w:rPr>
          <w:rFonts w:hint="eastAsia"/>
          <w:color w:val="auto"/>
        </w:rPr>
        <w:t>二期施工</w:t>
      </w:r>
      <w:proofErr w:type="gramEnd"/>
      <w:r>
        <w:rPr>
          <w:rFonts w:hint="eastAsia"/>
          <w:color w:val="auto"/>
        </w:rPr>
        <w:t>单位营业执照及资质</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8.14</w:t>
      </w:r>
      <w:r>
        <w:rPr>
          <w:rFonts w:hint="eastAsia"/>
          <w:color w:val="auto"/>
        </w:rPr>
        <w:t>锅炉及压力管道安装单位营业执照及资质</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8.15</w:t>
      </w:r>
      <w:r>
        <w:rPr>
          <w:rFonts w:hint="eastAsia"/>
          <w:color w:val="auto"/>
        </w:rPr>
        <w:t>施工情况报告封面、结论</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8.16</w:t>
      </w:r>
      <w:r>
        <w:rPr>
          <w:rFonts w:hint="eastAsia"/>
          <w:color w:val="auto"/>
        </w:rPr>
        <w:t>监理单位营业执照及资质</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8.17</w:t>
      </w:r>
      <w:r>
        <w:rPr>
          <w:rFonts w:hint="eastAsia"/>
          <w:color w:val="auto"/>
        </w:rPr>
        <w:t>云南省建筑工程质量评估报告</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8.18</w:t>
      </w:r>
      <w:r>
        <w:rPr>
          <w:rFonts w:hint="eastAsia"/>
          <w:color w:val="auto"/>
        </w:rPr>
        <w:t>防雷装置检测报告及检测资质</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8.19</w:t>
      </w:r>
      <w:r>
        <w:rPr>
          <w:rFonts w:hint="eastAsia"/>
          <w:color w:val="auto"/>
        </w:rPr>
        <w:t>企业主要负责人、安全管理人员安全生产知识和管理能力考核合格证、特种作业人员证书、特种设备操作人员证书</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8.20</w:t>
      </w:r>
      <w:r>
        <w:rPr>
          <w:rFonts w:hint="eastAsia"/>
          <w:color w:val="auto"/>
        </w:rPr>
        <w:t>安全管理机构成立文件、安全组织机构图</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8.21</w:t>
      </w:r>
      <w:r>
        <w:rPr>
          <w:rFonts w:hint="eastAsia"/>
          <w:color w:val="auto"/>
        </w:rPr>
        <w:t>安全员任命书</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8.22</w:t>
      </w:r>
      <w:r>
        <w:rPr>
          <w:rFonts w:hint="eastAsia"/>
          <w:color w:val="auto"/>
        </w:rPr>
        <w:t>企业缴纳工伤保险证明</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8.23</w:t>
      </w:r>
      <w:r>
        <w:rPr>
          <w:rFonts w:hint="eastAsia"/>
          <w:color w:val="auto"/>
        </w:rPr>
        <w:t>劳动用品发放记录</w:t>
      </w:r>
    </w:p>
    <w:p w:rsidR="003F13AB" w:rsidRDefault="00EC6E7E">
      <w:pPr>
        <w:pStyle w:val="12"/>
        <w:adjustRightInd/>
        <w:snapToGrid/>
        <w:ind w:left="560" w:firstLineChars="0" w:firstLine="0"/>
        <w:rPr>
          <w:color w:val="auto"/>
        </w:rPr>
      </w:pPr>
      <w:r>
        <w:rPr>
          <w:rFonts w:hint="eastAsia"/>
          <w:color w:val="auto"/>
        </w:rPr>
        <w:lastRenderedPageBreak/>
        <w:t>附件</w:t>
      </w:r>
      <w:r>
        <w:rPr>
          <w:rFonts w:hint="eastAsia"/>
          <w:color w:val="auto"/>
        </w:rPr>
        <w:t>8.24</w:t>
      </w:r>
      <w:r>
        <w:rPr>
          <w:rFonts w:hint="eastAsia"/>
          <w:color w:val="auto"/>
        </w:rPr>
        <w:t>应急物资清单</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8.25</w:t>
      </w:r>
      <w:r>
        <w:rPr>
          <w:rFonts w:hint="eastAsia"/>
          <w:color w:val="auto"/>
        </w:rPr>
        <w:t>生产安全事故应急预案封面、目录、备案登记证</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8.26</w:t>
      </w:r>
      <w:r>
        <w:rPr>
          <w:rFonts w:hint="eastAsia"/>
          <w:color w:val="auto"/>
        </w:rPr>
        <w:t>应急演练记录</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8.27</w:t>
      </w:r>
      <w:r>
        <w:rPr>
          <w:rFonts w:hint="eastAsia"/>
          <w:color w:val="auto"/>
        </w:rPr>
        <w:t>试生产报告封面、目录</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8.28</w:t>
      </w:r>
      <w:r>
        <w:rPr>
          <w:rFonts w:hint="eastAsia"/>
          <w:color w:val="auto"/>
        </w:rPr>
        <w:t>安全岗位操作规程</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8.29</w:t>
      </w:r>
      <w:r>
        <w:rPr>
          <w:rFonts w:hint="eastAsia"/>
          <w:color w:val="auto"/>
        </w:rPr>
        <w:t>安全生产管理制度及安全岗位责任制封面及目录</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8.30</w:t>
      </w:r>
      <w:r>
        <w:rPr>
          <w:rFonts w:hint="eastAsia"/>
          <w:color w:val="auto"/>
        </w:rPr>
        <w:t>安全教育培训记录</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8.31</w:t>
      </w:r>
      <w:r>
        <w:rPr>
          <w:rFonts w:hint="eastAsia"/>
          <w:color w:val="auto"/>
        </w:rPr>
        <w:t>可燃气体检测报警装置合格证、</w:t>
      </w:r>
      <w:r w:rsidR="008458AF">
        <w:rPr>
          <w:rFonts w:hint="eastAsia"/>
          <w:color w:val="auto"/>
        </w:rPr>
        <w:t>压力表、</w:t>
      </w:r>
      <w:r>
        <w:rPr>
          <w:rFonts w:hint="eastAsia"/>
          <w:color w:val="auto"/>
        </w:rPr>
        <w:t>安全阀校验报告</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8.32</w:t>
      </w:r>
      <w:r>
        <w:rPr>
          <w:rFonts w:hint="eastAsia"/>
          <w:color w:val="auto"/>
        </w:rPr>
        <w:t>叉车、锅炉等特种设备使用登记证</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8.33</w:t>
      </w:r>
      <w:r>
        <w:rPr>
          <w:rFonts w:hint="eastAsia"/>
          <w:color w:val="auto"/>
        </w:rPr>
        <w:t>蒸汽采供合同</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8.34</w:t>
      </w:r>
      <w:r>
        <w:rPr>
          <w:rFonts w:hint="eastAsia"/>
          <w:color w:val="auto"/>
        </w:rPr>
        <w:t>设计变更</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8.35</w:t>
      </w:r>
      <w:r>
        <w:rPr>
          <w:rFonts w:hint="eastAsia"/>
          <w:color w:val="auto"/>
        </w:rPr>
        <w:t>总平面布置图（竣工图）</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8.36</w:t>
      </w:r>
      <w:r>
        <w:rPr>
          <w:rFonts w:hint="eastAsia"/>
          <w:color w:val="auto"/>
        </w:rPr>
        <w:t>云南</w:t>
      </w:r>
      <w:proofErr w:type="gramStart"/>
      <w:r>
        <w:rPr>
          <w:rFonts w:hint="eastAsia"/>
          <w:color w:val="auto"/>
        </w:rPr>
        <w:t>浩</w:t>
      </w:r>
      <w:proofErr w:type="gramEnd"/>
      <w:r>
        <w:rPr>
          <w:rFonts w:hint="eastAsia"/>
          <w:color w:val="auto"/>
        </w:rPr>
        <w:t>坤磷化工集团有限公司架设蒸汽管道使用登记证、检验证书、无损检测报告、质量证明书</w:t>
      </w:r>
    </w:p>
    <w:p w:rsidR="003F13AB" w:rsidRDefault="00EC6E7E">
      <w:pPr>
        <w:pStyle w:val="12"/>
        <w:adjustRightInd/>
        <w:snapToGrid/>
        <w:ind w:left="560" w:firstLineChars="0" w:firstLine="0"/>
        <w:rPr>
          <w:color w:val="auto"/>
        </w:rPr>
      </w:pPr>
      <w:r>
        <w:rPr>
          <w:rFonts w:hint="eastAsia"/>
          <w:color w:val="auto"/>
        </w:rPr>
        <w:t>附件</w:t>
      </w:r>
      <w:r>
        <w:rPr>
          <w:rFonts w:hint="eastAsia"/>
          <w:color w:val="auto"/>
        </w:rPr>
        <w:t>8.37</w:t>
      </w:r>
      <w:r>
        <w:rPr>
          <w:rFonts w:hint="eastAsia"/>
          <w:color w:val="auto"/>
        </w:rPr>
        <w:t>现场整改情况报告</w:t>
      </w:r>
    </w:p>
    <w:p w:rsidR="008458AF" w:rsidRDefault="008458AF">
      <w:pPr>
        <w:pStyle w:val="12"/>
        <w:adjustRightInd/>
        <w:snapToGrid/>
        <w:ind w:left="560" w:firstLineChars="0" w:firstLine="0"/>
        <w:rPr>
          <w:color w:val="auto"/>
        </w:rPr>
      </w:pPr>
      <w:r>
        <w:rPr>
          <w:rFonts w:hint="eastAsia"/>
          <w:color w:val="auto"/>
        </w:rPr>
        <w:t>附件</w:t>
      </w:r>
      <w:r>
        <w:rPr>
          <w:rFonts w:hint="eastAsia"/>
          <w:color w:val="auto"/>
        </w:rPr>
        <w:t>8.38</w:t>
      </w:r>
      <w:r>
        <w:rPr>
          <w:rFonts w:hint="eastAsia"/>
          <w:color w:val="auto"/>
        </w:rPr>
        <w:t>试生产情况报告</w:t>
      </w:r>
    </w:p>
    <w:p w:rsidR="008458AF" w:rsidRDefault="008458AF">
      <w:pPr>
        <w:pStyle w:val="12"/>
        <w:adjustRightInd/>
        <w:snapToGrid/>
        <w:ind w:left="560" w:firstLineChars="0" w:firstLine="0"/>
        <w:rPr>
          <w:color w:val="auto"/>
        </w:rPr>
      </w:pPr>
      <w:r>
        <w:rPr>
          <w:rFonts w:hint="eastAsia"/>
          <w:color w:val="auto"/>
        </w:rPr>
        <w:t>附件</w:t>
      </w:r>
      <w:r>
        <w:rPr>
          <w:rFonts w:hint="eastAsia"/>
          <w:color w:val="auto"/>
        </w:rPr>
        <w:t>8.39</w:t>
      </w:r>
      <w:r>
        <w:rPr>
          <w:rFonts w:hint="eastAsia"/>
          <w:color w:val="auto"/>
        </w:rPr>
        <w:t>专家会后现场整改情况报告</w:t>
      </w:r>
      <w:bookmarkEnd w:id="431"/>
    </w:p>
    <w:sectPr w:rsidR="008458AF">
      <w:pgSz w:w="11906" w:h="16838"/>
      <w:pgMar w:top="1418" w:right="1418" w:bottom="1588" w:left="1418"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E4F3F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894" w:rsidRDefault="00A90894">
      <w:pPr>
        <w:spacing w:line="240" w:lineRule="auto"/>
        <w:ind w:firstLine="560"/>
      </w:pPr>
      <w:r>
        <w:separator/>
      </w:r>
    </w:p>
  </w:endnote>
  <w:endnote w:type="continuationSeparator" w:id="0">
    <w:p w:rsidR="00A90894" w:rsidRDefault="00A9089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F3">
    <w:altName w:val="宋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pStyle w:val="ab"/>
      <w:ind w:firstLine="360"/>
    </w:pPr>
  </w:p>
  <w:p w:rsidR="00EC6E7E" w:rsidRDefault="00EC6E7E">
    <w:pPr>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ind w:left="560"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pStyle w:val="ab"/>
      <w:ind w:firstLine="360"/>
    </w:pPr>
  </w:p>
  <w:p w:rsidR="00EC6E7E" w:rsidRDefault="00EC6E7E">
    <w:pPr>
      <w:ind w:firstLine="5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ind w:left="560" w:firstLineChars="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326248"/>
      <w:docPartObj>
        <w:docPartGallery w:val="AutoText"/>
      </w:docPartObj>
    </w:sdtPr>
    <w:sdtEndPr/>
    <w:sdtContent>
      <w:sdt>
        <w:sdtPr>
          <w:id w:val="435641785"/>
        </w:sdtPr>
        <w:sdtEndPr>
          <w:rPr>
            <w:rFonts w:ascii="宋体" w:hAnsi="宋体"/>
            <w:sz w:val="21"/>
            <w:szCs w:val="21"/>
          </w:rPr>
        </w:sdtEndPr>
        <w:sdtContent>
          <w:p w:rsidR="00EC6E7E" w:rsidRDefault="00EC6E7E">
            <w:pPr>
              <w:pStyle w:val="ab"/>
              <w:spacing w:line="240" w:lineRule="auto"/>
              <w:ind w:firstLineChars="0" w:firstLine="0"/>
              <w:rPr>
                <w:rFonts w:ascii="宋体" w:hAnsi="宋体"/>
                <w:sz w:val="21"/>
                <w:szCs w:val="21"/>
              </w:rPr>
            </w:pPr>
            <w:r>
              <w:rPr>
                <w:rFonts w:hint="eastAsia"/>
                <w:sz w:val="21"/>
                <w:szCs w:val="21"/>
              </w:rPr>
              <w:t>昭通市</w:t>
            </w:r>
            <w:proofErr w:type="gramStart"/>
            <w:r>
              <w:rPr>
                <w:rFonts w:hint="eastAsia"/>
                <w:sz w:val="21"/>
                <w:szCs w:val="21"/>
              </w:rPr>
              <w:t>鼎安科技</w:t>
            </w:r>
            <w:proofErr w:type="gramEnd"/>
            <w:r>
              <w:rPr>
                <w:rFonts w:hint="eastAsia"/>
                <w:sz w:val="21"/>
                <w:szCs w:val="21"/>
              </w:rPr>
              <w:t>有限公司</w:t>
            </w:r>
            <w:r>
              <w:rPr>
                <w:rFonts w:hint="eastAsia"/>
                <w:sz w:val="21"/>
                <w:szCs w:val="21"/>
              </w:rPr>
              <w:t xml:space="preserve">                        </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576F7A" w:rsidRPr="00576F7A">
              <w:rPr>
                <w:rFonts w:ascii="宋体" w:hAnsi="宋体"/>
                <w:noProof/>
                <w:sz w:val="21"/>
                <w:szCs w:val="21"/>
                <w:lang w:val="zh-CN"/>
              </w:rPr>
              <w:t>1</w:t>
            </w:r>
            <w:r>
              <w:rPr>
                <w:rFonts w:ascii="宋体" w:hAnsi="宋体"/>
                <w:sz w:val="21"/>
                <w:szCs w:val="21"/>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53902"/>
    </w:sdtPr>
    <w:sdtEndPr>
      <w:rPr>
        <w:rFonts w:ascii="宋体" w:hAnsi="宋体"/>
        <w:sz w:val="21"/>
        <w:szCs w:val="21"/>
      </w:rPr>
    </w:sdtEndPr>
    <w:sdtContent>
      <w:p w:rsidR="00EC6E7E" w:rsidRDefault="00EC6E7E">
        <w:pPr>
          <w:pStyle w:val="ab"/>
          <w:spacing w:line="240" w:lineRule="auto"/>
          <w:ind w:firstLineChars="0" w:firstLine="0"/>
          <w:rPr>
            <w:rFonts w:ascii="宋体" w:hAnsi="宋体"/>
            <w:sz w:val="21"/>
            <w:szCs w:val="21"/>
          </w:rPr>
        </w:pPr>
        <w:r>
          <w:rPr>
            <w:rFonts w:hint="eastAsia"/>
            <w:sz w:val="21"/>
            <w:szCs w:val="21"/>
          </w:rPr>
          <w:t>昭通市</w:t>
        </w:r>
        <w:proofErr w:type="gramStart"/>
        <w:r>
          <w:rPr>
            <w:rFonts w:hint="eastAsia"/>
            <w:sz w:val="21"/>
            <w:szCs w:val="21"/>
          </w:rPr>
          <w:t>鼎安科技</w:t>
        </w:r>
        <w:proofErr w:type="gramEnd"/>
        <w:r>
          <w:rPr>
            <w:rFonts w:hint="eastAsia"/>
            <w:sz w:val="21"/>
            <w:szCs w:val="21"/>
          </w:rPr>
          <w:t>有限公司</w:t>
        </w:r>
        <w:r>
          <w:rPr>
            <w:rFonts w:hint="eastAsia"/>
            <w:sz w:val="21"/>
            <w:szCs w:val="21"/>
          </w:rPr>
          <w:t xml:space="preserve">                        </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576F7A" w:rsidRPr="00576F7A">
          <w:rPr>
            <w:rFonts w:ascii="宋体" w:hAnsi="宋体"/>
            <w:noProof/>
            <w:sz w:val="21"/>
            <w:szCs w:val="21"/>
            <w:lang w:val="zh-CN"/>
          </w:rPr>
          <w:t>1</w:t>
        </w:r>
        <w:r>
          <w:rPr>
            <w:rFonts w:ascii="宋体" w:hAnsi="宋体"/>
            <w:sz w:val="21"/>
            <w:szCs w:val="21"/>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391860"/>
    </w:sdtPr>
    <w:sdtEndPr/>
    <w:sdtContent>
      <w:p w:rsidR="00EC6E7E" w:rsidRDefault="00EC6E7E">
        <w:pPr>
          <w:pStyle w:val="ab"/>
          <w:ind w:firstLine="360"/>
        </w:pPr>
        <w:r>
          <w:rPr>
            <w:rFonts w:hint="eastAsia"/>
            <w:sz w:val="21"/>
            <w:szCs w:val="21"/>
          </w:rPr>
          <w:t>昭通市</w:t>
        </w:r>
        <w:proofErr w:type="gramStart"/>
        <w:r>
          <w:rPr>
            <w:rFonts w:hint="eastAsia"/>
            <w:sz w:val="21"/>
            <w:szCs w:val="21"/>
          </w:rPr>
          <w:t>鼎安科技</w:t>
        </w:r>
        <w:proofErr w:type="gramEnd"/>
        <w:r>
          <w:rPr>
            <w:rFonts w:hint="eastAsia"/>
            <w:sz w:val="21"/>
            <w:szCs w:val="21"/>
          </w:rPr>
          <w:t>有限公司</w:t>
        </w:r>
        <w:r>
          <w:rPr>
            <w:rFonts w:hint="eastAsia"/>
            <w:sz w:val="21"/>
            <w:szCs w:val="21"/>
          </w:rPr>
          <w:t xml:space="preserve">                        </w:t>
        </w:r>
        <w:r>
          <w:fldChar w:fldCharType="begin"/>
        </w:r>
        <w:r>
          <w:instrText>PAGE   \* MERGEFORMAT</w:instrText>
        </w:r>
        <w:r>
          <w:fldChar w:fldCharType="separate"/>
        </w:r>
        <w:r w:rsidR="00576F7A" w:rsidRPr="00576F7A">
          <w:rPr>
            <w:noProof/>
            <w:lang w:val="zh-CN"/>
          </w:rPr>
          <w:t>7</w:t>
        </w:r>
        <w:r>
          <w:rPr>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781232"/>
    </w:sdtPr>
    <w:sdtEndPr>
      <w:rPr>
        <w:rFonts w:ascii="宋体" w:hAnsi="宋体"/>
        <w:sz w:val="21"/>
        <w:szCs w:val="21"/>
      </w:rPr>
    </w:sdtEndPr>
    <w:sdtContent>
      <w:p w:rsidR="00EC6E7E" w:rsidRDefault="00EC6E7E">
        <w:pPr>
          <w:pStyle w:val="ab"/>
          <w:spacing w:line="240" w:lineRule="auto"/>
          <w:ind w:firstLineChars="0" w:firstLine="0"/>
          <w:rPr>
            <w:rFonts w:ascii="宋体" w:hAnsi="宋体"/>
            <w:sz w:val="21"/>
            <w:szCs w:val="21"/>
          </w:rPr>
        </w:pPr>
        <w:r>
          <w:rPr>
            <w:rFonts w:ascii="宋体" w:hAnsi="宋体" w:hint="eastAsia"/>
            <w:sz w:val="21"/>
            <w:szCs w:val="21"/>
          </w:rPr>
          <w:t>昭通市</w:t>
        </w:r>
        <w:proofErr w:type="gramStart"/>
        <w:r>
          <w:rPr>
            <w:rFonts w:ascii="宋体" w:hAnsi="宋体" w:hint="eastAsia"/>
            <w:sz w:val="21"/>
            <w:szCs w:val="21"/>
          </w:rPr>
          <w:t>鼎安科技</w:t>
        </w:r>
        <w:proofErr w:type="gramEnd"/>
        <w:r>
          <w:rPr>
            <w:rFonts w:ascii="宋体" w:hAnsi="宋体" w:hint="eastAsia"/>
            <w:sz w:val="21"/>
            <w:szCs w:val="21"/>
          </w:rPr>
          <w:t xml:space="preserve">有限公司                        </w:t>
        </w: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576F7A" w:rsidRPr="00576F7A">
          <w:rPr>
            <w:rFonts w:ascii="宋体" w:hAnsi="宋体"/>
            <w:noProof/>
            <w:sz w:val="21"/>
            <w:szCs w:val="21"/>
            <w:lang w:val="zh-CN"/>
          </w:rPr>
          <w:t>169</w:t>
        </w:r>
        <w:r>
          <w:rPr>
            <w:rFonts w:ascii="宋体" w:hAnsi="宋体"/>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894" w:rsidRDefault="00A90894">
      <w:pPr>
        <w:ind w:firstLine="560"/>
      </w:pPr>
      <w:r>
        <w:separator/>
      </w:r>
    </w:p>
  </w:footnote>
  <w:footnote w:type="continuationSeparator" w:id="0">
    <w:p w:rsidR="00A90894" w:rsidRDefault="00A90894">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pStyle w:val="ac"/>
      <w:ind w:firstLine="360"/>
    </w:pPr>
  </w:p>
  <w:p w:rsidR="00EC6E7E" w:rsidRDefault="00EC6E7E">
    <w:pPr>
      <w:ind w:firstLine="5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ind w:left="56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pStyle w:val="ac"/>
      <w:ind w:firstLine="360"/>
    </w:pPr>
  </w:p>
  <w:p w:rsidR="00EC6E7E" w:rsidRDefault="00EC6E7E">
    <w:pPr>
      <w:ind w:firstLine="5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ind w:left="560" w:firstLineChars="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pStyle w:val="ac"/>
      <w:ind w:firstLine="420"/>
      <w:rPr>
        <w:sz w:val="21"/>
        <w:szCs w:val="21"/>
      </w:rPr>
    </w:pPr>
    <w:r>
      <w:rPr>
        <w:rFonts w:hint="eastAsia"/>
        <w:sz w:val="21"/>
        <w:szCs w:val="21"/>
      </w:rPr>
      <w:t>云南农家乐农业集团有限公司年产</w:t>
    </w:r>
    <w:proofErr w:type="gramStart"/>
    <w:r>
      <w:rPr>
        <w:rFonts w:hint="eastAsia"/>
        <w:sz w:val="21"/>
        <w:szCs w:val="21"/>
      </w:rPr>
      <w:t>50</w:t>
    </w:r>
    <w:r>
      <w:rPr>
        <w:rFonts w:hint="eastAsia"/>
        <w:sz w:val="21"/>
        <w:szCs w:val="21"/>
      </w:rPr>
      <w:t>万吨缓控释</w:t>
    </w:r>
    <w:proofErr w:type="gramEnd"/>
    <w:r>
      <w:rPr>
        <w:rFonts w:hint="eastAsia"/>
        <w:sz w:val="21"/>
        <w:szCs w:val="21"/>
      </w:rPr>
      <w:t>肥料、水溶肥料、专用肥料生产基地建设项目安全验收评价报告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pStyle w:val="ac"/>
      <w:pBdr>
        <w:bottom w:val="single" w:sz="4" w:space="1" w:color="auto"/>
      </w:pBdr>
      <w:tabs>
        <w:tab w:val="left" w:pos="362"/>
      </w:tabs>
      <w:spacing w:line="240" w:lineRule="auto"/>
      <w:ind w:firstLineChars="0" w:firstLine="0"/>
      <w:rPr>
        <w:rFonts w:ascii="宋体" w:hAnsi="宋体" w:cs="宋体"/>
        <w:sz w:val="21"/>
        <w:szCs w:val="21"/>
      </w:rPr>
    </w:pPr>
    <w:r>
      <w:rPr>
        <w:rFonts w:ascii="宋体" w:hAnsi="宋体" w:cs="宋体" w:hint="eastAsia"/>
        <w:sz w:val="21"/>
        <w:szCs w:val="21"/>
      </w:rPr>
      <w:t>云南农家乐农业集团有限公司年产</w:t>
    </w:r>
    <w:proofErr w:type="gramStart"/>
    <w:r>
      <w:rPr>
        <w:rFonts w:ascii="宋体" w:hAnsi="宋体" w:cs="宋体" w:hint="eastAsia"/>
        <w:sz w:val="21"/>
        <w:szCs w:val="21"/>
      </w:rPr>
      <w:t>50万吨缓控释</w:t>
    </w:r>
    <w:proofErr w:type="gramEnd"/>
    <w:r>
      <w:rPr>
        <w:rFonts w:ascii="宋体" w:hAnsi="宋体" w:cs="宋体" w:hint="eastAsia"/>
        <w:sz w:val="21"/>
        <w:szCs w:val="21"/>
      </w:rPr>
      <w:t>肥料、水溶肥料、专用肥料生产基地建设项目</w:t>
    </w:r>
  </w:p>
  <w:p w:rsidR="00EC6E7E" w:rsidRDefault="00EC6E7E">
    <w:pPr>
      <w:pStyle w:val="ac"/>
      <w:pBdr>
        <w:bottom w:val="single" w:sz="4" w:space="1" w:color="auto"/>
      </w:pBdr>
      <w:tabs>
        <w:tab w:val="left" w:pos="362"/>
      </w:tabs>
      <w:spacing w:line="240" w:lineRule="auto"/>
      <w:ind w:firstLineChars="0" w:firstLine="0"/>
      <w:rPr>
        <w:sz w:val="21"/>
        <w:szCs w:val="21"/>
      </w:rPr>
    </w:pPr>
    <w:r>
      <w:rPr>
        <w:rFonts w:ascii="宋体" w:hAnsi="宋体" w:cs="宋体" w:hint="eastAsia"/>
        <w:sz w:val="21"/>
        <w:szCs w:val="21"/>
      </w:rPr>
      <w:t>安全验收评价报告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pStyle w:val="ac"/>
      <w:pBdr>
        <w:bottom w:val="single" w:sz="4" w:space="1" w:color="auto"/>
      </w:pBdr>
      <w:tabs>
        <w:tab w:val="left" w:pos="362"/>
      </w:tabs>
      <w:spacing w:line="240" w:lineRule="auto"/>
      <w:ind w:firstLineChars="0" w:firstLine="0"/>
      <w:rPr>
        <w:rFonts w:ascii="宋体" w:hAnsi="宋体" w:cs="宋体"/>
        <w:sz w:val="21"/>
        <w:szCs w:val="21"/>
      </w:rPr>
    </w:pPr>
    <w:r>
      <w:rPr>
        <w:rFonts w:ascii="宋体" w:hAnsi="宋体" w:cs="宋体" w:hint="eastAsia"/>
        <w:sz w:val="21"/>
        <w:szCs w:val="21"/>
      </w:rPr>
      <w:t>云南农家乐农业集团有限公司年产</w:t>
    </w:r>
    <w:proofErr w:type="gramStart"/>
    <w:r>
      <w:rPr>
        <w:rFonts w:ascii="宋体" w:hAnsi="宋体" w:cs="宋体" w:hint="eastAsia"/>
        <w:sz w:val="21"/>
        <w:szCs w:val="21"/>
      </w:rPr>
      <w:t>50万吨缓控释</w:t>
    </w:r>
    <w:proofErr w:type="gramEnd"/>
    <w:r>
      <w:rPr>
        <w:rFonts w:ascii="宋体" w:hAnsi="宋体" w:cs="宋体" w:hint="eastAsia"/>
        <w:sz w:val="21"/>
        <w:szCs w:val="21"/>
      </w:rPr>
      <w:t>肥料、水溶肥料、专用肥料生产基地建设项目</w:t>
    </w:r>
  </w:p>
  <w:p w:rsidR="00EC6E7E" w:rsidRDefault="00EC6E7E">
    <w:pPr>
      <w:pStyle w:val="ac"/>
      <w:pBdr>
        <w:bottom w:val="single" w:sz="4" w:space="1" w:color="auto"/>
      </w:pBdr>
      <w:tabs>
        <w:tab w:val="left" w:pos="362"/>
      </w:tabs>
      <w:spacing w:line="240" w:lineRule="auto"/>
      <w:ind w:firstLineChars="0" w:firstLine="0"/>
      <w:rPr>
        <w:sz w:val="21"/>
        <w:szCs w:val="21"/>
      </w:rPr>
    </w:pPr>
    <w:r>
      <w:rPr>
        <w:rFonts w:ascii="宋体" w:hAnsi="宋体" w:cs="宋体" w:hint="eastAsia"/>
        <w:sz w:val="21"/>
        <w:szCs w:val="21"/>
      </w:rPr>
      <w:t>安全验收评价报告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E7E" w:rsidRDefault="00EC6E7E">
    <w:pPr>
      <w:pStyle w:val="ac"/>
      <w:pBdr>
        <w:bottom w:val="single" w:sz="4" w:space="1" w:color="auto"/>
      </w:pBdr>
      <w:tabs>
        <w:tab w:val="left" w:pos="362"/>
      </w:tabs>
      <w:spacing w:line="240" w:lineRule="auto"/>
      <w:ind w:firstLineChars="0" w:firstLine="0"/>
      <w:rPr>
        <w:rFonts w:ascii="宋体" w:hAnsi="宋体" w:cs="宋体"/>
        <w:sz w:val="21"/>
        <w:szCs w:val="21"/>
      </w:rPr>
    </w:pPr>
    <w:r>
      <w:rPr>
        <w:rFonts w:ascii="宋体" w:hAnsi="宋体" w:cs="宋体" w:hint="eastAsia"/>
        <w:sz w:val="21"/>
        <w:szCs w:val="21"/>
      </w:rPr>
      <w:t>云南农家乐农业集团有限公司年产</w:t>
    </w:r>
    <w:proofErr w:type="gramStart"/>
    <w:r>
      <w:rPr>
        <w:rFonts w:ascii="宋体" w:hAnsi="宋体" w:cs="宋体" w:hint="eastAsia"/>
        <w:sz w:val="21"/>
        <w:szCs w:val="21"/>
      </w:rPr>
      <w:t>50万吨缓控释</w:t>
    </w:r>
    <w:proofErr w:type="gramEnd"/>
    <w:r>
      <w:rPr>
        <w:rFonts w:ascii="宋体" w:hAnsi="宋体" w:cs="宋体" w:hint="eastAsia"/>
        <w:sz w:val="21"/>
        <w:szCs w:val="21"/>
      </w:rPr>
      <w:t>肥料、水溶肥料、专用肥料生产基地建设项目</w:t>
    </w:r>
  </w:p>
  <w:p w:rsidR="00EC6E7E" w:rsidRDefault="00EC6E7E">
    <w:pPr>
      <w:pStyle w:val="ac"/>
      <w:pBdr>
        <w:bottom w:val="single" w:sz="4" w:space="1" w:color="auto"/>
      </w:pBdr>
      <w:tabs>
        <w:tab w:val="left" w:pos="362"/>
      </w:tabs>
      <w:spacing w:line="240" w:lineRule="auto"/>
      <w:ind w:firstLineChars="0" w:firstLine="0"/>
      <w:rPr>
        <w:sz w:val="21"/>
        <w:szCs w:val="21"/>
      </w:rPr>
    </w:pPr>
    <w:r>
      <w:rPr>
        <w:rFonts w:ascii="宋体" w:hAnsi="宋体" w:cs="宋体" w:hint="eastAsia"/>
        <w:sz w:val="21"/>
        <w:szCs w:val="21"/>
      </w:rPr>
      <w:t>安全验收评价报告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F1AF96"/>
    <w:multiLevelType w:val="singleLevel"/>
    <w:tmpl w:val="94F1AF96"/>
    <w:lvl w:ilvl="0">
      <w:start w:val="1"/>
      <w:numFmt w:val="decimal"/>
      <w:suff w:val="nothing"/>
      <w:lvlText w:val="%1."/>
      <w:lvlJc w:val="left"/>
      <w:pPr>
        <w:ind w:left="454" w:hanging="454"/>
      </w:pPr>
      <w:rPr>
        <w:rFonts w:hint="default"/>
      </w:rPr>
    </w:lvl>
  </w:abstractNum>
  <w:abstractNum w:abstractNumId="1">
    <w:nsid w:val="00000033"/>
    <w:multiLevelType w:val="multilevel"/>
    <w:tmpl w:val="00000033"/>
    <w:lvl w:ilvl="0">
      <w:start w:val="1"/>
      <w:numFmt w:val="decimal"/>
      <w:lvlText w:val="%1"/>
      <w:lvlJc w:val="left"/>
      <w:pPr>
        <w:tabs>
          <w:tab w:val="left" w:pos="465"/>
        </w:tabs>
        <w:ind w:left="465" w:hanging="360"/>
      </w:pPr>
      <w:rPr>
        <w:rFonts w:hint="default"/>
      </w:rPr>
    </w:lvl>
    <w:lvl w:ilvl="1">
      <w:start w:val="1"/>
      <w:numFmt w:val="lowerLetter"/>
      <w:lvlText w:val="%2)"/>
      <w:lvlJc w:val="left"/>
      <w:pPr>
        <w:tabs>
          <w:tab w:val="left" w:pos="945"/>
        </w:tabs>
        <w:ind w:left="945" w:hanging="420"/>
      </w:pPr>
    </w:lvl>
    <w:lvl w:ilvl="2">
      <w:start w:val="1"/>
      <w:numFmt w:val="lowerRoman"/>
      <w:lvlText w:val="%3."/>
      <w:lvlJc w:val="right"/>
      <w:pPr>
        <w:tabs>
          <w:tab w:val="left" w:pos="1365"/>
        </w:tabs>
        <w:ind w:left="1365" w:hanging="420"/>
      </w:pPr>
    </w:lvl>
    <w:lvl w:ilvl="3">
      <w:start w:val="1"/>
      <w:numFmt w:val="decimal"/>
      <w:lvlText w:val="%4."/>
      <w:lvlJc w:val="left"/>
      <w:pPr>
        <w:tabs>
          <w:tab w:val="left" w:pos="1785"/>
        </w:tabs>
        <w:ind w:left="1785" w:hanging="420"/>
      </w:pPr>
    </w:lvl>
    <w:lvl w:ilvl="4">
      <w:start w:val="1"/>
      <w:numFmt w:val="lowerLetter"/>
      <w:lvlText w:val="%5)"/>
      <w:lvlJc w:val="left"/>
      <w:pPr>
        <w:tabs>
          <w:tab w:val="left" w:pos="2205"/>
        </w:tabs>
        <w:ind w:left="2205" w:hanging="420"/>
      </w:pPr>
    </w:lvl>
    <w:lvl w:ilvl="5">
      <w:start w:val="1"/>
      <w:numFmt w:val="lowerRoman"/>
      <w:lvlText w:val="%6."/>
      <w:lvlJc w:val="right"/>
      <w:pPr>
        <w:tabs>
          <w:tab w:val="left" w:pos="2625"/>
        </w:tabs>
        <w:ind w:left="2625" w:hanging="420"/>
      </w:pPr>
    </w:lvl>
    <w:lvl w:ilvl="6">
      <w:start w:val="1"/>
      <w:numFmt w:val="decimal"/>
      <w:lvlText w:val="%7."/>
      <w:lvlJc w:val="left"/>
      <w:pPr>
        <w:tabs>
          <w:tab w:val="left" w:pos="3045"/>
        </w:tabs>
        <w:ind w:left="3045" w:hanging="420"/>
      </w:pPr>
    </w:lvl>
    <w:lvl w:ilvl="7">
      <w:start w:val="1"/>
      <w:numFmt w:val="lowerLetter"/>
      <w:lvlText w:val="%8)"/>
      <w:lvlJc w:val="left"/>
      <w:pPr>
        <w:tabs>
          <w:tab w:val="left" w:pos="3465"/>
        </w:tabs>
        <w:ind w:left="3465" w:hanging="420"/>
      </w:pPr>
    </w:lvl>
    <w:lvl w:ilvl="8">
      <w:start w:val="1"/>
      <w:numFmt w:val="lowerRoman"/>
      <w:lvlText w:val="%9."/>
      <w:lvlJc w:val="right"/>
      <w:pPr>
        <w:tabs>
          <w:tab w:val="left" w:pos="3885"/>
        </w:tabs>
        <w:ind w:left="3885" w:hanging="420"/>
      </w:pPr>
    </w:lvl>
  </w:abstractNum>
  <w:abstractNum w:abstractNumId="2">
    <w:nsid w:val="0214782F"/>
    <w:multiLevelType w:val="multilevel"/>
    <w:tmpl w:val="0214782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44B7247"/>
    <w:multiLevelType w:val="multilevel"/>
    <w:tmpl w:val="044B724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6D421D2"/>
    <w:multiLevelType w:val="multilevel"/>
    <w:tmpl w:val="06D421D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9E41C6E"/>
    <w:multiLevelType w:val="multilevel"/>
    <w:tmpl w:val="09E41C6E"/>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A5E65A8"/>
    <w:multiLevelType w:val="multilevel"/>
    <w:tmpl w:val="0A5E65A8"/>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12F621B0"/>
    <w:multiLevelType w:val="multilevel"/>
    <w:tmpl w:val="12F621B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5325A31"/>
    <w:multiLevelType w:val="multilevel"/>
    <w:tmpl w:val="15325A31"/>
    <w:lvl w:ilvl="0">
      <w:start w:val="1"/>
      <w:numFmt w:val="decimal"/>
      <w:lvlText w:val="（%1）"/>
      <w:lvlJc w:val="left"/>
      <w:pPr>
        <w:ind w:left="2122"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1E3928A0"/>
    <w:multiLevelType w:val="multilevel"/>
    <w:tmpl w:val="1E3928A0"/>
    <w:lvl w:ilvl="0">
      <w:start w:val="1"/>
      <w:numFmt w:val="decimal"/>
      <w:lvlText w:val="%1）"/>
      <w:lvlJc w:val="left"/>
      <w:pPr>
        <w:ind w:left="980" w:hanging="420"/>
      </w:pPr>
      <w:rPr>
        <w:rFonts w:hint="eastAsia"/>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264A1739"/>
    <w:multiLevelType w:val="multilevel"/>
    <w:tmpl w:val="264A173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97D50C2"/>
    <w:multiLevelType w:val="multilevel"/>
    <w:tmpl w:val="297D50C2"/>
    <w:lvl w:ilvl="0">
      <w:start w:val="1"/>
      <w:numFmt w:val="decimal"/>
      <w:lvlText w:val="（%1）"/>
      <w:lvlJc w:val="left"/>
      <w:pPr>
        <w:ind w:left="980" w:hanging="420"/>
      </w:pPr>
    </w:lvl>
    <w:lvl w:ilvl="1">
      <w:start w:val="1"/>
      <w:numFmt w:val="decimal"/>
      <w:lvlText w:val="%2."/>
      <w:lvlJc w:val="left"/>
      <w:pPr>
        <w:ind w:left="1340" w:hanging="36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2BC60DDB"/>
    <w:multiLevelType w:val="multilevel"/>
    <w:tmpl w:val="2BC60DDB"/>
    <w:lvl w:ilvl="0">
      <w:start w:val="1"/>
      <w:numFmt w:val="decimal"/>
      <w:lvlText w:val="（%1）"/>
      <w:lvlJc w:val="left"/>
      <w:pPr>
        <w:ind w:left="1412" w:hanging="420"/>
      </w:p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13">
    <w:nsid w:val="2EE377B5"/>
    <w:multiLevelType w:val="multilevel"/>
    <w:tmpl w:val="2EE377B5"/>
    <w:lvl w:ilvl="0">
      <w:start w:val="1"/>
      <w:numFmt w:val="decimal"/>
      <w:lvlText w:val="（%1）"/>
      <w:lvlJc w:val="left"/>
      <w:pPr>
        <w:ind w:left="988" w:hanging="420"/>
      </w:pPr>
      <w:rPr>
        <w:rFonts w:ascii="宋体" w:eastAsia="宋体" w:hAnsi="宋体"/>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2F230FC8"/>
    <w:multiLevelType w:val="multilevel"/>
    <w:tmpl w:val="2F230FC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8C06D3E"/>
    <w:multiLevelType w:val="multilevel"/>
    <w:tmpl w:val="38C06D3E"/>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F3A5B61"/>
    <w:multiLevelType w:val="multilevel"/>
    <w:tmpl w:val="3F3A5B61"/>
    <w:lvl w:ilvl="0">
      <w:start w:val="1"/>
      <w:numFmt w:val="decimal"/>
      <w:lvlText w:val="（%1）"/>
      <w:lvlJc w:val="left"/>
      <w:pPr>
        <w:ind w:left="1838" w:hanging="420"/>
      </w:pPr>
      <w:rPr>
        <w:rFonts w:ascii="宋体" w:eastAsia="宋体" w:hAnsi="宋体"/>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7F9581E"/>
    <w:multiLevelType w:val="multilevel"/>
    <w:tmpl w:val="47F9581E"/>
    <w:lvl w:ilvl="0">
      <w:start w:val="1"/>
      <w:numFmt w:val="decimal"/>
      <w:lvlText w:val="（%1）"/>
      <w:lvlJc w:val="left"/>
      <w:pPr>
        <w:ind w:left="1555"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5E7E518F"/>
    <w:multiLevelType w:val="multilevel"/>
    <w:tmpl w:val="5E7E518F"/>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60850D34"/>
    <w:multiLevelType w:val="multilevel"/>
    <w:tmpl w:val="60850D34"/>
    <w:lvl w:ilvl="0">
      <w:start w:val="1"/>
      <w:numFmt w:val="decimal"/>
      <w:lvlText w:val="%1"/>
      <w:lvlJc w:val="left"/>
      <w:pPr>
        <w:ind w:left="3054" w:hanging="360"/>
      </w:pPr>
      <w:rPr>
        <w:rFonts w:hint="default"/>
      </w:rPr>
    </w:lvl>
    <w:lvl w:ilvl="1">
      <w:start w:val="2"/>
      <w:numFmt w:val="decimal"/>
      <w:isLgl/>
      <w:lvlText w:val="%1.%2"/>
      <w:lvlJc w:val="left"/>
      <w:pPr>
        <w:ind w:left="1121" w:hanging="840"/>
      </w:pPr>
      <w:rPr>
        <w:rFonts w:hint="default"/>
      </w:rPr>
    </w:lvl>
    <w:lvl w:ilvl="2">
      <w:start w:val="3"/>
      <w:numFmt w:val="decimal"/>
      <w:isLgl/>
      <w:lvlText w:val="%1.%2.%3"/>
      <w:lvlJc w:val="left"/>
      <w:pPr>
        <w:ind w:left="1402" w:hanging="840"/>
      </w:pPr>
      <w:rPr>
        <w:rFonts w:hint="default"/>
      </w:rPr>
    </w:lvl>
    <w:lvl w:ilvl="3">
      <w:start w:val="1"/>
      <w:numFmt w:val="decimal"/>
      <w:isLgl/>
      <w:lvlText w:val="%1.%2.%3.%4"/>
      <w:lvlJc w:val="left"/>
      <w:pPr>
        <w:ind w:left="1923" w:hanging="1080"/>
      </w:pPr>
      <w:rPr>
        <w:rFonts w:hint="default"/>
      </w:rPr>
    </w:lvl>
    <w:lvl w:ilvl="4">
      <w:start w:val="1"/>
      <w:numFmt w:val="decimal"/>
      <w:isLgl/>
      <w:lvlText w:val="%1.%2.%3.%4.%5"/>
      <w:lvlJc w:val="left"/>
      <w:pPr>
        <w:ind w:left="2204" w:hanging="1080"/>
      </w:pPr>
      <w:rPr>
        <w:rFonts w:hint="default"/>
      </w:rPr>
    </w:lvl>
    <w:lvl w:ilvl="5">
      <w:start w:val="1"/>
      <w:numFmt w:val="decimal"/>
      <w:isLgl/>
      <w:lvlText w:val="%1.%2.%3.%4.%5.%6"/>
      <w:lvlJc w:val="left"/>
      <w:pPr>
        <w:ind w:left="2845" w:hanging="1440"/>
      </w:pPr>
      <w:rPr>
        <w:rFonts w:hint="default"/>
      </w:rPr>
    </w:lvl>
    <w:lvl w:ilvl="6">
      <w:start w:val="1"/>
      <w:numFmt w:val="decimal"/>
      <w:isLgl/>
      <w:lvlText w:val="%1.%2.%3.%4.%5.%6.%7"/>
      <w:lvlJc w:val="left"/>
      <w:pPr>
        <w:ind w:left="3126" w:hanging="1440"/>
      </w:pPr>
      <w:rPr>
        <w:rFonts w:hint="default"/>
      </w:rPr>
    </w:lvl>
    <w:lvl w:ilvl="7">
      <w:start w:val="1"/>
      <w:numFmt w:val="decimal"/>
      <w:isLgl/>
      <w:lvlText w:val="%1.%2.%3.%4.%5.%6.%7.%8"/>
      <w:lvlJc w:val="left"/>
      <w:pPr>
        <w:ind w:left="3767" w:hanging="1800"/>
      </w:pPr>
      <w:rPr>
        <w:rFonts w:hint="default"/>
      </w:rPr>
    </w:lvl>
    <w:lvl w:ilvl="8">
      <w:start w:val="1"/>
      <w:numFmt w:val="decimal"/>
      <w:isLgl/>
      <w:lvlText w:val="%1.%2.%3.%4.%5.%6.%7.%8.%9"/>
      <w:lvlJc w:val="left"/>
      <w:pPr>
        <w:ind w:left="4408" w:hanging="2160"/>
      </w:pPr>
      <w:rPr>
        <w:rFonts w:hint="default"/>
      </w:rPr>
    </w:lvl>
  </w:abstractNum>
  <w:abstractNum w:abstractNumId="20">
    <w:nsid w:val="63730211"/>
    <w:multiLevelType w:val="multilevel"/>
    <w:tmpl w:val="6373021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A836D3B"/>
    <w:multiLevelType w:val="multilevel"/>
    <w:tmpl w:val="6A836D3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9"/>
  </w:num>
  <w:num w:numId="2">
    <w:abstractNumId w:val="2"/>
  </w:num>
  <w:num w:numId="3">
    <w:abstractNumId w:val="4"/>
  </w:num>
  <w:num w:numId="4">
    <w:abstractNumId w:val="0"/>
  </w:num>
  <w:num w:numId="5">
    <w:abstractNumId w:val="14"/>
  </w:num>
  <w:num w:numId="6">
    <w:abstractNumId w:val="3"/>
  </w:num>
  <w:num w:numId="7">
    <w:abstractNumId w:val="10"/>
  </w:num>
  <w:num w:numId="8">
    <w:abstractNumId w:val="15"/>
  </w:num>
  <w:num w:numId="9">
    <w:abstractNumId w:val="7"/>
  </w:num>
  <w:num w:numId="10">
    <w:abstractNumId w:val="20"/>
  </w:num>
  <w:num w:numId="11">
    <w:abstractNumId w:val="17"/>
  </w:num>
  <w:num w:numId="12">
    <w:abstractNumId w:val="8"/>
  </w:num>
  <w:num w:numId="13">
    <w:abstractNumId w:val="6"/>
  </w:num>
  <w:num w:numId="14">
    <w:abstractNumId w:val="18"/>
  </w:num>
  <w:num w:numId="15">
    <w:abstractNumId w:val="9"/>
  </w:num>
  <w:num w:numId="16">
    <w:abstractNumId w:val="5"/>
  </w:num>
  <w:num w:numId="17">
    <w:abstractNumId w:val="1"/>
  </w:num>
  <w:num w:numId="18">
    <w:abstractNumId w:val="21"/>
  </w:num>
  <w:num w:numId="19">
    <w:abstractNumId w:val="12"/>
  </w:num>
  <w:num w:numId="20">
    <w:abstractNumId w:val="13"/>
  </w:num>
  <w:num w:numId="21">
    <w:abstractNumId w:val="11"/>
  </w:num>
  <w:num w:numId="22">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M">
    <w15:presenceInfo w15:providerId="None" w15:userId="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081AED"/>
    <w:rsid w:val="CB579785"/>
    <w:rsid w:val="000019CD"/>
    <w:rsid w:val="00002BD9"/>
    <w:rsid w:val="00002FFF"/>
    <w:rsid w:val="00003CAD"/>
    <w:rsid w:val="000045D9"/>
    <w:rsid w:val="0000464E"/>
    <w:rsid w:val="00004BA5"/>
    <w:rsid w:val="00004DDF"/>
    <w:rsid w:val="00005D3D"/>
    <w:rsid w:val="0000670F"/>
    <w:rsid w:val="0000672C"/>
    <w:rsid w:val="00007E3E"/>
    <w:rsid w:val="0001123D"/>
    <w:rsid w:val="00011F2E"/>
    <w:rsid w:val="00012491"/>
    <w:rsid w:val="00012C6B"/>
    <w:rsid w:val="000132C9"/>
    <w:rsid w:val="000133C8"/>
    <w:rsid w:val="00013873"/>
    <w:rsid w:val="0001455D"/>
    <w:rsid w:val="00014AEB"/>
    <w:rsid w:val="000154F4"/>
    <w:rsid w:val="000162E1"/>
    <w:rsid w:val="00016ED6"/>
    <w:rsid w:val="000200DE"/>
    <w:rsid w:val="00021E50"/>
    <w:rsid w:val="0002336D"/>
    <w:rsid w:val="00024E09"/>
    <w:rsid w:val="00030BC3"/>
    <w:rsid w:val="00031012"/>
    <w:rsid w:val="000318F0"/>
    <w:rsid w:val="00031FAC"/>
    <w:rsid w:val="0003325C"/>
    <w:rsid w:val="00036B07"/>
    <w:rsid w:val="00041607"/>
    <w:rsid w:val="00041D68"/>
    <w:rsid w:val="0004259D"/>
    <w:rsid w:val="0004324B"/>
    <w:rsid w:val="00043A8E"/>
    <w:rsid w:val="000442C2"/>
    <w:rsid w:val="00044548"/>
    <w:rsid w:val="000453AD"/>
    <w:rsid w:val="00045937"/>
    <w:rsid w:val="00045ACA"/>
    <w:rsid w:val="0004718D"/>
    <w:rsid w:val="00047EAB"/>
    <w:rsid w:val="0005162D"/>
    <w:rsid w:val="00052B38"/>
    <w:rsid w:val="000530C5"/>
    <w:rsid w:val="000532C5"/>
    <w:rsid w:val="00053833"/>
    <w:rsid w:val="00053969"/>
    <w:rsid w:val="00053AF2"/>
    <w:rsid w:val="00053F95"/>
    <w:rsid w:val="00053FA9"/>
    <w:rsid w:val="000544B7"/>
    <w:rsid w:val="00055FFC"/>
    <w:rsid w:val="00056E99"/>
    <w:rsid w:val="0006081E"/>
    <w:rsid w:val="00060CB8"/>
    <w:rsid w:val="0006146F"/>
    <w:rsid w:val="000614F3"/>
    <w:rsid w:val="000617CF"/>
    <w:rsid w:val="00061C47"/>
    <w:rsid w:val="00063384"/>
    <w:rsid w:val="000633B3"/>
    <w:rsid w:val="0006387A"/>
    <w:rsid w:val="00063BFE"/>
    <w:rsid w:val="000641B2"/>
    <w:rsid w:val="00065F6B"/>
    <w:rsid w:val="0006677C"/>
    <w:rsid w:val="0006760E"/>
    <w:rsid w:val="00072049"/>
    <w:rsid w:val="000752EB"/>
    <w:rsid w:val="00075E29"/>
    <w:rsid w:val="000770BA"/>
    <w:rsid w:val="00077575"/>
    <w:rsid w:val="00077F37"/>
    <w:rsid w:val="000817D3"/>
    <w:rsid w:val="0008353D"/>
    <w:rsid w:val="000840AA"/>
    <w:rsid w:val="0008594A"/>
    <w:rsid w:val="00085A02"/>
    <w:rsid w:val="00086488"/>
    <w:rsid w:val="0008798D"/>
    <w:rsid w:val="000906D9"/>
    <w:rsid w:val="000909B9"/>
    <w:rsid w:val="00090CE2"/>
    <w:rsid w:val="00090D80"/>
    <w:rsid w:val="00090FA8"/>
    <w:rsid w:val="000911BF"/>
    <w:rsid w:val="000920A1"/>
    <w:rsid w:val="00094EEC"/>
    <w:rsid w:val="00094F49"/>
    <w:rsid w:val="00095834"/>
    <w:rsid w:val="00096627"/>
    <w:rsid w:val="0009744C"/>
    <w:rsid w:val="00097A2F"/>
    <w:rsid w:val="00097F36"/>
    <w:rsid w:val="000A0247"/>
    <w:rsid w:val="000A0289"/>
    <w:rsid w:val="000A4861"/>
    <w:rsid w:val="000A743F"/>
    <w:rsid w:val="000A7A05"/>
    <w:rsid w:val="000B094E"/>
    <w:rsid w:val="000B0A88"/>
    <w:rsid w:val="000B1451"/>
    <w:rsid w:val="000B1A66"/>
    <w:rsid w:val="000B2BF7"/>
    <w:rsid w:val="000B2F91"/>
    <w:rsid w:val="000B349B"/>
    <w:rsid w:val="000B4845"/>
    <w:rsid w:val="000B5244"/>
    <w:rsid w:val="000B5439"/>
    <w:rsid w:val="000B5947"/>
    <w:rsid w:val="000B5B84"/>
    <w:rsid w:val="000B7539"/>
    <w:rsid w:val="000C08F3"/>
    <w:rsid w:val="000C1E80"/>
    <w:rsid w:val="000C2D48"/>
    <w:rsid w:val="000C3218"/>
    <w:rsid w:val="000C38ED"/>
    <w:rsid w:val="000C496E"/>
    <w:rsid w:val="000C505B"/>
    <w:rsid w:val="000C52B2"/>
    <w:rsid w:val="000C5D59"/>
    <w:rsid w:val="000C6064"/>
    <w:rsid w:val="000C6B4E"/>
    <w:rsid w:val="000C7AE0"/>
    <w:rsid w:val="000C7BA3"/>
    <w:rsid w:val="000D036E"/>
    <w:rsid w:val="000D1D90"/>
    <w:rsid w:val="000D1ECB"/>
    <w:rsid w:val="000D2822"/>
    <w:rsid w:val="000D3637"/>
    <w:rsid w:val="000D45E9"/>
    <w:rsid w:val="000D4D69"/>
    <w:rsid w:val="000D53B3"/>
    <w:rsid w:val="000D61E1"/>
    <w:rsid w:val="000D7674"/>
    <w:rsid w:val="000D7C53"/>
    <w:rsid w:val="000E01A8"/>
    <w:rsid w:val="000E3DB7"/>
    <w:rsid w:val="000E40FF"/>
    <w:rsid w:val="000E4CCA"/>
    <w:rsid w:val="000E5C91"/>
    <w:rsid w:val="000F0860"/>
    <w:rsid w:val="000F0A72"/>
    <w:rsid w:val="000F197D"/>
    <w:rsid w:val="000F2663"/>
    <w:rsid w:val="000F2DCC"/>
    <w:rsid w:val="000F3742"/>
    <w:rsid w:val="000F483B"/>
    <w:rsid w:val="000F4A2C"/>
    <w:rsid w:val="000F4B5A"/>
    <w:rsid w:val="000F4EB5"/>
    <w:rsid w:val="000F5698"/>
    <w:rsid w:val="000F71BB"/>
    <w:rsid w:val="000F75D7"/>
    <w:rsid w:val="0010020D"/>
    <w:rsid w:val="00100710"/>
    <w:rsid w:val="00101FF5"/>
    <w:rsid w:val="001037B3"/>
    <w:rsid w:val="00103BB6"/>
    <w:rsid w:val="0010447F"/>
    <w:rsid w:val="00104D1E"/>
    <w:rsid w:val="00104F2E"/>
    <w:rsid w:val="001053AB"/>
    <w:rsid w:val="001063A5"/>
    <w:rsid w:val="0010794C"/>
    <w:rsid w:val="001105AA"/>
    <w:rsid w:val="00110A9C"/>
    <w:rsid w:val="00111B3F"/>
    <w:rsid w:val="001149B9"/>
    <w:rsid w:val="001149D8"/>
    <w:rsid w:val="00114D57"/>
    <w:rsid w:val="00115110"/>
    <w:rsid w:val="00116025"/>
    <w:rsid w:val="001170CC"/>
    <w:rsid w:val="001177DF"/>
    <w:rsid w:val="001207C7"/>
    <w:rsid w:val="00121F84"/>
    <w:rsid w:val="00123165"/>
    <w:rsid w:val="00123940"/>
    <w:rsid w:val="00123966"/>
    <w:rsid w:val="00123F61"/>
    <w:rsid w:val="0012409F"/>
    <w:rsid w:val="00124A11"/>
    <w:rsid w:val="00124C66"/>
    <w:rsid w:val="00125632"/>
    <w:rsid w:val="001265E2"/>
    <w:rsid w:val="00130C60"/>
    <w:rsid w:val="00130ED4"/>
    <w:rsid w:val="00131133"/>
    <w:rsid w:val="00131223"/>
    <w:rsid w:val="00132E4B"/>
    <w:rsid w:val="001339B2"/>
    <w:rsid w:val="00133E77"/>
    <w:rsid w:val="0013405F"/>
    <w:rsid w:val="001360F8"/>
    <w:rsid w:val="00136C80"/>
    <w:rsid w:val="001372FC"/>
    <w:rsid w:val="0014020B"/>
    <w:rsid w:val="001414D4"/>
    <w:rsid w:val="0014154E"/>
    <w:rsid w:val="00141B3D"/>
    <w:rsid w:val="00142CCC"/>
    <w:rsid w:val="001436D1"/>
    <w:rsid w:val="00144152"/>
    <w:rsid w:val="001443B4"/>
    <w:rsid w:val="00146DE0"/>
    <w:rsid w:val="00147FD2"/>
    <w:rsid w:val="00150A60"/>
    <w:rsid w:val="00150EEE"/>
    <w:rsid w:val="00151027"/>
    <w:rsid w:val="00151034"/>
    <w:rsid w:val="001521B2"/>
    <w:rsid w:val="00152813"/>
    <w:rsid w:val="00155128"/>
    <w:rsid w:val="00156439"/>
    <w:rsid w:val="00157101"/>
    <w:rsid w:val="00160A65"/>
    <w:rsid w:val="00160D7D"/>
    <w:rsid w:val="00161F38"/>
    <w:rsid w:val="0016272E"/>
    <w:rsid w:val="00162C09"/>
    <w:rsid w:val="00162D0B"/>
    <w:rsid w:val="00163426"/>
    <w:rsid w:val="00163627"/>
    <w:rsid w:val="0016366A"/>
    <w:rsid w:val="00164794"/>
    <w:rsid w:val="001653EB"/>
    <w:rsid w:val="001654A0"/>
    <w:rsid w:val="001663EC"/>
    <w:rsid w:val="00166E66"/>
    <w:rsid w:val="001671C6"/>
    <w:rsid w:val="00167B22"/>
    <w:rsid w:val="00170918"/>
    <w:rsid w:val="00171364"/>
    <w:rsid w:val="001713BF"/>
    <w:rsid w:val="001715AF"/>
    <w:rsid w:val="0017232D"/>
    <w:rsid w:val="00172C3A"/>
    <w:rsid w:val="00172D5C"/>
    <w:rsid w:val="00172EBA"/>
    <w:rsid w:val="00173B57"/>
    <w:rsid w:val="00174155"/>
    <w:rsid w:val="00175C8F"/>
    <w:rsid w:val="0017641F"/>
    <w:rsid w:val="00176D22"/>
    <w:rsid w:val="00177184"/>
    <w:rsid w:val="001800B7"/>
    <w:rsid w:val="0018026E"/>
    <w:rsid w:val="00181BCF"/>
    <w:rsid w:val="00182A89"/>
    <w:rsid w:val="00182CAA"/>
    <w:rsid w:val="0018425F"/>
    <w:rsid w:val="001848EE"/>
    <w:rsid w:val="001860D4"/>
    <w:rsid w:val="00187AC6"/>
    <w:rsid w:val="00190407"/>
    <w:rsid w:val="00190797"/>
    <w:rsid w:val="001921DA"/>
    <w:rsid w:val="001922C8"/>
    <w:rsid w:val="00192A2C"/>
    <w:rsid w:val="0019350B"/>
    <w:rsid w:val="00194FDE"/>
    <w:rsid w:val="00196748"/>
    <w:rsid w:val="001967FB"/>
    <w:rsid w:val="00197635"/>
    <w:rsid w:val="00197C5E"/>
    <w:rsid w:val="00197FEE"/>
    <w:rsid w:val="001A0B00"/>
    <w:rsid w:val="001A13C5"/>
    <w:rsid w:val="001A190E"/>
    <w:rsid w:val="001A228A"/>
    <w:rsid w:val="001A3402"/>
    <w:rsid w:val="001A36AB"/>
    <w:rsid w:val="001A3823"/>
    <w:rsid w:val="001A3AB4"/>
    <w:rsid w:val="001A4E45"/>
    <w:rsid w:val="001A6E84"/>
    <w:rsid w:val="001A6F70"/>
    <w:rsid w:val="001A72E6"/>
    <w:rsid w:val="001A730B"/>
    <w:rsid w:val="001B030A"/>
    <w:rsid w:val="001B0749"/>
    <w:rsid w:val="001B0977"/>
    <w:rsid w:val="001B2323"/>
    <w:rsid w:val="001B2A86"/>
    <w:rsid w:val="001B2CDA"/>
    <w:rsid w:val="001B3315"/>
    <w:rsid w:val="001B43DE"/>
    <w:rsid w:val="001B4891"/>
    <w:rsid w:val="001B4E6D"/>
    <w:rsid w:val="001B6F73"/>
    <w:rsid w:val="001B7110"/>
    <w:rsid w:val="001C0B23"/>
    <w:rsid w:val="001C1347"/>
    <w:rsid w:val="001C1A5C"/>
    <w:rsid w:val="001C2163"/>
    <w:rsid w:val="001C30E1"/>
    <w:rsid w:val="001C3865"/>
    <w:rsid w:val="001C3B61"/>
    <w:rsid w:val="001C3D53"/>
    <w:rsid w:val="001C49B5"/>
    <w:rsid w:val="001C61E1"/>
    <w:rsid w:val="001C6618"/>
    <w:rsid w:val="001C7AF6"/>
    <w:rsid w:val="001D086B"/>
    <w:rsid w:val="001D13D0"/>
    <w:rsid w:val="001D1DC3"/>
    <w:rsid w:val="001D3100"/>
    <w:rsid w:val="001D3DDE"/>
    <w:rsid w:val="001D5FAA"/>
    <w:rsid w:val="001D674B"/>
    <w:rsid w:val="001D7C54"/>
    <w:rsid w:val="001E02EC"/>
    <w:rsid w:val="001E1335"/>
    <w:rsid w:val="001E17E0"/>
    <w:rsid w:val="001E1B36"/>
    <w:rsid w:val="001E4470"/>
    <w:rsid w:val="001E4C7A"/>
    <w:rsid w:val="001E6850"/>
    <w:rsid w:val="001F024F"/>
    <w:rsid w:val="001F0C7D"/>
    <w:rsid w:val="001F1105"/>
    <w:rsid w:val="001F11D6"/>
    <w:rsid w:val="001F147D"/>
    <w:rsid w:val="001F1E54"/>
    <w:rsid w:val="001F1E8D"/>
    <w:rsid w:val="001F2FA1"/>
    <w:rsid w:val="001F2FC4"/>
    <w:rsid w:val="001F52D5"/>
    <w:rsid w:val="001F5A8D"/>
    <w:rsid w:val="001F7D2E"/>
    <w:rsid w:val="001F7EAD"/>
    <w:rsid w:val="002000B9"/>
    <w:rsid w:val="002007F7"/>
    <w:rsid w:val="00203416"/>
    <w:rsid w:val="00205019"/>
    <w:rsid w:val="00206D58"/>
    <w:rsid w:val="00213A6C"/>
    <w:rsid w:val="0021418E"/>
    <w:rsid w:val="00214C6D"/>
    <w:rsid w:val="00216EFF"/>
    <w:rsid w:val="00216F89"/>
    <w:rsid w:val="002172BF"/>
    <w:rsid w:val="00217845"/>
    <w:rsid w:val="0022067F"/>
    <w:rsid w:val="00220A78"/>
    <w:rsid w:val="00221BCF"/>
    <w:rsid w:val="00223D2E"/>
    <w:rsid w:val="00224784"/>
    <w:rsid w:val="00225C5C"/>
    <w:rsid w:val="00225FB3"/>
    <w:rsid w:val="00227D35"/>
    <w:rsid w:val="00230021"/>
    <w:rsid w:val="00230580"/>
    <w:rsid w:val="002313E2"/>
    <w:rsid w:val="00231936"/>
    <w:rsid w:val="00231FD5"/>
    <w:rsid w:val="0023211A"/>
    <w:rsid w:val="002336CB"/>
    <w:rsid w:val="002337FB"/>
    <w:rsid w:val="0023391C"/>
    <w:rsid w:val="00233C7E"/>
    <w:rsid w:val="002368C5"/>
    <w:rsid w:val="002373B1"/>
    <w:rsid w:val="0023745D"/>
    <w:rsid w:val="002411C7"/>
    <w:rsid w:val="00241879"/>
    <w:rsid w:val="00243BC1"/>
    <w:rsid w:val="00243C0B"/>
    <w:rsid w:val="002456A1"/>
    <w:rsid w:val="00245FC8"/>
    <w:rsid w:val="00246443"/>
    <w:rsid w:val="00246FC4"/>
    <w:rsid w:val="00247771"/>
    <w:rsid w:val="002517A8"/>
    <w:rsid w:val="00252F5A"/>
    <w:rsid w:val="00253BC9"/>
    <w:rsid w:val="002540FA"/>
    <w:rsid w:val="00254353"/>
    <w:rsid w:val="002549D3"/>
    <w:rsid w:val="00255684"/>
    <w:rsid w:val="0025657F"/>
    <w:rsid w:val="00256D74"/>
    <w:rsid w:val="00257804"/>
    <w:rsid w:val="00260A23"/>
    <w:rsid w:val="002610A3"/>
    <w:rsid w:val="002613B8"/>
    <w:rsid w:val="00261C86"/>
    <w:rsid w:val="00262BAF"/>
    <w:rsid w:val="00262FFE"/>
    <w:rsid w:val="002641D0"/>
    <w:rsid w:val="002664B6"/>
    <w:rsid w:val="00267279"/>
    <w:rsid w:val="002728DB"/>
    <w:rsid w:val="00273452"/>
    <w:rsid w:val="00273F0B"/>
    <w:rsid w:val="00273F16"/>
    <w:rsid w:val="00275BA4"/>
    <w:rsid w:val="00275FB6"/>
    <w:rsid w:val="00276E44"/>
    <w:rsid w:val="00276EA6"/>
    <w:rsid w:val="002775D7"/>
    <w:rsid w:val="0028173B"/>
    <w:rsid w:val="0028335F"/>
    <w:rsid w:val="00283B0B"/>
    <w:rsid w:val="00283E01"/>
    <w:rsid w:val="00284782"/>
    <w:rsid w:val="0028524B"/>
    <w:rsid w:val="002861AF"/>
    <w:rsid w:val="0028701C"/>
    <w:rsid w:val="00287FF1"/>
    <w:rsid w:val="002901F3"/>
    <w:rsid w:val="00290730"/>
    <w:rsid w:val="0029109B"/>
    <w:rsid w:val="002915EF"/>
    <w:rsid w:val="0029193C"/>
    <w:rsid w:val="002919B1"/>
    <w:rsid w:val="0029278F"/>
    <w:rsid w:val="00293593"/>
    <w:rsid w:val="0029402B"/>
    <w:rsid w:val="00294392"/>
    <w:rsid w:val="002957BB"/>
    <w:rsid w:val="00295816"/>
    <w:rsid w:val="002A0DE4"/>
    <w:rsid w:val="002A1EE2"/>
    <w:rsid w:val="002A2C11"/>
    <w:rsid w:val="002A2C32"/>
    <w:rsid w:val="002A2D63"/>
    <w:rsid w:val="002A54F0"/>
    <w:rsid w:val="002A6118"/>
    <w:rsid w:val="002A6199"/>
    <w:rsid w:val="002A64ED"/>
    <w:rsid w:val="002A6847"/>
    <w:rsid w:val="002A6901"/>
    <w:rsid w:val="002A6BCF"/>
    <w:rsid w:val="002B0447"/>
    <w:rsid w:val="002B270A"/>
    <w:rsid w:val="002B468E"/>
    <w:rsid w:val="002B4721"/>
    <w:rsid w:val="002B51EE"/>
    <w:rsid w:val="002B5591"/>
    <w:rsid w:val="002B6E79"/>
    <w:rsid w:val="002B7792"/>
    <w:rsid w:val="002B7C0A"/>
    <w:rsid w:val="002C02DD"/>
    <w:rsid w:val="002C0F5C"/>
    <w:rsid w:val="002C0FED"/>
    <w:rsid w:val="002C191C"/>
    <w:rsid w:val="002C1EB4"/>
    <w:rsid w:val="002C2D19"/>
    <w:rsid w:val="002C353F"/>
    <w:rsid w:val="002C3BFA"/>
    <w:rsid w:val="002C51EC"/>
    <w:rsid w:val="002C549A"/>
    <w:rsid w:val="002C56B4"/>
    <w:rsid w:val="002C6300"/>
    <w:rsid w:val="002C7CA0"/>
    <w:rsid w:val="002D00BD"/>
    <w:rsid w:val="002D023A"/>
    <w:rsid w:val="002D3045"/>
    <w:rsid w:val="002D35C0"/>
    <w:rsid w:val="002D3EBD"/>
    <w:rsid w:val="002D4496"/>
    <w:rsid w:val="002D4717"/>
    <w:rsid w:val="002D5E8E"/>
    <w:rsid w:val="002D6FAA"/>
    <w:rsid w:val="002E033A"/>
    <w:rsid w:val="002E1146"/>
    <w:rsid w:val="002E17BA"/>
    <w:rsid w:val="002E3570"/>
    <w:rsid w:val="002E5106"/>
    <w:rsid w:val="002E545B"/>
    <w:rsid w:val="002E6850"/>
    <w:rsid w:val="002E6CC2"/>
    <w:rsid w:val="002E6FC6"/>
    <w:rsid w:val="002F12C7"/>
    <w:rsid w:val="002F1455"/>
    <w:rsid w:val="002F2544"/>
    <w:rsid w:val="002F2D52"/>
    <w:rsid w:val="002F31FF"/>
    <w:rsid w:val="002F34D1"/>
    <w:rsid w:val="002F35F1"/>
    <w:rsid w:val="002F55A8"/>
    <w:rsid w:val="002F666F"/>
    <w:rsid w:val="002F67FD"/>
    <w:rsid w:val="002F6C74"/>
    <w:rsid w:val="002F7024"/>
    <w:rsid w:val="002F702C"/>
    <w:rsid w:val="002F7324"/>
    <w:rsid w:val="002F768A"/>
    <w:rsid w:val="002F7BA4"/>
    <w:rsid w:val="002F7BF0"/>
    <w:rsid w:val="003002E6"/>
    <w:rsid w:val="003006C2"/>
    <w:rsid w:val="00300B81"/>
    <w:rsid w:val="00300DF1"/>
    <w:rsid w:val="00301BFB"/>
    <w:rsid w:val="003023ED"/>
    <w:rsid w:val="003036D9"/>
    <w:rsid w:val="00303C52"/>
    <w:rsid w:val="00303FF0"/>
    <w:rsid w:val="0030480C"/>
    <w:rsid w:val="00304F51"/>
    <w:rsid w:val="00305FFD"/>
    <w:rsid w:val="003064A1"/>
    <w:rsid w:val="00306962"/>
    <w:rsid w:val="00306DE5"/>
    <w:rsid w:val="00307025"/>
    <w:rsid w:val="003074EB"/>
    <w:rsid w:val="00307C05"/>
    <w:rsid w:val="00307D5E"/>
    <w:rsid w:val="00307FD8"/>
    <w:rsid w:val="00310BFB"/>
    <w:rsid w:val="003126A7"/>
    <w:rsid w:val="00312F6B"/>
    <w:rsid w:val="00312FDB"/>
    <w:rsid w:val="0031340E"/>
    <w:rsid w:val="0031377B"/>
    <w:rsid w:val="0031445D"/>
    <w:rsid w:val="00314C1F"/>
    <w:rsid w:val="00314D30"/>
    <w:rsid w:val="0031522A"/>
    <w:rsid w:val="00315634"/>
    <w:rsid w:val="003211D5"/>
    <w:rsid w:val="00321FEA"/>
    <w:rsid w:val="003234D5"/>
    <w:rsid w:val="00323F56"/>
    <w:rsid w:val="00324509"/>
    <w:rsid w:val="00325226"/>
    <w:rsid w:val="003254D5"/>
    <w:rsid w:val="0032557E"/>
    <w:rsid w:val="00325C0D"/>
    <w:rsid w:val="00327A94"/>
    <w:rsid w:val="00331542"/>
    <w:rsid w:val="00331C24"/>
    <w:rsid w:val="00332FE3"/>
    <w:rsid w:val="00333A89"/>
    <w:rsid w:val="00333CFE"/>
    <w:rsid w:val="00333D58"/>
    <w:rsid w:val="003342DE"/>
    <w:rsid w:val="00334F2E"/>
    <w:rsid w:val="00336BCE"/>
    <w:rsid w:val="00341579"/>
    <w:rsid w:val="0034164E"/>
    <w:rsid w:val="00342D65"/>
    <w:rsid w:val="00344B22"/>
    <w:rsid w:val="00346388"/>
    <w:rsid w:val="00347BCE"/>
    <w:rsid w:val="00350032"/>
    <w:rsid w:val="003518AE"/>
    <w:rsid w:val="003518E4"/>
    <w:rsid w:val="003524C9"/>
    <w:rsid w:val="00352556"/>
    <w:rsid w:val="00353368"/>
    <w:rsid w:val="00353613"/>
    <w:rsid w:val="00354100"/>
    <w:rsid w:val="003544DE"/>
    <w:rsid w:val="003550EA"/>
    <w:rsid w:val="003552EC"/>
    <w:rsid w:val="00355535"/>
    <w:rsid w:val="003574A1"/>
    <w:rsid w:val="00357EF0"/>
    <w:rsid w:val="00365080"/>
    <w:rsid w:val="0036693F"/>
    <w:rsid w:val="0036711C"/>
    <w:rsid w:val="00370352"/>
    <w:rsid w:val="0037073E"/>
    <w:rsid w:val="00370972"/>
    <w:rsid w:val="00371BC0"/>
    <w:rsid w:val="003732F2"/>
    <w:rsid w:val="00373B93"/>
    <w:rsid w:val="00374068"/>
    <w:rsid w:val="003745F4"/>
    <w:rsid w:val="00374D87"/>
    <w:rsid w:val="00375E32"/>
    <w:rsid w:val="00376226"/>
    <w:rsid w:val="00376792"/>
    <w:rsid w:val="003767B4"/>
    <w:rsid w:val="00376AF3"/>
    <w:rsid w:val="00377AE2"/>
    <w:rsid w:val="00380306"/>
    <w:rsid w:val="00383805"/>
    <w:rsid w:val="00383896"/>
    <w:rsid w:val="00384C37"/>
    <w:rsid w:val="00385F11"/>
    <w:rsid w:val="00390452"/>
    <w:rsid w:val="00391AB5"/>
    <w:rsid w:val="00393901"/>
    <w:rsid w:val="00394AE6"/>
    <w:rsid w:val="0039512C"/>
    <w:rsid w:val="0039549E"/>
    <w:rsid w:val="00395B78"/>
    <w:rsid w:val="00395D65"/>
    <w:rsid w:val="003961F0"/>
    <w:rsid w:val="003963C2"/>
    <w:rsid w:val="003A05E5"/>
    <w:rsid w:val="003A08AB"/>
    <w:rsid w:val="003A0A1C"/>
    <w:rsid w:val="003A0E60"/>
    <w:rsid w:val="003A1FF2"/>
    <w:rsid w:val="003A49F0"/>
    <w:rsid w:val="003A5E28"/>
    <w:rsid w:val="003A768C"/>
    <w:rsid w:val="003B014B"/>
    <w:rsid w:val="003B02A1"/>
    <w:rsid w:val="003B04BD"/>
    <w:rsid w:val="003B14B5"/>
    <w:rsid w:val="003B14F3"/>
    <w:rsid w:val="003B1D7F"/>
    <w:rsid w:val="003B1FF8"/>
    <w:rsid w:val="003B2593"/>
    <w:rsid w:val="003B3DE2"/>
    <w:rsid w:val="003B46BC"/>
    <w:rsid w:val="003B4B5F"/>
    <w:rsid w:val="003B54C2"/>
    <w:rsid w:val="003B6A1A"/>
    <w:rsid w:val="003B6ADC"/>
    <w:rsid w:val="003B7840"/>
    <w:rsid w:val="003C0CDF"/>
    <w:rsid w:val="003C0EB3"/>
    <w:rsid w:val="003C1ED4"/>
    <w:rsid w:val="003C28FC"/>
    <w:rsid w:val="003C2C80"/>
    <w:rsid w:val="003C47F8"/>
    <w:rsid w:val="003C4E26"/>
    <w:rsid w:val="003C4EF6"/>
    <w:rsid w:val="003C7087"/>
    <w:rsid w:val="003C70D6"/>
    <w:rsid w:val="003C7B61"/>
    <w:rsid w:val="003D0DAF"/>
    <w:rsid w:val="003D1648"/>
    <w:rsid w:val="003D36F8"/>
    <w:rsid w:val="003D50AD"/>
    <w:rsid w:val="003D6EF4"/>
    <w:rsid w:val="003D7939"/>
    <w:rsid w:val="003D7CDF"/>
    <w:rsid w:val="003E1E88"/>
    <w:rsid w:val="003E2387"/>
    <w:rsid w:val="003E40B3"/>
    <w:rsid w:val="003E5412"/>
    <w:rsid w:val="003E55CE"/>
    <w:rsid w:val="003E65BB"/>
    <w:rsid w:val="003E6FFF"/>
    <w:rsid w:val="003F0A37"/>
    <w:rsid w:val="003F13AB"/>
    <w:rsid w:val="003F21EA"/>
    <w:rsid w:val="003F2AD4"/>
    <w:rsid w:val="003F2CFB"/>
    <w:rsid w:val="003F34E1"/>
    <w:rsid w:val="003F4461"/>
    <w:rsid w:val="003F4C1F"/>
    <w:rsid w:val="003F53BA"/>
    <w:rsid w:val="003F7826"/>
    <w:rsid w:val="00400261"/>
    <w:rsid w:val="00400276"/>
    <w:rsid w:val="004002D0"/>
    <w:rsid w:val="004009BF"/>
    <w:rsid w:val="00401159"/>
    <w:rsid w:val="0040154D"/>
    <w:rsid w:val="004018DE"/>
    <w:rsid w:val="00402A63"/>
    <w:rsid w:val="00403C38"/>
    <w:rsid w:val="00405531"/>
    <w:rsid w:val="00405770"/>
    <w:rsid w:val="00405CA3"/>
    <w:rsid w:val="004063E4"/>
    <w:rsid w:val="004065A8"/>
    <w:rsid w:val="00406755"/>
    <w:rsid w:val="00407382"/>
    <w:rsid w:val="00410AF9"/>
    <w:rsid w:val="00413321"/>
    <w:rsid w:val="004147A7"/>
    <w:rsid w:val="0041490B"/>
    <w:rsid w:val="00417E48"/>
    <w:rsid w:val="00420DEC"/>
    <w:rsid w:val="00421542"/>
    <w:rsid w:val="00421DC8"/>
    <w:rsid w:val="004228EC"/>
    <w:rsid w:val="0042336F"/>
    <w:rsid w:val="004239EE"/>
    <w:rsid w:val="00424773"/>
    <w:rsid w:val="0042492E"/>
    <w:rsid w:val="00425F37"/>
    <w:rsid w:val="0042703F"/>
    <w:rsid w:val="00427C61"/>
    <w:rsid w:val="00430551"/>
    <w:rsid w:val="004309A8"/>
    <w:rsid w:val="00430B01"/>
    <w:rsid w:val="004328BC"/>
    <w:rsid w:val="00433E1A"/>
    <w:rsid w:val="00435754"/>
    <w:rsid w:val="00435894"/>
    <w:rsid w:val="00435F59"/>
    <w:rsid w:val="00436101"/>
    <w:rsid w:val="004372F7"/>
    <w:rsid w:val="00440A26"/>
    <w:rsid w:val="00442504"/>
    <w:rsid w:val="004426FB"/>
    <w:rsid w:val="00443C95"/>
    <w:rsid w:val="00444FD9"/>
    <w:rsid w:val="0044689A"/>
    <w:rsid w:val="00447270"/>
    <w:rsid w:val="004474EF"/>
    <w:rsid w:val="00447724"/>
    <w:rsid w:val="004479A8"/>
    <w:rsid w:val="00447BE1"/>
    <w:rsid w:val="004505FB"/>
    <w:rsid w:val="00450937"/>
    <w:rsid w:val="0045136E"/>
    <w:rsid w:val="00452815"/>
    <w:rsid w:val="00452D85"/>
    <w:rsid w:val="00452ECA"/>
    <w:rsid w:val="00453022"/>
    <w:rsid w:val="004533FC"/>
    <w:rsid w:val="00455806"/>
    <w:rsid w:val="00456157"/>
    <w:rsid w:val="004568B6"/>
    <w:rsid w:val="004578F4"/>
    <w:rsid w:val="00457947"/>
    <w:rsid w:val="004608A9"/>
    <w:rsid w:val="00460912"/>
    <w:rsid w:val="00460B53"/>
    <w:rsid w:val="0046117F"/>
    <w:rsid w:val="00461227"/>
    <w:rsid w:val="0046206D"/>
    <w:rsid w:val="00462541"/>
    <w:rsid w:val="004628CB"/>
    <w:rsid w:val="00462E72"/>
    <w:rsid w:val="0046367D"/>
    <w:rsid w:val="0046408E"/>
    <w:rsid w:val="004643FD"/>
    <w:rsid w:val="004657A2"/>
    <w:rsid w:val="00465B67"/>
    <w:rsid w:val="004705E4"/>
    <w:rsid w:val="004706A0"/>
    <w:rsid w:val="00472D54"/>
    <w:rsid w:val="00472FCF"/>
    <w:rsid w:val="004733BE"/>
    <w:rsid w:val="004738EF"/>
    <w:rsid w:val="00473C2E"/>
    <w:rsid w:val="00473F9F"/>
    <w:rsid w:val="0047411B"/>
    <w:rsid w:val="00474313"/>
    <w:rsid w:val="00474B8D"/>
    <w:rsid w:val="0047558D"/>
    <w:rsid w:val="00475B71"/>
    <w:rsid w:val="0047667B"/>
    <w:rsid w:val="00476A10"/>
    <w:rsid w:val="004814FB"/>
    <w:rsid w:val="00482551"/>
    <w:rsid w:val="00482565"/>
    <w:rsid w:val="00485581"/>
    <w:rsid w:val="00485FFD"/>
    <w:rsid w:val="00487B70"/>
    <w:rsid w:val="00487CF7"/>
    <w:rsid w:val="00487D54"/>
    <w:rsid w:val="00490D42"/>
    <w:rsid w:val="00490EB2"/>
    <w:rsid w:val="00490EE6"/>
    <w:rsid w:val="004911E3"/>
    <w:rsid w:val="00491376"/>
    <w:rsid w:val="00492644"/>
    <w:rsid w:val="004926F3"/>
    <w:rsid w:val="0049337B"/>
    <w:rsid w:val="0049469E"/>
    <w:rsid w:val="00494BDF"/>
    <w:rsid w:val="00495EA0"/>
    <w:rsid w:val="0049680F"/>
    <w:rsid w:val="004968E9"/>
    <w:rsid w:val="00497ACE"/>
    <w:rsid w:val="00497DB8"/>
    <w:rsid w:val="004A09DD"/>
    <w:rsid w:val="004A0F16"/>
    <w:rsid w:val="004A1595"/>
    <w:rsid w:val="004A2AFA"/>
    <w:rsid w:val="004A44B6"/>
    <w:rsid w:val="004A4C8F"/>
    <w:rsid w:val="004A5383"/>
    <w:rsid w:val="004A66C9"/>
    <w:rsid w:val="004B0289"/>
    <w:rsid w:val="004B28A8"/>
    <w:rsid w:val="004B2B75"/>
    <w:rsid w:val="004B2C81"/>
    <w:rsid w:val="004B33C9"/>
    <w:rsid w:val="004B36C3"/>
    <w:rsid w:val="004B3D77"/>
    <w:rsid w:val="004B4B8C"/>
    <w:rsid w:val="004B5540"/>
    <w:rsid w:val="004B6601"/>
    <w:rsid w:val="004B731D"/>
    <w:rsid w:val="004C0024"/>
    <w:rsid w:val="004C027D"/>
    <w:rsid w:val="004C19EB"/>
    <w:rsid w:val="004C1E26"/>
    <w:rsid w:val="004C2F1E"/>
    <w:rsid w:val="004C325F"/>
    <w:rsid w:val="004C5D1B"/>
    <w:rsid w:val="004C6CF7"/>
    <w:rsid w:val="004C7673"/>
    <w:rsid w:val="004C7A66"/>
    <w:rsid w:val="004D026A"/>
    <w:rsid w:val="004D0B75"/>
    <w:rsid w:val="004D1C73"/>
    <w:rsid w:val="004D2675"/>
    <w:rsid w:val="004D2BDE"/>
    <w:rsid w:val="004D2C61"/>
    <w:rsid w:val="004D44AF"/>
    <w:rsid w:val="004D46ED"/>
    <w:rsid w:val="004D4EE3"/>
    <w:rsid w:val="004D7953"/>
    <w:rsid w:val="004E00E8"/>
    <w:rsid w:val="004E1FE4"/>
    <w:rsid w:val="004E2A6E"/>
    <w:rsid w:val="004E3115"/>
    <w:rsid w:val="004E43B5"/>
    <w:rsid w:val="004E5B9A"/>
    <w:rsid w:val="004E5C52"/>
    <w:rsid w:val="004E6CC5"/>
    <w:rsid w:val="004E7DD8"/>
    <w:rsid w:val="004E7F72"/>
    <w:rsid w:val="004F04C1"/>
    <w:rsid w:val="004F1121"/>
    <w:rsid w:val="004F14ED"/>
    <w:rsid w:val="004F2293"/>
    <w:rsid w:val="004F24B9"/>
    <w:rsid w:val="004F2753"/>
    <w:rsid w:val="004F2F66"/>
    <w:rsid w:val="004F5022"/>
    <w:rsid w:val="004F5891"/>
    <w:rsid w:val="004F595C"/>
    <w:rsid w:val="004F5A3E"/>
    <w:rsid w:val="004F604B"/>
    <w:rsid w:val="004F725E"/>
    <w:rsid w:val="004F7C62"/>
    <w:rsid w:val="0050000B"/>
    <w:rsid w:val="005007EB"/>
    <w:rsid w:val="00501139"/>
    <w:rsid w:val="0050183B"/>
    <w:rsid w:val="00501ADD"/>
    <w:rsid w:val="00501CD1"/>
    <w:rsid w:val="005031FF"/>
    <w:rsid w:val="005037D6"/>
    <w:rsid w:val="00506431"/>
    <w:rsid w:val="0050672C"/>
    <w:rsid w:val="00507396"/>
    <w:rsid w:val="00507D4F"/>
    <w:rsid w:val="00511202"/>
    <w:rsid w:val="00511235"/>
    <w:rsid w:val="00511A4B"/>
    <w:rsid w:val="005125BC"/>
    <w:rsid w:val="00513EFF"/>
    <w:rsid w:val="0051457E"/>
    <w:rsid w:val="00514D62"/>
    <w:rsid w:val="00515055"/>
    <w:rsid w:val="0051574F"/>
    <w:rsid w:val="005162BF"/>
    <w:rsid w:val="005166EF"/>
    <w:rsid w:val="00516A70"/>
    <w:rsid w:val="00517B42"/>
    <w:rsid w:val="005204BC"/>
    <w:rsid w:val="00523A27"/>
    <w:rsid w:val="00523ECE"/>
    <w:rsid w:val="00525941"/>
    <w:rsid w:val="0052657A"/>
    <w:rsid w:val="00527092"/>
    <w:rsid w:val="00527E4C"/>
    <w:rsid w:val="00530689"/>
    <w:rsid w:val="00530DEB"/>
    <w:rsid w:val="0053148C"/>
    <w:rsid w:val="005318D0"/>
    <w:rsid w:val="005323A9"/>
    <w:rsid w:val="005328D1"/>
    <w:rsid w:val="005356D6"/>
    <w:rsid w:val="0053647F"/>
    <w:rsid w:val="00536E1A"/>
    <w:rsid w:val="00537BAC"/>
    <w:rsid w:val="00537EF5"/>
    <w:rsid w:val="005401D5"/>
    <w:rsid w:val="00540688"/>
    <w:rsid w:val="005425B4"/>
    <w:rsid w:val="00543479"/>
    <w:rsid w:val="0054388F"/>
    <w:rsid w:val="00543900"/>
    <w:rsid w:val="00543BF5"/>
    <w:rsid w:val="00543C76"/>
    <w:rsid w:val="00544048"/>
    <w:rsid w:val="0054446F"/>
    <w:rsid w:val="00544960"/>
    <w:rsid w:val="00544B3F"/>
    <w:rsid w:val="00544BEA"/>
    <w:rsid w:val="00545C3E"/>
    <w:rsid w:val="00545EC3"/>
    <w:rsid w:val="00547470"/>
    <w:rsid w:val="0055018F"/>
    <w:rsid w:val="00551CD9"/>
    <w:rsid w:val="00552D1A"/>
    <w:rsid w:val="005531AA"/>
    <w:rsid w:val="00553EBC"/>
    <w:rsid w:val="00554336"/>
    <w:rsid w:val="005544D4"/>
    <w:rsid w:val="005553BA"/>
    <w:rsid w:val="0055567B"/>
    <w:rsid w:val="00556335"/>
    <w:rsid w:val="00556602"/>
    <w:rsid w:val="005570F5"/>
    <w:rsid w:val="00557680"/>
    <w:rsid w:val="0056025A"/>
    <w:rsid w:val="0056066D"/>
    <w:rsid w:val="00561295"/>
    <w:rsid w:val="005621D4"/>
    <w:rsid w:val="0056259B"/>
    <w:rsid w:val="00562A67"/>
    <w:rsid w:val="00562CE8"/>
    <w:rsid w:val="00562EA0"/>
    <w:rsid w:val="0056450C"/>
    <w:rsid w:val="005649AF"/>
    <w:rsid w:val="00564BF5"/>
    <w:rsid w:val="0056522A"/>
    <w:rsid w:val="00565241"/>
    <w:rsid w:val="0056535B"/>
    <w:rsid w:val="0056576F"/>
    <w:rsid w:val="00565AF4"/>
    <w:rsid w:val="00566A41"/>
    <w:rsid w:val="00566DF2"/>
    <w:rsid w:val="005679BB"/>
    <w:rsid w:val="00567B1F"/>
    <w:rsid w:val="005700BE"/>
    <w:rsid w:val="00571C6A"/>
    <w:rsid w:val="0057483B"/>
    <w:rsid w:val="00576F7A"/>
    <w:rsid w:val="00577263"/>
    <w:rsid w:val="00580056"/>
    <w:rsid w:val="00580608"/>
    <w:rsid w:val="0058111A"/>
    <w:rsid w:val="00581D64"/>
    <w:rsid w:val="00581E2F"/>
    <w:rsid w:val="00581F08"/>
    <w:rsid w:val="00584BF9"/>
    <w:rsid w:val="00585846"/>
    <w:rsid w:val="00585DBD"/>
    <w:rsid w:val="00585E1F"/>
    <w:rsid w:val="005862E6"/>
    <w:rsid w:val="00591269"/>
    <w:rsid w:val="005912DE"/>
    <w:rsid w:val="00593626"/>
    <w:rsid w:val="00594FBA"/>
    <w:rsid w:val="005954FB"/>
    <w:rsid w:val="0059599F"/>
    <w:rsid w:val="00595B90"/>
    <w:rsid w:val="0059712D"/>
    <w:rsid w:val="00597A33"/>
    <w:rsid w:val="00597E8A"/>
    <w:rsid w:val="005A04B6"/>
    <w:rsid w:val="005A0DFA"/>
    <w:rsid w:val="005A0E16"/>
    <w:rsid w:val="005A1B54"/>
    <w:rsid w:val="005A2104"/>
    <w:rsid w:val="005A2A54"/>
    <w:rsid w:val="005A3522"/>
    <w:rsid w:val="005A362D"/>
    <w:rsid w:val="005A3F76"/>
    <w:rsid w:val="005A4682"/>
    <w:rsid w:val="005A4D52"/>
    <w:rsid w:val="005A4F47"/>
    <w:rsid w:val="005A651C"/>
    <w:rsid w:val="005A6563"/>
    <w:rsid w:val="005A65A7"/>
    <w:rsid w:val="005A68B2"/>
    <w:rsid w:val="005A735E"/>
    <w:rsid w:val="005A786E"/>
    <w:rsid w:val="005A7B36"/>
    <w:rsid w:val="005B0FD0"/>
    <w:rsid w:val="005B1569"/>
    <w:rsid w:val="005B1791"/>
    <w:rsid w:val="005B23C5"/>
    <w:rsid w:val="005B2DC0"/>
    <w:rsid w:val="005B2E7F"/>
    <w:rsid w:val="005B2EC9"/>
    <w:rsid w:val="005B6594"/>
    <w:rsid w:val="005B7062"/>
    <w:rsid w:val="005B7C0F"/>
    <w:rsid w:val="005B7E60"/>
    <w:rsid w:val="005B7ECD"/>
    <w:rsid w:val="005C03FB"/>
    <w:rsid w:val="005C0438"/>
    <w:rsid w:val="005C24DE"/>
    <w:rsid w:val="005C3DF0"/>
    <w:rsid w:val="005C5D9D"/>
    <w:rsid w:val="005C72ED"/>
    <w:rsid w:val="005C7925"/>
    <w:rsid w:val="005D01D8"/>
    <w:rsid w:val="005D225F"/>
    <w:rsid w:val="005D25A4"/>
    <w:rsid w:val="005D33D3"/>
    <w:rsid w:val="005D439C"/>
    <w:rsid w:val="005D4609"/>
    <w:rsid w:val="005D6702"/>
    <w:rsid w:val="005D7E06"/>
    <w:rsid w:val="005E014A"/>
    <w:rsid w:val="005E11E0"/>
    <w:rsid w:val="005E1BD6"/>
    <w:rsid w:val="005E3B05"/>
    <w:rsid w:val="005E3FFC"/>
    <w:rsid w:val="005E40CA"/>
    <w:rsid w:val="005E4AAE"/>
    <w:rsid w:val="005F07CF"/>
    <w:rsid w:val="005F08D5"/>
    <w:rsid w:val="005F2C4C"/>
    <w:rsid w:val="005F42B9"/>
    <w:rsid w:val="005F4939"/>
    <w:rsid w:val="005F5A08"/>
    <w:rsid w:val="005F5C22"/>
    <w:rsid w:val="006000D6"/>
    <w:rsid w:val="00600845"/>
    <w:rsid w:val="00606321"/>
    <w:rsid w:val="00606D02"/>
    <w:rsid w:val="00606E93"/>
    <w:rsid w:val="00610AA2"/>
    <w:rsid w:val="00611A2D"/>
    <w:rsid w:val="00611B5C"/>
    <w:rsid w:val="00612025"/>
    <w:rsid w:val="0061263A"/>
    <w:rsid w:val="00612882"/>
    <w:rsid w:val="00612FE2"/>
    <w:rsid w:val="006140FC"/>
    <w:rsid w:val="00614189"/>
    <w:rsid w:val="00614EB3"/>
    <w:rsid w:val="00615B44"/>
    <w:rsid w:val="006162D6"/>
    <w:rsid w:val="006165B3"/>
    <w:rsid w:val="00616636"/>
    <w:rsid w:val="00617B37"/>
    <w:rsid w:val="00617DD1"/>
    <w:rsid w:val="0062099A"/>
    <w:rsid w:val="00621C3E"/>
    <w:rsid w:val="0062260B"/>
    <w:rsid w:val="00622AC6"/>
    <w:rsid w:val="00622C69"/>
    <w:rsid w:val="00622F75"/>
    <w:rsid w:val="00623E6B"/>
    <w:rsid w:val="006247A6"/>
    <w:rsid w:val="00625277"/>
    <w:rsid w:val="006262CD"/>
    <w:rsid w:val="00626671"/>
    <w:rsid w:val="00626DC4"/>
    <w:rsid w:val="006308FC"/>
    <w:rsid w:val="00631CBE"/>
    <w:rsid w:val="00631D99"/>
    <w:rsid w:val="00632040"/>
    <w:rsid w:val="0063289E"/>
    <w:rsid w:val="00632C92"/>
    <w:rsid w:val="0063330E"/>
    <w:rsid w:val="006333F7"/>
    <w:rsid w:val="006342DF"/>
    <w:rsid w:val="006346D3"/>
    <w:rsid w:val="00636685"/>
    <w:rsid w:val="00637E07"/>
    <w:rsid w:val="00637F4E"/>
    <w:rsid w:val="00640CFC"/>
    <w:rsid w:val="00641A95"/>
    <w:rsid w:val="00642221"/>
    <w:rsid w:val="00642715"/>
    <w:rsid w:val="00642FC8"/>
    <w:rsid w:val="00643B18"/>
    <w:rsid w:val="00645397"/>
    <w:rsid w:val="00645FCB"/>
    <w:rsid w:val="00646048"/>
    <w:rsid w:val="006465C7"/>
    <w:rsid w:val="006465D7"/>
    <w:rsid w:val="006501D2"/>
    <w:rsid w:val="006504CC"/>
    <w:rsid w:val="0065076A"/>
    <w:rsid w:val="00650F0A"/>
    <w:rsid w:val="006529BF"/>
    <w:rsid w:val="00653129"/>
    <w:rsid w:val="006533F8"/>
    <w:rsid w:val="006544C6"/>
    <w:rsid w:val="00655E87"/>
    <w:rsid w:val="00656936"/>
    <w:rsid w:val="0066049E"/>
    <w:rsid w:val="00661C97"/>
    <w:rsid w:val="00663B35"/>
    <w:rsid w:val="0066673C"/>
    <w:rsid w:val="0067016A"/>
    <w:rsid w:val="00671B0C"/>
    <w:rsid w:val="00672693"/>
    <w:rsid w:val="00672CEA"/>
    <w:rsid w:val="00672D2F"/>
    <w:rsid w:val="00675172"/>
    <w:rsid w:val="00675985"/>
    <w:rsid w:val="00676C39"/>
    <w:rsid w:val="00676EB0"/>
    <w:rsid w:val="006814A2"/>
    <w:rsid w:val="006817D1"/>
    <w:rsid w:val="00681947"/>
    <w:rsid w:val="00682895"/>
    <w:rsid w:val="0068304E"/>
    <w:rsid w:val="00683273"/>
    <w:rsid w:val="006839A0"/>
    <w:rsid w:val="00683BC3"/>
    <w:rsid w:val="00685E55"/>
    <w:rsid w:val="00686F9F"/>
    <w:rsid w:val="00687C3D"/>
    <w:rsid w:val="0069073E"/>
    <w:rsid w:val="00691224"/>
    <w:rsid w:val="0069125B"/>
    <w:rsid w:val="0069493C"/>
    <w:rsid w:val="006957B6"/>
    <w:rsid w:val="006959BA"/>
    <w:rsid w:val="006975AE"/>
    <w:rsid w:val="00697CAB"/>
    <w:rsid w:val="006A0A60"/>
    <w:rsid w:val="006A0C88"/>
    <w:rsid w:val="006A1E7D"/>
    <w:rsid w:val="006A20F0"/>
    <w:rsid w:val="006A2487"/>
    <w:rsid w:val="006A2AD4"/>
    <w:rsid w:val="006A6937"/>
    <w:rsid w:val="006A6FFC"/>
    <w:rsid w:val="006A70F8"/>
    <w:rsid w:val="006A7AF7"/>
    <w:rsid w:val="006A7FB8"/>
    <w:rsid w:val="006B0CD1"/>
    <w:rsid w:val="006B14B2"/>
    <w:rsid w:val="006B515F"/>
    <w:rsid w:val="006B5703"/>
    <w:rsid w:val="006B629D"/>
    <w:rsid w:val="006B6CE8"/>
    <w:rsid w:val="006B73F7"/>
    <w:rsid w:val="006B7AE6"/>
    <w:rsid w:val="006C18D2"/>
    <w:rsid w:val="006C29C0"/>
    <w:rsid w:val="006C3E14"/>
    <w:rsid w:val="006C3F3C"/>
    <w:rsid w:val="006C4585"/>
    <w:rsid w:val="006C5179"/>
    <w:rsid w:val="006C5D4B"/>
    <w:rsid w:val="006C7EE7"/>
    <w:rsid w:val="006D0045"/>
    <w:rsid w:val="006D04F6"/>
    <w:rsid w:val="006D16A5"/>
    <w:rsid w:val="006D17B5"/>
    <w:rsid w:val="006D1920"/>
    <w:rsid w:val="006D1D75"/>
    <w:rsid w:val="006D238D"/>
    <w:rsid w:val="006D29E5"/>
    <w:rsid w:val="006D3270"/>
    <w:rsid w:val="006D3462"/>
    <w:rsid w:val="006D38F7"/>
    <w:rsid w:val="006D3B3D"/>
    <w:rsid w:val="006D41A6"/>
    <w:rsid w:val="006D41DF"/>
    <w:rsid w:val="006D4753"/>
    <w:rsid w:val="006D491B"/>
    <w:rsid w:val="006D4A99"/>
    <w:rsid w:val="006D63F3"/>
    <w:rsid w:val="006E2197"/>
    <w:rsid w:val="006E255C"/>
    <w:rsid w:val="006E28C6"/>
    <w:rsid w:val="006E2B01"/>
    <w:rsid w:val="006E36C8"/>
    <w:rsid w:val="006E42FD"/>
    <w:rsid w:val="006E47C5"/>
    <w:rsid w:val="006E622F"/>
    <w:rsid w:val="006F01EA"/>
    <w:rsid w:val="006F026D"/>
    <w:rsid w:val="006F0302"/>
    <w:rsid w:val="006F0F32"/>
    <w:rsid w:val="006F1E8A"/>
    <w:rsid w:val="006F2510"/>
    <w:rsid w:val="006F2812"/>
    <w:rsid w:val="006F4C3C"/>
    <w:rsid w:val="006F4DBD"/>
    <w:rsid w:val="006F50F9"/>
    <w:rsid w:val="006F52A6"/>
    <w:rsid w:val="006F60D7"/>
    <w:rsid w:val="006F6E67"/>
    <w:rsid w:val="006F7DB4"/>
    <w:rsid w:val="00700211"/>
    <w:rsid w:val="007009BB"/>
    <w:rsid w:val="007013C7"/>
    <w:rsid w:val="00701C21"/>
    <w:rsid w:val="007029AC"/>
    <w:rsid w:val="00704C6B"/>
    <w:rsid w:val="00704F3A"/>
    <w:rsid w:val="00705064"/>
    <w:rsid w:val="00705091"/>
    <w:rsid w:val="0070583F"/>
    <w:rsid w:val="00705D78"/>
    <w:rsid w:val="00705E8B"/>
    <w:rsid w:val="00705EDA"/>
    <w:rsid w:val="00706169"/>
    <w:rsid w:val="0070795E"/>
    <w:rsid w:val="00710386"/>
    <w:rsid w:val="00710771"/>
    <w:rsid w:val="0071087E"/>
    <w:rsid w:val="00710F98"/>
    <w:rsid w:val="00711402"/>
    <w:rsid w:val="00711B5D"/>
    <w:rsid w:val="0071258D"/>
    <w:rsid w:val="0071359E"/>
    <w:rsid w:val="007138F4"/>
    <w:rsid w:val="00714C52"/>
    <w:rsid w:val="007154E0"/>
    <w:rsid w:val="007164E0"/>
    <w:rsid w:val="007165B7"/>
    <w:rsid w:val="00717445"/>
    <w:rsid w:val="00717F94"/>
    <w:rsid w:val="0072127E"/>
    <w:rsid w:val="00721B4A"/>
    <w:rsid w:val="007220A2"/>
    <w:rsid w:val="00722754"/>
    <w:rsid w:val="00722D47"/>
    <w:rsid w:val="00723908"/>
    <w:rsid w:val="00723A17"/>
    <w:rsid w:val="0072539A"/>
    <w:rsid w:val="007273F7"/>
    <w:rsid w:val="007307B9"/>
    <w:rsid w:val="00730DA5"/>
    <w:rsid w:val="00731628"/>
    <w:rsid w:val="007327AE"/>
    <w:rsid w:val="007327BB"/>
    <w:rsid w:val="00733832"/>
    <w:rsid w:val="00734EF4"/>
    <w:rsid w:val="00734F70"/>
    <w:rsid w:val="00735055"/>
    <w:rsid w:val="00735208"/>
    <w:rsid w:val="00735401"/>
    <w:rsid w:val="00740E28"/>
    <w:rsid w:val="00741174"/>
    <w:rsid w:val="00741226"/>
    <w:rsid w:val="007432EF"/>
    <w:rsid w:val="00743B43"/>
    <w:rsid w:val="0074411F"/>
    <w:rsid w:val="00745E64"/>
    <w:rsid w:val="007472B3"/>
    <w:rsid w:val="007473A8"/>
    <w:rsid w:val="00747BFB"/>
    <w:rsid w:val="007500D1"/>
    <w:rsid w:val="00753935"/>
    <w:rsid w:val="00753B74"/>
    <w:rsid w:val="00754919"/>
    <w:rsid w:val="00754E8D"/>
    <w:rsid w:val="00755F4C"/>
    <w:rsid w:val="007561D5"/>
    <w:rsid w:val="00756E42"/>
    <w:rsid w:val="0076129C"/>
    <w:rsid w:val="007612B3"/>
    <w:rsid w:val="00762017"/>
    <w:rsid w:val="00762963"/>
    <w:rsid w:val="007640CE"/>
    <w:rsid w:val="007651D8"/>
    <w:rsid w:val="00765C1C"/>
    <w:rsid w:val="00765CD4"/>
    <w:rsid w:val="00767147"/>
    <w:rsid w:val="0076747D"/>
    <w:rsid w:val="007700A6"/>
    <w:rsid w:val="00771A45"/>
    <w:rsid w:val="00771D08"/>
    <w:rsid w:val="00771FDF"/>
    <w:rsid w:val="00772924"/>
    <w:rsid w:val="0077292A"/>
    <w:rsid w:val="00774DA4"/>
    <w:rsid w:val="00775526"/>
    <w:rsid w:val="00776219"/>
    <w:rsid w:val="007762FB"/>
    <w:rsid w:val="00777A77"/>
    <w:rsid w:val="007800FC"/>
    <w:rsid w:val="007802EF"/>
    <w:rsid w:val="007822D7"/>
    <w:rsid w:val="00782E18"/>
    <w:rsid w:val="007839B6"/>
    <w:rsid w:val="007863F5"/>
    <w:rsid w:val="00786C73"/>
    <w:rsid w:val="00787EDE"/>
    <w:rsid w:val="007906F3"/>
    <w:rsid w:val="0079177D"/>
    <w:rsid w:val="0079182B"/>
    <w:rsid w:val="00791A9A"/>
    <w:rsid w:val="0079275A"/>
    <w:rsid w:val="0079313C"/>
    <w:rsid w:val="00795483"/>
    <w:rsid w:val="00796C00"/>
    <w:rsid w:val="0079708A"/>
    <w:rsid w:val="00797924"/>
    <w:rsid w:val="00797EA3"/>
    <w:rsid w:val="007A45AE"/>
    <w:rsid w:val="007A48ED"/>
    <w:rsid w:val="007A4DBE"/>
    <w:rsid w:val="007A51FC"/>
    <w:rsid w:val="007A5E32"/>
    <w:rsid w:val="007A669D"/>
    <w:rsid w:val="007A74CB"/>
    <w:rsid w:val="007A7AC2"/>
    <w:rsid w:val="007B043A"/>
    <w:rsid w:val="007B0AE3"/>
    <w:rsid w:val="007B1AA9"/>
    <w:rsid w:val="007B2689"/>
    <w:rsid w:val="007B2BA5"/>
    <w:rsid w:val="007B3731"/>
    <w:rsid w:val="007B470E"/>
    <w:rsid w:val="007B476C"/>
    <w:rsid w:val="007B4FA7"/>
    <w:rsid w:val="007B514E"/>
    <w:rsid w:val="007B5F8E"/>
    <w:rsid w:val="007B732D"/>
    <w:rsid w:val="007B7B44"/>
    <w:rsid w:val="007C16FD"/>
    <w:rsid w:val="007C20BB"/>
    <w:rsid w:val="007C20D0"/>
    <w:rsid w:val="007C245D"/>
    <w:rsid w:val="007C286A"/>
    <w:rsid w:val="007C2E98"/>
    <w:rsid w:val="007C3C8A"/>
    <w:rsid w:val="007C4220"/>
    <w:rsid w:val="007C4A21"/>
    <w:rsid w:val="007C4C69"/>
    <w:rsid w:val="007C6206"/>
    <w:rsid w:val="007C689F"/>
    <w:rsid w:val="007C70C9"/>
    <w:rsid w:val="007C78B5"/>
    <w:rsid w:val="007D0189"/>
    <w:rsid w:val="007D0D9D"/>
    <w:rsid w:val="007D150C"/>
    <w:rsid w:val="007D2299"/>
    <w:rsid w:val="007D4D17"/>
    <w:rsid w:val="007D4EFE"/>
    <w:rsid w:val="007D68CD"/>
    <w:rsid w:val="007D727E"/>
    <w:rsid w:val="007E0ADC"/>
    <w:rsid w:val="007E10B0"/>
    <w:rsid w:val="007E22D6"/>
    <w:rsid w:val="007E2780"/>
    <w:rsid w:val="007E374A"/>
    <w:rsid w:val="007E395D"/>
    <w:rsid w:val="007E50A8"/>
    <w:rsid w:val="007E5208"/>
    <w:rsid w:val="007E6BF8"/>
    <w:rsid w:val="007E6FBF"/>
    <w:rsid w:val="007F2B63"/>
    <w:rsid w:val="007F3516"/>
    <w:rsid w:val="007F50F6"/>
    <w:rsid w:val="007F532C"/>
    <w:rsid w:val="007F54A7"/>
    <w:rsid w:val="007F5E2F"/>
    <w:rsid w:val="007F66B5"/>
    <w:rsid w:val="00800005"/>
    <w:rsid w:val="00800238"/>
    <w:rsid w:val="008015DF"/>
    <w:rsid w:val="00801CD1"/>
    <w:rsid w:val="0080245D"/>
    <w:rsid w:val="00804998"/>
    <w:rsid w:val="00806173"/>
    <w:rsid w:val="00806310"/>
    <w:rsid w:val="008063FE"/>
    <w:rsid w:val="008072C4"/>
    <w:rsid w:val="008075F6"/>
    <w:rsid w:val="00810124"/>
    <w:rsid w:val="0081131D"/>
    <w:rsid w:val="00812240"/>
    <w:rsid w:val="00813663"/>
    <w:rsid w:val="00813B95"/>
    <w:rsid w:val="008146B7"/>
    <w:rsid w:val="008156C2"/>
    <w:rsid w:val="00815A71"/>
    <w:rsid w:val="008169A5"/>
    <w:rsid w:val="00816D35"/>
    <w:rsid w:val="00817498"/>
    <w:rsid w:val="008201C0"/>
    <w:rsid w:val="00820D7B"/>
    <w:rsid w:val="0082155F"/>
    <w:rsid w:val="0082170C"/>
    <w:rsid w:val="00822C15"/>
    <w:rsid w:val="00823C8B"/>
    <w:rsid w:val="008247CB"/>
    <w:rsid w:val="00824974"/>
    <w:rsid w:val="00824E3D"/>
    <w:rsid w:val="008258CB"/>
    <w:rsid w:val="00827D65"/>
    <w:rsid w:val="008301E0"/>
    <w:rsid w:val="008304D3"/>
    <w:rsid w:val="00830924"/>
    <w:rsid w:val="00831228"/>
    <w:rsid w:val="00831C17"/>
    <w:rsid w:val="00833529"/>
    <w:rsid w:val="00834C7E"/>
    <w:rsid w:val="00835AB1"/>
    <w:rsid w:val="00836241"/>
    <w:rsid w:val="008364E1"/>
    <w:rsid w:val="0084100C"/>
    <w:rsid w:val="008414C6"/>
    <w:rsid w:val="008423C6"/>
    <w:rsid w:val="00843407"/>
    <w:rsid w:val="00843F4C"/>
    <w:rsid w:val="008458AF"/>
    <w:rsid w:val="00845FD5"/>
    <w:rsid w:val="008464BC"/>
    <w:rsid w:val="008473A0"/>
    <w:rsid w:val="00847EC0"/>
    <w:rsid w:val="00850260"/>
    <w:rsid w:val="00850702"/>
    <w:rsid w:val="00850D2E"/>
    <w:rsid w:val="00851F0A"/>
    <w:rsid w:val="008520C2"/>
    <w:rsid w:val="008530AB"/>
    <w:rsid w:val="00853396"/>
    <w:rsid w:val="00854E44"/>
    <w:rsid w:val="008553DF"/>
    <w:rsid w:val="008566E5"/>
    <w:rsid w:val="00857E65"/>
    <w:rsid w:val="008606D7"/>
    <w:rsid w:val="00861710"/>
    <w:rsid w:val="00861F47"/>
    <w:rsid w:val="00862299"/>
    <w:rsid w:val="00862799"/>
    <w:rsid w:val="00865648"/>
    <w:rsid w:val="00865D42"/>
    <w:rsid w:val="00865F00"/>
    <w:rsid w:val="00866224"/>
    <w:rsid w:val="0086650E"/>
    <w:rsid w:val="0086785B"/>
    <w:rsid w:val="00870682"/>
    <w:rsid w:val="00870840"/>
    <w:rsid w:val="00871520"/>
    <w:rsid w:val="008719D5"/>
    <w:rsid w:val="00872981"/>
    <w:rsid w:val="00874558"/>
    <w:rsid w:val="0087508B"/>
    <w:rsid w:val="0087603F"/>
    <w:rsid w:val="0087756C"/>
    <w:rsid w:val="00880946"/>
    <w:rsid w:val="00882512"/>
    <w:rsid w:val="00882699"/>
    <w:rsid w:val="008835CF"/>
    <w:rsid w:val="00883EB9"/>
    <w:rsid w:val="00884970"/>
    <w:rsid w:val="00884C53"/>
    <w:rsid w:val="008850C8"/>
    <w:rsid w:val="00886623"/>
    <w:rsid w:val="008867FF"/>
    <w:rsid w:val="00886985"/>
    <w:rsid w:val="00886DCB"/>
    <w:rsid w:val="00890158"/>
    <w:rsid w:val="008908E0"/>
    <w:rsid w:val="008909A2"/>
    <w:rsid w:val="00892342"/>
    <w:rsid w:val="00893FEA"/>
    <w:rsid w:val="00895F80"/>
    <w:rsid w:val="008960D7"/>
    <w:rsid w:val="00896BF7"/>
    <w:rsid w:val="008970BD"/>
    <w:rsid w:val="00897740"/>
    <w:rsid w:val="008978DD"/>
    <w:rsid w:val="00897F7A"/>
    <w:rsid w:val="008A0C32"/>
    <w:rsid w:val="008A1C4F"/>
    <w:rsid w:val="008A292A"/>
    <w:rsid w:val="008A7787"/>
    <w:rsid w:val="008B145E"/>
    <w:rsid w:val="008B21D1"/>
    <w:rsid w:val="008B2ABD"/>
    <w:rsid w:val="008B3917"/>
    <w:rsid w:val="008B42DB"/>
    <w:rsid w:val="008B4B79"/>
    <w:rsid w:val="008B532B"/>
    <w:rsid w:val="008B581F"/>
    <w:rsid w:val="008B5BB6"/>
    <w:rsid w:val="008B6A25"/>
    <w:rsid w:val="008B75F2"/>
    <w:rsid w:val="008C028D"/>
    <w:rsid w:val="008C13D6"/>
    <w:rsid w:val="008C19F5"/>
    <w:rsid w:val="008C2E1C"/>
    <w:rsid w:val="008C3473"/>
    <w:rsid w:val="008C5D1E"/>
    <w:rsid w:val="008C5FAC"/>
    <w:rsid w:val="008C60C1"/>
    <w:rsid w:val="008C694D"/>
    <w:rsid w:val="008C69F0"/>
    <w:rsid w:val="008C6C23"/>
    <w:rsid w:val="008D0184"/>
    <w:rsid w:val="008D06D6"/>
    <w:rsid w:val="008D1682"/>
    <w:rsid w:val="008D28B2"/>
    <w:rsid w:val="008D40B3"/>
    <w:rsid w:val="008D43BD"/>
    <w:rsid w:val="008D4CCE"/>
    <w:rsid w:val="008D4F16"/>
    <w:rsid w:val="008D5231"/>
    <w:rsid w:val="008D5823"/>
    <w:rsid w:val="008D6077"/>
    <w:rsid w:val="008D6DF7"/>
    <w:rsid w:val="008D7860"/>
    <w:rsid w:val="008E1E1B"/>
    <w:rsid w:val="008E38D3"/>
    <w:rsid w:val="008E39A9"/>
    <w:rsid w:val="008E533C"/>
    <w:rsid w:val="008E557B"/>
    <w:rsid w:val="008E56F6"/>
    <w:rsid w:val="008E5955"/>
    <w:rsid w:val="008E5A2F"/>
    <w:rsid w:val="008E5EDC"/>
    <w:rsid w:val="008E6017"/>
    <w:rsid w:val="008E65CA"/>
    <w:rsid w:val="008E775B"/>
    <w:rsid w:val="008E7B32"/>
    <w:rsid w:val="008F0328"/>
    <w:rsid w:val="008F36A2"/>
    <w:rsid w:val="008F36DD"/>
    <w:rsid w:val="008F5C63"/>
    <w:rsid w:val="008F6144"/>
    <w:rsid w:val="008F6290"/>
    <w:rsid w:val="008F6376"/>
    <w:rsid w:val="008F7978"/>
    <w:rsid w:val="009004E8"/>
    <w:rsid w:val="00900670"/>
    <w:rsid w:val="00900DAF"/>
    <w:rsid w:val="00904EF1"/>
    <w:rsid w:val="009056A4"/>
    <w:rsid w:val="00906CA5"/>
    <w:rsid w:val="0091011D"/>
    <w:rsid w:val="009106B1"/>
    <w:rsid w:val="0091100C"/>
    <w:rsid w:val="00913757"/>
    <w:rsid w:val="009151C1"/>
    <w:rsid w:val="00915942"/>
    <w:rsid w:val="00915F97"/>
    <w:rsid w:val="00916A9B"/>
    <w:rsid w:val="009173C3"/>
    <w:rsid w:val="00920856"/>
    <w:rsid w:val="0092093B"/>
    <w:rsid w:val="00923B2F"/>
    <w:rsid w:val="00925ED1"/>
    <w:rsid w:val="009269F2"/>
    <w:rsid w:val="00926E5F"/>
    <w:rsid w:val="0092709A"/>
    <w:rsid w:val="0093147F"/>
    <w:rsid w:val="00931967"/>
    <w:rsid w:val="00932376"/>
    <w:rsid w:val="009343BA"/>
    <w:rsid w:val="00935438"/>
    <w:rsid w:val="00935D9C"/>
    <w:rsid w:val="00936FB8"/>
    <w:rsid w:val="00937423"/>
    <w:rsid w:val="00937DE6"/>
    <w:rsid w:val="009429EC"/>
    <w:rsid w:val="0094416F"/>
    <w:rsid w:val="009450BA"/>
    <w:rsid w:val="00945D4F"/>
    <w:rsid w:val="0094614A"/>
    <w:rsid w:val="00946B08"/>
    <w:rsid w:val="00946E1D"/>
    <w:rsid w:val="00946EE2"/>
    <w:rsid w:val="00946F7C"/>
    <w:rsid w:val="00947616"/>
    <w:rsid w:val="00950B52"/>
    <w:rsid w:val="00952224"/>
    <w:rsid w:val="009522CD"/>
    <w:rsid w:val="00952ADE"/>
    <w:rsid w:val="00953AA5"/>
    <w:rsid w:val="00954CEE"/>
    <w:rsid w:val="009568C4"/>
    <w:rsid w:val="0096000A"/>
    <w:rsid w:val="00960563"/>
    <w:rsid w:val="00962FF7"/>
    <w:rsid w:val="00965294"/>
    <w:rsid w:val="0096641D"/>
    <w:rsid w:val="00966AE9"/>
    <w:rsid w:val="00967700"/>
    <w:rsid w:val="0097057C"/>
    <w:rsid w:val="00972671"/>
    <w:rsid w:val="00972F70"/>
    <w:rsid w:val="009733CF"/>
    <w:rsid w:val="009736AD"/>
    <w:rsid w:val="0097455E"/>
    <w:rsid w:val="00974DA0"/>
    <w:rsid w:val="0097632B"/>
    <w:rsid w:val="00977231"/>
    <w:rsid w:val="00980259"/>
    <w:rsid w:val="009808CD"/>
    <w:rsid w:val="0098092B"/>
    <w:rsid w:val="009835A7"/>
    <w:rsid w:val="00984648"/>
    <w:rsid w:val="00986693"/>
    <w:rsid w:val="00986949"/>
    <w:rsid w:val="00986D8C"/>
    <w:rsid w:val="00990826"/>
    <w:rsid w:val="00990A3D"/>
    <w:rsid w:val="009911AA"/>
    <w:rsid w:val="00992BE6"/>
    <w:rsid w:val="00992DE0"/>
    <w:rsid w:val="00992DF3"/>
    <w:rsid w:val="0099339D"/>
    <w:rsid w:val="009939BA"/>
    <w:rsid w:val="00993EEC"/>
    <w:rsid w:val="009946AC"/>
    <w:rsid w:val="00995266"/>
    <w:rsid w:val="00996252"/>
    <w:rsid w:val="00996A84"/>
    <w:rsid w:val="009A03C6"/>
    <w:rsid w:val="009A3710"/>
    <w:rsid w:val="009A4423"/>
    <w:rsid w:val="009A4732"/>
    <w:rsid w:val="009A487D"/>
    <w:rsid w:val="009A5AF5"/>
    <w:rsid w:val="009A5BB4"/>
    <w:rsid w:val="009A5C63"/>
    <w:rsid w:val="009A6C4B"/>
    <w:rsid w:val="009A7A78"/>
    <w:rsid w:val="009B01AF"/>
    <w:rsid w:val="009B0ABC"/>
    <w:rsid w:val="009B1E0C"/>
    <w:rsid w:val="009B2122"/>
    <w:rsid w:val="009B223C"/>
    <w:rsid w:val="009B3168"/>
    <w:rsid w:val="009B3DDA"/>
    <w:rsid w:val="009B4008"/>
    <w:rsid w:val="009B400F"/>
    <w:rsid w:val="009B4C61"/>
    <w:rsid w:val="009B625D"/>
    <w:rsid w:val="009C0324"/>
    <w:rsid w:val="009C1BFB"/>
    <w:rsid w:val="009C2EFA"/>
    <w:rsid w:val="009C4090"/>
    <w:rsid w:val="009C4548"/>
    <w:rsid w:val="009D2FC9"/>
    <w:rsid w:val="009D314E"/>
    <w:rsid w:val="009D3600"/>
    <w:rsid w:val="009D4D41"/>
    <w:rsid w:val="009D5F70"/>
    <w:rsid w:val="009D6DA5"/>
    <w:rsid w:val="009D7173"/>
    <w:rsid w:val="009D7536"/>
    <w:rsid w:val="009D7725"/>
    <w:rsid w:val="009D79C5"/>
    <w:rsid w:val="009E1E98"/>
    <w:rsid w:val="009E1F2F"/>
    <w:rsid w:val="009E287C"/>
    <w:rsid w:val="009E30CB"/>
    <w:rsid w:val="009E5268"/>
    <w:rsid w:val="009E6416"/>
    <w:rsid w:val="009E6827"/>
    <w:rsid w:val="009E6EBE"/>
    <w:rsid w:val="009E7472"/>
    <w:rsid w:val="009E7ACE"/>
    <w:rsid w:val="009F14D5"/>
    <w:rsid w:val="009F155F"/>
    <w:rsid w:val="009F2A11"/>
    <w:rsid w:val="009F2D6F"/>
    <w:rsid w:val="009F4252"/>
    <w:rsid w:val="009F5B31"/>
    <w:rsid w:val="009F5E64"/>
    <w:rsid w:val="00A014D5"/>
    <w:rsid w:val="00A01FD6"/>
    <w:rsid w:val="00A03249"/>
    <w:rsid w:val="00A03C3D"/>
    <w:rsid w:val="00A041C3"/>
    <w:rsid w:val="00A0553E"/>
    <w:rsid w:val="00A062D2"/>
    <w:rsid w:val="00A06AA0"/>
    <w:rsid w:val="00A07150"/>
    <w:rsid w:val="00A113F3"/>
    <w:rsid w:val="00A11519"/>
    <w:rsid w:val="00A12ABA"/>
    <w:rsid w:val="00A138C9"/>
    <w:rsid w:val="00A1484C"/>
    <w:rsid w:val="00A14E5F"/>
    <w:rsid w:val="00A159E9"/>
    <w:rsid w:val="00A16E0B"/>
    <w:rsid w:val="00A1727D"/>
    <w:rsid w:val="00A17391"/>
    <w:rsid w:val="00A178BD"/>
    <w:rsid w:val="00A201C5"/>
    <w:rsid w:val="00A20FA5"/>
    <w:rsid w:val="00A2172C"/>
    <w:rsid w:val="00A21A28"/>
    <w:rsid w:val="00A21F9E"/>
    <w:rsid w:val="00A221CE"/>
    <w:rsid w:val="00A22613"/>
    <w:rsid w:val="00A228B8"/>
    <w:rsid w:val="00A22CEC"/>
    <w:rsid w:val="00A234AB"/>
    <w:rsid w:val="00A241C9"/>
    <w:rsid w:val="00A24EEC"/>
    <w:rsid w:val="00A250A0"/>
    <w:rsid w:val="00A250B8"/>
    <w:rsid w:val="00A27167"/>
    <w:rsid w:val="00A3107E"/>
    <w:rsid w:val="00A31E83"/>
    <w:rsid w:val="00A324E2"/>
    <w:rsid w:val="00A325C7"/>
    <w:rsid w:val="00A33236"/>
    <w:rsid w:val="00A334AB"/>
    <w:rsid w:val="00A346E3"/>
    <w:rsid w:val="00A353BD"/>
    <w:rsid w:val="00A35648"/>
    <w:rsid w:val="00A35A8F"/>
    <w:rsid w:val="00A377AE"/>
    <w:rsid w:val="00A37DA6"/>
    <w:rsid w:val="00A41459"/>
    <w:rsid w:val="00A41701"/>
    <w:rsid w:val="00A41C65"/>
    <w:rsid w:val="00A41D2B"/>
    <w:rsid w:val="00A42F44"/>
    <w:rsid w:val="00A44444"/>
    <w:rsid w:val="00A4462D"/>
    <w:rsid w:val="00A44C50"/>
    <w:rsid w:val="00A44FEA"/>
    <w:rsid w:val="00A459E4"/>
    <w:rsid w:val="00A4643C"/>
    <w:rsid w:val="00A470AE"/>
    <w:rsid w:val="00A51C22"/>
    <w:rsid w:val="00A51F53"/>
    <w:rsid w:val="00A523F4"/>
    <w:rsid w:val="00A53B3D"/>
    <w:rsid w:val="00A53E56"/>
    <w:rsid w:val="00A54296"/>
    <w:rsid w:val="00A54343"/>
    <w:rsid w:val="00A552F7"/>
    <w:rsid w:val="00A55695"/>
    <w:rsid w:val="00A55C6D"/>
    <w:rsid w:val="00A55E04"/>
    <w:rsid w:val="00A5696D"/>
    <w:rsid w:val="00A56ED6"/>
    <w:rsid w:val="00A572AE"/>
    <w:rsid w:val="00A57474"/>
    <w:rsid w:val="00A578B3"/>
    <w:rsid w:val="00A57A62"/>
    <w:rsid w:val="00A60C1E"/>
    <w:rsid w:val="00A613F8"/>
    <w:rsid w:val="00A61C5F"/>
    <w:rsid w:val="00A627DB"/>
    <w:rsid w:val="00A62DE7"/>
    <w:rsid w:val="00A6459E"/>
    <w:rsid w:val="00A64C42"/>
    <w:rsid w:val="00A6548B"/>
    <w:rsid w:val="00A65817"/>
    <w:rsid w:val="00A660C0"/>
    <w:rsid w:val="00A66BE6"/>
    <w:rsid w:val="00A701CF"/>
    <w:rsid w:val="00A70233"/>
    <w:rsid w:val="00A718B9"/>
    <w:rsid w:val="00A71BF8"/>
    <w:rsid w:val="00A725DB"/>
    <w:rsid w:val="00A737E2"/>
    <w:rsid w:val="00A7401E"/>
    <w:rsid w:val="00A757E7"/>
    <w:rsid w:val="00A75CC2"/>
    <w:rsid w:val="00A76A1D"/>
    <w:rsid w:val="00A77010"/>
    <w:rsid w:val="00A77130"/>
    <w:rsid w:val="00A81412"/>
    <w:rsid w:val="00A820A9"/>
    <w:rsid w:val="00A83861"/>
    <w:rsid w:val="00A858C7"/>
    <w:rsid w:val="00A87271"/>
    <w:rsid w:val="00A87406"/>
    <w:rsid w:val="00A874F1"/>
    <w:rsid w:val="00A90894"/>
    <w:rsid w:val="00A90DEF"/>
    <w:rsid w:val="00A90E8B"/>
    <w:rsid w:val="00A916BA"/>
    <w:rsid w:val="00A92E60"/>
    <w:rsid w:val="00A935FB"/>
    <w:rsid w:val="00A93FE1"/>
    <w:rsid w:val="00A9440E"/>
    <w:rsid w:val="00A95771"/>
    <w:rsid w:val="00A95845"/>
    <w:rsid w:val="00A97014"/>
    <w:rsid w:val="00A97905"/>
    <w:rsid w:val="00AA159D"/>
    <w:rsid w:val="00AA16AA"/>
    <w:rsid w:val="00AA2203"/>
    <w:rsid w:val="00AA27E8"/>
    <w:rsid w:val="00AA2913"/>
    <w:rsid w:val="00AA2BCE"/>
    <w:rsid w:val="00AA5080"/>
    <w:rsid w:val="00AA66DB"/>
    <w:rsid w:val="00AA6F62"/>
    <w:rsid w:val="00AB0408"/>
    <w:rsid w:val="00AB0D7B"/>
    <w:rsid w:val="00AB13FB"/>
    <w:rsid w:val="00AB2A3B"/>
    <w:rsid w:val="00AB438D"/>
    <w:rsid w:val="00AB4533"/>
    <w:rsid w:val="00AB5679"/>
    <w:rsid w:val="00AB6698"/>
    <w:rsid w:val="00AB7070"/>
    <w:rsid w:val="00AC13D8"/>
    <w:rsid w:val="00AC2064"/>
    <w:rsid w:val="00AC29D9"/>
    <w:rsid w:val="00AC43C5"/>
    <w:rsid w:val="00AC46A3"/>
    <w:rsid w:val="00AC4719"/>
    <w:rsid w:val="00AC50C4"/>
    <w:rsid w:val="00AC6BA2"/>
    <w:rsid w:val="00AC6C24"/>
    <w:rsid w:val="00AD2962"/>
    <w:rsid w:val="00AD3C7D"/>
    <w:rsid w:val="00AD4DC9"/>
    <w:rsid w:val="00AD5613"/>
    <w:rsid w:val="00AD5F7C"/>
    <w:rsid w:val="00AE140E"/>
    <w:rsid w:val="00AE2EC8"/>
    <w:rsid w:val="00AE3963"/>
    <w:rsid w:val="00AE3C1E"/>
    <w:rsid w:val="00AE3E70"/>
    <w:rsid w:val="00AE438B"/>
    <w:rsid w:val="00AE722D"/>
    <w:rsid w:val="00AE7333"/>
    <w:rsid w:val="00AE7AD4"/>
    <w:rsid w:val="00AE7EFC"/>
    <w:rsid w:val="00AF0B0A"/>
    <w:rsid w:val="00AF1471"/>
    <w:rsid w:val="00AF1FEE"/>
    <w:rsid w:val="00AF2908"/>
    <w:rsid w:val="00AF34DD"/>
    <w:rsid w:val="00AF447A"/>
    <w:rsid w:val="00AF5526"/>
    <w:rsid w:val="00AF6FBF"/>
    <w:rsid w:val="00AF7EC1"/>
    <w:rsid w:val="00B016FA"/>
    <w:rsid w:val="00B02294"/>
    <w:rsid w:val="00B0291E"/>
    <w:rsid w:val="00B02B6F"/>
    <w:rsid w:val="00B03F54"/>
    <w:rsid w:val="00B05900"/>
    <w:rsid w:val="00B0627E"/>
    <w:rsid w:val="00B065C2"/>
    <w:rsid w:val="00B067E5"/>
    <w:rsid w:val="00B078CC"/>
    <w:rsid w:val="00B10011"/>
    <w:rsid w:val="00B1084F"/>
    <w:rsid w:val="00B10EAB"/>
    <w:rsid w:val="00B12DF8"/>
    <w:rsid w:val="00B12E60"/>
    <w:rsid w:val="00B136DC"/>
    <w:rsid w:val="00B14AF3"/>
    <w:rsid w:val="00B163DC"/>
    <w:rsid w:val="00B16DE2"/>
    <w:rsid w:val="00B1701A"/>
    <w:rsid w:val="00B1706A"/>
    <w:rsid w:val="00B20B1F"/>
    <w:rsid w:val="00B210D6"/>
    <w:rsid w:val="00B2115F"/>
    <w:rsid w:val="00B212CE"/>
    <w:rsid w:val="00B214AB"/>
    <w:rsid w:val="00B219B1"/>
    <w:rsid w:val="00B2356E"/>
    <w:rsid w:val="00B2358A"/>
    <w:rsid w:val="00B2359A"/>
    <w:rsid w:val="00B25235"/>
    <w:rsid w:val="00B26045"/>
    <w:rsid w:val="00B277B0"/>
    <w:rsid w:val="00B30176"/>
    <w:rsid w:val="00B308A7"/>
    <w:rsid w:val="00B30C2E"/>
    <w:rsid w:val="00B31256"/>
    <w:rsid w:val="00B32B72"/>
    <w:rsid w:val="00B33AC7"/>
    <w:rsid w:val="00B33C1E"/>
    <w:rsid w:val="00B34C18"/>
    <w:rsid w:val="00B35AAE"/>
    <w:rsid w:val="00B35BC3"/>
    <w:rsid w:val="00B363AF"/>
    <w:rsid w:val="00B36E64"/>
    <w:rsid w:val="00B3723A"/>
    <w:rsid w:val="00B37755"/>
    <w:rsid w:val="00B40B86"/>
    <w:rsid w:val="00B4351F"/>
    <w:rsid w:val="00B436B6"/>
    <w:rsid w:val="00B4391D"/>
    <w:rsid w:val="00B453A5"/>
    <w:rsid w:val="00B4647F"/>
    <w:rsid w:val="00B46BF8"/>
    <w:rsid w:val="00B47D0A"/>
    <w:rsid w:val="00B504B1"/>
    <w:rsid w:val="00B52530"/>
    <w:rsid w:val="00B53332"/>
    <w:rsid w:val="00B540B9"/>
    <w:rsid w:val="00B544E5"/>
    <w:rsid w:val="00B5483A"/>
    <w:rsid w:val="00B55CFC"/>
    <w:rsid w:val="00B56ADE"/>
    <w:rsid w:val="00B610D0"/>
    <w:rsid w:val="00B61B3F"/>
    <w:rsid w:val="00B6260D"/>
    <w:rsid w:val="00B63D6D"/>
    <w:rsid w:val="00B641CB"/>
    <w:rsid w:val="00B64426"/>
    <w:rsid w:val="00B66302"/>
    <w:rsid w:val="00B66481"/>
    <w:rsid w:val="00B6680C"/>
    <w:rsid w:val="00B66AB0"/>
    <w:rsid w:val="00B67286"/>
    <w:rsid w:val="00B67B54"/>
    <w:rsid w:val="00B701F0"/>
    <w:rsid w:val="00B708F8"/>
    <w:rsid w:val="00B70BF7"/>
    <w:rsid w:val="00B70F9A"/>
    <w:rsid w:val="00B70FBF"/>
    <w:rsid w:val="00B7105B"/>
    <w:rsid w:val="00B723D2"/>
    <w:rsid w:val="00B73913"/>
    <w:rsid w:val="00B75B71"/>
    <w:rsid w:val="00B76CA9"/>
    <w:rsid w:val="00B76D4B"/>
    <w:rsid w:val="00B77970"/>
    <w:rsid w:val="00B808B2"/>
    <w:rsid w:val="00B81F98"/>
    <w:rsid w:val="00B82773"/>
    <w:rsid w:val="00B84910"/>
    <w:rsid w:val="00B84C56"/>
    <w:rsid w:val="00B84CEF"/>
    <w:rsid w:val="00B86D4F"/>
    <w:rsid w:val="00B92F9F"/>
    <w:rsid w:val="00B9406A"/>
    <w:rsid w:val="00B950F2"/>
    <w:rsid w:val="00B95D21"/>
    <w:rsid w:val="00B95F86"/>
    <w:rsid w:val="00B963D1"/>
    <w:rsid w:val="00B9704B"/>
    <w:rsid w:val="00B9722E"/>
    <w:rsid w:val="00B978C6"/>
    <w:rsid w:val="00B97AE0"/>
    <w:rsid w:val="00BA09BD"/>
    <w:rsid w:val="00BA2BAB"/>
    <w:rsid w:val="00BA2BE7"/>
    <w:rsid w:val="00BA4540"/>
    <w:rsid w:val="00BA4587"/>
    <w:rsid w:val="00BA7F64"/>
    <w:rsid w:val="00BB0338"/>
    <w:rsid w:val="00BB03F9"/>
    <w:rsid w:val="00BB1B48"/>
    <w:rsid w:val="00BB231F"/>
    <w:rsid w:val="00BB288E"/>
    <w:rsid w:val="00BB6BB7"/>
    <w:rsid w:val="00BB71D7"/>
    <w:rsid w:val="00BB7802"/>
    <w:rsid w:val="00BB7B21"/>
    <w:rsid w:val="00BB7DF1"/>
    <w:rsid w:val="00BC001B"/>
    <w:rsid w:val="00BC0319"/>
    <w:rsid w:val="00BC0774"/>
    <w:rsid w:val="00BC1AFD"/>
    <w:rsid w:val="00BC1D82"/>
    <w:rsid w:val="00BC313C"/>
    <w:rsid w:val="00BC349D"/>
    <w:rsid w:val="00BC4075"/>
    <w:rsid w:val="00BC4B3C"/>
    <w:rsid w:val="00BC570E"/>
    <w:rsid w:val="00BC5DC2"/>
    <w:rsid w:val="00BD0088"/>
    <w:rsid w:val="00BD100C"/>
    <w:rsid w:val="00BD2102"/>
    <w:rsid w:val="00BD2D0B"/>
    <w:rsid w:val="00BD313F"/>
    <w:rsid w:val="00BD3796"/>
    <w:rsid w:val="00BD37C0"/>
    <w:rsid w:val="00BD4B37"/>
    <w:rsid w:val="00BD4EBB"/>
    <w:rsid w:val="00BD71BD"/>
    <w:rsid w:val="00BD768D"/>
    <w:rsid w:val="00BD79FD"/>
    <w:rsid w:val="00BE066F"/>
    <w:rsid w:val="00BE1090"/>
    <w:rsid w:val="00BE1E19"/>
    <w:rsid w:val="00BE27A3"/>
    <w:rsid w:val="00BE5F59"/>
    <w:rsid w:val="00BE6178"/>
    <w:rsid w:val="00BE664E"/>
    <w:rsid w:val="00BE6980"/>
    <w:rsid w:val="00BE7136"/>
    <w:rsid w:val="00BE7161"/>
    <w:rsid w:val="00BE7768"/>
    <w:rsid w:val="00BE7A80"/>
    <w:rsid w:val="00BE7B17"/>
    <w:rsid w:val="00BF01DE"/>
    <w:rsid w:val="00BF0208"/>
    <w:rsid w:val="00BF0EAA"/>
    <w:rsid w:val="00BF156C"/>
    <w:rsid w:val="00BF330A"/>
    <w:rsid w:val="00BF3DC7"/>
    <w:rsid w:val="00BF3E05"/>
    <w:rsid w:val="00BF45B5"/>
    <w:rsid w:val="00BF589D"/>
    <w:rsid w:val="00BF6391"/>
    <w:rsid w:val="00BF6DF9"/>
    <w:rsid w:val="00BF7118"/>
    <w:rsid w:val="00BF746F"/>
    <w:rsid w:val="00BF7E4B"/>
    <w:rsid w:val="00C01492"/>
    <w:rsid w:val="00C03F04"/>
    <w:rsid w:val="00C03F63"/>
    <w:rsid w:val="00C05054"/>
    <w:rsid w:val="00C05403"/>
    <w:rsid w:val="00C05CED"/>
    <w:rsid w:val="00C062CD"/>
    <w:rsid w:val="00C06843"/>
    <w:rsid w:val="00C06C50"/>
    <w:rsid w:val="00C07BC3"/>
    <w:rsid w:val="00C10314"/>
    <w:rsid w:val="00C10F84"/>
    <w:rsid w:val="00C1104E"/>
    <w:rsid w:val="00C1110E"/>
    <w:rsid w:val="00C11409"/>
    <w:rsid w:val="00C114A9"/>
    <w:rsid w:val="00C12A7A"/>
    <w:rsid w:val="00C169B7"/>
    <w:rsid w:val="00C20462"/>
    <w:rsid w:val="00C20815"/>
    <w:rsid w:val="00C20B68"/>
    <w:rsid w:val="00C20DB1"/>
    <w:rsid w:val="00C215EF"/>
    <w:rsid w:val="00C2234F"/>
    <w:rsid w:val="00C22A8E"/>
    <w:rsid w:val="00C22FA4"/>
    <w:rsid w:val="00C23371"/>
    <w:rsid w:val="00C23EC4"/>
    <w:rsid w:val="00C265FE"/>
    <w:rsid w:val="00C269AB"/>
    <w:rsid w:val="00C27FC1"/>
    <w:rsid w:val="00C3075D"/>
    <w:rsid w:val="00C317F1"/>
    <w:rsid w:val="00C319CE"/>
    <w:rsid w:val="00C32EBE"/>
    <w:rsid w:val="00C347DA"/>
    <w:rsid w:val="00C34885"/>
    <w:rsid w:val="00C35A81"/>
    <w:rsid w:val="00C3615C"/>
    <w:rsid w:val="00C36C69"/>
    <w:rsid w:val="00C36F04"/>
    <w:rsid w:val="00C373CC"/>
    <w:rsid w:val="00C40248"/>
    <w:rsid w:val="00C4198F"/>
    <w:rsid w:val="00C41B82"/>
    <w:rsid w:val="00C41CAB"/>
    <w:rsid w:val="00C41F3E"/>
    <w:rsid w:val="00C4262F"/>
    <w:rsid w:val="00C426A7"/>
    <w:rsid w:val="00C43567"/>
    <w:rsid w:val="00C43901"/>
    <w:rsid w:val="00C45B44"/>
    <w:rsid w:val="00C466C3"/>
    <w:rsid w:val="00C46C30"/>
    <w:rsid w:val="00C472DC"/>
    <w:rsid w:val="00C47B0C"/>
    <w:rsid w:val="00C50000"/>
    <w:rsid w:val="00C5126F"/>
    <w:rsid w:val="00C51BFB"/>
    <w:rsid w:val="00C51CE5"/>
    <w:rsid w:val="00C52CC0"/>
    <w:rsid w:val="00C5367C"/>
    <w:rsid w:val="00C536D1"/>
    <w:rsid w:val="00C540FD"/>
    <w:rsid w:val="00C541F2"/>
    <w:rsid w:val="00C54A51"/>
    <w:rsid w:val="00C552D1"/>
    <w:rsid w:val="00C57506"/>
    <w:rsid w:val="00C57E28"/>
    <w:rsid w:val="00C61EFB"/>
    <w:rsid w:val="00C62FD1"/>
    <w:rsid w:val="00C638D3"/>
    <w:rsid w:val="00C64AE6"/>
    <w:rsid w:val="00C66A60"/>
    <w:rsid w:val="00C674B3"/>
    <w:rsid w:val="00C70990"/>
    <w:rsid w:val="00C70D23"/>
    <w:rsid w:val="00C71A24"/>
    <w:rsid w:val="00C72167"/>
    <w:rsid w:val="00C7591F"/>
    <w:rsid w:val="00C75D82"/>
    <w:rsid w:val="00C7605D"/>
    <w:rsid w:val="00C7668D"/>
    <w:rsid w:val="00C77C8A"/>
    <w:rsid w:val="00C8040B"/>
    <w:rsid w:val="00C8051D"/>
    <w:rsid w:val="00C806D4"/>
    <w:rsid w:val="00C81327"/>
    <w:rsid w:val="00C821EB"/>
    <w:rsid w:val="00C839C0"/>
    <w:rsid w:val="00C83F57"/>
    <w:rsid w:val="00C840FA"/>
    <w:rsid w:val="00C841A2"/>
    <w:rsid w:val="00C84987"/>
    <w:rsid w:val="00C8549E"/>
    <w:rsid w:val="00C85F5C"/>
    <w:rsid w:val="00C8601F"/>
    <w:rsid w:val="00C863B1"/>
    <w:rsid w:val="00C90BFD"/>
    <w:rsid w:val="00C92006"/>
    <w:rsid w:val="00C9288A"/>
    <w:rsid w:val="00C950E1"/>
    <w:rsid w:val="00C95DD6"/>
    <w:rsid w:val="00C95DF5"/>
    <w:rsid w:val="00C9700C"/>
    <w:rsid w:val="00C9760F"/>
    <w:rsid w:val="00C97A28"/>
    <w:rsid w:val="00CA07DD"/>
    <w:rsid w:val="00CA0C91"/>
    <w:rsid w:val="00CA0D2C"/>
    <w:rsid w:val="00CA0FE8"/>
    <w:rsid w:val="00CA12AE"/>
    <w:rsid w:val="00CA1854"/>
    <w:rsid w:val="00CA42C0"/>
    <w:rsid w:val="00CA67C6"/>
    <w:rsid w:val="00CA6B9B"/>
    <w:rsid w:val="00CB0882"/>
    <w:rsid w:val="00CB1CF2"/>
    <w:rsid w:val="00CB1DFC"/>
    <w:rsid w:val="00CB389D"/>
    <w:rsid w:val="00CB4115"/>
    <w:rsid w:val="00CB51C0"/>
    <w:rsid w:val="00CB5969"/>
    <w:rsid w:val="00CB6793"/>
    <w:rsid w:val="00CC03B5"/>
    <w:rsid w:val="00CC0A70"/>
    <w:rsid w:val="00CC0DD0"/>
    <w:rsid w:val="00CC2625"/>
    <w:rsid w:val="00CC2EBB"/>
    <w:rsid w:val="00CC38EF"/>
    <w:rsid w:val="00CC4B61"/>
    <w:rsid w:val="00CC5077"/>
    <w:rsid w:val="00CC55A7"/>
    <w:rsid w:val="00CC591D"/>
    <w:rsid w:val="00CC5A85"/>
    <w:rsid w:val="00CC6ACD"/>
    <w:rsid w:val="00CD23E8"/>
    <w:rsid w:val="00CD3830"/>
    <w:rsid w:val="00CD40CC"/>
    <w:rsid w:val="00CD486E"/>
    <w:rsid w:val="00CD57F5"/>
    <w:rsid w:val="00CD5968"/>
    <w:rsid w:val="00CD62D5"/>
    <w:rsid w:val="00CD6691"/>
    <w:rsid w:val="00CD687B"/>
    <w:rsid w:val="00CD6F7B"/>
    <w:rsid w:val="00CD6FDC"/>
    <w:rsid w:val="00CD73BB"/>
    <w:rsid w:val="00CD7C6E"/>
    <w:rsid w:val="00CE1B32"/>
    <w:rsid w:val="00CE1E28"/>
    <w:rsid w:val="00CE205F"/>
    <w:rsid w:val="00CE36BB"/>
    <w:rsid w:val="00CE3E21"/>
    <w:rsid w:val="00CE3F9C"/>
    <w:rsid w:val="00CE45F9"/>
    <w:rsid w:val="00CE5009"/>
    <w:rsid w:val="00CE709B"/>
    <w:rsid w:val="00CE7879"/>
    <w:rsid w:val="00CF009E"/>
    <w:rsid w:val="00CF0A76"/>
    <w:rsid w:val="00CF19BB"/>
    <w:rsid w:val="00CF2656"/>
    <w:rsid w:val="00CF2950"/>
    <w:rsid w:val="00CF2B05"/>
    <w:rsid w:val="00CF4509"/>
    <w:rsid w:val="00CF5096"/>
    <w:rsid w:val="00CF5889"/>
    <w:rsid w:val="00CF6CEB"/>
    <w:rsid w:val="00D00166"/>
    <w:rsid w:val="00D0279A"/>
    <w:rsid w:val="00D034EE"/>
    <w:rsid w:val="00D05442"/>
    <w:rsid w:val="00D05562"/>
    <w:rsid w:val="00D05D7E"/>
    <w:rsid w:val="00D05F55"/>
    <w:rsid w:val="00D061F4"/>
    <w:rsid w:val="00D06D22"/>
    <w:rsid w:val="00D070E6"/>
    <w:rsid w:val="00D07758"/>
    <w:rsid w:val="00D103F6"/>
    <w:rsid w:val="00D104B6"/>
    <w:rsid w:val="00D1055D"/>
    <w:rsid w:val="00D105EA"/>
    <w:rsid w:val="00D112F2"/>
    <w:rsid w:val="00D12519"/>
    <w:rsid w:val="00D12C32"/>
    <w:rsid w:val="00D13D68"/>
    <w:rsid w:val="00D13EB2"/>
    <w:rsid w:val="00D16B35"/>
    <w:rsid w:val="00D20048"/>
    <w:rsid w:val="00D214D8"/>
    <w:rsid w:val="00D22429"/>
    <w:rsid w:val="00D248B4"/>
    <w:rsid w:val="00D24FDF"/>
    <w:rsid w:val="00D251D6"/>
    <w:rsid w:val="00D25E05"/>
    <w:rsid w:val="00D25F3C"/>
    <w:rsid w:val="00D27A23"/>
    <w:rsid w:val="00D27C12"/>
    <w:rsid w:val="00D27EA1"/>
    <w:rsid w:val="00D329F5"/>
    <w:rsid w:val="00D32A3F"/>
    <w:rsid w:val="00D3504F"/>
    <w:rsid w:val="00D36719"/>
    <w:rsid w:val="00D37879"/>
    <w:rsid w:val="00D37F8A"/>
    <w:rsid w:val="00D41913"/>
    <w:rsid w:val="00D423AD"/>
    <w:rsid w:val="00D4302C"/>
    <w:rsid w:val="00D441DF"/>
    <w:rsid w:val="00D44954"/>
    <w:rsid w:val="00D44D38"/>
    <w:rsid w:val="00D4638C"/>
    <w:rsid w:val="00D46604"/>
    <w:rsid w:val="00D46B7F"/>
    <w:rsid w:val="00D4740F"/>
    <w:rsid w:val="00D47918"/>
    <w:rsid w:val="00D509F9"/>
    <w:rsid w:val="00D5202F"/>
    <w:rsid w:val="00D5232B"/>
    <w:rsid w:val="00D52466"/>
    <w:rsid w:val="00D54096"/>
    <w:rsid w:val="00D548CF"/>
    <w:rsid w:val="00D54E3D"/>
    <w:rsid w:val="00D55362"/>
    <w:rsid w:val="00D5658F"/>
    <w:rsid w:val="00D56613"/>
    <w:rsid w:val="00D5698D"/>
    <w:rsid w:val="00D56CE2"/>
    <w:rsid w:val="00D5728E"/>
    <w:rsid w:val="00D60211"/>
    <w:rsid w:val="00D6069D"/>
    <w:rsid w:val="00D60D52"/>
    <w:rsid w:val="00D60FEE"/>
    <w:rsid w:val="00D624F9"/>
    <w:rsid w:val="00D62B5C"/>
    <w:rsid w:val="00D6324F"/>
    <w:rsid w:val="00D63ED4"/>
    <w:rsid w:val="00D6478E"/>
    <w:rsid w:val="00D648E7"/>
    <w:rsid w:val="00D66291"/>
    <w:rsid w:val="00D67215"/>
    <w:rsid w:val="00D706AB"/>
    <w:rsid w:val="00D718C3"/>
    <w:rsid w:val="00D71D02"/>
    <w:rsid w:val="00D7212E"/>
    <w:rsid w:val="00D72E0C"/>
    <w:rsid w:val="00D739F0"/>
    <w:rsid w:val="00D743C4"/>
    <w:rsid w:val="00D74439"/>
    <w:rsid w:val="00D74FEF"/>
    <w:rsid w:val="00D75A47"/>
    <w:rsid w:val="00D75A85"/>
    <w:rsid w:val="00D7641E"/>
    <w:rsid w:val="00D7698F"/>
    <w:rsid w:val="00D8034C"/>
    <w:rsid w:val="00D80747"/>
    <w:rsid w:val="00D80E3E"/>
    <w:rsid w:val="00D83CC5"/>
    <w:rsid w:val="00D84631"/>
    <w:rsid w:val="00D84CE3"/>
    <w:rsid w:val="00D8550A"/>
    <w:rsid w:val="00D876AE"/>
    <w:rsid w:val="00D87CA8"/>
    <w:rsid w:val="00D90160"/>
    <w:rsid w:val="00D90A02"/>
    <w:rsid w:val="00D90CC4"/>
    <w:rsid w:val="00D91369"/>
    <w:rsid w:val="00D91ED5"/>
    <w:rsid w:val="00D923D4"/>
    <w:rsid w:val="00D92B3E"/>
    <w:rsid w:val="00D94176"/>
    <w:rsid w:val="00D9438B"/>
    <w:rsid w:val="00D95437"/>
    <w:rsid w:val="00D960C0"/>
    <w:rsid w:val="00D9629C"/>
    <w:rsid w:val="00D96B33"/>
    <w:rsid w:val="00D9727A"/>
    <w:rsid w:val="00D978DC"/>
    <w:rsid w:val="00D97B3E"/>
    <w:rsid w:val="00DA03E6"/>
    <w:rsid w:val="00DA0B7D"/>
    <w:rsid w:val="00DA113C"/>
    <w:rsid w:val="00DA1351"/>
    <w:rsid w:val="00DA184D"/>
    <w:rsid w:val="00DA23A7"/>
    <w:rsid w:val="00DA286C"/>
    <w:rsid w:val="00DA2CF4"/>
    <w:rsid w:val="00DA3417"/>
    <w:rsid w:val="00DA3E78"/>
    <w:rsid w:val="00DA3F20"/>
    <w:rsid w:val="00DA4BD0"/>
    <w:rsid w:val="00DA4F83"/>
    <w:rsid w:val="00DA524F"/>
    <w:rsid w:val="00DA5EA2"/>
    <w:rsid w:val="00DA6528"/>
    <w:rsid w:val="00DA6FD0"/>
    <w:rsid w:val="00DA7C63"/>
    <w:rsid w:val="00DB0A7A"/>
    <w:rsid w:val="00DB1624"/>
    <w:rsid w:val="00DB1F16"/>
    <w:rsid w:val="00DB4149"/>
    <w:rsid w:val="00DB5BAB"/>
    <w:rsid w:val="00DB5CD2"/>
    <w:rsid w:val="00DB6520"/>
    <w:rsid w:val="00DB6763"/>
    <w:rsid w:val="00DC2305"/>
    <w:rsid w:val="00DC24F4"/>
    <w:rsid w:val="00DC3E72"/>
    <w:rsid w:val="00DC3F69"/>
    <w:rsid w:val="00DC5433"/>
    <w:rsid w:val="00DC565E"/>
    <w:rsid w:val="00DC7635"/>
    <w:rsid w:val="00DD017D"/>
    <w:rsid w:val="00DD0DFB"/>
    <w:rsid w:val="00DD17FB"/>
    <w:rsid w:val="00DD187F"/>
    <w:rsid w:val="00DD2A8D"/>
    <w:rsid w:val="00DD3365"/>
    <w:rsid w:val="00DD45A5"/>
    <w:rsid w:val="00DD4601"/>
    <w:rsid w:val="00DD48EC"/>
    <w:rsid w:val="00DD6156"/>
    <w:rsid w:val="00DD6299"/>
    <w:rsid w:val="00DD6A55"/>
    <w:rsid w:val="00DD791F"/>
    <w:rsid w:val="00DE1F9A"/>
    <w:rsid w:val="00DE3770"/>
    <w:rsid w:val="00DE3BF8"/>
    <w:rsid w:val="00DE46CC"/>
    <w:rsid w:val="00DE5983"/>
    <w:rsid w:val="00DE5CEB"/>
    <w:rsid w:val="00DE688A"/>
    <w:rsid w:val="00DE6EE5"/>
    <w:rsid w:val="00DE7C99"/>
    <w:rsid w:val="00DF0B16"/>
    <w:rsid w:val="00DF1E44"/>
    <w:rsid w:val="00DF2265"/>
    <w:rsid w:val="00DF23BF"/>
    <w:rsid w:val="00DF23DE"/>
    <w:rsid w:val="00DF25B3"/>
    <w:rsid w:val="00DF301C"/>
    <w:rsid w:val="00DF4D4C"/>
    <w:rsid w:val="00DF51D8"/>
    <w:rsid w:val="00DF7413"/>
    <w:rsid w:val="00DF7668"/>
    <w:rsid w:val="00E00A46"/>
    <w:rsid w:val="00E01020"/>
    <w:rsid w:val="00E01075"/>
    <w:rsid w:val="00E01F99"/>
    <w:rsid w:val="00E043FF"/>
    <w:rsid w:val="00E0481C"/>
    <w:rsid w:val="00E05504"/>
    <w:rsid w:val="00E05DD1"/>
    <w:rsid w:val="00E05EB3"/>
    <w:rsid w:val="00E0637F"/>
    <w:rsid w:val="00E068E9"/>
    <w:rsid w:val="00E06A44"/>
    <w:rsid w:val="00E11C18"/>
    <w:rsid w:val="00E13C37"/>
    <w:rsid w:val="00E1428F"/>
    <w:rsid w:val="00E142B3"/>
    <w:rsid w:val="00E14B3A"/>
    <w:rsid w:val="00E14CA1"/>
    <w:rsid w:val="00E1764B"/>
    <w:rsid w:val="00E17A68"/>
    <w:rsid w:val="00E17B2F"/>
    <w:rsid w:val="00E2022B"/>
    <w:rsid w:val="00E204B5"/>
    <w:rsid w:val="00E2092F"/>
    <w:rsid w:val="00E20C43"/>
    <w:rsid w:val="00E20D16"/>
    <w:rsid w:val="00E213E6"/>
    <w:rsid w:val="00E21AFF"/>
    <w:rsid w:val="00E21BEB"/>
    <w:rsid w:val="00E21E7E"/>
    <w:rsid w:val="00E22564"/>
    <w:rsid w:val="00E25EC5"/>
    <w:rsid w:val="00E276C3"/>
    <w:rsid w:val="00E27957"/>
    <w:rsid w:val="00E27DD1"/>
    <w:rsid w:val="00E31872"/>
    <w:rsid w:val="00E32346"/>
    <w:rsid w:val="00E32EDB"/>
    <w:rsid w:val="00E34B8F"/>
    <w:rsid w:val="00E350C5"/>
    <w:rsid w:val="00E36116"/>
    <w:rsid w:val="00E3682E"/>
    <w:rsid w:val="00E36AA3"/>
    <w:rsid w:val="00E37222"/>
    <w:rsid w:val="00E372AE"/>
    <w:rsid w:val="00E37B96"/>
    <w:rsid w:val="00E405ED"/>
    <w:rsid w:val="00E4234A"/>
    <w:rsid w:val="00E42577"/>
    <w:rsid w:val="00E43831"/>
    <w:rsid w:val="00E45A16"/>
    <w:rsid w:val="00E53028"/>
    <w:rsid w:val="00E53683"/>
    <w:rsid w:val="00E53B68"/>
    <w:rsid w:val="00E53B98"/>
    <w:rsid w:val="00E53CAD"/>
    <w:rsid w:val="00E54E24"/>
    <w:rsid w:val="00E56180"/>
    <w:rsid w:val="00E56403"/>
    <w:rsid w:val="00E5666D"/>
    <w:rsid w:val="00E56B5D"/>
    <w:rsid w:val="00E60175"/>
    <w:rsid w:val="00E6039B"/>
    <w:rsid w:val="00E6212E"/>
    <w:rsid w:val="00E63976"/>
    <w:rsid w:val="00E65ABE"/>
    <w:rsid w:val="00E65F75"/>
    <w:rsid w:val="00E65FE8"/>
    <w:rsid w:val="00E66212"/>
    <w:rsid w:val="00E66EFA"/>
    <w:rsid w:val="00E67545"/>
    <w:rsid w:val="00E70317"/>
    <w:rsid w:val="00E713B0"/>
    <w:rsid w:val="00E718EA"/>
    <w:rsid w:val="00E71E44"/>
    <w:rsid w:val="00E73CAB"/>
    <w:rsid w:val="00E752AD"/>
    <w:rsid w:val="00E75F10"/>
    <w:rsid w:val="00E76573"/>
    <w:rsid w:val="00E76BBD"/>
    <w:rsid w:val="00E77106"/>
    <w:rsid w:val="00E777C2"/>
    <w:rsid w:val="00E8064A"/>
    <w:rsid w:val="00E82EDE"/>
    <w:rsid w:val="00E83060"/>
    <w:rsid w:val="00E853ED"/>
    <w:rsid w:val="00E86C54"/>
    <w:rsid w:val="00E86EC9"/>
    <w:rsid w:val="00E874CB"/>
    <w:rsid w:val="00E878C1"/>
    <w:rsid w:val="00E9007E"/>
    <w:rsid w:val="00E901F1"/>
    <w:rsid w:val="00E908C2"/>
    <w:rsid w:val="00E90D57"/>
    <w:rsid w:val="00E92452"/>
    <w:rsid w:val="00E93A6F"/>
    <w:rsid w:val="00E93E60"/>
    <w:rsid w:val="00E95228"/>
    <w:rsid w:val="00E957A9"/>
    <w:rsid w:val="00E976BF"/>
    <w:rsid w:val="00EA0570"/>
    <w:rsid w:val="00EA09DE"/>
    <w:rsid w:val="00EA20E8"/>
    <w:rsid w:val="00EA2636"/>
    <w:rsid w:val="00EA2ED8"/>
    <w:rsid w:val="00EA36B0"/>
    <w:rsid w:val="00EA414D"/>
    <w:rsid w:val="00EA45CC"/>
    <w:rsid w:val="00EA4E59"/>
    <w:rsid w:val="00EA54F6"/>
    <w:rsid w:val="00EA5AF2"/>
    <w:rsid w:val="00EA5F1F"/>
    <w:rsid w:val="00EA6493"/>
    <w:rsid w:val="00EA6FCD"/>
    <w:rsid w:val="00EB0194"/>
    <w:rsid w:val="00EB0AB6"/>
    <w:rsid w:val="00EB0F72"/>
    <w:rsid w:val="00EB1241"/>
    <w:rsid w:val="00EB30A4"/>
    <w:rsid w:val="00EB334B"/>
    <w:rsid w:val="00EB3892"/>
    <w:rsid w:val="00EB4B65"/>
    <w:rsid w:val="00EB76D6"/>
    <w:rsid w:val="00EB78F2"/>
    <w:rsid w:val="00EC04AC"/>
    <w:rsid w:val="00EC0D4D"/>
    <w:rsid w:val="00EC2B6C"/>
    <w:rsid w:val="00EC382B"/>
    <w:rsid w:val="00EC3990"/>
    <w:rsid w:val="00EC4BAC"/>
    <w:rsid w:val="00EC4E83"/>
    <w:rsid w:val="00EC4EE9"/>
    <w:rsid w:val="00EC511E"/>
    <w:rsid w:val="00EC5BAE"/>
    <w:rsid w:val="00EC640F"/>
    <w:rsid w:val="00EC6E7E"/>
    <w:rsid w:val="00ED0915"/>
    <w:rsid w:val="00ED0D47"/>
    <w:rsid w:val="00ED1F1E"/>
    <w:rsid w:val="00ED431C"/>
    <w:rsid w:val="00ED451F"/>
    <w:rsid w:val="00ED4688"/>
    <w:rsid w:val="00ED498C"/>
    <w:rsid w:val="00ED5E6A"/>
    <w:rsid w:val="00ED6DC8"/>
    <w:rsid w:val="00ED755F"/>
    <w:rsid w:val="00EE0996"/>
    <w:rsid w:val="00EE1468"/>
    <w:rsid w:val="00EE221C"/>
    <w:rsid w:val="00EE2671"/>
    <w:rsid w:val="00EE267E"/>
    <w:rsid w:val="00EE2A03"/>
    <w:rsid w:val="00EE2E09"/>
    <w:rsid w:val="00EE3602"/>
    <w:rsid w:val="00EE37CB"/>
    <w:rsid w:val="00EE7C64"/>
    <w:rsid w:val="00EF04B0"/>
    <w:rsid w:val="00EF08BA"/>
    <w:rsid w:val="00EF0937"/>
    <w:rsid w:val="00EF42E2"/>
    <w:rsid w:val="00EF4C8B"/>
    <w:rsid w:val="00EF53E5"/>
    <w:rsid w:val="00EF5A21"/>
    <w:rsid w:val="00EF620C"/>
    <w:rsid w:val="00EF645A"/>
    <w:rsid w:val="00EF68CD"/>
    <w:rsid w:val="00EF6E69"/>
    <w:rsid w:val="00EF75E3"/>
    <w:rsid w:val="00F02314"/>
    <w:rsid w:val="00F02C15"/>
    <w:rsid w:val="00F0308F"/>
    <w:rsid w:val="00F03397"/>
    <w:rsid w:val="00F037D1"/>
    <w:rsid w:val="00F03DFC"/>
    <w:rsid w:val="00F043D7"/>
    <w:rsid w:val="00F04C00"/>
    <w:rsid w:val="00F05402"/>
    <w:rsid w:val="00F05B78"/>
    <w:rsid w:val="00F060EE"/>
    <w:rsid w:val="00F062ED"/>
    <w:rsid w:val="00F06D1C"/>
    <w:rsid w:val="00F10363"/>
    <w:rsid w:val="00F115C5"/>
    <w:rsid w:val="00F11AD1"/>
    <w:rsid w:val="00F128EB"/>
    <w:rsid w:val="00F12EC1"/>
    <w:rsid w:val="00F13307"/>
    <w:rsid w:val="00F14EC0"/>
    <w:rsid w:val="00F16B32"/>
    <w:rsid w:val="00F16BBD"/>
    <w:rsid w:val="00F21AA5"/>
    <w:rsid w:val="00F21D0F"/>
    <w:rsid w:val="00F2224E"/>
    <w:rsid w:val="00F22795"/>
    <w:rsid w:val="00F23206"/>
    <w:rsid w:val="00F2428E"/>
    <w:rsid w:val="00F24EB8"/>
    <w:rsid w:val="00F2513D"/>
    <w:rsid w:val="00F25406"/>
    <w:rsid w:val="00F25C36"/>
    <w:rsid w:val="00F26B1A"/>
    <w:rsid w:val="00F26DB2"/>
    <w:rsid w:val="00F27365"/>
    <w:rsid w:val="00F27B87"/>
    <w:rsid w:val="00F301F4"/>
    <w:rsid w:val="00F30223"/>
    <w:rsid w:val="00F3041F"/>
    <w:rsid w:val="00F30AC8"/>
    <w:rsid w:val="00F3240D"/>
    <w:rsid w:val="00F326EE"/>
    <w:rsid w:val="00F331B9"/>
    <w:rsid w:val="00F337E7"/>
    <w:rsid w:val="00F33C38"/>
    <w:rsid w:val="00F35462"/>
    <w:rsid w:val="00F37E56"/>
    <w:rsid w:val="00F40072"/>
    <w:rsid w:val="00F419A4"/>
    <w:rsid w:val="00F42542"/>
    <w:rsid w:val="00F42F42"/>
    <w:rsid w:val="00F43131"/>
    <w:rsid w:val="00F44B0D"/>
    <w:rsid w:val="00F464AE"/>
    <w:rsid w:val="00F46DA0"/>
    <w:rsid w:val="00F50A36"/>
    <w:rsid w:val="00F51B1F"/>
    <w:rsid w:val="00F51B25"/>
    <w:rsid w:val="00F540B7"/>
    <w:rsid w:val="00F54F28"/>
    <w:rsid w:val="00F55484"/>
    <w:rsid w:val="00F55759"/>
    <w:rsid w:val="00F55C90"/>
    <w:rsid w:val="00F572EE"/>
    <w:rsid w:val="00F5746B"/>
    <w:rsid w:val="00F61085"/>
    <w:rsid w:val="00F6204A"/>
    <w:rsid w:val="00F62605"/>
    <w:rsid w:val="00F63AF6"/>
    <w:rsid w:val="00F64A9E"/>
    <w:rsid w:val="00F65D26"/>
    <w:rsid w:val="00F66B50"/>
    <w:rsid w:val="00F67074"/>
    <w:rsid w:val="00F71D90"/>
    <w:rsid w:val="00F71DB5"/>
    <w:rsid w:val="00F734A9"/>
    <w:rsid w:val="00F735C7"/>
    <w:rsid w:val="00F737B3"/>
    <w:rsid w:val="00F73B3E"/>
    <w:rsid w:val="00F73ED6"/>
    <w:rsid w:val="00F73FA8"/>
    <w:rsid w:val="00F74FBD"/>
    <w:rsid w:val="00F75B40"/>
    <w:rsid w:val="00F77C8E"/>
    <w:rsid w:val="00F81D00"/>
    <w:rsid w:val="00F83060"/>
    <w:rsid w:val="00F83AC2"/>
    <w:rsid w:val="00F84DF4"/>
    <w:rsid w:val="00F855D1"/>
    <w:rsid w:val="00F85684"/>
    <w:rsid w:val="00F8574E"/>
    <w:rsid w:val="00F86024"/>
    <w:rsid w:val="00F861A3"/>
    <w:rsid w:val="00F8639E"/>
    <w:rsid w:val="00F90392"/>
    <w:rsid w:val="00F90615"/>
    <w:rsid w:val="00F91ACD"/>
    <w:rsid w:val="00F923ED"/>
    <w:rsid w:val="00F9269E"/>
    <w:rsid w:val="00F92A72"/>
    <w:rsid w:val="00F934AF"/>
    <w:rsid w:val="00F95034"/>
    <w:rsid w:val="00F954FD"/>
    <w:rsid w:val="00F961E5"/>
    <w:rsid w:val="00F961F3"/>
    <w:rsid w:val="00F9729A"/>
    <w:rsid w:val="00FA034B"/>
    <w:rsid w:val="00FA0835"/>
    <w:rsid w:val="00FA15F2"/>
    <w:rsid w:val="00FA25AC"/>
    <w:rsid w:val="00FA28DC"/>
    <w:rsid w:val="00FA427F"/>
    <w:rsid w:val="00FA5B92"/>
    <w:rsid w:val="00FA5F45"/>
    <w:rsid w:val="00FA63F3"/>
    <w:rsid w:val="00FB044E"/>
    <w:rsid w:val="00FB2AFE"/>
    <w:rsid w:val="00FB2C0D"/>
    <w:rsid w:val="00FB408A"/>
    <w:rsid w:val="00FB4149"/>
    <w:rsid w:val="00FB454C"/>
    <w:rsid w:val="00FB4BEF"/>
    <w:rsid w:val="00FB5334"/>
    <w:rsid w:val="00FB5D12"/>
    <w:rsid w:val="00FB6E27"/>
    <w:rsid w:val="00FB7B99"/>
    <w:rsid w:val="00FC04F0"/>
    <w:rsid w:val="00FC0CD4"/>
    <w:rsid w:val="00FC1A83"/>
    <w:rsid w:val="00FC266E"/>
    <w:rsid w:val="00FC276A"/>
    <w:rsid w:val="00FC4711"/>
    <w:rsid w:val="00FC5833"/>
    <w:rsid w:val="00FC5A4F"/>
    <w:rsid w:val="00FC77DA"/>
    <w:rsid w:val="00FC7FDE"/>
    <w:rsid w:val="00FD1369"/>
    <w:rsid w:val="00FD1441"/>
    <w:rsid w:val="00FD3763"/>
    <w:rsid w:val="00FD4B2A"/>
    <w:rsid w:val="00FD6A89"/>
    <w:rsid w:val="00FD6CFE"/>
    <w:rsid w:val="00FD7E27"/>
    <w:rsid w:val="00FE1ED6"/>
    <w:rsid w:val="00FE2303"/>
    <w:rsid w:val="00FE2A22"/>
    <w:rsid w:val="00FE2D14"/>
    <w:rsid w:val="00FE30E5"/>
    <w:rsid w:val="00FE363B"/>
    <w:rsid w:val="00FE3A2B"/>
    <w:rsid w:val="00FE3B1F"/>
    <w:rsid w:val="00FE42CC"/>
    <w:rsid w:val="00FE4C2C"/>
    <w:rsid w:val="00FE4CD7"/>
    <w:rsid w:val="00FE5732"/>
    <w:rsid w:val="00FE5FA3"/>
    <w:rsid w:val="00FE6503"/>
    <w:rsid w:val="00FE677C"/>
    <w:rsid w:val="00FE785D"/>
    <w:rsid w:val="00FE78D9"/>
    <w:rsid w:val="00FF0A25"/>
    <w:rsid w:val="00FF0A70"/>
    <w:rsid w:val="00FF1755"/>
    <w:rsid w:val="00FF219C"/>
    <w:rsid w:val="00FF24C7"/>
    <w:rsid w:val="00FF33A9"/>
    <w:rsid w:val="00FF3D6F"/>
    <w:rsid w:val="00FF4BBB"/>
    <w:rsid w:val="00FF51A6"/>
    <w:rsid w:val="00FF6107"/>
    <w:rsid w:val="00FF703A"/>
    <w:rsid w:val="00FF71D3"/>
    <w:rsid w:val="00FF7423"/>
    <w:rsid w:val="034F7102"/>
    <w:rsid w:val="0B1D42BE"/>
    <w:rsid w:val="10420CDA"/>
    <w:rsid w:val="10DF403F"/>
    <w:rsid w:val="153067B7"/>
    <w:rsid w:val="1B440C39"/>
    <w:rsid w:val="22C16239"/>
    <w:rsid w:val="23B4686F"/>
    <w:rsid w:val="240754A5"/>
    <w:rsid w:val="25081AED"/>
    <w:rsid w:val="25FE66D3"/>
    <w:rsid w:val="283602B3"/>
    <w:rsid w:val="29944333"/>
    <w:rsid w:val="2C9012AA"/>
    <w:rsid w:val="3E7F6A52"/>
    <w:rsid w:val="3FDE2142"/>
    <w:rsid w:val="431E408F"/>
    <w:rsid w:val="469D7FF1"/>
    <w:rsid w:val="54071E21"/>
    <w:rsid w:val="57F7FF0F"/>
    <w:rsid w:val="69EB62E8"/>
    <w:rsid w:val="7A675B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Normal Indent" w:unhideWhenUsed="0" w:qFormat="1"/>
    <w:lsdException w:name="footnote text" w:semiHidden="1"/>
    <w:lsdException w:name="annotation text" w:uiPriority="99" w:unhideWhenUsed="0" w:qFormat="1"/>
    <w:lsdException w:name="header" w:uiPriority="99" w:unhideWhenUsed="0" w:qFormat="1"/>
    <w:lsdException w:name="footer" w:uiPriority="99" w:unhideWhenUsed="0" w:qFormat="1"/>
    <w:lsdException w:name="index heading" w:unhideWhenUsed="0" w:qFormat="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uiPriority="99" w:unhideWhenUsed="0" w:qFormat="1"/>
    <w:lsdException w:name="line number" w:semiHidden="1"/>
    <w:lsdException w:name="page number" w:semiHidden="1"/>
    <w:lsdException w:name="endnote reference" w:semiHidden="1"/>
    <w:lsdException w:name="endnote text" w:semiHidden="1"/>
    <w:lsdException w:name="table of authorities" w:semiHidden="1"/>
    <w:lsdException w:name="macro" w:qFormat="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unhideWhenUsed="0" w:qFormat="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unhideWhenUsed="0" w:qFormat="1"/>
    <w:lsdException w:name="Body Text First Indent" w:unhideWhenUsed="0" w:qFormat="1"/>
    <w:lsdException w:name="Body Text First Indent 2" w:uiPriority="99" w:qFormat="1"/>
    <w:lsdException w:name="Note Heading" w:semiHidden="1"/>
    <w:lsdException w:name="Body Text 2" w:unhideWhenUsed="0" w:qFormat="1"/>
    <w:lsdException w:name="Body Text 3" w:semiHidden="1"/>
    <w:lsdException w:name="Body Text Indent 2" w:semiHidden="1"/>
    <w:lsdException w:name="Body Text Indent 3" w:semiHidden="1"/>
    <w:lsdException w:name="Block Text" w:semiHidden="1"/>
    <w:lsdException w:name="Hyperlink" w:uiPriority="99" w:unhideWhenUsed="0" w:qFormat="1"/>
    <w:lsdException w:name="FollowedHyperlink" w:semiHidden="1"/>
    <w:lsdException w:name="Strong" w:unhideWhenUsed="0" w:qFormat="1"/>
    <w:lsdException w:name="Emphasis" w:unhideWhenUsed="0" w:qFormat="1"/>
    <w:lsdException w:name="Document Map" w:qFormat="1"/>
    <w:lsdException w:name="Plain Text" w:semiHidden="1"/>
    <w:lsdException w:name="E-mail Signature" w:semiHidden="1"/>
    <w:lsdException w:name="HTML Top of Form" w:semiHidden="1" w:uiPriority="99"/>
    <w:lsdException w:name="HTML Bottom of Form" w:semiHidden="1" w:uiPriority="99"/>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99"/>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Default1"/>
    <w:qFormat/>
    <w:pPr>
      <w:widowControl w:val="0"/>
      <w:adjustRightInd w:val="0"/>
      <w:snapToGrid w:val="0"/>
      <w:spacing w:line="360" w:lineRule="auto"/>
      <w:ind w:firstLineChars="200" w:firstLine="200"/>
      <w:jc w:val="both"/>
    </w:pPr>
    <w:rPr>
      <w:color w:val="000000"/>
      <w:kern w:val="2"/>
      <w:sz w:val="28"/>
      <w:szCs w:val="24"/>
    </w:rPr>
  </w:style>
  <w:style w:type="paragraph" w:styleId="1">
    <w:name w:val="heading 1"/>
    <w:basedOn w:val="a"/>
    <w:next w:val="a"/>
    <w:qFormat/>
    <w:pPr>
      <w:keepNext/>
      <w:keepLines/>
      <w:pageBreakBefore/>
      <w:ind w:firstLineChars="0" w:firstLine="0"/>
      <w:jc w:val="center"/>
      <w:outlineLvl w:val="0"/>
    </w:pPr>
    <w:rPr>
      <w:rFonts w:ascii="黑体"/>
      <w:bCs/>
      <w:kern w:val="44"/>
      <w:sz w:val="32"/>
      <w:szCs w:val="32"/>
    </w:rPr>
  </w:style>
  <w:style w:type="paragraph" w:styleId="2">
    <w:name w:val="heading 2"/>
    <w:basedOn w:val="a"/>
    <w:next w:val="a"/>
    <w:qFormat/>
    <w:pPr>
      <w:keepNext/>
      <w:keepLines/>
      <w:ind w:firstLine="562"/>
      <w:outlineLvl w:val="1"/>
    </w:pPr>
    <w:rPr>
      <w:rFonts w:ascii="宋体" w:hAnsi="宋体"/>
      <w:b/>
      <w:bCs/>
      <w:color w:val="auto"/>
      <w:szCs w:val="28"/>
    </w:rPr>
  </w:style>
  <w:style w:type="paragraph" w:styleId="3">
    <w:name w:val="heading 3"/>
    <w:basedOn w:val="a"/>
    <w:next w:val="a"/>
    <w:qFormat/>
    <w:pPr>
      <w:keepNext/>
      <w:keepLines/>
      <w:ind w:firstLine="562"/>
      <w:outlineLvl w:val="2"/>
    </w:pPr>
    <w:rPr>
      <w:rFonts w:ascii="宋体" w:hAnsi="宋体"/>
      <w:b/>
      <w:bCs/>
      <w:color w:val="auto"/>
      <w:szCs w:val="28"/>
    </w:rPr>
  </w:style>
  <w:style w:type="paragraph" w:styleId="4">
    <w:name w:val="heading 4"/>
    <w:basedOn w:val="a"/>
    <w:next w:val="a"/>
    <w:qFormat/>
    <w:pPr>
      <w:keepNext/>
      <w:ind w:firstLineChars="400" w:firstLine="1120"/>
      <w:outlineLvl w:val="3"/>
    </w:pPr>
    <w:rPr>
      <w:rFonts w:ascii="宋体" w:eastAsia="等线" w:hAnsi="宋体"/>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1">
    <w:name w:val="Default1"/>
    <w:uiPriority w:val="99"/>
    <w:unhideWhenUsed/>
    <w:qFormat/>
    <w:pPr>
      <w:widowControl w:val="0"/>
      <w:autoSpaceDE w:val="0"/>
      <w:autoSpaceDN w:val="0"/>
      <w:adjustRightInd w:val="0"/>
    </w:pPr>
    <w:rPr>
      <w:rFonts w:ascii="Calibri" w:hAnsi="Calibri" w:hint="eastAsia"/>
      <w:color w:val="000000"/>
      <w:sz w:val="24"/>
      <w:szCs w:val="22"/>
    </w:rPr>
  </w:style>
  <w:style w:type="paragraph" w:styleId="a3">
    <w:name w:val="macro"/>
    <w:link w:val="Char"/>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Chars="200" w:firstLine="200"/>
    </w:pPr>
    <w:rPr>
      <w:rFonts w:ascii="Courier New" w:hAnsi="Courier New" w:cs="Courier New"/>
      <w:color w:val="000000"/>
      <w:kern w:val="2"/>
      <w:sz w:val="24"/>
      <w:szCs w:val="24"/>
    </w:rPr>
  </w:style>
  <w:style w:type="paragraph" w:styleId="7">
    <w:name w:val="toc 7"/>
    <w:basedOn w:val="a"/>
    <w:next w:val="a"/>
    <w:autoRedefine/>
    <w:uiPriority w:val="39"/>
    <w:unhideWhenUsed/>
    <w:qFormat/>
    <w:pPr>
      <w:adjustRightInd/>
      <w:snapToGrid/>
      <w:spacing w:line="240" w:lineRule="auto"/>
      <w:ind w:leftChars="1200" w:left="2520" w:firstLineChars="0" w:firstLine="0"/>
    </w:pPr>
    <w:rPr>
      <w:rFonts w:asciiTheme="minorHAnsi" w:eastAsiaTheme="minorEastAsia" w:hAnsiTheme="minorHAnsi" w:cstheme="minorBidi"/>
      <w:color w:val="auto"/>
      <w:sz w:val="21"/>
      <w:szCs w:val="22"/>
    </w:rPr>
  </w:style>
  <w:style w:type="paragraph" w:styleId="a4">
    <w:name w:val="Normal Indent"/>
    <w:basedOn w:val="a"/>
    <w:qFormat/>
    <w:pPr>
      <w:ind w:firstLine="420"/>
    </w:pPr>
    <w:rPr>
      <w:rFonts w:ascii="等线" w:eastAsia="等线" w:hAnsi="等线"/>
      <w:color w:val="auto"/>
      <w:sz w:val="21"/>
      <w:szCs w:val="20"/>
    </w:rPr>
  </w:style>
  <w:style w:type="paragraph" w:styleId="a5">
    <w:name w:val="Document Map"/>
    <w:basedOn w:val="a"/>
    <w:link w:val="Char0"/>
    <w:unhideWhenUsed/>
    <w:qFormat/>
    <w:rPr>
      <w:rFonts w:ascii="宋体"/>
      <w:sz w:val="18"/>
      <w:szCs w:val="18"/>
    </w:rPr>
  </w:style>
  <w:style w:type="paragraph" w:styleId="a6">
    <w:name w:val="annotation text"/>
    <w:basedOn w:val="a"/>
    <w:link w:val="Char1"/>
    <w:uiPriority w:val="99"/>
    <w:qFormat/>
    <w:pPr>
      <w:jc w:val="left"/>
    </w:pPr>
  </w:style>
  <w:style w:type="paragraph" w:styleId="a7">
    <w:name w:val="Body Text"/>
    <w:basedOn w:val="a"/>
    <w:link w:val="Char2"/>
    <w:qFormat/>
    <w:pPr>
      <w:spacing w:after="120"/>
    </w:pPr>
    <w:rPr>
      <w:rFonts w:ascii="等线" w:eastAsia="等线" w:hAnsi="等线"/>
      <w:color w:val="auto"/>
      <w:sz w:val="21"/>
    </w:rPr>
  </w:style>
  <w:style w:type="paragraph" w:styleId="a8">
    <w:name w:val="Body Text Indent"/>
    <w:basedOn w:val="a"/>
    <w:link w:val="Char3"/>
    <w:qFormat/>
    <w:pPr>
      <w:widowControl/>
      <w:ind w:leftChars="300" w:left="720"/>
    </w:pPr>
    <w:rPr>
      <w:kern w:val="0"/>
      <w:sz w:val="24"/>
    </w:rPr>
  </w:style>
  <w:style w:type="paragraph" w:styleId="5">
    <w:name w:val="toc 5"/>
    <w:basedOn w:val="a"/>
    <w:next w:val="a"/>
    <w:autoRedefine/>
    <w:uiPriority w:val="39"/>
    <w:unhideWhenUsed/>
    <w:qFormat/>
    <w:pPr>
      <w:adjustRightInd/>
      <w:snapToGrid/>
      <w:spacing w:line="240" w:lineRule="auto"/>
      <w:ind w:leftChars="800" w:left="1680" w:firstLineChars="0" w:firstLine="0"/>
    </w:pPr>
    <w:rPr>
      <w:rFonts w:asciiTheme="minorHAnsi" w:eastAsiaTheme="minorEastAsia" w:hAnsiTheme="minorHAnsi" w:cstheme="minorBidi"/>
      <w:color w:val="auto"/>
      <w:sz w:val="21"/>
      <w:szCs w:val="22"/>
    </w:rPr>
  </w:style>
  <w:style w:type="paragraph" w:styleId="30">
    <w:name w:val="toc 3"/>
    <w:basedOn w:val="a"/>
    <w:next w:val="a"/>
    <w:uiPriority w:val="39"/>
    <w:unhideWhenUsed/>
    <w:qFormat/>
    <w:pPr>
      <w:ind w:leftChars="400" w:left="840"/>
    </w:pPr>
  </w:style>
  <w:style w:type="paragraph" w:styleId="8">
    <w:name w:val="toc 8"/>
    <w:basedOn w:val="a"/>
    <w:next w:val="a"/>
    <w:autoRedefine/>
    <w:uiPriority w:val="39"/>
    <w:unhideWhenUsed/>
    <w:pPr>
      <w:adjustRightInd/>
      <w:snapToGrid/>
      <w:spacing w:line="240" w:lineRule="auto"/>
      <w:ind w:leftChars="1400" w:left="2940" w:firstLineChars="0" w:firstLine="0"/>
    </w:pPr>
    <w:rPr>
      <w:rFonts w:asciiTheme="minorHAnsi" w:eastAsiaTheme="minorEastAsia" w:hAnsiTheme="minorHAnsi" w:cstheme="minorBidi"/>
      <w:color w:val="auto"/>
      <w:sz w:val="21"/>
      <w:szCs w:val="22"/>
    </w:rPr>
  </w:style>
  <w:style w:type="paragraph" w:styleId="a9">
    <w:name w:val="Date"/>
    <w:basedOn w:val="a"/>
    <w:next w:val="a"/>
    <w:link w:val="Char4"/>
    <w:qFormat/>
    <w:pPr>
      <w:ind w:leftChars="2500" w:left="100"/>
    </w:pPr>
  </w:style>
  <w:style w:type="paragraph" w:styleId="aa">
    <w:name w:val="Balloon Text"/>
    <w:basedOn w:val="a"/>
    <w:link w:val="Char5"/>
    <w:qFormat/>
    <w:pPr>
      <w:spacing w:line="240" w:lineRule="auto"/>
    </w:pPr>
    <w:rPr>
      <w:sz w:val="18"/>
      <w:szCs w:val="18"/>
    </w:rPr>
  </w:style>
  <w:style w:type="paragraph" w:styleId="ab">
    <w:name w:val="footer"/>
    <w:basedOn w:val="a"/>
    <w:link w:val="Char6"/>
    <w:uiPriority w:val="99"/>
    <w:qFormat/>
    <w:pPr>
      <w:tabs>
        <w:tab w:val="center" w:pos="4153"/>
        <w:tab w:val="right" w:pos="8306"/>
      </w:tabs>
      <w:jc w:val="left"/>
    </w:pPr>
    <w:rPr>
      <w:rFonts w:ascii="等线" w:hAnsi="等线"/>
      <w:color w:val="auto"/>
      <w:sz w:val="18"/>
      <w:szCs w:val="18"/>
    </w:rPr>
  </w:style>
  <w:style w:type="paragraph" w:styleId="ac">
    <w:name w:val="header"/>
    <w:basedOn w:val="a"/>
    <w:link w:val="Char7"/>
    <w:uiPriority w:val="99"/>
    <w:qFormat/>
    <w:pPr>
      <w:pBdr>
        <w:bottom w:val="single" w:sz="6" w:space="1" w:color="auto"/>
      </w:pBdr>
      <w:tabs>
        <w:tab w:val="center" w:pos="4153"/>
        <w:tab w:val="right" w:pos="8306"/>
      </w:tabs>
      <w:jc w:val="center"/>
    </w:pPr>
    <w:rPr>
      <w:rFonts w:ascii="等线" w:hAnsi="等线"/>
      <w:color w:val="auto"/>
      <w:sz w:val="18"/>
      <w:szCs w:val="18"/>
    </w:rPr>
  </w:style>
  <w:style w:type="paragraph" w:styleId="10">
    <w:name w:val="toc 1"/>
    <w:basedOn w:val="a"/>
    <w:next w:val="a"/>
    <w:uiPriority w:val="39"/>
    <w:qFormat/>
    <w:pPr>
      <w:ind w:firstLineChars="0" w:firstLine="0"/>
      <w:jc w:val="left"/>
    </w:pPr>
    <w:rPr>
      <w:rFonts w:ascii="等线"/>
      <w:b/>
      <w:bCs/>
      <w:caps/>
      <w:szCs w:val="20"/>
    </w:rPr>
  </w:style>
  <w:style w:type="paragraph" w:styleId="40">
    <w:name w:val="toc 4"/>
    <w:basedOn w:val="a"/>
    <w:next w:val="a"/>
    <w:autoRedefine/>
    <w:uiPriority w:val="39"/>
    <w:unhideWhenUsed/>
    <w:qFormat/>
    <w:pPr>
      <w:adjustRightInd/>
      <w:snapToGrid/>
      <w:spacing w:line="240" w:lineRule="auto"/>
      <w:ind w:leftChars="600" w:left="1260" w:firstLineChars="0" w:firstLine="0"/>
    </w:pPr>
    <w:rPr>
      <w:rFonts w:asciiTheme="minorHAnsi" w:eastAsiaTheme="minorEastAsia" w:hAnsiTheme="minorHAnsi" w:cstheme="minorBidi"/>
      <w:color w:val="auto"/>
      <w:sz w:val="21"/>
      <w:szCs w:val="22"/>
    </w:rPr>
  </w:style>
  <w:style w:type="paragraph" w:styleId="ad">
    <w:name w:val="index heading"/>
    <w:basedOn w:val="a"/>
    <w:next w:val="11"/>
    <w:qFormat/>
    <w:pPr>
      <w:adjustRightInd/>
      <w:snapToGrid/>
      <w:spacing w:before="240" w:after="120" w:line="240" w:lineRule="auto"/>
      <w:ind w:firstLineChars="0" w:firstLine="0"/>
      <w:jc w:val="center"/>
    </w:pPr>
    <w:rPr>
      <w:rFonts w:ascii="Calibri" w:hAnsi="Calibri"/>
      <w:b/>
      <w:bCs/>
      <w:color w:val="auto"/>
      <w:sz w:val="26"/>
      <w:szCs w:val="26"/>
    </w:rPr>
  </w:style>
  <w:style w:type="paragraph" w:styleId="11">
    <w:name w:val="index 1"/>
    <w:basedOn w:val="a"/>
    <w:next w:val="a"/>
    <w:unhideWhenUsed/>
    <w:qFormat/>
    <w:pPr>
      <w:ind w:firstLine="0"/>
    </w:pPr>
  </w:style>
  <w:style w:type="paragraph" w:styleId="6">
    <w:name w:val="toc 6"/>
    <w:basedOn w:val="a"/>
    <w:next w:val="a"/>
    <w:autoRedefine/>
    <w:uiPriority w:val="39"/>
    <w:unhideWhenUsed/>
    <w:qFormat/>
    <w:pPr>
      <w:adjustRightInd/>
      <w:snapToGrid/>
      <w:spacing w:line="240" w:lineRule="auto"/>
      <w:ind w:leftChars="1000" w:left="2100" w:firstLineChars="0" w:firstLine="0"/>
    </w:pPr>
    <w:rPr>
      <w:rFonts w:asciiTheme="minorHAnsi" w:eastAsiaTheme="minorEastAsia" w:hAnsiTheme="minorHAnsi" w:cstheme="minorBidi"/>
      <w:color w:val="auto"/>
      <w:sz w:val="21"/>
      <w:szCs w:val="22"/>
    </w:rPr>
  </w:style>
  <w:style w:type="paragraph" w:styleId="20">
    <w:name w:val="toc 2"/>
    <w:basedOn w:val="a"/>
    <w:next w:val="a"/>
    <w:uiPriority w:val="39"/>
    <w:qFormat/>
    <w:pPr>
      <w:ind w:firstLineChars="100" w:firstLine="100"/>
      <w:jc w:val="left"/>
    </w:pPr>
    <w:rPr>
      <w:rFonts w:ascii="等线"/>
      <w:smallCaps/>
      <w:szCs w:val="20"/>
    </w:rPr>
  </w:style>
  <w:style w:type="paragraph" w:styleId="9">
    <w:name w:val="toc 9"/>
    <w:basedOn w:val="a"/>
    <w:next w:val="a"/>
    <w:autoRedefine/>
    <w:uiPriority w:val="39"/>
    <w:unhideWhenUsed/>
    <w:pPr>
      <w:adjustRightInd/>
      <w:snapToGrid/>
      <w:spacing w:line="240" w:lineRule="auto"/>
      <w:ind w:leftChars="1600" w:left="3360" w:firstLineChars="0" w:firstLine="0"/>
    </w:pPr>
    <w:rPr>
      <w:rFonts w:asciiTheme="minorHAnsi" w:eastAsiaTheme="minorEastAsia" w:hAnsiTheme="minorHAnsi" w:cstheme="minorBidi"/>
      <w:color w:val="auto"/>
      <w:sz w:val="21"/>
      <w:szCs w:val="22"/>
    </w:rPr>
  </w:style>
  <w:style w:type="paragraph" w:styleId="21">
    <w:name w:val="Body Text 2"/>
    <w:basedOn w:val="a"/>
    <w:qFormat/>
    <w:rPr>
      <w:szCs w:val="20"/>
    </w:rPr>
  </w:style>
  <w:style w:type="paragraph" w:styleId="ae">
    <w:name w:val="Normal (Web)"/>
    <w:basedOn w:val="a"/>
    <w:uiPriority w:val="99"/>
    <w:semiHidden/>
    <w:unhideWhenUsed/>
    <w:pPr>
      <w:widowControl/>
      <w:adjustRightInd/>
      <w:snapToGrid/>
      <w:spacing w:before="100" w:beforeAutospacing="1" w:after="100" w:afterAutospacing="1" w:line="240" w:lineRule="auto"/>
      <w:ind w:firstLineChars="0" w:firstLine="0"/>
      <w:jc w:val="left"/>
    </w:pPr>
    <w:rPr>
      <w:rFonts w:ascii="宋体" w:hAnsi="宋体" w:cs="宋体"/>
      <w:color w:val="auto"/>
      <w:kern w:val="0"/>
      <w:sz w:val="24"/>
    </w:rPr>
  </w:style>
  <w:style w:type="paragraph" w:styleId="af">
    <w:name w:val="annotation subject"/>
    <w:basedOn w:val="a6"/>
    <w:next w:val="a6"/>
    <w:link w:val="Char8"/>
    <w:qFormat/>
    <w:rPr>
      <w:b/>
      <w:bCs/>
    </w:rPr>
  </w:style>
  <w:style w:type="paragraph" w:styleId="af0">
    <w:name w:val="Body Text First Indent"/>
    <w:basedOn w:val="a7"/>
    <w:link w:val="Char9"/>
    <w:qFormat/>
    <w:pPr>
      <w:ind w:firstLineChars="100" w:firstLine="420"/>
    </w:pPr>
    <w:rPr>
      <w:rFonts w:ascii="Times New Roman" w:eastAsia="宋体" w:hAnsi="Times New Roman"/>
      <w:color w:val="000000"/>
      <w:sz w:val="28"/>
    </w:rPr>
  </w:style>
  <w:style w:type="paragraph" w:styleId="22">
    <w:name w:val="Body Text First Indent 2"/>
    <w:basedOn w:val="a8"/>
    <w:link w:val="2Char"/>
    <w:uiPriority w:val="99"/>
    <w:unhideWhenUsed/>
    <w:qFormat/>
    <w:pPr>
      <w:widowControl w:val="0"/>
      <w:adjustRightInd/>
      <w:snapToGrid/>
      <w:spacing w:after="120"/>
      <w:ind w:leftChars="200" w:left="420" w:firstLine="420"/>
    </w:pPr>
    <w:rPr>
      <w:color w:val="auto"/>
      <w:kern w:val="2"/>
      <w:sz w:val="28"/>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Pr>
      <w:b/>
      <w:bCs/>
    </w:rPr>
  </w:style>
  <w:style w:type="character" w:styleId="af3">
    <w:name w:val="Emphasis"/>
    <w:basedOn w:val="a0"/>
    <w:qFormat/>
    <w:rPr>
      <w:i/>
    </w:rPr>
  </w:style>
  <w:style w:type="character" w:styleId="af4">
    <w:name w:val="Hyperlink"/>
    <w:uiPriority w:val="99"/>
    <w:qFormat/>
    <w:rPr>
      <w:color w:val="0000FF"/>
      <w:u w:val="single"/>
    </w:rPr>
  </w:style>
  <w:style w:type="character" w:styleId="af5">
    <w:name w:val="annotation reference"/>
    <w:basedOn w:val="a0"/>
    <w:uiPriority w:val="99"/>
    <w:qFormat/>
    <w:rPr>
      <w:sz w:val="21"/>
      <w:szCs w:val="21"/>
    </w:rPr>
  </w:style>
  <w:style w:type="character" w:customStyle="1" w:styleId="Char1">
    <w:name w:val="批注文字 Char1"/>
    <w:basedOn w:val="a0"/>
    <w:link w:val="a6"/>
    <w:uiPriority w:val="99"/>
    <w:qFormat/>
    <w:rPr>
      <w:rFonts w:ascii="Times New Roman" w:eastAsia="宋体" w:hAnsi="Times New Roman"/>
      <w:color w:val="000000"/>
      <w:kern w:val="2"/>
      <w:sz w:val="28"/>
      <w:szCs w:val="24"/>
    </w:rPr>
  </w:style>
  <w:style w:type="character" w:customStyle="1" w:styleId="Char2">
    <w:name w:val="正文文本 Char"/>
    <w:basedOn w:val="a0"/>
    <w:link w:val="a7"/>
    <w:qFormat/>
    <w:rPr>
      <w:kern w:val="2"/>
      <w:sz w:val="21"/>
      <w:szCs w:val="24"/>
    </w:rPr>
  </w:style>
  <w:style w:type="character" w:customStyle="1" w:styleId="Char6">
    <w:name w:val="页脚 Char"/>
    <w:basedOn w:val="a0"/>
    <w:link w:val="ab"/>
    <w:uiPriority w:val="99"/>
    <w:qFormat/>
    <w:rPr>
      <w:rFonts w:eastAsia="宋体"/>
      <w:kern w:val="2"/>
      <w:sz w:val="18"/>
      <w:szCs w:val="18"/>
    </w:rPr>
  </w:style>
  <w:style w:type="paragraph" w:customStyle="1" w:styleId="WPSOffice1">
    <w:name w:val="WPSOffice手动目录 1"/>
    <w:qFormat/>
  </w:style>
  <w:style w:type="paragraph" w:customStyle="1" w:styleId="af6">
    <w:name w:val="!正文"/>
    <w:qFormat/>
    <w:pPr>
      <w:widowControl w:val="0"/>
      <w:adjustRightInd w:val="0"/>
      <w:snapToGrid w:val="0"/>
      <w:spacing w:line="360" w:lineRule="auto"/>
      <w:ind w:firstLineChars="200" w:firstLine="200"/>
      <w:jc w:val="both"/>
    </w:pPr>
    <w:rPr>
      <w:rFonts w:eastAsia="等线"/>
      <w:kern w:val="2"/>
      <w:sz w:val="28"/>
    </w:rPr>
  </w:style>
  <w:style w:type="paragraph" w:customStyle="1" w:styleId="Style2">
    <w:name w:val="_Style 2"/>
    <w:basedOn w:val="a"/>
    <w:uiPriority w:val="34"/>
    <w:qFormat/>
    <w:pPr>
      <w:ind w:firstLine="420"/>
    </w:pPr>
  </w:style>
  <w:style w:type="paragraph" w:customStyle="1" w:styleId="SB415">
    <w:name w:val="美高SB4/1.5"/>
    <w:basedOn w:val="a"/>
    <w:qFormat/>
    <w:pPr>
      <w:topLinePunct/>
    </w:pPr>
    <w:rPr>
      <w:rFonts w:ascii="宋体" w:hAnsi="宋体"/>
      <w:color w:val="auto"/>
      <w:szCs w:val="28"/>
    </w:rPr>
  </w:style>
  <w:style w:type="paragraph" w:customStyle="1" w:styleId="af7">
    <w:name w:val="+正文"/>
    <w:basedOn w:val="a"/>
    <w:qFormat/>
    <w:rPr>
      <w:sz w:val="24"/>
      <w:szCs w:val="28"/>
    </w:rPr>
  </w:style>
  <w:style w:type="paragraph" w:customStyle="1" w:styleId="415">
    <w:name w:val="表图 宋4/1.5"/>
    <w:next w:val="a"/>
    <w:qFormat/>
    <w:pPr>
      <w:topLinePunct/>
      <w:adjustRightInd w:val="0"/>
      <w:snapToGrid w:val="0"/>
      <w:spacing w:line="360" w:lineRule="auto"/>
      <w:jc w:val="center"/>
      <w:textAlignment w:val="center"/>
    </w:pPr>
    <w:rPr>
      <w:rFonts w:ascii="宋体" w:hAnsi="宋体"/>
      <w:snapToGrid w:val="0"/>
      <w:color w:val="000000"/>
      <w:sz w:val="28"/>
      <w:szCs w:val="21"/>
    </w:rPr>
  </w:style>
  <w:style w:type="paragraph" w:customStyle="1" w:styleId="50">
    <w:name w:val="表内容宋5"/>
    <w:qFormat/>
    <w:pPr>
      <w:spacing w:line="240" w:lineRule="atLeast"/>
    </w:pPr>
    <w:rPr>
      <w:sz w:val="21"/>
      <w:szCs w:val="21"/>
    </w:rPr>
  </w:style>
  <w:style w:type="character" w:customStyle="1" w:styleId="Char5">
    <w:name w:val="批注框文本 Char"/>
    <w:basedOn w:val="a0"/>
    <w:link w:val="aa"/>
    <w:qFormat/>
    <w:rPr>
      <w:rFonts w:ascii="Times New Roman" w:eastAsia="宋体" w:hAnsi="Times New Roman"/>
      <w:color w:val="000000"/>
      <w:kern w:val="2"/>
      <w:sz w:val="18"/>
      <w:szCs w:val="18"/>
    </w:rPr>
  </w:style>
  <w:style w:type="character" w:customStyle="1" w:styleId="Char4">
    <w:name w:val="日期 Char"/>
    <w:basedOn w:val="a0"/>
    <w:link w:val="a9"/>
    <w:qFormat/>
    <w:rPr>
      <w:rFonts w:ascii="Times New Roman" w:eastAsia="宋体" w:hAnsi="Times New Roman"/>
      <w:color w:val="000000"/>
      <w:kern w:val="2"/>
      <w:sz w:val="28"/>
      <w:szCs w:val="24"/>
    </w:rPr>
  </w:style>
  <w:style w:type="character" w:customStyle="1" w:styleId="Char8">
    <w:name w:val="批注主题 Char"/>
    <w:basedOn w:val="Char1"/>
    <w:link w:val="af"/>
    <w:qFormat/>
    <w:rPr>
      <w:rFonts w:ascii="Times New Roman" w:eastAsia="宋体" w:hAnsi="Times New Roman"/>
      <w:b/>
      <w:bCs/>
      <w:color w:val="000000"/>
      <w:kern w:val="2"/>
      <w:sz w:val="28"/>
      <w:szCs w:val="24"/>
    </w:rPr>
  </w:style>
  <w:style w:type="paragraph" w:customStyle="1" w:styleId="12">
    <w:name w:val="列出段落1"/>
    <w:basedOn w:val="a"/>
    <w:uiPriority w:val="34"/>
    <w:unhideWhenUsed/>
    <w:qFormat/>
    <w:pPr>
      <w:ind w:firstLine="420"/>
    </w:pPr>
  </w:style>
  <w:style w:type="character" w:customStyle="1" w:styleId="Char9">
    <w:name w:val="正文首行缩进 Char"/>
    <w:basedOn w:val="Char2"/>
    <w:link w:val="af0"/>
    <w:qFormat/>
    <w:rPr>
      <w:rFonts w:ascii="Times New Roman" w:eastAsia="宋体" w:hAnsi="Times New Roman"/>
      <w:color w:val="000000"/>
      <w:kern w:val="2"/>
      <w:sz w:val="28"/>
      <w:szCs w:val="24"/>
    </w:rPr>
  </w:style>
  <w:style w:type="paragraph" w:customStyle="1" w:styleId="af8">
    <w:name w:val="表格"/>
    <w:basedOn w:val="a"/>
    <w:qFormat/>
    <w:pPr>
      <w:adjustRightInd/>
      <w:snapToGrid/>
      <w:spacing w:before="50" w:after="50" w:line="500" w:lineRule="exact"/>
      <w:ind w:firstLine="640"/>
      <w:jc w:val="center"/>
    </w:pPr>
    <w:rPr>
      <w:rFonts w:ascii="宋体" w:hAnsi="宋体" w:cs="宋体"/>
      <w:color w:val="auto"/>
      <w:sz w:val="21"/>
    </w:rPr>
  </w:style>
  <w:style w:type="character" w:customStyle="1" w:styleId="Char3">
    <w:name w:val="正文文本缩进 Char"/>
    <w:basedOn w:val="a0"/>
    <w:link w:val="a8"/>
    <w:qFormat/>
    <w:rPr>
      <w:rFonts w:ascii="Times New Roman" w:eastAsia="宋体" w:hAnsi="Times New Roman"/>
      <w:color w:val="000000"/>
      <w:sz w:val="24"/>
      <w:szCs w:val="24"/>
    </w:rPr>
  </w:style>
  <w:style w:type="paragraph" w:customStyle="1" w:styleId="13">
    <w:name w:val="修订1"/>
    <w:hidden/>
    <w:uiPriority w:val="99"/>
    <w:semiHidden/>
    <w:qFormat/>
    <w:rPr>
      <w:color w:val="000000"/>
      <w:kern w:val="2"/>
      <w:sz w:val="28"/>
      <w:szCs w:val="24"/>
    </w:rPr>
  </w:style>
  <w:style w:type="character" w:customStyle="1" w:styleId="Chara">
    <w:name w:val="批注文字 Char"/>
    <w:uiPriority w:val="99"/>
    <w:qFormat/>
    <w:rPr>
      <w:kern w:val="2"/>
      <w:sz w:val="21"/>
      <w:szCs w:val="24"/>
    </w:rPr>
  </w:style>
  <w:style w:type="table" w:customStyle="1" w:styleId="14">
    <w:name w:val="网格型1"/>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b">
    <w:name w:val="首行缩进 Char"/>
    <w:link w:val="af9"/>
    <w:qFormat/>
    <w:rPr>
      <w:rFonts w:ascii="宋体"/>
      <w:kern w:val="2"/>
      <w:sz w:val="28"/>
      <w:szCs w:val="24"/>
    </w:rPr>
  </w:style>
  <w:style w:type="paragraph" w:customStyle="1" w:styleId="af9">
    <w:name w:val="首行缩进"/>
    <w:basedOn w:val="a"/>
    <w:link w:val="Charb"/>
    <w:qFormat/>
    <w:pPr>
      <w:adjustRightInd/>
      <w:snapToGrid/>
      <w:spacing w:line="240" w:lineRule="auto"/>
      <w:ind w:firstLineChars="0" w:firstLine="482"/>
    </w:pPr>
    <w:rPr>
      <w:rFonts w:ascii="宋体" w:eastAsia="等线" w:hAnsi="等线"/>
      <w:color w:val="auto"/>
    </w:rPr>
  </w:style>
  <w:style w:type="character" w:customStyle="1" w:styleId="bai12xi">
    <w:name w:val="bai12xi"/>
    <w:basedOn w:val="a0"/>
    <w:qFormat/>
    <w:rPr>
      <w:rFonts w:ascii="Verdana" w:eastAsia="仿宋_GB2312" w:hAnsi="Verdana"/>
      <w:kern w:val="0"/>
      <w:sz w:val="24"/>
      <w:szCs w:val="20"/>
      <w:lang w:eastAsia="en-US"/>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Char0">
    <w:name w:val="文档结构图 Char"/>
    <w:basedOn w:val="a0"/>
    <w:link w:val="a5"/>
    <w:semiHidden/>
    <w:qFormat/>
    <w:rPr>
      <w:rFonts w:ascii="宋体"/>
      <w:color w:val="000000"/>
      <w:kern w:val="2"/>
      <w:sz w:val="18"/>
      <w:szCs w:val="18"/>
    </w:rPr>
  </w:style>
  <w:style w:type="paragraph" w:customStyle="1" w:styleId="CharCharChar">
    <w:name w:val="Char Char Char"/>
    <w:basedOn w:val="a"/>
    <w:next w:val="a3"/>
    <w:qFormat/>
    <w:pPr>
      <w:adjustRightInd/>
      <w:snapToGrid/>
      <w:spacing w:line="240" w:lineRule="auto"/>
      <w:ind w:firstLineChars="0" w:firstLine="0"/>
    </w:pPr>
    <w:rPr>
      <w:color w:val="auto"/>
      <w:szCs w:val="28"/>
    </w:rPr>
  </w:style>
  <w:style w:type="character" w:customStyle="1" w:styleId="Char">
    <w:name w:val="宏文本 Char"/>
    <w:basedOn w:val="a0"/>
    <w:link w:val="a3"/>
    <w:semiHidden/>
    <w:rPr>
      <w:rFonts w:ascii="Courier New" w:hAnsi="Courier New" w:cs="Courier New"/>
      <w:color w:val="000000"/>
      <w:kern w:val="2"/>
      <w:sz w:val="24"/>
      <w:szCs w:val="24"/>
    </w:rPr>
  </w:style>
  <w:style w:type="paragraph" w:styleId="afa">
    <w:name w:val="List Paragraph"/>
    <w:basedOn w:val="a"/>
    <w:uiPriority w:val="99"/>
    <w:unhideWhenUsed/>
    <w:pPr>
      <w:ind w:firstLine="420"/>
    </w:pPr>
  </w:style>
  <w:style w:type="character" w:customStyle="1" w:styleId="Char7">
    <w:name w:val="页眉 Char"/>
    <w:basedOn w:val="a0"/>
    <w:link w:val="ac"/>
    <w:uiPriority w:val="99"/>
    <w:qFormat/>
    <w:rPr>
      <w:rFonts w:ascii="等线" w:hAnsi="等线"/>
      <w:kern w:val="2"/>
      <w:sz w:val="18"/>
      <w:szCs w:val="18"/>
    </w:rPr>
  </w:style>
  <w:style w:type="character" w:customStyle="1" w:styleId="2Char">
    <w:name w:val="正文首行缩进 2 Char"/>
    <w:basedOn w:val="Char3"/>
    <w:link w:val="22"/>
    <w:uiPriority w:val="99"/>
    <w:qFormat/>
    <w:rPr>
      <w:rFonts w:ascii="Times New Roman" w:eastAsia="宋体" w:hAnsi="Times New Roman"/>
      <w:color w:val="000000"/>
      <w:kern w:val="2"/>
      <w:sz w:val="28"/>
      <w:szCs w:val="24"/>
    </w:rPr>
  </w:style>
  <w:style w:type="table" w:customStyle="1" w:styleId="23">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Normal Indent" w:unhideWhenUsed="0" w:qFormat="1"/>
    <w:lsdException w:name="footnote text" w:semiHidden="1"/>
    <w:lsdException w:name="annotation text" w:uiPriority="99" w:unhideWhenUsed="0" w:qFormat="1"/>
    <w:lsdException w:name="header" w:uiPriority="99" w:unhideWhenUsed="0" w:qFormat="1"/>
    <w:lsdException w:name="footer" w:uiPriority="99" w:unhideWhenUsed="0" w:qFormat="1"/>
    <w:lsdException w:name="index heading" w:unhideWhenUsed="0" w:qFormat="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uiPriority="99" w:unhideWhenUsed="0" w:qFormat="1"/>
    <w:lsdException w:name="line number" w:semiHidden="1"/>
    <w:lsdException w:name="page number" w:semiHidden="1"/>
    <w:lsdException w:name="endnote reference" w:semiHidden="1"/>
    <w:lsdException w:name="endnote text" w:semiHidden="1"/>
    <w:lsdException w:name="table of authorities" w:semiHidden="1"/>
    <w:lsdException w:name="macro" w:qFormat="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unhideWhenUsed="0" w:qFormat="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unhideWhenUsed="0" w:qFormat="1"/>
    <w:lsdException w:name="Body Text First Indent" w:unhideWhenUsed="0" w:qFormat="1"/>
    <w:lsdException w:name="Body Text First Indent 2" w:uiPriority="99" w:qFormat="1"/>
    <w:lsdException w:name="Note Heading" w:semiHidden="1"/>
    <w:lsdException w:name="Body Text 2" w:unhideWhenUsed="0" w:qFormat="1"/>
    <w:lsdException w:name="Body Text 3" w:semiHidden="1"/>
    <w:lsdException w:name="Body Text Indent 2" w:semiHidden="1"/>
    <w:lsdException w:name="Body Text Indent 3" w:semiHidden="1"/>
    <w:lsdException w:name="Block Text" w:semiHidden="1"/>
    <w:lsdException w:name="Hyperlink" w:uiPriority="99" w:unhideWhenUsed="0" w:qFormat="1"/>
    <w:lsdException w:name="FollowedHyperlink" w:semiHidden="1"/>
    <w:lsdException w:name="Strong" w:unhideWhenUsed="0" w:qFormat="1"/>
    <w:lsdException w:name="Emphasis" w:unhideWhenUsed="0" w:qFormat="1"/>
    <w:lsdException w:name="Document Map" w:qFormat="1"/>
    <w:lsdException w:name="Plain Text" w:semiHidden="1"/>
    <w:lsdException w:name="E-mail Signature" w:semiHidden="1"/>
    <w:lsdException w:name="HTML Top of Form" w:semiHidden="1" w:uiPriority="99"/>
    <w:lsdException w:name="HTML Bottom of Form" w:semiHidden="1" w:uiPriority="99"/>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unhideWhenUsed="0"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99"/>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Default1"/>
    <w:qFormat/>
    <w:pPr>
      <w:widowControl w:val="0"/>
      <w:adjustRightInd w:val="0"/>
      <w:snapToGrid w:val="0"/>
      <w:spacing w:line="360" w:lineRule="auto"/>
      <w:ind w:firstLineChars="200" w:firstLine="200"/>
      <w:jc w:val="both"/>
    </w:pPr>
    <w:rPr>
      <w:color w:val="000000"/>
      <w:kern w:val="2"/>
      <w:sz w:val="28"/>
      <w:szCs w:val="24"/>
    </w:rPr>
  </w:style>
  <w:style w:type="paragraph" w:styleId="1">
    <w:name w:val="heading 1"/>
    <w:basedOn w:val="a"/>
    <w:next w:val="a"/>
    <w:qFormat/>
    <w:pPr>
      <w:keepNext/>
      <w:keepLines/>
      <w:pageBreakBefore/>
      <w:ind w:firstLineChars="0" w:firstLine="0"/>
      <w:jc w:val="center"/>
      <w:outlineLvl w:val="0"/>
    </w:pPr>
    <w:rPr>
      <w:rFonts w:ascii="黑体"/>
      <w:bCs/>
      <w:kern w:val="44"/>
      <w:sz w:val="32"/>
      <w:szCs w:val="32"/>
    </w:rPr>
  </w:style>
  <w:style w:type="paragraph" w:styleId="2">
    <w:name w:val="heading 2"/>
    <w:basedOn w:val="a"/>
    <w:next w:val="a"/>
    <w:qFormat/>
    <w:pPr>
      <w:keepNext/>
      <w:keepLines/>
      <w:ind w:firstLine="562"/>
      <w:outlineLvl w:val="1"/>
    </w:pPr>
    <w:rPr>
      <w:rFonts w:ascii="宋体" w:hAnsi="宋体"/>
      <w:b/>
      <w:bCs/>
      <w:color w:val="auto"/>
      <w:szCs w:val="28"/>
    </w:rPr>
  </w:style>
  <w:style w:type="paragraph" w:styleId="3">
    <w:name w:val="heading 3"/>
    <w:basedOn w:val="a"/>
    <w:next w:val="a"/>
    <w:qFormat/>
    <w:pPr>
      <w:keepNext/>
      <w:keepLines/>
      <w:ind w:firstLine="562"/>
      <w:outlineLvl w:val="2"/>
    </w:pPr>
    <w:rPr>
      <w:rFonts w:ascii="宋体" w:hAnsi="宋体"/>
      <w:b/>
      <w:bCs/>
      <w:color w:val="auto"/>
      <w:szCs w:val="28"/>
    </w:rPr>
  </w:style>
  <w:style w:type="paragraph" w:styleId="4">
    <w:name w:val="heading 4"/>
    <w:basedOn w:val="a"/>
    <w:next w:val="a"/>
    <w:qFormat/>
    <w:pPr>
      <w:keepNext/>
      <w:ind w:firstLineChars="400" w:firstLine="1120"/>
      <w:outlineLvl w:val="3"/>
    </w:pPr>
    <w:rPr>
      <w:rFonts w:ascii="宋体" w:eastAsia="等线" w:hAnsi="宋体"/>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1">
    <w:name w:val="Default1"/>
    <w:uiPriority w:val="99"/>
    <w:unhideWhenUsed/>
    <w:qFormat/>
    <w:pPr>
      <w:widowControl w:val="0"/>
      <w:autoSpaceDE w:val="0"/>
      <w:autoSpaceDN w:val="0"/>
      <w:adjustRightInd w:val="0"/>
    </w:pPr>
    <w:rPr>
      <w:rFonts w:ascii="Calibri" w:hAnsi="Calibri" w:hint="eastAsia"/>
      <w:color w:val="000000"/>
      <w:sz w:val="24"/>
      <w:szCs w:val="22"/>
    </w:rPr>
  </w:style>
  <w:style w:type="paragraph" w:styleId="a3">
    <w:name w:val="macro"/>
    <w:link w:val="Char"/>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Chars="200" w:firstLine="200"/>
    </w:pPr>
    <w:rPr>
      <w:rFonts w:ascii="Courier New" w:hAnsi="Courier New" w:cs="Courier New"/>
      <w:color w:val="000000"/>
      <w:kern w:val="2"/>
      <w:sz w:val="24"/>
      <w:szCs w:val="24"/>
    </w:rPr>
  </w:style>
  <w:style w:type="paragraph" w:styleId="7">
    <w:name w:val="toc 7"/>
    <w:basedOn w:val="a"/>
    <w:next w:val="a"/>
    <w:autoRedefine/>
    <w:uiPriority w:val="39"/>
    <w:unhideWhenUsed/>
    <w:qFormat/>
    <w:pPr>
      <w:adjustRightInd/>
      <w:snapToGrid/>
      <w:spacing w:line="240" w:lineRule="auto"/>
      <w:ind w:leftChars="1200" w:left="2520" w:firstLineChars="0" w:firstLine="0"/>
    </w:pPr>
    <w:rPr>
      <w:rFonts w:asciiTheme="minorHAnsi" w:eastAsiaTheme="minorEastAsia" w:hAnsiTheme="minorHAnsi" w:cstheme="minorBidi"/>
      <w:color w:val="auto"/>
      <w:sz w:val="21"/>
      <w:szCs w:val="22"/>
    </w:rPr>
  </w:style>
  <w:style w:type="paragraph" w:styleId="a4">
    <w:name w:val="Normal Indent"/>
    <w:basedOn w:val="a"/>
    <w:qFormat/>
    <w:pPr>
      <w:ind w:firstLine="420"/>
    </w:pPr>
    <w:rPr>
      <w:rFonts w:ascii="等线" w:eastAsia="等线" w:hAnsi="等线"/>
      <w:color w:val="auto"/>
      <w:sz w:val="21"/>
      <w:szCs w:val="20"/>
    </w:rPr>
  </w:style>
  <w:style w:type="paragraph" w:styleId="a5">
    <w:name w:val="Document Map"/>
    <w:basedOn w:val="a"/>
    <w:link w:val="Char0"/>
    <w:unhideWhenUsed/>
    <w:qFormat/>
    <w:rPr>
      <w:rFonts w:ascii="宋体"/>
      <w:sz w:val="18"/>
      <w:szCs w:val="18"/>
    </w:rPr>
  </w:style>
  <w:style w:type="paragraph" w:styleId="a6">
    <w:name w:val="annotation text"/>
    <w:basedOn w:val="a"/>
    <w:link w:val="Char1"/>
    <w:uiPriority w:val="99"/>
    <w:qFormat/>
    <w:pPr>
      <w:jc w:val="left"/>
    </w:pPr>
  </w:style>
  <w:style w:type="paragraph" w:styleId="a7">
    <w:name w:val="Body Text"/>
    <w:basedOn w:val="a"/>
    <w:link w:val="Char2"/>
    <w:qFormat/>
    <w:pPr>
      <w:spacing w:after="120"/>
    </w:pPr>
    <w:rPr>
      <w:rFonts w:ascii="等线" w:eastAsia="等线" w:hAnsi="等线"/>
      <w:color w:val="auto"/>
      <w:sz w:val="21"/>
    </w:rPr>
  </w:style>
  <w:style w:type="paragraph" w:styleId="a8">
    <w:name w:val="Body Text Indent"/>
    <w:basedOn w:val="a"/>
    <w:link w:val="Char3"/>
    <w:qFormat/>
    <w:pPr>
      <w:widowControl/>
      <w:ind w:leftChars="300" w:left="720"/>
    </w:pPr>
    <w:rPr>
      <w:kern w:val="0"/>
      <w:sz w:val="24"/>
    </w:rPr>
  </w:style>
  <w:style w:type="paragraph" w:styleId="5">
    <w:name w:val="toc 5"/>
    <w:basedOn w:val="a"/>
    <w:next w:val="a"/>
    <w:autoRedefine/>
    <w:uiPriority w:val="39"/>
    <w:unhideWhenUsed/>
    <w:qFormat/>
    <w:pPr>
      <w:adjustRightInd/>
      <w:snapToGrid/>
      <w:spacing w:line="240" w:lineRule="auto"/>
      <w:ind w:leftChars="800" w:left="1680" w:firstLineChars="0" w:firstLine="0"/>
    </w:pPr>
    <w:rPr>
      <w:rFonts w:asciiTheme="minorHAnsi" w:eastAsiaTheme="minorEastAsia" w:hAnsiTheme="minorHAnsi" w:cstheme="minorBidi"/>
      <w:color w:val="auto"/>
      <w:sz w:val="21"/>
      <w:szCs w:val="22"/>
    </w:rPr>
  </w:style>
  <w:style w:type="paragraph" w:styleId="30">
    <w:name w:val="toc 3"/>
    <w:basedOn w:val="a"/>
    <w:next w:val="a"/>
    <w:uiPriority w:val="39"/>
    <w:unhideWhenUsed/>
    <w:qFormat/>
    <w:pPr>
      <w:ind w:leftChars="400" w:left="840"/>
    </w:pPr>
  </w:style>
  <w:style w:type="paragraph" w:styleId="8">
    <w:name w:val="toc 8"/>
    <w:basedOn w:val="a"/>
    <w:next w:val="a"/>
    <w:autoRedefine/>
    <w:uiPriority w:val="39"/>
    <w:unhideWhenUsed/>
    <w:pPr>
      <w:adjustRightInd/>
      <w:snapToGrid/>
      <w:spacing w:line="240" w:lineRule="auto"/>
      <w:ind w:leftChars="1400" w:left="2940" w:firstLineChars="0" w:firstLine="0"/>
    </w:pPr>
    <w:rPr>
      <w:rFonts w:asciiTheme="minorHAnsi" w:eastAsiaTheme="minorEastAsia" w:hAnsiTheme="minorHAnsi" w:cstheme="minorBidi"/>
      <w:color w:val="auto"/>
      <w:sz w:val="21"/>
      <w:szCs w:val="22"/>
    </w:rPr>
  </w:style>
  <w:style w:type="paragraph" w:styleId="a9">
    <w:name w:val="Date"/>
    <w:basedOn w:val="a"/>
    <w:next w:val="a"/>
    <w:link w:val="Char4"/>
    <w:qFormat/>
    <w:pPr>
      <w:ind w:leftChars="2500" w:left="100"/>
    </w:pPr>
  </w:style>
  <w:style w:type="paragraph" w:styleId="aa">
    <w:name w:val="Balloon Text"/>
    <w:basedOn w:val="a"/>
    <w:link w:val="Char5"/>
    <w:qFormat/>
    <w:pPr>
      <w:spacing w:line="240" w:lineRule="auto"/>
    </w:pPr>
    <w:rPr>
      <w:sz w:val="18"/>
      <w:szCs w:val="18"/>
    </w:rPr>
  </w:style>
  <w:style w:type="paragraph" w:styleId="ab">
    <w:name w:val="footer"/>
    <w:basedOn w:val="a"/>
    <w:link w:val="Char6"/>
    <w:uiPriority w:val="99"/>
    <w:qFormat/>
    <w:pPr>
      <w:tabs>
        <w:tab w:val="center" w:pos="4153"/>
        <w:tab w:val="right" w:pos="8306"/>
      </w:tabs>
      <w:jc w:val="left"/>
    </w:pPr>
    <w:rPr>
      <w:rFonts w:ascii="等线" w:hAnsi="等线"/>
      <w:color w:val="auto"/>
      <w:sz w:val="18"/>
      <w:szCs w:val="18"/>
    </w:rPr>
  </w:style>
  <w:style w:type="paragraph" w:styleId="ac">
    <w:name w:val="header"/>
    <w:basedOn w:val="a"/>
    <w:link w:val="Char7"/>
    <w:uiPriority w:val="99"/>
    <w:qFormat/>
    <w:pPr>
      <w:pBdr>
        <w:bottom w:val="single" w:sz="6" w:space="1" w:color="auto"/>
      </w:pBdr>
      <w:tabs>
        <w:tab w:val="center" w:pos="4153"/>
        <w:tab w:val="right" w:pos="8306"/>
      </w:tabs>
      <w:jc w:val="center"/>
    </w:pPr>
    <w:rPr>
      <w:rFonts w:ascii="等线" w:hAnsi="等线"/>
      <w:color w:val="auto"/>
      <w:sz w:val="18"/>
      <w:szCs w:val="18"/>
    </w:rPr>
  </w:style>
  <w:style w:type="paragraph" w:styleId="10">
    <w:name w:val="toc 1"/>
    <w:basedOn w:val="a"/>
    <w:next w:val="a"/>
    <w:uiPriority w:val="39"/>
    <w:qFormat/>
    <w:pPr>
      <w:ind w:firstLineChars="0" w:firstLine="0"/>
      <w:jc w:val="left"/>
    </w:pPr>
    <w:rPr>
      <w:rFonts w:ascii="等线"/>
      <w:b/>
      <w:bCs/>
      <w:caps/>
      <w:szCs w:val="20"/>
    </w:rPr>
  </w:style>
  <w:style w:type="paragraph" w:styleId="40">
    <w:name w:val="toc 4"/>
    <w:basedOn w:val="a"/>
    <w:next w:val="a"/>
    <w:autoRedefine/>
    <w:uiPriority w:val="39"/>
    <w:unhideWhenUsed/>
    <w:qFormat/>
    <w:pPr>
      <w:adjustRightInd/>
      <w:snapToGrid/>
      <w:spacing w:line="240" w:lineRule="auto"/>
      <w:ind w:leftChars="600" w:left="1260" w:firstLineChars="0" w:firstLine="0"/>
    </w:pPr>
    <w:rPr>
      <w:rFonts w:asciiTheme="minorHAnsi" w:eastAsiaTheme="minorEastAsia" w:hAnsiTheme="minorHAnsi" w:cstheme="minorBidi"/>
      <w:color w:val="auto"/>
      <w:sz w:val="21"/>
      <w:szCs w:val="22"/>
    </w:rPr>
  </w:style>
  <w:style w:type="paragraph" w:styleId="ad">
    <w:name w:val="index heading"/>
    <w:basedOn w:val="a"/>
    <w:next w:val="11"/>
    <w:qFormat/>
    <w:pPr>
      <w:adjustRightInd/>
      <w:snapToGrid/>
      <w:spacing w:before="240" w:after="120" w:line="240" w:lineRule="auto"/>
      <w:ind w:firstLineChars="0" w:firstLine="0"/>
      <w:jc w:val="center"/>
    </w:pPr>
    <w:rPr>
      <w:rFonts w:ascii="Calibri" w:hAnsi="Calibri"/>
      <w:b/>
      <w:bCs/>
      <w:color w:val="auto"/>
      <w:sz w:val="26"/>
      <w:szCs w:val="26"/>
    </w:rPr>
  </w:style>
  <w:style w:type="paragraph" w:styleId="11">
    <w:name w:val="index 1"/>
    <w:basedOn w:val="a"/>
    <w:next w:val="a"/>
    <w:unhideWhenUsed/>
    <w:qFormat/>
    <w:pPr>
      <w:ind w:firstLine="0"/>
    </w:pPr>
  </w:style>
  <w:style w:type="paragraph" w:styleId="6">
    <w:name w:val="toc 6"/>
    <w:basedOn w:val="a"/>
    <w:next w:val="a"/>
    <w:autoRedefine/>
    <w:uiPriority w:val="39"/>
    <w:unhideWhenUsed/>
    <w:qFormat/>
    <w:pPr>
      <w:adjustRightInd/>
      <w:snapToGrid/>
      <w:spacing w:line="240" w:lineRule="auto"/>
      <w:ind w:leftChars="1000" w:left="2100" w:firstLineChars="0" w:firstLine="0"/>
    </w:pPr>
    <w:rPr>
      <w:rFonts w:asciiTheme="minorHAnsi" w:eastAsiaTheme="minorEastAsia" w:hAnsiTheme="minorHAnsi" w:cstheme="minorBidi"/>
      <w:color w:val="auto"/>
      <w:sz w:val="21"/>
      <w:szCs w:val="22"/>
    </w:rPr>
  </w:style>
  <w:style w:type="paragraph" w:styleId="20">
    <w:name w:val="toc 2"/>
    <w:basedOn w:val="a"/>
    <w:next w:val="a"/>
    <w:uiPriority w:val="39"/>
    <w:qFormat/>
    <w:pPr>
      <w:ind w:firstLineChars="100" w:firstLine="100"/>
      <w:jc w:val="left"/>
    </w:pPr>
    <w:rPr>
      <w:rFonts w:ascii="等线"/>
      <w:smallCaps/>
      <w:szCs w:val="20"/>
    </w:rPr>
  </w:style>
  <w:style w:type="paragraph" w:styleId="9">
    <w:name w:val="toc 9"/>
    <w:basedOn w:val="a"/>
    <w:next w:val="a"/>
    <w:autoRedefine/>
    <w:uiPriority w:val="39"/>
    <w:unhideWhenUsed/>
    <w:pPr>
      <w:adjustRightInd/>
      <w:snapToGrid/>
      <w:spacing w:line="240" w:lineRule="auto"/>
      <w:ind w:leftChars="1600" w:left="3360" w:firstLineChars="0" w:firstLine="0"/>
    </w:pPr>
    <w:rPr>
      <w:rFonts w:asciiTheme="minorHAnsi" w:eastAsiaTheme="minorEastAsia" w:hAnsiTheme="minorHAnsi" w:cstheme="minorBidi"/>
      <w:color w:val="auto"/>
      <w:sz w:val="21"/>
      <w:szCs w:val="22"/>
    </w:rPr>
  </w:style>
  <w:style w:type="paragraph" w:styleId="21">
    <w:name w:val="Body Text 2"/>
    <w:basedOn w:val="a"/>
    <w:qFormat/>
    <w:rPr>
      <w:szCs w:val="20"/>
    </w:rPr>
  </w:style>
  <w:style w:type="paragraph" w:styleId="ae">
    <w:name w:val="Normal (Web)"/>
    <w:basedOn w:val="a"/>
    <w:uiPriority w:val="99"/>
    <w:semiHidden/>
    <w:unhideWhenUsed/>
    <w:pPr>
      <w:widowControl/>
      <w:adjustRightInd/>
      <w:snapToGrid/>
      <w:spacing w:before="100" w:beforeAutospacing="1" w:after="100" w:afterAutospacing="1" w:line="240" w:lineRule="auto"/>
      <w:ind w:firstLineChars="0" w:firstLine="0"/>
      <w:jc w:val="left"/>
    </w:pPr>
    <w:rPr>
      <w:rFonts w:ascii="宋体" w:hAnsi="宋体" w:cs="宋体"/>
      <w:color w:val="auto"/>
      <w:kern w:val="0"/>
      <w:sz w:val="24"/>
    </w:rPr>
  </w:style>
  <w:style w:type="paragraph" w:styleId="af">
    <w:name w:val="annotation subject"/>
    <w:basedOn w:val="a6"/>
    <w:next w:val="a6"/>
    <w:link w:val="Char8"/>
    <w:qFormat/>
    <w:rPr>
      <w:b/>
      <w:bCs/>
    </w:rPr>
  </w:style>
  <w:style w:type="paragraph" w:styleId="af0">
    <w:name w:val="Body Text First Indent"/>
    <w:basedOn w:val="a7"/>
    <w:link w:val="Char9"/>
    <w:qFormat/>
    <w:pPr>
      <w:ind w:firstLineChars="100" w:firstLine="420"/>
    </w:pPr>
    <w:rPr>
      <w:rFonts w:ascii="Times New Roman" w:eastAsia="宋体" w:hAnsi="Times New Roman"/>
      <w:color w:val="000000"/>
      <w:sz w:val="28"/>
    </w:rPr>
  </w:style>
  <w:style w:type="paragraph" w:styleId="22">
    <w:name w:val="Body Text First Indent 2"/>
    <w:basedOn w:val="a8"/>
    <w:link w:val="2Char"/>
    <w:uiPriority w:val="99"/>
    <w:unhideWhenUsed/>
    <w:qFormat/>
    <w:pPr>
      <w:widowControl w:val="0"/>
      <w:adjustRightInd/>
      <w:snapToGrid/>
      <w:spacing w:after="120"/>
      <w:ind w:leftChars="200" w:left="420" w:firstLine="420"/>
    </w:pPr>
    <w:rPr>
      <w:color w:val="auto"/>
      <w:kern w:val="2"/>
      <w:sz w:val="28"/>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Pr>
      <w:b/>
      <w:bCs/>
    </w:rPr>
  </w:style>
  <w:style w:type="character" w:styleId="af3">
    <w:name w:val="Emphasis"/>
    <w:basedOn w:val="a0"/>
    <w:qFormat/>
    <w:rPr>
      <w:i/>
    </w:rPr>
  </w:style>
  <w:style w:type="character" w:styleId="af4">
    <w:name w:val="Hyperlink"/>
    <w:uiPriority w:val="99"/>
    <w:qFormat/>
    <w:rPr>
      <w:color w:val="0000FF"/>
      <w:u w:val="single"/>
    </w:rPr>
  </w:style>
  <w:style w:type="character" w:styleId="af5">
    <w:name w:val="annotation reference"/>
    <w:basedOn w:val="a0"/>
    <w:uiPriority w:val="99"/>
    <w:qFormat/>
    <w:rPr>
      <w:sz w:val="21"/>
      <w:szCs w:val="21"/>
    </w:rPr>
  </w:style>
  <w:style w:type="character" w:customStyle="1" w:styleId="Char1">
    <w:name w:val="批注文字 Char1"/>
    <w:basedOn w:val="a0"/>
    <w:link w:val="a6"/>
    <w:uiPriority w:val="99"/>
    <w:qFormat/>
    <w:rPr>
      <w:rFonts w:ascii="Times New Roman" w:eastAsia="宋体" w:hAnsi="Times New Roman"/>
      <w:color w:val="000000"/>
      <w:kern w:val="2"/>
      <w:sz w:val="28"/>
      <w:szCs w:val="24"/>
    </w:rPr>
  </w:style>
  <w:style w:type="character" w:customStyle="1" w:styleId="Char2">
    <w:name w:val="正文文本 Char"/>
    <w:basedOn w:val="a0"/>
    <w:link w:val="a7"/>
    <w:qFormat/>
    <w:rPr>
      <w:kern w:val="2"/>
      <w:sz w:val="21"/>
      <w:szCs w:val="24"/>
    </w:rPr>
  </w:style>
  <w:style w:type="character" w:customStyle="1" w:styleId="Char6">
    <w:name w:val="页脚 Char"/>
    <w:basedOn w:val="a0"/>
    <w:link w:val="ab"/>
    <w:uiPriority w:val="99"/>
    <w:qFormat/>
    <w:rPr>
      <w:rFonts w:eastAsia="宋体"/>
      <w:kern w:val="2"/>
      <w:sz w:val="18"/>
      <w:szCs w:val="18"/>
    </w:rPr>
  </w:style>
  <w:style w:type="paragraph" w:customStyle="1" w:styleId="WPSOffice1">
    <w:name w:val="WPSOffice手动目录 1"/>
    <w:qFormat/>
  </w:style>
  <w:style w:type="paragraph" w:customStyle="1" w:styleId="af6">
    <w:name w:val="!正文"/>
    <w:qFormat/>
    <w:pPr>
      <w:widowControl w:val="0"/>
      <w:adjustRightInd w:val="0"/>
      <w:snapToGrid w:val="0"/>
      <w:spacing w:line="360" w:lineRule="auto"/>
      <w:ind w:firstLineChars="200" w:firstLine="200"/>
      <w:jc w:val="both"/>
    </w:pPr>
    <w:rPr>
      <w:rFonts w:eastAsia="等线"/>
      <w:kern w:val="2"/>
      <w:sz w:val="28"/>
    </w:rPr>
  </w:style>
  <w:style w:type="paragraph" w:customStyle="1" w:styleId="Style2">
    <w:name w:val="_Style 2"/>
    <w:basedOn w:val="a"/>
    <w:uiPriority w:val="34"/>
    <w:qFormat/>
    <w:pPr>
      <w:ind w:firstLine="420"/>
    </w:pPr>
  </w:style>
  <w:style w:type="paragraph" w:customStyle="1" w:styleId="SB415">
    <w:name w:val="美高SB4/1.5"/>
    <w:basedOn w:val="a"/>
    <w:qFormat/>
    <w:pPr>
      <w:topLinePunct/>
    </w:pPr>
    <w:rPr>
      <w:rFonts w:ascii="宋体" w:hAnsi="宋体"/>
      <w:color w:val="auto"/>
      <w:szCs w:val="28"/>
    </w:rPr>
  </w:style>
  <w:style w:type="paragraph" w:customStyle="1" w:styleId="af7">
    <w:name w:val="+正文"/>
    <w:basedOn w:val="a"/>
    <w:qFormat/>
    <w:rPr>
      <w:sz w:val="24"/>
      <w:szCs w:val="28"/>
    </w:rPr>
  </w:style>
  <w:style w:type="paragraph" w:customStyle="1" w:styleId="415">
    <w:name w:val="表图 宋4/1.5"/>
    <w:next w:val="a"/>
    <w:qFormat/>
    <w:pPr>
      <w:topLinePunct/>
      <w:adjustRightInd w:val="0"/>
      <w:snapToGrid w:val="0"/>
      <w:spacing w:line="360" w:lineRule="auto"/>
      <w:jc w:val="center"/>
      <w:textAlignment w:val="center"/>
    </w:pPr>
    <w:rPr>
      <w:rFonts w:ascii="宋体" w:hAnsi="宋体"/>
      <w:snapToGrid w:val="0"/>
      <w:color w:val="000000"/>
      <w:sz w:val="28"/>
      <w:szCs w:val="21"/>
    </w:rPr>
  </w:style>
  <w:style w:type="paragraph" w:customStyle="1" w:styleId="50">
    <w:name w:val="表内容宋5"/>
    <w:qFormat/>
    <w:pPr>
      <w:spacing w:line="240" w:lineRule="atLeast"/>
    </w:pPr>
    <w:rPr>
      <w:sz w:val="21"/>
      <w:szCs w:val="21"/>
    </w:rPr>
  </w:style>
  <w:style w:type="character" w:customStyle="1" w:styleId="Char5">
    <w:name w:val="批注框文本 Char"/>
    <w:basedOn w:val="a0"/>
    <w:link w:val="aa"/>
    <w:qFormat/>
    <w:rPr>
      <w:rFonts w:ascii="Times New Roman" w:eastAsia="宋体" w:hAnsi="Times New Roman"/>
      <w:color w:val="000000"/>
      <w:kern w:val="2"/>
      <w:sz w:val="18"/>
      <w:szCs w:val="18"/>
    </w:rPr>
  </w:style>
  <w:style w:type="character" w:customStyle="1" w:styleId="Char4">
    <w:name w:val="日期 Char"/>
    <w:basedOn w:val="a0"/>
    <w:link w:val="a9"/>
    <w:qFormat/>
    <w:rPr>
      <w:rFonts w:ascii="Times New Roman" w:eastAsia="宋体" w:hAnsi="Times New Roman"/>
      <w:color w:val="000000"/>
      <w:kern w:val="2"/>
      <w:sz w:val="28"/>
      <w:szCs w:val="24"/>
    </w:rPr>
  </w:style>
  <w:style w:type="character" w:customStyle="1" w:styleId="Char8">
    <w:name w:val="批注主题 Char"/>
    <w:basedOn w:val="Char1"/>
    <w:link w:val="af"/>
    <w:qFormat/>
    <w:rPr>
      <w:rFonts w:ascii="Times New Roman" w:eastAsia="宋体" w:hAnsi="Times New Roman"/>
      <w:b/>
      <w:bCs/>
      <w:color w:val="000000"/>
      <w:kern w:val="2"/>
      <w:sz w:val="28"/>
      <w:szCs w:val="24"/>
    </w:rPr>
  </w:style>
  <w:style w:type="paragraph" w:customStyle="1" w:styleId="12">
    <w:name w:val="列出段落1"/>
    <w:basedOn w:val="a"/>
    <w:uiPriority w:val="34"/>
    <w:unhideWhenUsed/>
    <w:qFormat/>
    <w:pPr>
      <w:ind w:firstLine="420"/>
    </w:pPr>
  </w:style>
  <w:style w:type="character" w:customStyle="1" w:styleId="Char9">
    <w:name w:val="正文首行缩进 Char"/>
    <w:basedOn w:val="Char2"/>
    <w:link w:val="af0"/>
    <w:qFormat/>
    <w:rPr>
      <w:rFonts w:ascii="Times New Roman" w:eastAsia="宋体" w:hAnsi="Times New Roman"/>
      <w:color w:val="000000"/>
      <w:kern w:val="2"/>
      <w:sz w:val="28"/>
      <w:szCs w:val="24"/>
    </w:rPr>
  </w:style>
  <w:style w:type="paragraph" w:customStyle="1" w:styleId="af8">
    <w:name w:val="表格"/>
    <w:basedOn w:val="a"/>
    <w:qFormat/>
    <w:pPr>
      <w:adjustRightInd/>
      <w:snapToGrid/>
      <w:spacing w:before="50" w:after="50" w:line="500" w:lineRule="exact"/>
      <w:ind w:firstLine="640"/>
      <w:jc w:val="center"/>
    </w:pPr>
    <w:rPr>
      <w:rFonts w:ascii="宋体" w:hAnsi="宋体" w:cs="宋体"/>
      <w:color w:val="auto"/>
      <w:sz w:val="21"/>
    </w:rPr>
  </w:style>
  <w:style w:type="character" w:customStyle="1" w:styleId="Char3">
    <w:name w:val="正文文本缩进 Char"/>
    <w:basedOn w:val="a0"/>
    <w:link w:val="a8"/>
    <w:qFormat/>
    <w:rPr>
      <w:rFonts w:ascii="Times New Roman" w:eastAsia="宋体" w:hAnsi="Times New Roman"/>
      <w:color w:val="000000"/>
      <w:sz w:val="24"/>
      <w:szCs w:val="24"/>
    </w:rPr>
  </w:style>
  <w:style w:type="paragraph" w:customStyle="1" w:styleId="13">
    <w:name w:val="修订1"/>
    <w:hidden/>
    <w:uiPriority w:val="99"/>
    <w:semiHidden/>
    <w:qFormat/>
    <w:rPr>
      <w:color w:val="000000"/>
      <w:kern w:val="2"/>
      <w:sz w:val="28"/>
      <w:szCs w:val="24"/>
    </w:rPr>
  </w:style>
  <w:style w:type="character" w:customStyle="1" w:styleId="Chara">
    <w:name w:val="批注文字 Char"/>
    <w:uiPriority w:val="99"/>
    <w:qFormat/>
    <w:rPr>
      <w:kern w:val="2"/>
      <w:sz w:val="21"/>
      <w:szCs w:val="24"/>
    </w:rPr>
  </w:style>
  <w:style w:type="table" w:customStyle="1" w:styleId="14">
    <w:name w:val="网格型1"/>
    <w:basedOn w:val="a1"/>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b">
    <w:name w:val="首行缩进 Char"/>
    <w:link w:val="af9"/>
    <w:qFormat/>
    <w:rPr>
      <w:rFonts w:ascii="宋体"/>
      <w:kern w:val="2"/>
      <w:sz w:val="28"/>
      <w:szCs w:val="24"/>
    </w:rPr>
  </w:style>
  <w:style w:type="paragraph" w:customStyle="1" w:styleId="af9">
    <w:name w:val="首行缩进"/>
    <w:basedOn w:val="a"/>
    <w:link w:val="Charb"/>
    <w:qFormat/>
    <w:pPr>
      <w:adjustRightInd/>
      <w:snapToGrid/>
      <w:spacing w:line="240" w:lineRule="auto"/>
      <w:ind w:firstLineChars="0" w:firstLine="482"/>
    </w:pPr>
    <w:rPr>
      <w:rFonts w:ascii="宋体" w:eastAsia="等线" w:hAnsi="等线"/>
      <w:color w:val="auto"/>
    </w:rPr>
  </w:style>
  <w:style w:type="character" w:customStyle="1" w:styleId="bai12xi">
    <w:name w:val="bai12xi"/>
    <w:basedOn w:val="a0"/>
    <w:qFormat/>
    <w:rPr>
      <w:rFonts w:ascii="Verdana" w:eastAsia="仿宋_GB2312" w:hAnsi="Verdana"/>
      <w:kern w:val="0"/>
      <w:sz w:val="24"/>
      <w:szCs w:val="20"/>
      <w:lang w:eastAsia="en-US"/>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Char0">
    <w:name w:val="文档结构图 Char"/>
    <w:basedOn w:val="a0"/>
    <w:link w:val="a5"/>
    <w:semiHidden/>
    <w:qFormat/>
    <w:rPr>
      <w:rFonts w:ascii="宋体"/>
      <w:color w:val="000000"/>
      <w:kern w:val="2"/>
      <w:sz w:val="18"/>
      <w:szCs w:val="18"/>
    </w:rPr>
  </w:style>
  <w:style w:type="paragraph" w:customStyle="1" w:styleId="CharCharChar">
    <w:name w:val="Char Char Char"/>
    <w:basedOn w:val="a"/>
    <w:next w:val="a3"/>
    <w:qFormat/>
    <w:pPr>
      <w:adjustRightInd/>
      <w:snapToGrid/>
      <w:spacing w:line="240" w:lineRule="auto"/>
      <w:ind w:firstLineChars="0" w:firstLine="0"/>
    </w:pPr>
    <w:rPr>
      <w:color w:val="auto"/>
      <w:szCs w:val="28"/>
    </w:rPr>
  </w:style>
  <w:style w:type="character" w:customStyle="1" w:styleId="Char">
    <w:name w:val="宏文本 Char"/>
    <w:basedOn w:val="a0"/>
    <w:link w:val="a3"/>
    <w:semiHidden/>
    <w:rPr>
      <w:rFonts w:ascii="Courier New" w:hAnsi="Courier New" w:cs="Courier New"/>
      <w:color w:val="000000"/>
      <w:kern w:val="2"/>
      <w:sz w:val="24"/>
      <w:szCs w:val="24"/>
    </w:rPr>
  </w:style>
  <w:style w:type="paragraph" w:styleId="afa">
    <w:name w:val="List Paragraph"/>
    <w:basedOn w:val="a"/>
    <w:uiPriority w:val="99"/>
    <w:unhideWhenUsed/>
    <w:pPr>
      <w:ind w:firstLine="420"/>
    </w:pPr>
  </w:style>
  <w:style w:type="character" w:customStyle="1" w:styleId="Char7">
    <w:name w:val="页眉 Char"/>
    <w:basedOn w:val="a0"/>
    <w:link w:val="ac"/>
    <w:uiPriority w:val="99"/>
    <w:qFormat/>
    <w:rPr>
      <w:rFonts w:ascii="等线" w:hAnsi="等线"/>
      <w:kern w:val="2"/>
      <w:sz w:val="18"/>
      <w:szCs w:val="18"/>
    </w:rPr>
  </w:style>
  <w:style w:type="character" w:customStyle="1" w:styleId="2Char">
    <w:name w:val="正文首行缩进 2 Char"/>
    <w:basedOn w:val="Char3"/>
    <w:link w:val="22"/>
    <w:uiPriority w:val="99"/>
    <w:qFormat/>
    <w:rPr>
      <w:rFonts w:ascii="Times New Roman" w:eastAsia="宋体" w:hAnsi="Times New Roman"/>
      <w:color w:val="000000"/>
      <w:kern w:val="2"/>
      <w:sz w:val="28"/>
      <w:szCs w:val="24"/>
    </w:rPr>
  </w:style>
  <w:style w:type="table" w:customStyle="1" w:styleId="23">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6.xml"/><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footer" Target="footer5.xml"/><Relationship Id="rId38" Type="http://schemas.openxmlformats.org/officeDocument/2006/relationships/image" Target="media/image16.jpe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header" Target="header5.xml"/><Relationship Id="rId37" Type="http://schemas.openxmlformats.org/officeDocument/2006/relationships/footer" Target="footer7.xml"/><Relationship Id="rId40" Type="http://schemas.openxmlformats.org/officeDocument/2006/relationships/image" Target="media/image18.pn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2.png"/><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6.xml"/><Relationship Id="rId43" Type="http://schemas.openxmlformats.org/officeDocument/2006/relationships/image" Target="media/image21.png"/><Relationship Id="rId48" Type="http://schemas.openxmlformats.org/officeDocument/2006/relationships/hyperlink" Target="https://www.chemsrc.com/baike/895907.html" TargetMode="External"/><Relationship Id="rId8" Type="http://schemas.openxmlformats.org/officeDocument/2006/relationships/endnotes" Target="endnotes.xml"/><Relationship Id="rId51"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1EE49-4B31-4009-8B4B-1E92577D2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20595</Words>
  <Characters>117394</Characters>
  <Application>Microsoft Office Word</Application>
  <DocSecurity>0</DocSecurity>
  <Lines>978</Lines>
  <Paragraphs>275</Paragraphs>
  <ScaleCrop>false</ScaleCrop>
  <Company>Microsoft</Company>
  <LinksUpToDate>false</LinksUpToDate>
  <CharactersWithSpaces>137714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詩音</dc:creator>
  <cp:lastModifiedBy>MM</cp:lastModifiedBy>
  <cp:revision>109</cp:revision>
  <cp:lastPrinted>2021-05-24T23:39:00Z</cp:lastPrinted>
  <dcterms:created xsi:type="dcterms:W3CDTF">2024-11-12T01:30:00Z</dcterms:created>
  <dcterms:modified xsi:type="dcterms:W3CDTF">2025-03-14T02:13:00Z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862B8B132BA047579073FB58496FBE4B_13</vt:lpwstr>
  </property>
  <property fmtid="{D5CDD505-2E9C-101B-9397-08002B2CF9AE}" pid="4" name="KSOTemplateDocerSaveRecord">
    <vt:lpwstr>eyJoZGlkIjoiZTcxYjg2NDE2NTI2YzNhOTI0ZmIwMjM4NzVkNjg0YmMiLCJ1c2VySWQiOiIxMTMxNDEwMDc4In0=</vt:lpwstr>
  </property>
</Properties>
</file>