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E62008">
      <w:pPr>
        <w:rPr>
          <w:rFonts w:hint="default" w:ascii="Times New Roman" w:hAnsi="Times New Roman" w:eastAsia="宋体" w:cs="Times New Roman"/>
          <w:b/>
          <w:bCs/>
          <w:color w:val="auto"/>
          <w:sz w:val="28"/>
          <w:szCs w:val="28"/>
          <w:lang w:val="en-US" w:eastAsia="zh-CN"/>
        </w:rPr>
      </w:pPr>
      <w:r>
        <w:rPr>
          <w:rFonts w:hint="default" w:ascii="Times New Roman" w:hAnsi="Times New Roman" w:cs="Times New Roman"/>
          <w:b/>
          <w:bCs/>
          <w:color w:val="auto"/>
          <w:sz w:val="28"/>
          <w:szCs w:val="28"/>
        </w:rPr>
        <w:t>报告编号：</w:t>
      </w:r>
      <w:r>
        <w:rPr>
          <w:rFonts w:hint="default" w:ascii="Times New Roman" w:hAnsi="Times New Roman" w:cs="Times New Roman"/>
          <w:b/>
          <w:bCs/>
          <w:color w:val="auto"/>
          <w:sz w:val="28"/>
          <w:szCs w:val="28"/>
          <w:lang w:val="en-US" w:eastAsia="zh-CN"/>
        </w:rPr>
        <w:t>DAKMX-APJ-2025-0</w:t>
      </w:r>
      <w:r>
        <w:rPr>
          <w:rFonts w:hint="eastAsia" w:ascii="Times New Roman" w:hAnsi="Times New Roman" w:cs="Times New Roman"/>
          <w:b/>
          <w:bCs/>
          <w:color w:val="auto"/>
          <w:sz w:val="28"/>
          <w:szCs w:val="28"/>
          <w:lang w:val="en-US" w:eastAsia="zh-CN"/>
        </w:rPr>
        <w:t>7</w:t>
      </w:r>
      <w:r>
        <w:rPr>
          <w:rFonts w:hint="default" w:ascii="Times New Roman" w:hAnsi="Times New Roman" w:cs="Times New Roman"/>
          <w:b/>
          <w:bCs/>
          <w:color w:val="auto"/>
          <w:sz w:val="28"/>
          <w:szCs w:val="28"/>
          <w:lang w:val="en-US" w:eastAsia="zh-CN"/>
        </w:rPr>
        <w:t>-01</w:t>
      </w:r>
    </w:p>
    <w:p w14:paraId="2ABA26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8"/>
          <w:szCs w:val="28"/>
        </w:rPr>
      </w:pPr>
    </w:p>
    <w:p w14:paraId="6E3235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8"/>
          <w:szCs w:val="28"/>
        </w:rPr>
      </w:pPr>
    </w:p>
    <w:p w14:paraId="7303ED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8"/>
          <w:szCs w:val="28"/>
        </w:rPr>
      </w:pPr>
    </w:p>
    <w:p w14:paraId="683C4D2E">
      <w:pPr>
        <w:pStyle w:val="119"/>
        <w:rPr>
          <w:color w:val="auto"/>
        </w:rPr>
      </w:pPr>
      <w:r>
        <w:rPr>
          <w:rFonts w:hint="eastAsia"/>
          <w:color w:val="auto"/>
        </w:rPr>
        <w:t>云南瓮福祥丰氟硅新材料有限公司</w:t>
      </w:r>
    </w:p>
    <w:p w14:paraId="39A3903B">
      <w:pPr>
        <w:pStyle w:val="119"/>
        <w:rPr>
          <w:color w:val="auto"/>
        </w:rPr>
      </w:pPr>
      <w:r>
        <w:rPr>
          <w:rFonts w:hint="eastAsia"/>
          <w:color w:val="auto"/>
        </w:rPr>
        <w:t>3万吨/年无水氟化氢和2万吨/年电子级氢氟酸厂外公用工程管架建设项目</w:t>
      </w:r>
    </w:p>
    <w:p w14:paraId="129E5AB2">
      <w:pPr>
        <w:pStyle w:val="120"/>
        <w:rPr>
          <w:rFonts w:hint="eastAsia" w:ascii="黑体" w:hAnsi="黑体" w:eastAsia="黑体" w:cs="黑体"/>
          <w:color w:val="auto"/>
        </w:rPr>
      </w:pPr>
      <w:r>
        <w:rPr>
          <w:rFonts w:hint="eastAsia" w:ascii="黑体" w:hAnsi="黑体" w:eastAsia="黑体" w:cs="黑体"/>
          <w:color w:val="auto"/>
        </w:rPr>
        <w:t>安全</w:t>
      </w:r>
      <w:r>
        <w:rPr>
          <w:rFonts w:hint="eastAsia" w:ascii="黑体" w:hAnsi="黑体" w:cs="黑体"/>
          <w:color w:val="auto"/>
          <w:lang w:eastAsia="zh-CN"/>
        </w:rPr>
        <w:t>验收评价</w:t>
      </w:r>
      <w:r>
        <w:rPr>
          <w:rFonts w:hint="eastAsia" w:ascii="黑体" w:hAnsi="黑体" w:eastAsia="黑体" w:cs="黑体"/>
          <w:color w:val="auto"/>
        </w:rPr>
        <w:t>报告</w:t>
      </w:r>
    </w:p>
    <w:p w14:paraId="6C49774C">
      <w:pPr>
        <w:pStyle w:val="120"/>
        <w:jc w:val="both"/>
        <w:rPr>
          <w:color w:val="auto"/>
        </w:rPr>
      </w:pPr>
    </w:p>
    <w:p w14:paraId="5F37495F">
      <w:pPr>
        <w:pStyle w:val="120"/>
        <w:jc w:val="both"/>
        <w:rPr>
          <w:color w:val="auto"/>
        </w:rPr>
      </w:pPr>
    </w:p>
    <w:p w14:paraId="49CBD483">
      <w:pPr>
        <w:keepNext w:val="0"/>
        <w:keepLines w:val="0"/>
        <w:pageBreakBefore w:val="0"/>
        <w:widowControl w:val="0"/>
        <w:tabs>
          <w:tab w:val="left" w:pos="6480"/>
        </w:tabs>
        <w:kinsoku/>
        <w:wordWrap/>
        <w:overflowPunct/>
        <w:topLinePunct w:val="0"/>
        <w:autoSpaceDE/>
        <w:autoSpaceDN/>
        <w:bidi w:val="0"/>
        <w:adjustRightInd w:val="0"/>
        <w:snapToGrid w:val="0"/>
        <w:spacing w:line="360" w:lineRule="auto"/>
        <w:ind w:firstLine="960" w:firstLineChars="300"/>
        <w:textAlignment w:val="auto"/>
        <w:rPr>
          <w:rFonts w:hint="default" w:ascii="Times New Roman" w:hAnsi="Times New Roman" w:eastAsia="仿宋_GB2312" w:cs="Times New Roman"/>
          <w:color w:val="000000"/>
          <w:kern w:val="0"/>
          <w:sz w:val="32"/>
          <w:szCs w:val="24"/>
        </w:rPr>
      </w:pPr>
      <w:r>
        <w:rPr>
          <w:rFonts w:hint="eastAsia" w:ascii="Times New Roman" w:hAnsi="Times New Roman" w:eastAsia="仿宋_GB2312" w:cs="Times New Roman"/>
          <w:color w:val="000000"/>
          <w:kern w:val="0"/>
          <w:sz w:val="32"/>
          <w:szCs w:val="24"/>
        </w:rPr>
        <w:t>建设单位：云南瓮福祥丰氟硅新材料有限公司</w:t>
      </w:r>
    </w:p>
    <w:p w14:paraId="23FDC576">
      <w:pPr>
        <w:keepNext w:val="0"/>
        <w:keepLines w:val="0"/>
        <w:pageBreakBefore w:val="0"/>
        <w:widowControl w:val="0"/>
        <w:tabs>
          <w:tab w:val="left" w:pos="6480"/>
        </w:tabs>
        <w:kinsoku/>
        <w:wordWrap/>
        <w:overflowPunct/>
        <w:topLinePunct w:val="0"/>
        <w:autoSpaceDE/>
        <w:autoSpaceDN/>
        <w:bidi w:val="0"/>
        <w:adjustRightInd w:val="0"/>
        <w:snapToGrid w:val="0"/>
        <w:spacing w:line="360" w:lineRule="auto"/>
        <w:ind w:firstLine="960" w:firstLineChars="300"/>
        <w:textAlignment w:val="auto"/>
        <w:rPr>
          <w:rFonts w:hint="default" w:ascii="Times New Roman" w:hAnsi="Times New Roman" w:eastAsia="仿宋_GB2312" w:cs="Times New Roman"/>
          <w:color w:val="000000"/>
          <w:kern w:val="0"/>
          <w:sz w:val="32"/>
          <w:szCs w:val="24"/>
        </w:rPr>
      </w:pPr>
      <w:r>
        <w:rPr>
          <w:rFonts w:hint="eastAsia" w:ascii="Times New Roman" w:hAnsi="Times New Roman" w:eastAsia="仿宋_GB2312" w:cs="Times New Roman"/>
          <w:color w:val="000000"/>
          <w:kern w:val="0"/>
          <w:sz w:val="32"/>
          <w:szCs w:val="24"/>
        </w:rPr>
        <w:t>建设单位法定代表人：杨国荣</w:t>
      </w:r>
    </w:p>
    <w:p w14:paraId="581DB73B">
      <w:pPr>
        <w:keepNext w:val="0"/>
        <w:keepLines w:val="0"/>
        <w:pageBreakBefore w:val="0"/>
        <w:widowControl w:val="0"/>
        <w:tabs>
          <w:tab w:val="left" w:pos="6480"/>
        </w:tabs>
        <w:kinsoku/>
        <w:wordWrap/>
        <w:overflowPunct/>
        <w:topLinePunct w:val="0"/>
        <w:autoSpaceDE/>
        <w:autoSpaceDN/>
        <w:bidi w:val="0"/>
        <w:adjustRightInd w:val="0"/>
        <w:snapToGrid w:val="0"/>
        <w:spacing w:line="360" w:lineRule="auto"/>
        <w:ind w:firstLine="960" w:firstLineChars="300"/>
        <w:textAlignment w:val="auto"/>
        <w:rPr>
          <w:rFonts w:hint="default" w:ascii="Times New Roman" w:hAnsi="Times New Roman" w:eastAsia="仿宋_GB2312" w:cs="Times New Roman"/>
          <w:color w:val="000000"/>
          <w:kern w:val="0"/>
          <w:sz w:val="32"/>
          <w:szCs w:val="24"/>
        </w:rPr>
      </w:pPr>
      <w:r>
        <w:rPr>
          <w:rFonts w:hint="eastAsia" w:ascii="Times New Roman" w:hAnsi="Times New Roman" w:eastAsia="仿宋_GB2312" w:cs="Times New Roman"/>
          <w:color w:val="000000"/>
          <w:kern w:val="0"/>
          <w:sz w:val="32"/>
          <w:szCs w:val="24"/>
        </w:rPr>
        <w:t>建设项目单位：云南瓮福祥丰氟硅新材料有限公司</w:t>
      </w:r>
    </w:p>
    <w:p w14:paraId="234825D0">
      <w:pPr>
        <w:keepNext w:val="0"/>
        <w:keepLines w:val="0"/>
        <w:pageBreakBefore w:val="0"/>
        <w:widowControl w:val="0"/>
        <w:tabs>
          <w:tab w:val="left" w:pos="6480"/>
        </w:tabs>
        <w:kinsoku/>
        <w:wordWrap/>
        <w:overflowPunct/>
        <w:topLinePunct w:val="0"/>
        <w:autoSpaceDE/>
        <w:autoSpaceDN/>
        <w:bidi w:val="0"/>
        <w:adjustRightInd w:val="0"/>
        <w:snapToGrid w:val="0"/>
        <w:spacing w:line="360" w:lineRule="auto"/>
        <w:ind w:firstLine="960" w:firstLineChars="300"/>
        <w:textAlignment w:val="auto"/>
        <w:rPr>
          <w:rFonts w:hint="default" w:ascii="Times New Roman" w:hAnsi="Times New Roman" w:eastAsia="仿宋_GB2312" w:cs="Times New Roman"/>
          <w:color w:val="000000"/>
          <w:kern w:val="0"/>
          <w:sz w:val="32"/>
          <w:szCs w:val="24"/>
        </w:rPr>
      </w:pPr>
      <w:r>
        <w:rPr>
          <w:rFonts w:hint="eastAsia" w:ascii="Times New Roman" w:hAnsi="Times New Roman" w:eastAsia="仿宋_GB2312" w:cs="Times New Roman"/>
          <w:color w:val="000000"/>
          <w:kern w:val="0"/>
          <w:sz w:val="32"/>
          <w:szCs w:val="24"/>
        </w:rPr>
        <w:t>建设项目单位主要负责人：杨国荣</w:t>
      </w:r>
    </w:p>
    <w:p w14:paraId="15861F3F">
      <w:pPr>
        <w:keepNext w:val="0"/>
        <w:keepLines w:val="0"/>
        <w:pageBreakBefore w:val="0"/>
        <w:widowControl w:val="0"/>
        <w:tabs>
          <w:tab w:val="left" w:pos="6480"/>
        </w:tabs>
        <w:kinsoku/>
        <w:wordWrap/>
        <w:overflowPunct/>
        <w:topLinePunct w:val="0"/>
        <w:autoSpaceDE/>
        <w:autoSpaceDN/>
        <w:bidi w:val="0"/>
        <w:adjustRightInd w:val="0"/>
        <w:snapToGrid w:val="0"/>
        <w:spacing w:line="360" w:lineRule="auto"/>
        <w:ind w:firstLine="960" w:firstLineChars="300"/>
        <w:textAlignment w:val="auto"/>
        <w:rPr>
          <w:rFonts w:hint="eastAsia" w:ascii="Times New Roman" w:hAnsi="Times New Roman" w:eastAsia="仿宋_GB2312" w:cs="Times New Roman"/>
          <w:color w:val="000000"/>
          <w:kern w:val="0"/>
          <w:sz w:val="32"/>
          <w:szCs w:val="24"/>
          <w:lang w:eastAsia="zh-CN"/>
        </w:rPr>
      </w:pPr>
      <w:r>
        <w:rPr>
          <w:rFonts w:hint="eastAsia" w:ascii="Times New Roman" w:hAnsi="Times New Roman" w:eastAsia="仿宋_GB2312" w:cs="Times New Roman"/>
          <w:color w:val="000000"/>
          <w:kern w:val="0"/>
          <w:sz w:val="32"/>
          <w:szCs w:val="24"/>
        </w:rPr>
        <w:t>建设项目单位联系人：</w:t>
      </w:r>
      <w:r>
        <w:rPr>
          <w:rFonts w:hint="eastAsia" w:ascii="Times New Roman" w:eastAsia="仿宋_GB2312" w:cs="Times New Roman"/>
          <w:color w:val="000000"/>
          <w:kern w:val="0"/>
          <w:sz w:val="32"/>
          <w:szCs w:val="24"/>
          <w:lang w:eastAsia="zh-CN"/>
        </w:rPr>
        <w:t>喻小峰</w:t>
      </w:r>
    </w:p>
    <w:p w14:paraId="4DB88732">
      <w:pPr>
        <w:keepNext w:val="0"/>
        <w:keepLines w:val="0"/>
        <w:pageBreakBefore w:val="0"/>
        <w:widowControl w:val="0"/>
        <w:tabs>
          <w:tab w:val="left" w:pos="6480"/>
        </w:tabs>
        <w:kinsoku/>
        <w:wordWrap/>
        <w:overflowPunct/>
        <w:topLinePunct w:val="0"/>
        <w:autoSpaceDE/>
        <w:autoSpaceDN/>
        <w:bidi w:val="0"/>
        <w:adjustRightInd w:val="0"/>
        <w:snapToGrid w:val="0"/>
        <w:spacing w:line="360" w:lineRule="auto"/>
        <w:ind w:firstLine="960" w:firstLineChars="300"/>
        <w:textAlignment w:val="auto"/>
        <w:rPr>
          <w:rFonts w:hint="eastAsia" w:ascii="Times New Roman" w:hAnsi="Times New Roman" w:eastAsia="仿宋_GB2312" w:cs="Times New Roman"/>
          <w:color w:val="000000"/>
          <w:kern w:val="0"/>
          <w:sz w:val="32"/>
          <w:szCs w:val="24"/>
          <w:lang w:eastAsia="zh-CN"/>
        </w:rPr>
      </w:pPr>
      <w:r>
        <w:rPr>
          <w:rFonts w:hint="eastAsia" w:ascii="Times New Roman" w:hAnsi="Times New Roman" w:eastAsia="仿宋_GB2312" w:cs="Times New Roman"/>
          <w:color w:val="000000"/>
          <w:kern w:val="0"/>
          <w:sz w:val="32"/>
          <w:szCs w:val="24"/>
        </w:rPr>
        <w:t>建设项目单位联系电话：</w:t>
      </w:r>
      <w:r>
        <w:rPr>
          <w:rFonts w:hint="eastAsia" w:ascii="Times New Roman" w:eastAsia="仿宋_GB2312" w:cs="Times New Roman"/>
          <w:color w:val="000000"/>
          <w:kern w:val="0"/>
          <w:sz w:val="32"/>
          <w:szCs w:val="24"/>
          <w:lang w:eastAsia="zh-CN"/>
        </w:rPr>
        <w:t>13888205765</w:t>
      </w:r>
    </w:p>
    <w:p w14:paraId="74CBB5DC">
      <w:pPr>
        <w:pStyle w:val="155"/>
        <w:ind w:firstLine="0"/>
        <w:rPr>
          <w:color w:val="auto"/>
        </w:rPr>
      </w:pPr>
    </w:p>
    <w:p w14:paraId="1D7A8692">
      <w:pPr>
        <w:pStyle w:val="155"/>
        <w:ind w:firstLine="0"/>
        <w:rPr>
          <w:color w:val="auto"/>
        </w:rPr>
      </w:pPr>
    </w:p>
    <w:p w14:paraId="64F3F70E">
      <w:pPr>
        <w:pStyle w:val="149"/>
        <w:rPr>
          <w:rFonts w:hint="default" w:ascii="Times New Roman" w:hAnsi="Times New Roman" w:eastAsia="仿宋_GB2312" w:cs="Times New Roman"/>
          <w:color w:val="000000"/>
          <w:kern w:val="0"/>
          <w:sz w:val="32"/>
          <w:szCs w:val="24"/>
          <w:lang w:val="en-US" w:eastAsia="zh-CN" w:bidi="ar-SA"/>
        </w:rPr>
      </w:pPr>
      <w:r>
        <w:rPr>
          <w:rFonts w:hint="eastAsia" w:ascii="Times New Roman" w:hAnsi="Times New Roman" w:eastAsia="仿宋_GB2312" w:cs="Times New Roman"/>
          <w:color w:val="000000"/>
          <w:kern w:val="0"/>
          <w:sz w:val="32"/>
          <w:szCs w:val="24"/>
          <w:lang w:val="en-US" w:eastAsia="zh-CN" w:bidi="ar-SA"/>
        </w:rPr>
        <w:t>云南瓮福祥丰氟硅新材料有限公司</w:t>
      </w:r>
      <w:r>
        <w:rPr>
          <w:rFonts w:hint="eastAsia" w:ascii="Times New Roman" w:eastAsia="仿宋_GB2312" w:cs="Times New Roman"/>
          <w:color w:val="000000"/>
          <w:kern w:val="0"/>
          <w:sz w:val="32"/>
          <w:szCs w:val="24"/>
          <w:lang w:val="en-US" w:eastAsia="zh-CN" w:bidi="ar-SA"/>
        </w:rPr>
        <w:t>（公章）</w:t>
      </w:r>
    </w:p>
    <w:p w14:paraId="7E40E755">
      <w:pPr>
        <w:pStyle w:val="149"/>
        <w:rPr>
          <w:rFonts w:hint="eastAsia" w:ascii="Times New Roman" w:hAnsi="Times New Roman" w:eastAsia="仿宋_GB2312" w:cs="Times New Roman"/>
          <w:color w:val="000000"/>
          <w:kern w:val="0"/>
          <w:sz w:val="32"/>
          <w:szCs w:val="24"/>
          <w:lang w:val="en-US" w:eastAsia="zh-CN" w:bidi="ar-SA"/>
        </w:rPr>
        <w:sectPr>
          <w:headerReference r:id="rId5" w:type="default"/>
          <w:footerReference r:id="rId6" w:type="default"/>
          <w:pgSz w:w="11905" w:h="16838"/>
          <w:pgMar w:top="1417" w:right="1134" w:bottom="1134" w:left="1587" w:header="850" w:footer="680" w:gutter="0"/>
          <w:cols w:space="0" w:num="1"/>
          <w:rtlGutter w:val="0"/>
          <w:docGrid w:type="lines" w:linePitch="386" w:charSpace="0"/>
        </w:sectPr>
      </w:pPr>
      <w:r>
        <w:rPr>
          <w:rFonts w:hint="eastAsia" w:ascii="Times New Roman" w:hAnsi="Times New Roman" w:eastAsia="仿宋_GB2312" w:cs="Times New Roman"/>
          <w:color w:val="000000"/>
          <w:kern w:val="0"/>
          <w:sz w:val="32"/>
          <w:szCs w:val="24"/>
          <w:lang w:val="en-US" w:eastAsia="zh-CN" w:bidi="ar-SA"/>
        </w:rPr>
        <w:t>2025年7月</w:t>
      </w:r>
    </w:p>
    <w:p w14:paraId="247EBA1D">
      <w:pPr>
        <w:pStyle w:val="121"/>
        <w:jc w:val="both"/>
        <w:rPr>
          <w:color w:val="auto"/>
        </w:rPr>
      </w:pPr>
    </w:p>
    <w:p w14:paraId="2DDDA5D8">
      <w:pPr>
        <w:pStyle w:val="121"/>
        <w:rPr>
          <w:color w:val="auto"/>
        </w:rPr>
      </w:pPr>
    </w:p>
    <w:p w14:paraId="66F0C9C8">
      <w:pPr>
        <w:pStyle w:val="121"/>
        <w:jc w:val="both"/>
        <w:rPr>
          <w:color w:val="auto"/>
          <w:sz w:val="44"/>
          <w:szCs w:val="44"/>
        </w:rPr>
      </w:pPr>
    </w:p>
    <w:p w14:paraId="6D02C5DE">
      <w:pPr>
        <w:pStyle w:val="119"/>
        <w:rPr>
          <w:color w:val="auto"/>
          <w:sz w:val="32"/>
          <w:szCs w:val="32"/>
        </w:rPr>
      </w:pPr>
      <w:r>
        <w:rPr>
          <w:rFonts w:hint="eastAsia"/>
          <w:color w:val="auto"/>
          <w:sz w:val="32"/>
          <w:szCs w:val="32"/>
        </w:rPr>
        <w:t>云南瓮福祥丰氟硅新材料有限公司</w:t>
      </w:r>
    </w:p>
    <w:p w14:paraId="67D0270D">
      <w:pPr>
        <w:pStyle w:val="119"/>
        <w:rPr>
          <w:rFonts w:hint="eastAsia"/>
          <w:color w:val="auto"/>
          <w:sz w:val="32"/>
          <w:szCs w:val="32"/>
        </w:rPr>
      </w:pPr>
      <w:r>
        <w:rPr>
          <w:rFonts w:hint="eastAsia"/>
          <w:color w:val="auto"/>
          <w:sz w:val="32"/>
          <w:szCs w:val="32"/>
        </w:rPr>
        <w:t>3万吨/年无水氟化氢和2万吨/年电子级氢氟酸</w:t>
      </w:r>
    </w:p>
    <w:p w14:paraId="229067CD">
      <w:pPr>
        <w:pStyle w:val="119"/>
        <w:rPr>
          <w:color w:val="auto"/>
          <w:sz w:val="32"/>
          <w:szCs w:val="32"/>
        </w:rPr>
      </w:pPr>
      <w:r>
        <w:rPr>
          <w:rFonts w:hint="eastAsia"/>
          <w:color w:val="auto"/>
          <w:sz w:val="32"/>
          <w:szCs w:val="32"/>
        </w:rPr>
        <w:t>厂外公用工程管架建设项目</w:t>
      </w:r>
    </w:p>
    <w:p w14:paraId="0821709B">
      <w:pPr>
        <w:pStyle w:val="121"/>
        <w:rPr>
          <w:rFonts w:hAnsi="宋体"/>
          <w:color w:val="auto"/>
        </w:rPr>
      </w:pPr>
    </w:p>
    <w:p w14:paraId="56FF141F">
      <w:pPr>
        <w:pStyle w:val="119"/>
        <w:rPr>
          <w:color w:val="auto"/>
          <w:sz w:val="44"/>
          <w:szCs w:val="44"/>
        </w:rPr>
      </w:pPr>
      <w:r>
        <w:rPr>
          <w:rFonts w:hint="eastAsia"/>
          <w:color w:val="auto"/>
          <w:sz w:val="44"/>
          <w:szCs w:val="44"/>
        </w:rPr>
        <w:t>安全</w:t>
      </w:r>
      <w:r>
        <w:rPr>
          <w:rFonts w:hint="eastAsia"/>
          <w:color w:val="auto"/>
          <w:sz w:val="44"/>
          <w:szCs w:val="44"/>
          <w:lang w:eastAsia="zh-CN"/>
        </w:rPr>
        <w:t>验收评价</w:t>
      </w:r>
      <w:r>
        <w:rPr>
          <w:rFonts w:hint="eastAsia"/>
          <w:color w:val="auto"/>
          <w:sz w:val="44"/>
          <w:szCs w:val="44"/>
        </w:rPr>
        <w:t>报告</w:t>
      </w:r>
    </w:p>
    <w:p w14:paraId="69E12A16">
      <w:pPr>
        <w:pStyle w:val="119"/>
        <w:rPr>
          <w:color w:val="auto"/>
        </w:rPr>
      </w:pPr>
    </w:p>
    <w:p w14:paraId="7FD1CA2C">
      <w:pPr>
        <w:pStyle w:val="119"/>
        <w:rPr>
          <w:color w:val="auto"/>
        </w:rPr>
      </w:pPr>
    </w:p>
    <w:p w14:paraId="4FD33AAB">
      <w:pPr>
        <w:keepNext w:val="0"/>
        <w:keepLines w:val="0"/>
        <w:pageBreakBefore w:val="0"/>
        <w:widowControl w:val="0"/>
        <w:tabs>
          <w:tab w:val="left" w:pos="6480"/>
        </w:tabs>
        <w:kinsoku/>
        <w:wordWrap/>
        <w:overflowPunct/>
        <w:topLinePunct w:val="0"/>
        <w:autoSpaceDE/>
        <w:autoSpaceDN/>
        <w:bidi w:val="0"/>
        <w:adjustRightInd w:val="0"/>
        <w:snapToGrid w:val="0"/>
        <w:spacing w:line="360" w:lineRule="auto"/>
        <w:ind w:firstLine="1600" w:firstLineChars="500"/>
        <w:textAlignment w:val="auto"/>
        <w:rPr>
          <w:rFonts w:hint="default" w:ascii="Times New Roman" w:hAnsi="Times New Roman" w:eastAsia="仿宋_GB2312" w:cs="Times New Roman"/>
          <w:color w:val="000000"/>
          <w:kern w:val="0"/>
          <w:sz w:val="32"/>
          <w:lang w:eastAsia="zh-CN"/>
        </w:rPr>
      </w:pPr>
      <w:r>
        <w:rPr>
          <w:rFonts w:hint="default" w:ascii="Times New Roman" w:hAnsi="Times New Roman" w:eastAsia="仿宋_GB2312" w:cs="Times New Roman"/>
          <w:color w:val="000000"/>
          <w:kern w:val="0"/>
          <w:sz w:val="32"/>
        </w:rPr>
        <w:t>评价机构名称：</w:t>
      </w:r>
      <w:r>
        <w:rPr>
          <w:rFonts w:hint="default" w:ascii="Times New Roman" w:hAnsi="Times New Roman" w:eastAsia="仿宋_GB2312" w:cs="Times New Roman"/>
          <w:color w:val="000000"/>
          <w:kern w:val="0"/>
          <w:sz w:val="32"/>
          <w:lang w:eastAsia="zh-CN"/>
        </w:rPr>
        <w:t>昭通市鼎安科技有限公司</w:t>
      </w:r>
    </w:p>
    <w:p w14:paraId="2141A94A">
      <w:pPr>
        <w:keepNext w:val="0"/>
        <w:keepLines w:val="0"/>
        <w:pageBreakBefore w:val="0"/>
        <w:widowControl w:val="0"/>
        <w:tabs>
          <w:tab w:val="left" w:pos="6480"/>
        </w:tabs>
        <w:kinsoku/>
        <w:wordWrap/>
        <w:overflowPunct/>
        <w:topLinePunct w:val="0"/>
        <w:autoSpaceDE/>
        <w:autoSpaceDN/>
        <w:bidi w:val="0"/>
        <w:adjustRightInd w:val="0"/>
        <w:snapToGrid w:val="0"/>
        <w:spacing w:line="360" w:lineRule="auto"/>
        <w:ind w:firstLine="1600" w:firstLineChars="500"/>
        <w:textAlignment w:val="auto"/>
        <w:rPr>
          <w:rFonts w:hint="default" w:ascii="Times New Roman" w:hAnsi="Times New Roman" w:eastAsia="仿宋_GB2312" w:cs="Times New Roman"/>
          <w:color w:val="000000"/>
          <w:kern w:val="0"/>
          <w:sz w:val="32"/>
          <w:lang w:val="en-US" w:eastAsia="zh-CN"/>
        </w:rPr>
      </w:pPr>
      <w:r>
        <w:rPr>
          <w:rFonts w:hint="default" w:ascii="Times New Roman" w:hAnsi="Times New Roman" w:eastAsia="仿宋_GB2312" w:cs="Times New Roman"/>
          <w:color w:val="000000"/>
          <w:kern w:val="0"/>
          <w:sz w:val="32"/>
        </w:rPr>
        <w:t>资质证书编号：APJ-（</w:t>
      </w:r>
      <w:r>
        <w:rPr>
          <w:rFonts w:hint="default" w:ascii="Times New Roman" w:hAnsi="Times New Roman" w:eastAsia="仿宋_GB2312" w:cs="Times New Roman"/>
          <w:color w:val="000000"/>
          <w:kern w:val="0"/>
          <w:sz w:val="32"/>
          <w:lang w:eastAsia="zh-CN"/>
        </w:rPr>
        <w:t>云</w:t>
      </w:r>
      <w:r>
        <w:rPr>
          <w:rFonts w:hint="default" w:ascii="Times New Roman" w:hAnsi="Times New Roman" w:eastAsia="仿宋_GB2312" w:cs="Times New Roman"/>
          <w:color w:val="000000"/>
          <w:kern w:val="0"/>
          <w:sz w:val="32"/>
        </w:rPr>
        <w:t>）-</w:t>
      </w:r>
      <w:r>
        <w:rPr>
          <w:rFonts w:hint="default" w:ascii="Times New Roman" w:hAnsi="Times New Roman" w:eastAsia="仿宋_GB2312" w:cs="Times New Roman"/>
          <w:color w:val="000000"/>
          <w:kern w:val="0"/>
          <w:sz w:val="32"/>
          <w:lang w:val="en-US" w:eastAsia="zh-CN"/>
        </w:rPr>
        <w:t>005</w:t>
      </w:r>
    </w:p>
    <w:p w14:paraId="03999494">
      <w:pPr>
        <w:keepNext w:val="0"/>
        <w:keepLines w:val="0"/>
        <w:pageBreakBefore w:val="0"/>
        <w:widowControl w:val="0"/>
        <w:tabs>
          <w:tab w:val="left" w:pos="6480"/>
        </w:tabs>
        <w:kinsoku/>
        <w:wordWrap/>
        <w:overflowPunct/>
        <w:topLinePunct w:val="0"/>
        <w:autoSpaceDE/>
        <w:autoSpaceDN/>
        <w:bidi w:val="0"/>
        <w:adjustRightInd w:val="0"/>
        <w:snapToGrid w:val="0"/>
        <w:spacing w:line="360" w:lineRule="auto"/>
        <w:ind w:firstLine="1600" w:firstLineChars="500"/>
        <w:textAlignment w:val="auto"/>
        <w:rPr>
          <w:rFonts w:hint="default" w:ascii="Times New Roman" w:hAnsi="Times New Roman" w:eastAsia="仿宋_GB2312" w:cs="Times New Roman"/>
          <w:color w:val="000000"/>
          <w:kern w:val="0"/>
          <w:sz w:val="32"/>
          <w:lang w:eastAsia="zh-CN"/>
        </w:rPr>
      </w:pPr>
      <w:r>
        <w:rPr>
          <w:rFonts w:hint="default" w:ascii="Times New Roman" w:hAnsi="Times New Roman" w:eastAsia="仿宋_GB2312" w:cs="Times New Roman"/>
          <w:color w:val="000000"/>
          <w:kern w:val="0"/>
          <w:sz w:val="32"/>
        </w:rPr>
        <w:t>法定代表人：</w:t>
      </w:r>
      <w:r>
        <w:rPr>
          <w:rFonts w:hint="default" w:ascii="Times New Roman" w:hAnsi="Times New Roman" w:eastAsia="仿宋_GB2312" w:cs="Times New Roman"/>
          <w:color w:val="000000"/>
          <w:kern w:val="0"/>
          <w:sz w:val="32"/>
          <w:lang w:eastAsia="zh-CN"/>
        </w:rPr>
        <w:t>毛卫旭</w:t>
      </w:r>
    </w:p>
    <w:p w14:paraId="4472336B">
      <w:pPr>
        <w:keepNext w:val="0"/>
        <w:keepLines w:val="0"/>
        <w:pageBreakBefore w:val="0"/>
        <w:widowControl w:val="0"/>
        <w:tabs>
          <w:tab w:val="left" w:pos="6480"/>
        </w:tabs>
        <w:kinsoku/>
        <w:wordWrap/>
        <w:overflowPunct/>
        <w:topLinePunct w:val="0"/>
        <w:autoSpaceDE/>
        <w:autoSpaceDN/>
        <w:bidi w:val="0"/>
        <w:adjustRightInd w:val="0"/>
        <w:snapToGrid w:val="0"/>
        <w:spacing w:line="360" w:lineRule="auto"/>
        <w:ind w:firstLine="1600" w:firstLineChars="500"/>
        <w:textAlignment w:val="auto"/>
        <w:rPr>
          <w:rFonts w:hint="default" w:ascii="Times New Roman" w:hAnsi="Times New Roman" w:eastAsia="仿宋_GB2312" w:cs="Times New Roman"/>
          <w:color w:val="000000"/>
          <w:kern w:val="0"/>
          <w:sz w:val="32"/>
          <w:lang w:eastAsia="zh-CN"/>
        </w:rPr>
      </w:pPr>
      <w:r>
        <w:rPr>
          <w:rFonts w:hint="default" w:ascii="Times New Roman" w:hAnsi="Times New Roman" w:eastAsia="仿宋_GB2312" w:cs="Times New Roman"/>
          <w:color w:val="000000"/>
          <w:kern w:val="0"/>
          <w:sz w:val="32"/>
        </w:rPr>
        <w:t>审核定稿人：</w:t>
      </w:r>
      <w:r>
        <w:rPr>
          <w:rFonts w:hint="default" w:ascii="Times New Roman" w:hAnsi="Times New Roman" w:eastAsia="仿宋_GB2312" w:cs="Times New Roman"/>
          <w:color w:val="000000"/>
          <w:kern w:val="0"/>
          <w:sz w:val="32"/>
          <w:lang w:eastAsia="zh-CN"/>
        </w:rPr>
        <w:t>饶旭军</w:t>
      </w:r>
    </w:p>
    <w:p w14:paraId="6210098D">
      <w:pPr>
        <w:keepNext w:val="0"/>
        <w:keepLines w:val="0"/>
        <w:pageBreakBefore w:val="0"/>
        <w:widowControl w:val="0"/>
        <w:tabs>
          <w:tab w:val="left" w:pos="6480"/>
        </w:tabs>
        <w:kinsoku/>
        <w:wordWrap/>
        <w:overflowPunct/>
        <w:topLinePunct w:val="0"/>
        <w:autoSpaceDE/>
        <w:autoSpaceDN/>
        <w:bidi w:val="0"/>
        <w:adjustRightInd w:val="0"/>
        <w:snapToGrid w:val="0"/>
        <w:spacing w:line="360" w:lineRule="auto"/>
        <w:ind w:firstLine="1600" w:firstLineChars="500"/>
        <w:textAlignment w:val="auto"/>
        <w:rPr>
          <w:rFonts w:hint="default" w:ascii="Times New Roman" w:hAnsi="Times New Roman" w:eastAsia="仿宋_GB2312" w:cs="Times New Roman"/>
          <w:color w:val="000000"/>
          <w:kern w:val="0"/>
          <w:sz w:val="32"/>
        </w:rPr>
      </w:pPr>
      <w:r>
        <w:rPr>
          <w:rFonts w:hint="default" w:ascii="Times New Roman" w:hAnsi="Times New Roman" w:eastAsia="仿宋_GB2312" w:cs="Times New Roman"/>
          <w:color w:val="000000"/>
          <w:kern w:val="0"/>
          <w:sz w:val="32"/>
        </w:rPr>
        <w:t>评价负责人：</w:t>
      </w:r>
      <w:r>
        <w:rPr>
          <w:rFonts w:hint="default" w:ascii="Times New Roman" w:hAnsi="Times New Roman" w:eastAsia="仿宋_GB2312" w:cs="Times New Roman"/>
          <w:color w:val="000000"/>
          <w:kern w:val="0"/>
          <w:sz w:val="32"/>
          <w:lang w:eastAsia="zh-CN"/>
        </w:rPr>
        <w:t>周路平</w:t>
      </w:r>
    </w:p>
    <w:p w14:paraId="10EB93C4">
      <w:pPr>
        <w:keepNext w:val="0"/>
        <w:keepLines w:val="0"/>
        <w:pageBreakBefore w:val="0"/>
        <w:widowControl w:val="0"/>
        <w:tabs>
          <w:tab w:val="left" w:pos="6480"/>
        </w:tabs>
        <w:kinsoku/>
        <w:wordWrap/>
        <w:overflowPunct/>
        <w:topLinePunct w:val="0"/>
        <w:autoSpaceDE/>
        <w:autoSpaceDN/>
        <w:bidi w:val="0"/>
        <w:adjustRightInd w:val="0"/>
        <w:snapToGrid w:val="0"/>
        <w:spacing w:line="360" w:lineRule="auto"/>
        <w:ind w:firstLine="1600" w:firstLineChars="500"/>
        <w:textAlignment w:val="auto"/>
        <w:rPr>
          <w:rFonts w:hint="default" w:ascii="Times New Roman" w:hAnsi="Times New Roman" w:eastAsia="仿宋_GB2312" w:cs="Times New Roman"/>
          <w:color w:val="000000"/>
          <w:kern w:val="0"/>
          <w:sz w:val="32"/>
        </w:rPr>
      </w:pPr>
      <w:r>
        <w:rPr>
          <w:rFonts w:hint="default" w:ascii="Times New Roman" w:hAnsi="Times New Roman" w:eastAsia="仿宋_GB2312" w:cs="Times New Roman"/>
          <w:color w:val="000000"/>
          <w:kern w:val="0"/>
          <w:sz w:val="32"/>
        </w:rPr>
        <w:t>评价机构联系电话</w:t>
      </w:r>
      <w:r>
        <w:rPr>
          <w:rFonts w:hint="default" w:ascii="Times New Roman" w:hAnsi="Times New Roman" w:eastAsia="仿宋_GB2312" w:cs="Times New Roman"/>
          <w:color w:val="000000"/>
          <w:kern w:val="0"/>
          <w:sz w:val="32"/>
          <w:lang w:eastAsia="zh-CN"/>
        </w:rPr>
        <w:t>：0870-3170896</w:t>
      </w:r>
    </w:p>
    <w:p w14:paraId="4F13E2A4">
      <w:pPr>
        <w:pStyle w:val="471"/>
        <w:ind w:firstLine="0" w:firstLineChars="0"/>
        <w:jc w:val="center"/>
        <w:rPr>
          <w:rFonts w:hAnsi="宋体"/>
          <w:color w:val="auto"/>
        </w:rPr>
      </w:pPr>
    </w:p>
    <w:p w14:paraId="7A42351D">
      <w:pPr>
        <w:pStyle w:val="471"/>
        <w:ind w:firstLine="0" w:firstLineChars="0"/>
        <w:jc w:val="center"/>
        <w:rPr>
          <w:rFonts w:hAnsi="宋体"/>
          <w:color w:val="auto"/>
        </w:rPr>
      </w:pPr>
    </w:p>
    <w:p w14:paraId="26B3C91B">
      <w:pPr>
        <w:keepNext w:val="0"/>
        <w:keepLines w:val="0"/>
        <w:pageBreakBefore w:val="0"/>
        <w:widowControl w:val="0"/>
        <w:tabs>
          <w:tab w:val="left" w:pos="6480"/>
        </w:tabs>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_GB2312" w:cs="Times New Roman"/>
          <w:color w:val="000000"/>
          <w:kern w:val="0"/>
          <w:sz w:val="32"/>
          <w:szCs w:val="24"/>
        </w:rPr>
      </w:pPr>
    </w:p>
    <w:p w14:paraId="200E481C">
      <w:pPr>
        <w:keepNext w:val="0"/>
        <w:keepLines w:val="0"/>
        <w:pageBreakBefore w:val="0"/>
        <w:widowControl w:val="0"/>
        <w:tabs>
          <w:tab w:val="left" w:pos="6480"/>
        </w:tabs>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_GB2312" w:cs="Times New Roman"/>
          <w:color w:val="000000"/>
          <w:kern w:val="0"/>
          <w:sz w:val="32"/>
          <w:szCs w:val="24"/>
        </w:rPr>
      </w:pPr>
    </w:p>
    <w:p w14:paraId="216B2283">
      <w:pPr>
        <w:keepNext w:val="0"/>
        <w:keepLines w:val="0"/>
        <w:pageBreakBefore w:val="0"/>
        <w:widowControl w:val="0"/>
        <w:tabs>
          <w:tab w:val="left" w:pos="6480"/>
        </w:tabs>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_GB2312" w:cs="Times New Roman"/>
          <w:color w:val="000000"/>
          <w:kern w:val="0"/>
          <w:sz w:val="32"/>
          <w:szCs w:val="24"/>
          <w:lang w:val="en-US" w:eastAsia="zh-CN"/>
        </w:rPr>
      </w:pPr>
      <w:r>
        <w:rPr>
          <w:rFonts w:hint="eastAsia" w:ascii="Times New Roman" w:eastAsia="仿宋_GB2312" w:cs="Times New Roman"/>
          <w:color w:val="000000"/>
          <w:kern w:val="0"/>
          <w:sz w:val="32"/>
          <w:szCs w:val="24"/>
          <w:lang w:eastAsia="zh-CN"/>
        </w:rPr>
        <w:t>昭通市鼎安科技有限公司（</w:t>
      </w:r>
      <w:r>
        <w:rPr>
          <w:rFonts w:hint="eastAsia" w:ascii="Times New Roman" w:eastAsia="仿宋_GB2312" w:cs="Times New Roman"/>
          <w:color w:val="000000"/>
          <w:kern w:val="0"/>
          <w:sz w:val="32"/>
          <w:szCs w:val="24"/>
          <w:lang w:val="en-US" w:eastAsia="zh-CN"/>
        </w:rPr>
        <w:t>公章）</w:t>
      </w:r>
    </w:p>
    <w:p w14:paraId="39BC55FD">
      <w:pPr>
        <w:keepNext w:val="0"/>
        <w:keepLines w:val="0"/>
        <w:pageBreakBefore w:val="0"/>
        <w:widowControl w:val="0"/>
        <w:tabs>
          <w:tab w:val="left" w:pos="6480"/>
        </w:tabs>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仿宋_GB2312" w:cs="Times New Roman"/>
          <w:color w:val="000000"/>
          <w:kern w:val="0"/>
          <w:sz w:val="32"/>
          <w:szCs w:val="24"/>
        </w:rPr>
        <w:sectPr>
          <w:headerReference r:id="rId8" w:type="first"/>
          <w:footerReference r:id="rId10" w:type="first"/>
          <w:headerReference r:id="rId7" w:type="default"/>
          <w:footerReference r:id="rId9" w:type="default"/>
          <w:pgSz w:w="11906" w:h="16838"/>
          <w:pgMar w:top="1417" w:right="1134" w:bottom="1134" w:left="1587" w:header="850" w:footer="567" w:gutter="0"/>
          <w:pgNumType w:start="1"/>
          <w:cols w:space="720" w:num="1"/>
          <w:titlePg/>
          <w:rtlGutter w:val="0"/>
          <w:docGrid w:type="linesAndChars" w:linePitch="381" w:charSpace="0"/>
        </w:sectPr>
      </w:pPr>
      <w:r>
        <w:rPr>
          <w:rFonts w:hint="eastAsia" w:ascii="Times New Roman" w:hAnsi="Times New Roman" w:eastAsia="仿宋_GB2312" w:cs="Times New Roman"/>
          <w:color w:val="000000"/>
          <w:kern w:val="0"/>
          <w:sz w:val="32"/>
          <w:szCs w:val="24"/>
        </w:rPr>
        <w:t>202</w:t>
      </w:r>
      <w:r>
        <w:rPr>
          <w:rFonts w:hint="eastAsia" w:ascii="Times New Roman" w:eastAsia="仿宋_GB2312" w:cs="Times New Roman"/>
          <w:color w:val="000000"/>
          <w:kern w:val="0"/>
          <w:sz w:val="32"/>
          <w:szCs w:val="24"/>
          <w:lang w:val="en-US" w:eastAsia="zh-CN"/>
        </w:rPr>
        <w:t>5</w:t>
      </w:r>
      <w:r>
        <w:rPr>
          <w:rFonts w:hint="eastAsia" w:ascii="Times New Roman" w:hAnsi="Times New Roman" w:eastAsia="仿宋_GB2312" w:cs="Times New Roman"/>
          <w:color w:val="000000"/>
          <w:kern w:val="0"/>
          <w:sz w:val="32"/>
          <w:szCs w:val="24"/>
        </w:rPr>
        <w:t>年</w:t>
      </w:r>
      <w:r>
        <w:rPr>
          <w:rFonts w:hint="eastAsia" w:ascii="Times New Roman" w:eastAsia="仿宋_GB2312" w:cs="Times New Roman"/>
          <w:color w:val="000000"/>
          <w:kern w:val="0"/>
          <w:sz w:val="32"/>
          <w:szCs w:val="24"/>
          <w:lang w:val="en-US" w:eastAsia="zh-CN"/>
        </w:rPr>
        <w:t>7</w:t>
      </w:r>
      <w:r>
        <w:rPr>
          <w:rFonts w:hint="eastAsia" w:ascii="Times New Roman" w:hAnsi="Times New Roman" w:eastAsia="仿宋_GB2312" w:cs="Times New Roman"/>
          <w:color w:val="000000"/>
          <w:kern w:val="0"/>
          <w:sz w:val="32"/>
          <w:szCs w:val="24"/>
        </w:rPr>
        <w:t>月</w:t>
      </w:r>
    </w:p>
    <w:p w14:paraId="23BDA829">
      <w:pPr>
        <w:pStyle w:val="3"/>
        <w:keepNext/>
        <w:keepLines/>
        <w:pageBreakBefore w:val="0"/>
        <w:widowControl w:val="0"/>
        <w:numPr>
          <w:ilvl w:val="0"/>
          <w:numId w:val="0"/>
        </w:numPr>
        <w:kinsoku/>
        <w:wordWrap/>
        <w:overflowPunct/>
        <w:topLinePunct w:val="0"/>
        <w:autoSpaceDE/>
        <w:autoSpaceDN/>
        <w:bidi w:val="0"/>
        <w:adjustRightInd/>
        <w:snapToGrid w:val="0"/>
        <w:spacing w:before="193"/>
        <w:textAlignment w:val="auto"/>
        <w:outlineLvl w:val="0"/>
        <w:rPr>
          <w:rFonts w:hint="default" w:ascii="Times New Roman" w:hAnsi="Times New Roman" w:eastAsia="黑体" w:cs="Times New Roman"/>
          <w:b/>
          <w:bCs/>
          <w:snapToGrid w:val="0"/>
          <w:color w:val="000000"/>
          <w:kern w:val="0"/>
          <w:sz w:val="44"/>
          <w:szCs w:val="44"/>
          <w:lang w:val="en-US" w:eastAsia="zh-CN" w:bidi="ar-SA"/>
        </w:rPr>
      </w:pPr>
      <w:bookmarkStart w:id="0" w:name="_Toc115443035"/>
      <w:bookmarkStart w:id="1" w:name="_Toc115441118"/>
      <w:bookmarkStart w:id="2" w:name="_Toc96334644"/>
      <w:bookmarkStart w:id="3" w:name="_Toc115259487"/>
      <w:bookmarkStart w:id="4" w:name="_Toc96004014"/>
      <w:bookmarkStart w:id="5" w:name="_Toc90911245"/>
      <w:bookmarkStart w:id="6" w:name="_Toc90911520"/>
      <w:bookmarkStart w:id="7" w:name="_Toc115442400"/>
      <w:bookmarkStart w:id="8" w:name="_Toc121393464"/>
      <w:bookmarkStart w:id="9" w:name="_Toc96019326"/>
      <w:bookmarkStart w:id="10" w:name="_Toc115259616"/>
      <w:bookmarkStart w:id="11" w:name="_Toc109064458"/>
      <w:bookmarkStart w:id="12" w:name="_Toc115260039"/>
      <w:bookmarkStart w:id="13" w:name="_Toc118882904"/>
      <w:bookmarkStart w:id="14" w:name="_Toc120784593"/>
      <w:bookmarkStart w:id="15" w:name="_Toc118813836"/>
      <w:bookmarkStart w:id="16" w:name="_Toc22051"/>
      <w:bookmarkStart w:id="17" w:name="_Toc115259723"/>
      <w:bookmarkStart w:id="18" w:name="_Toc119052699"/>
      <w:bookmarkStart w:id="19" w:name="_Toc119006230"/>
      <w:bookmarkStart w:id="20" w:name="_Toc116130721"/>
      <w:bookmarkStart w:id="21" w:name="_Toc120791453"/>
      <w:bookmarkStart w:id="22" w:name="_Toc115263322"/>
      <w:bookmarkStart w:id="23" w:name="_Toc27651"/>
      <w:bookmarkStart w:id="24" w:name="_Toc1150"/>
      <w:bookmarkStart w:id="25" w:name="_Toc31647"/>
      <w:bookmarkStart w:id="26" w:name="_Toc120722233"/>
      <w:bookmarkStart w:id="27" w:name="_Toc96004319"/>
      <w:bookmarkStart w:id="28" w:name="_Toc22112"/>
      <w:bookmarkStart w:id="29" w:name="_Toc6869"/>
      <w:bookmarkStart w:id="30" w:name="_Toc18391"/>
      <w:bookmarkStart w:id="31" w:name="_Toc99006063"/>
      <w:bookmarkStart w:id="32" w:name="_Toc28221"/>
      <w:bookmarkStart w:id="33" w:name="_Toc118815657"/>
      <w:bookmarkStart w:id="34" w:name="_Toc17295"/>
      <w:bookmarkStart w:id="35" w:name="_Toc9575"/>
      <w:bookmarkStart w:id="36" w:name="_Toc28760"/>
      <w:bookmarkStart w:id="37" w:name="_Toc30383"/>
      <w:bookmarkStart w:id="38" w:name="_Toc90909132"/>
      <w:bookmarkStart w:id="39" w:name="_Toc8880"/>
      <w:r>
        <w:rPr>
          <w:rFonts w:hint="eastAsia" w:ascii="Times New Roman" w:hAnsi="Times New Roman" w:eastAsia="黑体" w:cs="Times New Roman"/>
          <w:b/>
          <w:bCs/>
          <w:snapToGrid w:val="0"/>
          <w:color w:val="000000"/>
          <w:kern w:val="0"/>
          <w:sz w:val="44"/>
          <w:szCs w:val="44"/>
          <w:lang w:val="en-US" w:eastAsia="zh-CN" w:bidi="ar-SA"/>
        </w:rPr>
        <w:t xml:space="preserve">前 </w:t>
      </w:r>
      <w:r>
        <w:rPr>
          <w:rFonts w:hint="eastAsia" w:ascii="Times New Roman" w:cs="Times New Roman"/>
          <w:b/>
          <w:bCs/>
          <w:snapToGrid w:val="0"/>
          <w:color w:val="000000"/>
          <w:kern w:val="0"/>
          <w:sz w:val="44"/>
          <w:szCs w:val="44"/>
          <w:lang w:val="en-US" w:eastAsia="zh-CN" w:bidi="ar-SA"/>
        </w:rPr>
        <w:t xml:space="preserve"> </w:t>
      </w:r>
      <w:r>
        <w:rPr>
          <w:rFonts w:hint="eastAsia" w:ascii="Times New Roman" w:hAnsi="Times New Roman" w:eastAsia="黑体" w:cs="Times New Roman"/>
          <w:b/>
          <w:bCs/>
          <w:snapToGrid w:val="0"/>
          <w:color w:val="000000"/>
          <w:kern w:val="0"/>
          <w:sz w:val="44"/>
          <w:szCs w:val="44"/>
          <w:lang w:val="en-US" w:eastAsia="zh-CN" w:bidi="ar-SA"/>
        </w:rPr>
        <w:t>言</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05550D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cs="Times New Roman"/>
          <w:snapToGrid w:val="0"/>
          <w:color w:val="000000"/>
          <w:kern w:val="0"/>
          <w:sz w:val="28"/>
          <w:szCs w:val="28"/>
        </w:rPr>
      </w:pPr>
      <w:r>
        <w:rPr>
          <w:rFonts w:hint="default" w:ascii="Times New Roman" w:hAnsi="Times New Roman" w:cs="Times New Roman"/>
          <w:snapToGrid w:val="0"/>
          <w:color w:val="000000"/>
          <w:kern w:val="0"/>
          <w:sz w:val="28"/>
          <w:szCs w:val="28"/>
        </w:rPr>
        <w:t>随着我国法制化的日趋健全和完善，安全生产监督管理体系也逐步向科学化、规范化、制度化发展，“安全第一、预防为主、综合治理”是我们党和国家始终不渝的安全生产方针，开展安全评价正是突出这个方针的一项重要工作，是这个方针在企业安全生产中的具体体现。安全评价不仅能有效地提高企业和生产设备的本质安全程度，而且可为各级监管部门的决策和监督检查提供有力的技术支撑。</w:t>
      </w:r>
    </w:p>
    <w:p w14:paraId="46FFA4A6">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rStyle w:val="170"/>
          <w:rFonts w:eastAsia="宋体"/>
          <w:bCs w:val="0"/>
          <w:color w:val="auto"/>
        </w:rPr>
      </w:pPr>
      <w:r>
        <w:rPr>
          <w:rFonts w:hint="eastAsia"/>
          <w:color w:val="auto"/>
        </w:rPr>
        <w:t>云南瓮福祥丰氟硅新材料有限公司成立于2023年2月23日，位于云南省昆明市安宁市禄脿街道安宁化工园区内。</w:t>
      </w:r>
      <w:r>
        <w:rPr>
          <w:rFonts w:hint="eastAsia" w:hAnsi="宋体"/>
          <w:color w:val="auto"/>
          <w:szCs w:val="24"/>
        </w:rPr>
        <w:t>为</w:t>
      </w:r>
      <w:r>
        <w:rPr>
          <w:rFonts w:hAnsi="宋体"/>
          <w:color w:val="auto"/>
          <w:szCs w:val="24"/>
        </w:rPr>
        <w:t>充分利用</w:t>
      </w:r>
      <w:r>
        <w:rPr>
          <w:rFonts w:hint="eastAsia" w:hAnsi="宋体"/>
          <w:color w:val="auto"/>
          <w:szCs w:val="24"/>
        </w:rPr>
        <w:t>云南祥丰金麦有限公司</w:t>
      </w:r>
      <w:r>
        <w:rPr>
          <w:rFonts w:hAnsi="宋体"/>
          <w:color w:val="auto"/>
          <w:szCs w:val="24"/>
        </w:rPr>
        <w:t>磷酸装置副产氟硅酸方面的资源优势，借力瓮福在氟硅酸制备无水氟化氢方面的技术优势</w:t>
      </w:r>
      <w:r>
        <w:rPr>
          <w:rFonts w:hint="eastAsia"/>
          <w:color w:val="auto"/>
        </w:rPr>
        <w:t>，</w:t>
      </w:r>
      <w:r>
        <w:rPr>
          <w:rFonts w:hint="eastAsia" w:hAnsi="宋体"/>
          <w:color w:val="auto"/>
          <w:szCs w:val="24"/>
        </w:rPr>
        <w:t>瓮福集团和云南祥丰金麦有限公司</w:t>
      </w:r>
      <w:r>
        <w:rPr>
          <w:rFonts w:hAnsi="宋体"/>
          <w:color w:val="auto"/>
          <w:szCs w:val="24"/>
        </w:rPr>
        <w:t>组建</w:t>
      </w:r>
      <w:r>
        <w:rPr>
          <w:rFonts w:hint="eastAsia" w:hAnsi="宋体"/>
          <w:color w:val="auto"/>
          <w:szCs w:val="24"/>
        </w:rPr>
        <w:t>云南瓮福祥丰氟硅新材料有限公司</w:t>
      </w:r>
      <w:r>
        <w:rPr>
          <w:rFonts w:hAnsi="宋体"/>
          <w:color w:val="auto"/>
          <w:szCs w:val="24"/>
        </w:rPr>
        <w:t>，建设产能为</w:t>
      </w:r>
      <w:r>
        <w:rPr>
          <w:rFonts w:hint="eastAsia" w:hAnsi="宋体"/>
          <w:color w:val="auto"/>
          <w:szCs w:val="24"/>
        </w:rPr>
        <w:t>3</w:t>
      </w:r>
      <w:r>
        <w:rPr>
          <w:rFonts w:hAnsi="宋体"/>
          <w:color w:val="auto"/>
          <w:szCs w:val="24"/>
        </w:rPr>
        <w:t>万吨/年</w:t>
      </w:r>
      <w:r>
        <w:rPr>
          <w:rFonts w:hint="eastAsia" w:hAnsi="宋体"/>
          <w:color w:val="auto"/>
          <w:szCs w:val="24"/>
        </w:rPr>
        <w:t>无水</w:t>
      </w:r>
      <w:r>
        <w:rPr>
          <w:rFonts w:hAnsi="宋体"/>
          <w:color w:val="auto"/>
          <w:szCs w:val="24"/>
        </w:rPr>
        <w:t>氟化氢</w:t>
      </w:r>
      <w:r>
        <w:rPr>
          <w:rFonts w:hint="eastAsia" w:hAnsi="宋体"/>
          <w:color w:val="auto"/>
          <w:szCs w:val="24"/>
        </w:rPr>
        <w:t>和2</w:t>
      </w:r>
      <w:r>
        <w:rPr>
          <w:rFonts w:hAnsi="宋体"/>
          <w:color w:val="auto"/>
          <w:szCs w:val="24"/>
        </w:rPr>
        <w:t>万吨/年</w:t>
      </w:r>
      <w:r>
        <w:rPr>
          <w:rFonts w:hint="eastAsia" w:hAnsi="宋体"/>
          <w:color w:val="auto"/>
          <w:szCs w:val="24"/>
        </w:rPr>
        <w:t>电子氢氟酸装置，本项目为3</w:t>
      </w:r>
      <w:r>
        <w:rPr>
          <w:rFonts w:hAnsi="宋体"/>
          <w:color w:val="auto"/>
          <w:szCs w:val="24"/>
        </w:rPr>
        <w:t>万吨/年</w:t>
      </w:r>
      <w:r>
        <w:rPr>
          <w:rFonts w:hint="eastAsia" w:hAnsi="宋体"/>
          <w:color w:val="auto"/>
          <w:szCs w:val="24"/>
        </w:rPr>
        <w:t>无水</w:t>
      </w:r>
      <w:r>
        <w:rPr>
          <w:rFonts w:hAnsi="宋体"/>
          <w:color w:val="auto"/>
          <w:szCs w:val="24"/>
        </w:rPr>
        <w:t>氟化氢</w:t>
      </w:r>
      <w:r>
        <w:rPr>
          <w:rFonts w:hint="eastAsia" w:hAnsi="宋体"/>
          <w:color w:val="auto"/>
          <w:szCs w:val="24"/>
        </w:rPr>
        <w:t>和2</w:t>
      </w:r>
      <w:r>
        <w:rPr>
          <w:rFonts w:hAnsi="宋体"/>
          <w:color w:val="auto"/>
          <w:szCs w:val="24"/>
        </w:rPr>
        <w:t>万吨/年</w:t>
      </w:r>
      <w:r>
        <w:rPr>
          <w:rFonts w:hint="eastAsia" w:hAnsi="宋体"/>
          <w:color w:val="auto"/>
          <w:szCs w:val="24"/>
        </w:rPr>
        <w:t>电子氢氟酸装置配套厂外公用工程管架建设项目</w:t>
      </w:r>
      <w:r>
        <w:rPr>
          <w:rFonts w:hint="default" w:ascii="Times New Roman" w:hAnsi="Times New Roman" w:cs="Times New Roman"/>
          <w:snapToGrid w:val="0"/>
          <w:color w:val="000000"/>
          <w:kern w:val="0"/>
          <w:sz w:val="28"/>
          <w:szCs w:val="28"/>
        </w:rPr>
        <w:t>。</w:t>
      </w:r>
    </w:p>
    <w:p w14:paraId="1DDA6B02">
      <w:pPr>
        <w:pStyle w:val="122"/>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rFonts w:hint="eastAsia" w:ascii="宋体" w:hAnsi="Times New Roman" w:eastAsia="宋体" w:cs="宋体"/>
          <w:color w:val="auto"/>
          <w:sz w:val="28"/>
          <w:lang w:val="en-US" w:eastAsia="zh-CN" w:bidi="ar-SA"/>
        </w:rPr>
      </w:pPr>
      <w:r>
        <w:rPr>
          <w:rFonts w:hint="eastAsia" w:ascii="宋体" w:hAnsi="Times New Roman" w:eastAsia="宋体" w:cs="宋体"/>
          <w:color w:val="auto"/>
          <w:sz w:val="28"/>
          <w:lang w:val="en-US" w:eastAsia="zh-CN" w:bidi="ar-SA"/>
        </w:rPr>
        <w:t>根据《中华人民共和国安全生产法》（中华人民共和国主席令第13号，根据中华人民共和国主席令第88号修订，2021年09月01日施行）、《危险化学品建设项目安全监督管理办法》（2012年01月30日国家安全监管总局令第45号公布，根据2015年05月27日国家安全监管总局令第79号修正）、《关于印发&lt;危险化学品生产建设项目安全风险防控指南（试行）&gt;的通知》（应急〔2022〕52号）、《关于进一步加强危险化学品生产建设项目安全风险防控工作的通知》（云应急〔2024〕43号）等有关安全生产法律、法规、部门规章的要求，云南瓮福祥丰氟硅新材料有限公司委托昭通市鼎安科技有限公司对3万吨/年无水氟化氢和2万吨/年电子级氢氟酸厂外公用工程管架建设项目进行安全验收评价。</w:t>
      </w:r>
    </w:p>
    <w:p w14:paraId="62C0D38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Times New Roman" w:eastAsia="宋体" w:cs="宋体"/>
          <w:color w:val="auto"/>
          <w:sz w:val="28"/>
          <w:lang w:val="en-US" w:eastAsia="zh-CN" w:bidi="ar-SA"/>
        </w:rPr>
      </w:pPr>
      <w:r>
        <w:rPr>
          <w:rFonts w:hint="eastAsia" w:ascii="宋体" w:hAnsi="Times New Roman" w:eastAsia="宋体" w:cs="宋体"/>
          <w:color w:val="auto"/>
          <w:sz w:val="28"/>
          <w:lang w:val="en-US" w:eastAsia="zh-CN" w:bidi="ar-SA"/>
        </w:rPr>
        <w:t>在接受该单位的安全验收评价工作的委托之后，昭通市鼎安科技有限公司立即成立评价组，组织有关安全评价人员进行该项目的安全验收评价工作。</w:t>
      </w:r>
    </w:p>
    <w:p w14:paraId="165FBB0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Times New Roman" w:eastAsia="宋体" w:cs="宋体"/>
          <w:color w:val="auto"/>
          <w:sz w:val="28"/>
          <w:lang w:val="en-US" w:eastAsia="zh-CN" w:bidi="ar-SA"/>
        </w:rPr>
      </w:pPr>
      <w:r>
        <w:rPr>
          <w:rFonts w:hint="eastAsia" w:ascii="宋体" w:hAnsi="Times New Roman" w:eastAsia="宋体" w:cs="宋体"/>
          <w:color w:val="auto"/>
          <w:sz w:val="28"/>
          <w:lang w:val="en-US" w:eastAsia="zh-CN" w:bidi="ar-SA"/>
        </w:rPr>
        <w:t>在评价报告编写过程中，得到了各级应急管理部门、云南瓮福祥丰氟硅新材料有限公司有关领导和技术人员的大力支持，同时引用了一些专家学者的研究成果和技术资料，在此一并表示感谢。</w:t>
      </w:r>
    </w:p>
    <w:p w14:paraId="428D1DAA">
      <w:pPr>
        <w:pStyle w:val="12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color w:val="auto"/>
        </w:rPr>
        <w:sectPr>
          <w:headerReference r:id="rId11" w:type="default"/>
          <w:footerReference r:id="rId12" w:type="default"/>
          <w:pgSz w:w="11905" w:h="16838"/>
          <w:pgMar w:top="1417" w:right="1134" w:bottom="1134" w:left="1587" w:header="850" w:footer="680" w:gutter="0"/>
          <w:pgNumType w:start="1"/>
          <w:cols w:space="0" w:num="1"/>
          <w:rtlGutter w:val="0"/>
          <w:docGrid w:type="lines" w:linePitch="386" w:charSpace="0"/>
        </w:sectPr>
      </w:pPr>
    </w:p>
    <w:p w14:paraId="499A9B7C">
      <w:pPr>
        <w:pStyle w:val="3"/>
        <w:keepNext/>
        <w:keepLines/>
        <w:pageBreakBefore w:val="0"/>
        <w:widowControl w:val="0"/>
        <w:numPr>
          <w:ilvl w:val="0"/>
          <w:numId w:val="0"/>
        </w:numPr>
        <w:kinsoku/>
        <w:wordWrap/>
        <w:overflowPunct/>
        <w:topLinePunct w:val="0"/>
        <w:autoSpaceDE/>
        <w:autoSpaceDN/>
        <w:bidi w:val="0"/>
        <w:adjustRightInd/>
        <w:snapToGrid w:val="0"/>
        <w:spacing w:before="193"/>
        <w:textAlignment w:val="auto"/>
        <w:outlineLvl w:val="0"/>
        <w:rPr>
          <w:rFonts w:hint="default" w:ascii="Times New Roman" w:hAnsi="Times New Roman" w:eastAsia="黑体" w:cs="Times New Roman"/>
          <w:b/>
          <w:bCs/>
          <w:snapToGrid w:val="0"/>
          <w:color w:val="000000"/>
          <w:kern w:val="0"/>
          <w:sz w:val="44"/>
          <w:szCs w:val="44"/>
          <w:lang w:val="en-US" w:eastAsia="zh-CN" w:bidi="ar-SA"/>
        </w:rPr>
      </w:pPr>
      <w:bookmarkStart w:id="40" w:name="_Toc12232"/>
      <w:bookmarkStart w:id="41" w:name="_Toc25554"/>
      <w:bookmarkStart w:id="42" w:name="_Toc18455"/>
      <w:r>
        <w:rPr>
          <w:rFonts w:hint="eastAsia" w:ascii="Times New Roman" w:hAnsi="Times New Roman" w:eastAsia="黑体" w:cs="Times New Roman"/>
          <w:b/>
          <w:bCs/>
          <w:snapToGrid w:val="0"/>
          <w:color w:val="000000"/>
          <w:kern w:val="0"/>
          <w:sz w:val="44"/>
          <w:szCs w:val="44"/>
          <w:lang w:val="en-US" w:eastAsia="zh-CN" w:bidi="ar-SA"/>
        </w:rPr>
        <w:t>目  录</w:t>
      </w:r>
      <w:bookmarkEnd w:id="40"/>
      <w:bookmarkEnd w:id="41"/>
      <w:bookmarkEnd w:id="42"/>
    </w:p>
    <w:p w14:paraId="493657A0">
      <w:pPr>
        <w:pStyle w:val="55"/>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color w:val="auto"/>
          <w:sz w:val="28"/>
          <w:szCs w:val="28"/>
        </w:rPr>
        <w:fldChar w:fldCharType="begin"/>
      </w:r>
      <w:r>
        <w:rPr>
          <w:rFonts w:hint="default" w:ascii="Times New Roman" w:hAnsi="Times New Roman" w:eastAsia="宋体" w:cs="Times New Roman"/>
          <w:color w:val="auto"/>
          <w:sz w:val="28"/>
          <w:szCs w:val="28"/>
        </w:rPr>
        <w:instrText xml:space="preserve"> TOC \o "1-3" \h \z \u </w:instrText>
      </w:r>
      <w:r>
        <w:rPr>
          <w:rFonts w:hint="default" w:ascii="Times New Roman" w:hAnsi="Times New Roman" w:eastAsia="宋体" w:cs="Times New Roman"/>
          <w:color w:val="auto"/>
          <w:sz w:val="28"/>
          <w:szCs w:val="28"/>
        </w:rPr>
        <w:fldChar w:fldCharType="separate"/>
      </w: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_Toc10856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rPr>
        <w:t>第一部分：安全评价报告主要内容</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_Toc10856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75C9445E">
      <w:pPr>
        <w:pStyle w:val="55"/>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_Toc13827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lang w:val="en-US"/>
        </w:rPr>
        <w:t xml:space="preserve">第1章 </w:t>
      </w:r>
      <w:r>
        <w:rPr>
          <w:rFonts w:hint="default" w:ascii="Times New Roman" w:hAnsi="Times New Roman" w:eastAsia="宋体" w:cs="Times New Roman"/>
          <w:sz w:val="28"/>
          <w:szCs w:val="28"/>
        </w:rPr>
        <w:t>安全评价工作经过</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_Toc13827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099CF55A">
      <w:pPr>
        <w:pStyle w:val="68"/>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_Toc15662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sz w:val="28"/>
          <w:szCs w:val="28"/>
        </w:rPr>
        <w:t>1.1 前期准备情况</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_Toc15662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77F9C4B2">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_Toc5227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sz w:val="28"/>
          <w:szCs w:val="28"/>
        </w:rPr>
        <w:t>1.1.1 任务来源</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_Toc5227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4AEF75BE">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_Toc18534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sz w:val="28"/>
          <w:szCs w:val="28"/>
        </w:rPr>
        <w:t>1.1.2 收集资料</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_Toc18534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068D51F9">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_Toc16272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sz w:val="28"/>
          <w:szCs w:val="28"/>
        </w:rPr>
        <w:t>1.1.3 评价目的</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_Toc16272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10E85417">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_Toc8246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sz w:val="28"/>
          <w:szCs w:val="28"/>
        </w:rPr>
        <w:t>1.1.4 评价原则</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_Toc8246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056C19B0">
      <w:pPr>
        <w:pStyle w:val="68"/>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_Toc28037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sz w:val="28"/>
          <w:szCs w:val="28"/>
        </w:rPr>
        <w:t>1.2 评价对象及范围</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_Toc28037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57DBB035">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_Toc12996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sz w:val="28"/>
          <w:szCs w:val="28"/>
        </w:rPr>
        <w:t>1.2.1 评价对象</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_Toc12996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01555A08">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_Toc10936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sz w:val="28"/>
          <w:szCs w:val="28"/>
        </w:rPr>
        <w:t>1.2.2 评价范围</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_Toc10936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18F4C692">
      <w:pPr>
        <w:pStyle w:val="68"/>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_Toc15925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sz w:val="28"/>
          <w:szCs w:val="28"/>
        </w:rPr>
        <w:t>1.3 工作经过和程序</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_Toc15925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3A962BB8">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_Toc23134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sz w:val="28"/>
          <w:szCs w:val="28"/>
        </w:rPr>
        <w:t>1.3.1 工作经过</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_Toc23134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4ED97539">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_Toc26610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sz w:val="28"/>
          <w:szCs w:val="28"/>
        </w:rPr>
        <w:t>1.3.2 安全评价程序</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_Toc26610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6</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24A2B20E">
      <w:pPr>
        <w:pStyle w:val="68"/>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_Toc10045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sz w:val="28"/>
          <w:szCs w:val="28"/>
        </w:rPr>
        <w:t>1.4 评价基准日</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_Toc10045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6</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44591F6D">
      <w:pPr>
        <w:pStyle w:val="68"/>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_Toc18103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sz w:val="28"/>
          <w:szCs w:val="28"/>
        </w:rPr>
        <w:t>1.5 评价报告使用权声明</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_Toc18103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6</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5DD60CA0">
      <w:pPr>
        <w:pStyle w:val="55"/>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_Toc20453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lang w:val="en-US"/>
        </w:rPr>
        <w:t xml:space="preserve">第2章 </w:t>
      </w:r>
      <w:r>
        <w:rPr>
          <w:rFonts w:hint="default" w:ascii="Times New Roman" w:hAnsi="Times New Roman" w:eastAsia="宋体" w:cs="Times New Roman"/>
          <w:sz w:val="28"/>
          <w:szCs w:val="28"/>
        </w:rPr>
        <w:t>建设项目概况</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_Toc20453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3ED834CA">
      <w:pPr>
        <w:pStyle w:val="68"/>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_Toc15993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sz w:val="28"/>
          <w:szCs w:val="28"/>
        </w:rPr>
        <w:t>2.1 建设单位基本情况</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_Toc15993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244E14FB">
      <w:pPr>
        <w:pStyle w:val="68"/>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_Toc20885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sz w:val="28"/>
          <w:szCs w:val="28"/>
        </w:rPr>
        <w:t>2.2 建设项目概况</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_Toc20885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8</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16E30794">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_Toc17450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sz w:val="28"/>
          <w:szCs w:val="28"/>
        </w:rPr>
        <w:t>2.2.1 项目基本情况</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_Toc17450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8</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1CB65635">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_Toc20317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sz w:val="28"/>
          <w:szCs w:val="28"/>
        </w:rPr>
        <w:t xml:space="preserve">2.2.2 </w:t>
      </w:r>
      <w:r>
        <w:rPr>
          <w:rFonts w:hint="default" w:ascii="Times New Roman" w:hAnsi="Times New Roman" w:eastAsia="宋体" w:cs="Times New Roman"/>
          <w:bCs/>
          <w:sz w:val="28"/>
          <w:szCs w:val="28"/>
          <w:lang w:val="en-US" w:eastAsia="zh-CN"/>
        </w:rPr>
        <w:t>项目建设历程</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_Toc20317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31C945BD">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_Toc4319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sz w:val="28"/>
          <w:szCs w:val="28"/>
        </w:rPr>
        <w:t xml:space="preserve">2.2.3 </w:t>
      </w:r>
      <w:r>
        <w:rPr>
          <w:rFonts w:hint="default" w:ascii="Times New Roman" w:hAnsi="Times New Roman" w:eastAsia="宋体" w:cs="Times New Roman"/>
          <w:snapToGrid w:val="0"/>
          <w:kern w:val="0"/>
          <w:sz w:val="28"/>
          <w:szCs w:val="28"/>
        </w:rPr>
        <w:t>项目涉及单位情况</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_Toc4319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16</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3E473C84">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_Toc16189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rPr>
        <w:t>2.2.4 建设项目采用的主要技术、工艺和国内外同类建设项目水平对比情况</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_Toc16189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3F65A1EA">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_Toc18149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rPr>
        <w:t>2.2.5 建设项目地理位置、用地面积和生产、储存规模</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_Toc18149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10D52A52">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_Toc30035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rPr>
        <w:t>2.2.6 建设项目涉及的主要原辅料、产品</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_Toc30035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0D0E2716">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napToGrid w:val="0"/>
          <w:kern w:val="0"/>
          <w:sz w:val="28"/>
          <w:szCs w:val="28"/>
          <w:lang w:val="en-US" w:eastAsia="zh-CN"/>
        </w:rPr>
        <w:sectPr>
          <w:footerReference r:id="rId13" w:type="default"/>
          <w:pgSz w:w="11905" w:h="16838"/>
          <w:pgMar w:top="1417" w:right="1134" w:bottom="1134" w:left="1587" w:header="850" w:footer="680" w:gutter="0"/>
          <w:pgNumType w:fmt="upperRoman" w:start="1"/>
          <w:cols w:space="0" w:num="1"/>
          <w:rtlGutter w:val="0"/>
          <w:docGrid w:type="lines" w:linePitch="386" w:charSpace="0"/>
        </w:sect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_Toc24778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rPr>
        <w:t xml:space="preserve">2.2.7 </w:t>
      </w:r>
      <w:r>
        <w:rPr>
          <w:rFonts w:hint="default" w:ascii="Times New Roman" w:hAnsi="Times New Roman" w:eastAsia="宋体" w:cs="Times New Roman"/>
          <w:snapToGrid w:val="0"/>
          <w:kern w:val="0"/>
          <w:sz w:val="28"/>
          <w:szCs w:val="28"/>
          <w:lang w:val="en-US" w:eastAsia="zh-CN"/>
        </w:rPr>
        <w:t>主要工艺流程、主要装置（设备）和设施的布局及其上下游装置</w:t>
      </w:r>
    </w:p>
    <w:p w14:paraId="159B6440">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snapToGrid w:val="0"/>
          <w:kern w:val="0"/>
          <w:sz w:val="28"/>
          <w:szCs w:val="28"/>
          <w:lang w:val="en-US" w:eastAsia="zh-CN"/>
        </w:rPr>
        <w:t>的</w:t>
      </w:r>
      <w:r>
        <w:rPr>
          <w:rFonts w:hint="default" w:ascii="Times New Roman" w:hAnsi="Times New Roman" w:eastAsia="宋体" w:cs="Times New Roman"/>
          <w:snapToGrid w:val="0"/>
          <w:kern w:val="0"/>
          <w:sz w:val="28"/>
          <w:szCs w:val="28"/>
        </w:rPr>
        <w:t>关系</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_Toc24778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1D5EFA80">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_Toc9552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2.2.8 建设项目配套和辅助工程名称、能力、介质来源</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_Toc9552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5DE90579">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_Toc16745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2.2.9 建设项目选用的主要装置（设备）和设施名称、型号（或者规格）、材质、数量和主要特种设备</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_Toc16745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4F2DB9C4">
      <w:pPr>
        <w:pStyle w:val="68"/>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_Toc29907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sz w:val="28"/>
          <w:szCs w:val="28"/>
          <w:lang w:val="en-US" w:eastAsia="zh-CN"/>
        </w:rPr>
        <w:t>2.3 建设项目安全设施、安全投资</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_Toc29907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36</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0DEFACD1">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_Toc13673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2.3.1 安全设施</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_Toc13673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36</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61A9F1F4">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_Toc19800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2.3.2 安全投资</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_Toc19800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52A3FB9A">
      <w:pPr>
        <w:pStyle w:val="68"/>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_Toc31206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sz w:val="28"/>
          <w:szCs w:val="28"/>
          <w:lang w:val="en-US" w:eastAsia="zh-CN"/>
        </w:rPr>
        <w:t>2.4 工程质量、安全设施调试检测、设计变更情况</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_Toc31206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626C03A6">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_Toc21211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2.4.1 工程质量、安全设施调试检测情况</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_Toc21211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3207E2F9">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_Toc14608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2.4.2 设计变更情况</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_Toc14608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23F22625">
      <w:pPr>
        <w:pStyle w:val="68"/>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_Toc19556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sz w:val="28"/>
          <w:szCs w:val="28"/>
          <w:lang w:val="en-US" w:eastAsia="zh-CN"/>
        </w:rPr>
        <w:t>2.5 安全管理</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_Toc19556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45768655">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_Toc13569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2.5.1 安全管理机构及人员</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_Toc13569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41238AD6">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_Toc30224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2.5.2 人员持证情况</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_Toc30224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42EC2044">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_Toc23074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2.5.3 管理权限</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_Toc23074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43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2B65D288">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_Toc12379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2.5.4 安全管理规章制度</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_Toc12379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43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0F4E6E35">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_Toc32212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2.5.5 安全管理台帐</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_Toc32212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44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42ECFCF1">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_Toc24240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2.5.6 事故应急预案及应急救援物资配备情况</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_Toc24240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44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3835981C">
      <w:pPr>
        <w:pStyle w:val="68"/>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_Toc29492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sz w:val="28"/>
          <w:szCs w:val="28"/>
          <w:lang w:val="en-US" w:eastAsia="zh-CN"/>
        </w:rPr>
        <w:t>2.6 试生产情况</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_Toc29492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47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62C9BCD7">
      <w:pPr>
        <w:pStyle w:val="55"/>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_Toc6031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lang w:val="en-US"/>
        </w:rPr>
        <w:t xml:space="preserve">第3章 </w:t>
      </w:r>
      <w:r>
        <w:rPr>
          <w:rFonts w:hint="default" w:ascii="Times New Roman" w:hAnsi="Times New Roman" w:eastAsia="宋体" w:cs="Times New Roman"/>
          <w:sz w:val="28"/>
          <w:szCs w:val="28"/>
          <w:lang w:val="en-US" w:eastAsia="zh-CN"/>
        </w:rPr>
        <w:t>主要危险、有害因素辨识结果及依据说明</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_Toc6031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49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3A190994">
      <w:pPr>
        <w:pStyle w:val="68"/>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_Toc12086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sz w:val="28"/>
          <w:szCs w:val="28"/>
          <w:lang w:val="en-US" w:eastAsia="zh-CN"/>
        </w:rPr>
        <w:t>3.1 主要危险、有害因素辨识依据</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_Toc12086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49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588E790C">
      <w:pPr>
        <w:pStyle w:val="68"/>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_Toc6856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sz w:val="28"/>
          <w:szCs w:val="28"/>
          <w:lang w:val="en-US" w:eastAsia="zh-CN"/>
        </w:rPr>
        <w:t>3.2 主要危险、有害物质辨识结果</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_Toc6856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49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6F22AC6E">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_Toc15983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3.2.1 主要危险、有害物质及危险化学品辨识结果</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_Toc15983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49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28E7AC97">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_Toc26261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3.2.2 主要危险、有害物质的危险性及存在部位</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_Toc26261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49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7BBE8629">
      <w:pPr>
        <w:pStyle w:val="68"/>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_Toc19111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sz w:val="28"/>
          <w:szCs w:val="28"/>
          <w:lang w:val="en-US" w:eastAsia="zh-CN"/>
        </w:rPr>
        <w:t>3.3 主要危险、有害因素分析结果</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_Toc19111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52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36260D19">
      <w:pPr>
        <w:pStyle w:val="68"/>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_Toc6198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sz w:val="28"/>
          <w:szCs w:val="28"/>
          <w:lang w:val="en-US" w:eastAsia="zh-CN"/>
        </w:rPr>
        <w:t>3.4 主要危险、有害因素发布汇总</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_Toc6198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52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7FD57093">
      <w:pPr>
        <w:pStyle w:val="68"/>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_Toc4181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sz w:val="28"/>
          <w:szCs w:val="28"/>
          <w:lang w:val="en-US" w:eastAsia="zh-CN"/>
        </w:rPr>
        <w:t>3.5 剧毒化学品、易制毒化学品、监控化学品、易制爆危险化学品、重点监管的危险化学品以及特别管控危险化学品辨识结果</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_Toc4181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53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58A643C8">
      <w:pPr>
        <w:pStyle w:val="68"/>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_Toc9730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sz w:val="28"/>
          <w:szCs w:val="28"/>
          <w:lang w:val="en-US" w:eastAsia="zh-CN"/>
        </w:rPr>
        <w:t>3.6 重点监管危险化工工艺和淘汰工艺、淘汰设备辨识结果</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_Toc9730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53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70B24955">
      <w:pPr>
        <w:pStyle w:val="68"/>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_Toc18834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sz w:val="28"/>
          <w:szCs w:val="28"/>
          <w:lang w:val="en-US" w:eastAsia="zh-CN"/>
        </w:rPr>
        <w:t>3.7 重大危险源辨识结果</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_Toc18834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54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277EA9FE">
      <w:pPr>
        <w:pStyle w:val="55"/>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_Toc21769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lang w:val="en-US"/>
        </w:rPr>
        <w:t xml:space="preserve">第4章 </w:t>
      </w:r>
      <w:r>
        <w:rPr>
          <w:rFonts w:hint="default" w:ascii="Times New Roman" w:hAnsi="Times New Roman" w:eastAsia="宋体" w:cs="Times New Roman"/>
          <w:sz w:val="28"/>
          <w:szCs w:val="28"/>
          <w:lang w:val="en-US" w:eastAsia="zh-CN"/>
        </w:rPr>
        <w:t>安全</w:t>
      </w:r>
      <w:r>
        <w:rPr>
          <w:rFonts w:hint="default" w:ascii="Times New Roman" w:hAnsi="Times New Roman" w:eastAsia="宋体" w:cs="Times New Roman"/>
          <w:sz w:val="28"/>
          <w:szCs w:val="28"/>
        </w:rPr>
        <w:t>评价单元</w:t>
      </w:r>
      <w:r>
        <w:rPr>
          <w:rFonts w:hint="default" w:ascii="Times New Roman" w:hAnsi="Times New Roman" w:eastAsia="宋体" w:cs="Times New Roman"/>
          <w:sz w:val="28"/>
          <w:szCs w:val="28"/>
          <w:lang w:val="en-US" w:eastAsia="zh-CN"/>
        </w:rPr>
        <w:t>的</w:t>
      </w:r>
      <w:r>
        <w:rPr>
          <w:rFonts w:hint="default" w:ascii="Times New Roman" w:hAnsi="Times New Roman" w:eastAsia="宋体" w:cs="Times New Roman"/>
          <w:sz w:val="28"/>
          <w:szCs w:val="28"/>
        </w:rPr>
        <w:t>划分</w:t>
      </w:r>
      <w:r>
        <w:rPr>
          <w:rFonts w:hint="default" w:ascii="Times New Roman" w:hAnsi="Times New Roman" w:eastAsia="宋体" w:cs="Times New Roman"/>
          <w:sz w:val="28"/>
          <w:szCs w:val="28"/>
          <w:lang w:val="en-US" w:eastAsia="zh-CN"/>
        </w:rPr>
        <w:t>结果</w:t>
      </w:r>
      <w:r>
        <w:rPr>
          <w:rFonts w:hint="default" w:ascii="Times New Roman" w:hAnsi="Times New Roman" w:eastAsia="宋体" w:cs="Times New Roman"/>
          <w:sz w:val="28"/>
          <w:szCs w:val="28"/>
        </w:rPr>
        <w:t>及</w:t>
      </w:r>
      <w:r>
        <w:rPr>
          <w:rFonts w:hint="default" w:ascii="Times New Roman" w:hAnsi="Times New Roman" w:eastAsia="宋体" w:cs="Times New Roman"/>
          <w:sz w:val="28"/>
          <w:szCs w:val="28"/>
          <w:lang w:val="en-US" w:eastAsia="zh-CN"/>
        </w:rPr>
        <w:t>理由说明</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_Toc21769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55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2E0D3129">
      <w:pPr>
        <w:pStyle w:val="68"/>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_Toc9309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sz w:val="28"/>
          <w:szCs w:val="28"/>
          <w:lang w:val="en-US" w:eastAsia="zh-CN"/>
        </w:rPr>
        <w:t>4.1 评价单元的划分理由</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_Toc9309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55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792E5A6B">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_Toc9380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4.1.1 评价单元划分原则</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_Toc9380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55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7C99B9C4">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_Toc20153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4.1.2 评价单元划分方法</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_Toc20153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55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339CBFBE">
      <w:pPr>
        <w:pStyle w:val="68"/>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_Toc11946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sz w:val="28"/>
          <w:szCs w:val="28"/>
          <w:lang w:val="en-US" w:eastAsia="zh-CN"/>
        </w:rPr>
        <w:t>4.2 评价单元划分结果</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_Toc11946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56</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1EEBF556">
      <w:pPr>
        <w:pStyle w:val="55"/>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_Toc6011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lang w:val="en-US" w:eastAsia="zh-CN"/>
        </w:rPr>
        <w:t>第5章 采用的安全评价方法及理由说明</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_Toc6011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57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17A99200">
      <w:pPr>
        <w:pStyle w:val="68"/>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_Toc6544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sz w:val="28"/>
          <w:szCs w:val="28"/>
          <w:lang w:val="en-US" w:eastAsia="zh-CN"/>
        </w:rPr>
        <w:t>5.1 评价方法的选择</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_Toc6544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57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57F6F800">
      <w:pPr>
        <w:pStyle w:val="68"/>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_Toc6762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sz w:val="28"/>
          <w:szCs w:val="28"/>
          <w:lang w:val="en-US" w:eastAsia="zh-CN"/>
        </w:rPr>
        <w:t>5.2 各评价单元采用的评价方法</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_Toc6762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57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2BF40C86">
      <w:pPr>
        <w:pStyle w:val="68"/>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_Toc3198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sz w:val="28"/>
          <w:szCs w:val="28"/>
          <w:lang w:val="en-US" w:eastAsia="zh-CN"/>
        </w:rPr>
        <w:t>5.3 评价方法选用理由说明</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_Toc3198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58</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5FF0A617">
      <w:pPr>
        <w:pStyle w:val="55"/>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_Toc31370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lang w:val="en-US"/>
        </w:rPr>
        <w:t xml:space="preserve">第6章 </w:t>
      </w:r>
      <w:r>
        <w:rPr>
          <w:rFonts w:hint="default" w:ascii="Times New Roman" w:hAnsi="Times New Roman" w:eastAsia="宋体" w:cs="Times New Roman"/>
          <w:sz w:val="28"/>
          <w:szCs w:val="28"/>
        </w:rPr>
        <w:t>安全条件和安全生产条件分析结果</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_Toc31370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59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06852093">
      <w:pPr>
        <w:pStyle w:val="68"/>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_Toc15615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sz w:val="28"/>
          <w:szCs w:val="28"/>
          <w:lang w:val="en-US" w:eastAsia="zh-CN"/>
        </w:rPr>
        <w:t>6.1 项目安全条件分析评价结果</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_Toc15615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59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0F4EF21D">
      <w:pPr>
        <w:pStyle w:val="68"/>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_Toc901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sz w:val="28"/>
          <w:szCs w:val="28"/>
          <w:lang w:val="en-US" w:eastAsia="zh-CN"/>
        </w:rPr>
        <w:t>6.2 项目安全生产条件分析评价结果</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_Toc901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60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78E0D56B">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_Toc11061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6.2.1 选址及总平面布置分析评价</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_Toc11061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60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705AC1C6">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_Toc5004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6.2.2 工艺及装置分析评价</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_Toc5004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61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14F1F58F">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_Toc2240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6.2.3 安全设施分析评价</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_Toc2240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62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7B63EE5A">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_Toc31024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6.2.4 公用工程分析评价</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_Toc31024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62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7B77DFC4">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_Toc26542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6.2.5 安全管理分析评价</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_Toc26542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62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135F680A">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_Toc3321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6.2.6 重大生产安全事故隐患判定</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_Toc3321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63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39E6823D">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_Toc31287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6.2.7 三同时符合性分析评价</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_Toc31287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63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313808CD">
      <w:pPr>
        <w:pStyle w:val="68"/>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_Toc19659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sz w:val="28"/>
          <w:szCs w:val="28"/>
          <w:lang w:val="en-US" w:eastAsia="zh-CN"/>
        </w:rPr>
        <w:t>6.3 事故案例的后果、原因</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_Toc19659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64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3EBC8182">
      <w:pPr>
        <w:pStyle w:val="55"/>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_Toc12564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lang w:val="en-US"/>
        </w:rPr>
        <w:t xml:space="preserve">第7章 </w:t>
      </w:r>
      <w:r>
        <w:rPr>
          <w:rFonts w:hint="default" w:ascii="Times New Roman" w:hAnsi="Times New Roman" w:eastAsia="宋体" w:cs="Times New Roman"/>
          <w:sz w:val="28"/>
          <w:szCs w:val="28"/>
        </w:rPr>
        <w:t>安全对策与建议</w:t>
      </w:r>
      <w:r>
        <w:rPr>
          <w:rFonts w:hint="default" w:ascii="Times New Roman" w:hAnsi="Times New Roman" w:eastAsia="宋体" w:cs="Times New Roman"/>
          <w:sz w:val="28"/>
          <w:szCs w:val="28"/>
          <w:lang w:val="en-US" w:eastAsia="zh-CN"/>
        </w:rPr>
        <w:t>结论</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_Toc12564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65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133518E3">
      <w:pPr>
        <w:pStyle w:val="68"/>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_Toc12119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sz w:val="28"/>
          <w:szCs w:val="28"/>
          <w:lang w:val="en-US" w:eastAsia="zh-CN"/>
        </w:rPr>
        <w:t>7.1 安全对策与建议</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_Toc12119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65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5443FD7E">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_Toc13734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7.1.1 安全设施的更新与改进</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_Toc13734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65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10EA00E9">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_Toc22567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7.1.2 安全条件和安全生产条件的完善与维护</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_Toc22567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66</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7AC0D8DA">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_Toc26190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7.1.3 主要装置、设备（设施）和特种设备的维护与保养</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_Toc26190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67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579A3BF3">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_Toc22795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7.1.4 安全生产投入</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_Toc22795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68</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2A922A23">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_Toc28331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7.1.5 其他方面</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_Toc28331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69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09089344">
      <w:pPr>
        <w:pStyle w:val="68"/>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_Toc21490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sz w:val="28"/>
          <w:szCs w:val="28"/>
          <w:lang w:val="en-US" w:eastAsia="zh-CN"/>
        </w:rPr>
        <w:t>7.2 安全设施竣工验收评价结论</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_Toc21490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70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27C70DA6">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_Toc8854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7.2.1 主要危险、有害物质</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_Toc8854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70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683339EE">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_Toc10351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7.2.2 主要存在的危险、有害因素及重大危险源辨识结果</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_Toc10351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70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73EF5D34">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_Toc14858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7.2.3 重点防范的重大事故和危害</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_Toc14858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71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152C424E">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_Toc29302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7.2.4 安全设施竣工验收评价结论</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_Toc29302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71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0A677C1B">
      <w:pPr>
        <w:pStyle w:val="55"/>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_Toc15719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rPr>
        <w:t>第</w:t>
      </w:r>
      <w:r>
        <w:rPr>
          <w:rFonts w:hint="default" w:ascii="Times New Roman" w:hAnsi="Times New Roman" w:eastAsia="宋体" w:cs="Times New Roman"/>
          <w:snapToGrid w:val="0"/>
          <w:kern w:val="0"/>
          <w:sz w:val="28"/>
          <w:szCs w:val="28"/>
          <w:lang w:val="en-US" w:eastAsia="zh-CN"/>
        </w:rPr>
        <w:t>8</w:t>
      </w:r>
      <w:r>
        <w:rPr>
          <w:rFonts w:hint="default" w:ascii="Times New Roman" w:hAnsi="Times New Roman" w:eastAsia="宋体" w:cs="Times New Roman"/>
          <w:snapToGrid w:val="0"/>
          <w:kern w:val="0"/>
          <w:sz w:val="28"/>
          <w:szCs w:val="28"/>
        </w:rPr>
        <w:t>章 与建设单位交换意见情况结果</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_Toc15719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73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52DF200E">
      <w:pPr>
        <w:pStyle w:val="55"/>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_Toc3108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rPr>
        <w:t>第二部分：安全评价报告附件</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_Toc3108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74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787C7FC3">
      <w:pPr>
        <w:pStyle w:val="55"/>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_Toc11437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rPr>
        <w:t>附件1  平面布置图、流程图以及安全评价过程制作的图表</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_Toc11437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75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032D48E5">
      <w:pPr>
        <w:pStyle w:val="68"/>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_Toc4740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sz w:val="28"/>
          <w:szCs w:val="28"/>
          <w:lang w:val="en-US" w:eastAsia="zh-CN"/>
        </w:rPr>
        <w:t>1.1 平面布置图</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_Toc4740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75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3EDBBBC4">
      <w:pPr>
        <w:pStyle w:val="68"/>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_Toc413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sz w:val="28"/>
          <w:szCs w:val="28"/>
          <w:lang w:val="en-US" w:eastAsia="zh-CN"/>
        </w:rPr>
        <w:t>1.2 安全评价过程制作的图表</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_Toc413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75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303F44E3">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_Toc11690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rPr>
        <w:t>1.2.1</w:t>
      </w:r>
      <w:r>
        <w:rPr>
          <w:rFonts w:hint="default" w:ascii="Times New Roman" w:hAnsi="Times New Roman" w:eastAsia="宋体" w:cs="Times New Roman"/>
          <w:snapToGrid w:val="0"/>
          <w:kern w:val="0"/>
          <w:sz w:val="28"/>
          <w:szCs w:val="28"/>
          <w:lang w:eastAsia="zh-CN"/>
        </w:rPr>
        <w:t>本</w:t>
      </w:r>
      <w:r>
        <w:rPr>
          <w:rFonts w:hint="default" w:ascii="Times New Roman" w:hAnsi="Times New Roman" w:eastAsia="宋体" w:cs="Times New Roman"/>
          <w:snapToGrid w:val="0"/>
          <w:kern w:val="0"/>
          <w:sz w:val="28"/>
          <w:szCs w:val="28"/>
        </w:rPr>
        <w:t>场地及周边环境现状照片</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_Toc11690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75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0F79AB91">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_Toc27625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rPr>
        <w:t>1.2.1</w:t>
      </w:r>
      <w:r>
        <w:rPr>
          <w:rFonts w:hint="default" w:ascii="Times New Roman" w:hAnsi="Times New Roman" w:eastAsia="宋体" w:cs="Times New Roman"/>
          <w:snapToGrid w:val="0"/>
          <w:kern w:val="0"/>
          <w:sz w:val="28"/>
          <w:szCs w:val="28"/>
          <w:lang w:val="en-US" w:eastAsia="zh-CN"/>
        </w:rPr>
        <w:t>特种设备</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_Toc27625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78</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5F69B5B5">
      <w:pPr>
        <w:pStyle w:val="55"/>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_Toc7850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rPr>
        <w:t>附件2 选用的评价方法简介</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_Toc7850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79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2688BB32">
      <w:pPr>
        <w:pStyle w:val="68"/>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_Toc24536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sz w:val="28"/>
          <w:szCs w:val="28"/>
          <w:lang w:val="en-US" w:eastAsia="zh-CN"/>
        </w:rPr>
        <w:t>2.1安全检查表法（SCA）</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_Toc24536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79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1ADC6C39">
      <w:pPr>
        <w:pStyle w:val="68"/>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_Toc27181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sz w:val="28"/>
          <w:szCs w:val="28"/>
          <w:lang w:val="en-US" w:eastAsia="zh-CN"/>
        </w:rPr>
        <w:t>2.2安全检查法：</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_Toc27181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79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225966BE">
      <w:pPr>
        <w:pStyle w:val="68"/>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_Toc4867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sz w:val="28"/>
          <w:szCs w:val="28"/>
          <w:lang w:val="en-US" w:eastAsia="zh-CN"/>
        </w:rPr>
        <w:t>2.3事故树分析法（FTA）简介</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_Toc4867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80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21899480">
      <w:pPr>
        <w:pStyle w:val="55"/>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_Toc27820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rPr>
        <w:t>附件3 定性、定量分析危险、有害程度的过程</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_Toc27820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82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63F0B103">
      <w:pPr>
        <w:pStyle w:val="68"/>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_Toc8225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sz w:val="28"/>
          <w:szCs w:val="28"/>
          <w:lang w:val="en-US" w:eastAsia="zh-CN"/>
        </w:rPr>
        <w:t>3.1主要危险、有害因素辨识与分析过程</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_Toc8225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82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7526786D">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_Toc19874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rPr>
        <w:t>3.1.1主要危险、有害因素辨识与分析的目的</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_Toc19874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82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021C4ADC">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_Toc4595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rPr>
        <w:t>3.1.2辨识与分析的方法</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_Toc4595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82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56189AD2">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_Toc12594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rPr>
        <w:t>3.1.3危险、有害因素产生的原因</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_Toc12594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82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44F388A6">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_Toc22224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3.1.4主要危险、有害物质辨识</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_Toc22224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83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76847CBA">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_Toc17427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3.1.5</w:t>
      </w:r>
      <w:r>
        <w:rPr>
          <w:rFonts w:hint="default" w:ascii="Times New Roman" w:hAnsi="Times New Roman" w:eastAsia="宋体" w:cs="Times New Roman"/>
          <w:snapToGrid w:val="0"/>
          <w:kern w:val="0"/>
          <w:sz w:val="28"/>
          <w:szCs w:val="28"/>
        </w:rPr>
        <w:t>危险、有害因素分析过程</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_Toc17427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93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0C30134D">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_Toc26983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3.1.6剧毒化学品、易制毒化学品、监控化学品、易制爆危险化学品、重点监管的危险化学品以及特别管控危险化学品辨识</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_Toc26983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107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260383BD">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_Toc23487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3.1.7重大危险源辨识</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_Toc23487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108</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0925B6B7">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_Toc8364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3.1.8爆炸危险区域划分</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_Toc8364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109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48C0F8A2">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_Toc30007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3.1.9本章小结</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_Toc30007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109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57BAC349">
      <w:pPr>
        <w:pStyle w:val="68"/>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_Toc26635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sz w:val="28"/>
          <w:szCs w:val="28"/>
          <w:lang w:val="en-US" w:eastAsia="zh-CN"/>
        </w:rPr>
        <w:t>3.2 定性、定量分析过程</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_Toc26635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111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3C2375E0">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_Toc28386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3.2.1外部安全条件评价单元分析评价</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_Toc28386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111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080274EB">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_Toc27221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3.2.2选址及总平面布置评价单元分析评价</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_Toc27221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122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0895561A">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_Toc32326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3.2.3工艺及装置分析评价</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_Toc32326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130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36E25D71">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_Toc19720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3.2.4安全设施分析评价</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_Toc19720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137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1DDD6C36">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_Toc18143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3.2.5公用工程分析评价</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_Toc18143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139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482899C6">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_Toc32267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3.2.6安全管理分析评价</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_Toc32267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140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3B343FAC">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_Toc29642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3.2.7重大生产安全事故隐患判定单元</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_Toc29642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148</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77CC9BA2">
      <w:pPr>
        <w:pStyle w:val="40"/>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_Toc3953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lang w:val="en-US" w:eastAsia="zh-CN"/>
        </w:rPr>
        <w:t>3.2.8“三同时”符合性评价单元</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_Toc3953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151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6E8A4CE1">
      <w:pPr>
        <w:pStyle w:val="55"/>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_Toc6592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napToGrid w:val="0"/>
          <w:kern w:val="0"/>
          <w:sz w:val="28"/>
          <w:szCs w:val="28"/>
        </w:rPr>
        <w:t>附件4 安全评价依据</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_Toc6592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182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67F5F694">
      <w:pPr>
        <w:pStyle w:val="68"/>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_Toc10043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sz w:val="28"/>
          <w:szCs w:val="28"/>
          <w:lang w:val="en-US" w:eastAsia="zh-CN"/>
        </w:rPr>
        <w:t>4.1国家法律</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_Toc10043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182</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343F60CE">
      <w:pPr>
        <w:pStyle w:val="68"/>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_Toc27911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sz w:val="28"/>
          <w:szCs w:val="28"/>
          <w:lang w:val="en-US" w:eastAsia="zh-CN"/>
        </w:rPr>
        <w:t>4.2 行政法规</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_Toc27911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183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3026CF32">
      <w:pPr>
        <w:pStyle w:val="68"/>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_Toc13978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sz w:val="28"/>
          <w:szCs w:val="28"/>
          <w:lang w:val="en-US" w:eastAsia="zh-CN"/>
        </w:rPr>
        <w:t>4.3部门规章及规范性文件</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_Toc13978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183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1FB0B64E">
      <w:pPr>
        <w:pStyle w:val="68"/>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_Toc6124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sz w:val="28"/>
          <w:szCs w:val="28"/>
          <w:lang w:val="en-US" w:eastAsia="zh-CN"/>
        </w:rPr>
        <w:t>4.4地方有关法规、文件</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_Toc6124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188</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5D51E513">
      <w:pPr>
        <w:pStyle w:val="68"/>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_Toc19717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sz w:val="28"/>
          <w:szCs w:val="28"/>
          <w:lang w:val="en-US" w:eastAsia="zh-CN"/>
        </w:rPr>
        <w:t>4.5国家标准、规范</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_Toc19717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189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7269EE65">
      <w:pPr>
        <w:pStyle w:val="68"/>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_Toc10493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bCs w:val="0"/>
          <w:sz w:val="28"/>
          <w:szCs w:val="28"/>
          <w:lang w:val="en-US" w:eastAsia="zh-CN"/>
        </w:rPr>
        <w:t>4.6行业标准、规范</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_Toc10493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191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15BA6F37">
      <w:pPr>
        <w:pStyle w:val="55"/>
        <w:keepNext w:val="0"/>
        <w:keepLines w:val="0"/>
        <w:pageBreakBefore w:val="0"/>
        <w:widowControl w:val="0"/>
        <w:tabs>
          <w:tab w:val="right" w:leader="dot" w:pos="9184"/>
        </w:tabs>
        <w:kinsoku/>
        <w:wordWrap/>
        <w:overflowPunct/>
        <w:topLinePunct w:val="0"/>
        <w:autoSpaceDE/>
        <w:autoSpaceDN/>
        <w:bidi w:val="0"/>
        <w:adjustRightInd/>
        <w:snapToGrid w:val="0"/>
        <w:spacing w:line="50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bCs/>
          <w:color w:val="auto"/>
          <w:sz w:val="28"/>
          <w:szCs w:val="28"/>
        </w:rPr>
        <w:fldChar w:fldCharType="begin"/>
      </w:r>
      <w:r>
        <w:rPr>
          <w:rFonts w:hint="default" w:ascii="Times New Roman" w:hAnsi="Times New Roman" w:eastAsia="宋体" w:cs="Times New Roman"/>
          <w:bCs/>
          <w:sz w:val="28"/>
          <w:szCs w:val="28"/>
        </w:rPr>
        <w:instrText xml:space="preserve"> HYPERLINK \l _Toc20476 </w:instrText>
      </w:r>
      <w:r>
        <w:rPr>
          <w:rFonts w:hint="default" w:ascii="Times New Roman" w:hAnsi="Times New Roman" w:eastAsia="宋体" w:cs="Times New Roman"/>
          <w:bCs/>
          <w:sz w:val="28"/>
          <w:szCs w:val="28"/>
        </w:rPr>
        <w:fldChar w:fldCharType="separate"/>
      </w:r>
      <w:r>
        <w:rPr>
          <w:rFonts w:hint="default" w:ascii="Times New Roman" w:hAnsi="Times New Roman" w:eastAsia="宋体" w:cs="Times New Roman"/>
          <w:sz w:val="28"/>
          <w:szCs w:val="28"/>
        </w:rPr>
        <w:t>附件</w:t>
      </w:r>
      <w:r>
        <w:rPr>
          <w:rFonts w:hint="default" w:ascii="Times New Roman" w:hAnsi="Times New Roman" w:eastAsia="宋体" w:cs="Times New Roman"/>
          <w:sz w:val="28"/>
          <w:szCs w:val="28"/>
          <w:lang w:val="en-US" w:eastAsia="zh-CN"/>
        </w:rPr>
        <w:t>5</w:t>
      </w:r>
      <w:r>
        <w:rPr>
          <w:rFonts w:hint="default" w:ascii="Times New Roman" w:hAnsi="Times New Roman" w:eastAsia="宋体" w:cs="Times New Roman"/>
          <w:sz w:val="28"/>
          <w:szCs w:val="28"/>
        </w:rPr>
        <w:t>收集的附件</w:t>
      </w:r>
      <w:r>
        <w:rPr>
          <w:rFonts w:hint="default" w:ascii="Times New Roman" w:hAnsi="Times New Roman" w:eastAsia="宋体" w:cs="Times New Roman"/>
          <w:sz w:val="28"/>
          <w:szCs w:val="28"/>
          <w:lang w:val="en-US" w:eastAsia="zh-CN"/>
        </w:rPr>
        <w:t>资料</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_Toc20476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193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color w:val="auto"/>
          <w:sz w:val="28"/>
          <w:szCs w:val="28"/>
        </w:rPr>
        <w:fldChar w:fldCharType="end"/>
      </w:r>
    </w:p>
    <w:p w14:paraId="038D6EAA">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hAnsi="宋体"/>
          <w:bCs/>
          <w:color w:val="auto"/>
          <w:sz w:val="21"/>
          <w:szCs w:val="21"/>
        </w:rPr>
        <w:sectPr>
          <w:pgSz w:w="11905" w:h="16838"/>
          <w:pgMar w:top="1417" w:right="1134" w:bottom="1134" w:left="1587" w:header="850" w:footer="680" w:gutter="0"/>
          <w:pgNumType w:fmt="upperRoman"/>
          <w:cols w:space="0" w:num="1"/>
          <w:rtlGutter w:val="0"/>
          <w:docGrid w:type="lines" w:linePitch="386" w:charSpace="0"/>
        </w:sectPr>
      </w:pPr>
      <w:r>
        <w:rPr>
          <w:rFonts w:hint="default" w:ascii="Times New Roman" w:hAnsi="Times New Roman" w:eastAsia="宋体" w:cs="Times New Roman"/>
          <w:bCs/>
          <w:color w:val="auto"/>
          <w:sz w:val="28"/>
          <w:szCs w:val="28"/>
        </w:rPr>
        <w:fldChar w:fldCharType="end"/>
      </w:r>
    </w:p>
    <w:p w14:paraId="1DFAB1D3">
      <w:pPr>
        <w:pStyle w:val="79"/>
      </w:pPr>
    </w:p>
    <w:p w14:paraId="170AE5CD">
      <w:pPr>
        <w:adjustRightInd w:val="0"/>
        <w:snapToGrid w:val="0"/>
        <w:spacing w:line="500" w:lineRule="exact"/>
        <w:ind w:firstLine="560" w:firstLineChars="200"/>
        <w:rPr>
          <w:rFonts w:hint="default" w:ascii="Times New Roman" w:hAnsi="Times New Roman" w:cs="Times New Roman"/>
          <w:snapToGrid w:val="0"/>
          <w:color w:val="000000"/>
          <w:kern w:val="0"/>
          <w:sz w:val="28"/>
          <w:szCs w:val="28"/>
        </w:rPr>
      </w:pPr>
      <w:bookmarkStart w:id="43" w:name="_Toc47119716"/>
      <w:bookmarkStart w:id="44" w:name="_Toc18509509"/>
      <w:bookmarkStart w:id="45" w:name="_Toc47119858"/>
      <w:bookmarkStart w:id="46" w:name="_Toc90911248"/>
    </w:p>
    <w:p w14:paraId="6B2A4FB5">
      <w:pPr>
        <w:adjustRightInd w:val="0"/>
        <w:snapToGrid w:val="0"/>
        <w:spacing w:line="500" w:lineRule="exact"/>
        <w:ind w:firstLine="560" w:firstLineChars="200"/>
        <w:rPr>
          <w:rFonts w:hint="default" w:ascii="Times New Roman" w:hAnsi="Times New Roman" w:cs="Times New Roman"/>
          <w:snapToGrid w:val="0"/>
          <w:color w:val="000000"/>
          <w:kern w:val="0"/>
          <w:sz w:val="28"/>
          <w:szCs w:val="28"/>
        </w:rPr>
      </w:pPr>
    </w:p>
    <w:p w14:paraId="210283C8">
      <w:pPr>
        <w:adjustRightInd w:val="0"/>
        <w:snapToGrid w:val="0"/>
        <w:spacing w:line="500" w:lineRule="exact"/>
        <w:ind w:firstLine="560" w:firstLineChars="200"/>
        <w:rPr>
          <w:rFonts w:hint="default" w:ascii="Times New Roman" w:hAnsi="Times New Roman" w:cs="Times New Roman"/>
          <w:snapToGrid w:val="0"/>
          <w:color w:val="000000"/>
          <w:kern w:val="0"/>
          <w:sz w:val="28"/>
          <w:szCs w:val="28"/>
        </w:rPr>
      </w:pPr>
    </w:p>
    <w:p w14:paraId="20FD8FAB">
      <w:pPr>
        <w:adjustRightInd w:val="0"/>
        <w:snapToGrid w:val="0"/>
        <w:spacing w:line="500" w:lineRule="exact"/>
        <w:ind w:firstLine="560" w:firstLineChars="200"/>
        <w:rPr>
          <w:rFonts w:hint="default" w:ascii="Times New Roman" w:hAnsi="Times New Roman" w:cs="Times New Roman"/>
          <w:snapToGrid w:val="0"/>
          <w:color w:val="000000"/>
          <w:kern w:val="0"/>
          <w:sz w:val="28"/>
          <w:szCs w:val="28"/>
        </w:rPr>
      </w:pPr>
    </w:p>
    <w:p w14:paraId="67E5CB1F">
      <w:pPr>
        <w:adjustRightInd w:val="0"/>
        <w:snapToGrid w:val="0"/>
        <w:spacing w:line="500" w:lineRule="exact"/>
        <w:ind w:firstLine="560" w:firstLineChars="200"/>
        <w:rPr>
          <w:rFonts w:hint="default" w:ascii="Times New Roman" w:hAnsi="Times New Roman" w:cs="Times New Roman"/>
          <w:snapToGrid w:val="0"/>
          <w:color w:val="000000"/>
          <w:kern w:val="0"/>
          <w:sz w:val="28"/>
          <w:szCs w:val="28"/>
        </w:rPr>
      </w:pPr>
    </w:p>
    <w:p w14:paraId="732BA620">
      <w:pPr>
        <w:adjustRightInd w:val="0"/>
        <w:snapToGrid w:val="0"/>
        <w:spacing w:line="500" w:lineRule="exact"/>
        <w:ind w:firstLine="560" w:firstLineChars="200"/>
        <w:rPr>
          <w:rFonts w:hint="default" w:ascii="Times New Roman" w:hAnsi="Times New Roman" w:cs="Times New Roman"/>
          <w:snapToGrid w:val="0"/>
          <w:color w:val="000000"/>
          <w:kern w:val="0"/>
          <w:sz w:val="28"/>
          <w:szCs w:val="28"/>
        </w:rPr>
      </w:pPr>
    </w:p>
    <w:p w14:paraId="65484C6E">
      <w:pPr>
        <w:adjustRightInd w:val="0"/>
        <w:snapToGrid w:val="0"/>
        <w:spacing w:line="500" w:lineRule="exact"/>
        <w:ind w:firstLine="560" w:firstLineChars="200"/>
        <w:rPr>
          <w:rFonts w:hint="default" w:ascii="Times New Roman" w:hAnsi="Times New Roman" w:cs="Times New Roman"/>
          <w:snapToGrid w:val="0"/>
          <w:color w:val="000000"/>
          <w:kern w:val="0"/>
          <w:sz w:val="28"/>
          <w:szCs w:val="28"/>
        </w:rPr>
      </w:pPr>
    </w:p>
    <w:p w14:paraId="0BCE1497">
      <w:pPr>
        <w:adjustRightInd w:val="0"/>
        <w:snapToGrid w:val="0"/>
        <w:spacing w:line="500" w:lineRule="exact"/>
        <w:ind w:firstLine="560" w:firstLineChars="200"/>
        <w:rPr>
          <w:rFonts w:hint="default" w:ascii="Times New Roman" w:hAnsi="Times New Roman" w:cs="Times New Roman"/>
          <w:snapToGrid w:val="0"/>
          <w:color w:val="000000"/>
          <w:kern w:val="0"/>
          <w:sz w:val="28"/>
          <w:szCs w:val="28"/>
        </w:rPr>
      </w:pPr>
    </w:p>
    <w:p w14:paraId="37AA1752">
      <w:pPr>
        <w:adjustRightInd w:val="0"/>
        <w:snapToGrid w:val="0"/>
        <w:spacing w:line="500" w:lineRule="exact"/>
        <w:ind w:firstLine="560" w:firstLineChars="200"/>
        <w:rPr>
          <w:rFonts w:hint="default" w:ascii="Times New Roman" w:hAnsi="Times New Roman" w:cs="Times New Roman"/>
          <w:snapToGrid w:val="0"/>
          <w:color w:val="000000"/>
          <w:kern w:val="0"/>
          <w:sz w:val="28"/>
          <w:szCs w:val="28"/>
        </w:rPr>
      </w:pPr>
    </w:p>
    <w:p w14:paraId="3652D4DE">
      <w:pPr>
        <w:adjustRightInd w:val="0"/>
        <w:snapToGrid w:val="0"/>
        <w:spacing w:line="500" w:lineRule="exact"/>
        <w:ind w:firstLine="560" w:firstLineChars="200"/>
        <w:rPr>
          <w:rFonts w:hint="default" w:ascii="Times New Roman" w:hAnsi="Times New Roman" w:cs="Times New Roman"/>
          <w:snapToGrid w:val="0"/>
          <w:color w:val="000000"/>
          <w:kern w:val="0"/>
          <w:sz w:val="28"/>
          <w:szCs w:val="28"/>
        </w:rPr>
      </w:pPr>
    </w:p>
    <w:p w14:paraId="72CC88B8">
      <w:pPr>
        <w:pStyle w:val="3"/>
        <w:spacing w:line="500" w:lineRule="exact"/>
        <w:jc w:val="center"/>
        <w:rPr>
          <w:rFonts w:hint="default" w:ascii="Times New Roman" w:hAnsi="Times New Roman" w:eastAsia="黑体" w:cs="Times New Roman"/>
          <w:snapToGrid w:val="0"/>
          <w:color w:val="000000"/>
          <w:kern w:val="0"/>
          <w:sz w:val="44"/>
          <w:szCs w:val="44"/>
        </w:rPr>
      </w:pPr>
      <w:bookmarkStart w:id="47" w:name="_Toc10856"/>
      <w:bookmarkStart w:id="48" w:name="_Toc525651863"/>
      <w:bookmarkStart w:id="49" w:name="_Toc17458"/>
      <w:bookmarkStart w:id="50" w:name="_Toc517788188"/>
      <w:bookmarkStart w:id="51" w:name="_Toc525651349"/>
      <w:r>
        <w:rPr>
          <w:rFonts w:hint="default" w:ascii="Times New Roman" w:hAnsi="Times New Roman" w:eastAsia="黑体" w:cs="Times New Roman"/>
          <w:snapToGrid w:val="0"/>
          <w:color w:val="000000"/>
          <w:kern w:val="0"/>
          <w:sz w:val="44"/>
          <w:szCs w:val="44"/>
        </w:rPr>
        <w:t>第一部分：安全评价报告主要内容</w:t>
      </w:r>
      <w:bookmarkEnd w:id="47"/>
      <w:bookmarkEnd w:id="48"/>
      <w:bookmarkEnd w:id="49"/>
      <w:bookmarkEnd w:id="50"/>
      <w:bookmarkEnd w:id="51"/>
    </w:p>
    <w:p w14:paraId="767B3D2F">
      <w:pPr>
        <w:adjustRightInd w:val="0"/>
        <w:snapToGrid w:val="0"/>
        <w:spacing w:line="500" w:lineRule="exact"/>
        <w:ind w:firstLine="560" w:firstLineChars="200"/>
        <w:rPr>
          <w:rFonts w:hint="default" w:ascii="Times New Roman" w:hAnsi="Times New Roman" w:cs="Times New Roman"/>
          <w:snapToGrid w:val="0"/>
          <w:color w:val="000000"/>
          <w:kern w:val="0"/>
          <w:sz w:val="28"/>
          <w:szCs w:val="28"/>
        </w:rPr>
      </w:pPr>
    </w:p>
    <w:p w14:paraId="7F3BDD8D">
      <w:pPr>
        <w:adjustRightInd w:val="0"/>
        <w:snapToGrid w:val="0"/>
        <w:spacing w:line="500" w:lineRule="exact"/>
        <w:ind w:firstLine="560" w:firstLineChars="200"/>
        <w:rPr>
          <w:rFonts w:hint="default" w:ascii="Times New Roman" w:hAnsi="Times New Roman" w:cs="Times New Roman"/>
          <w:snapToGrid w:val="0"/>
          <w:color w:val="000000"/>
          <w:kern w:val="0"/>
          <w:sz w:val="28"/>
          <w:szCs w:val="28"/>
        </w:rPr>
      </w:pPr>
    </w:p>
    <w:p w14:paraId="756C53C6">
      <w:pPr>
        <w:adjustRightInd w:val="0"/>
        <w:snapToGrid w:val="0"/>
        <w:spacing w:line="500" w:lineRule="exact"/>
        <w:ind w:firstLine="560" w:firstLineChars="200"/>
        <w:rPr>
          <w:rFonts w:hint="default" w:ascii="Times New Roman" w:hAnsi="Times New Roman" w:cs="Times New Roman"/>
          <w:snapToGrid w:val="0"/>
          <w:color w:val="000000"/>
          <w:kern w:val="0"/>
          <w:sz w:val="28"/>
          <w:szCs w:val="28"/>
        </w:rPr>
      </w:pPr>
    </w:p>
    <w:p w14:paraId="41F6C19B">
      <w:pPr>
        <w:adjustRightInd w:val="0"/>
        <w:snapToGrid w:val="0"/>
        <w:spacing w:line="500" w:lineRule="exact"/>
        <w:ind w:firstLine="560" w:firstLineChars="200"/>
        <w:rPr>
          <w:rFonts w:hint="default" w:ascii="Times New Roman" w:hAnsi="Times New Roman" w:cs="Times New Roman"/>
          <w:snapToGrid w:val="0"/>
          <w:color w:val="000000"/>
          <w:kern w:val="0"/>
          <w:sz w:val="28"/>
          <w:szCs w:val="28"/>
        </w:rPr>
      </w:pPr>
    </w:p>
    <w:p w14:paraId="69C61BBA">
      <w:pPr>
        <w:bidi w:val="0"/>
        <w:rPr>
          <w:rFonts w:hint="default" w:ascii="宋体" w:hAnsi="Times New Roman" w:eastAsia="宋体" w:cs="宋体"/>
          <w:sz w:val="28"/>
          <w:lang w:val="en-US" w:eastAsia="zh-CN" w:bidi="ar-SA"/>
        </w:rPr>
      </w:pPr>
    </w:p>
    <w:p w14:paraId="050060A3">
      <w:pPr>
        <w:bidi w:val="0"/>
        <w:rPr>
          <w:rFonts w:hint="default"/>
          <w:lang w:val="en-US" w:eastAsia="zh-CN"/>
        </w:rPr>
      </w:pPr>
    </w:p>
    <w:p w14:paraId="397F948D">
      <w:pPr>
        <w:bidi w:val="0"/>
        <w:rPr>
          <w:rFonts w:hint="default"/>
          <w:lang w:val="en-US" w:eastAsia="zh-CN"/>
        </w:rPr>
      </w:pPr>
    </w:p>
    <w:p w14:paraId="0E0FF92A">
      <w:pPr>
        <w:bidi w:val="0"/>
        <w:rPr>
          <w:rFonts w:hint="default"/>
          <w:lang w:val="en-US" w:eastAsia="zh-CN"/>
        </w:rPr>
      </w:pPr>
    </w:p>
    <w:p w14:paraId="7DCD862B">
      <w:pPr>
        <w:bidi w:val="0"/>
        <w:rPr>
          <w:rFonts w:hint="default"/>
          <w:lang w:val="en-US" w:eastAsia="zh-CN"/>
        </w:rPr>
      </w:pPr>
    </w:p>
    <w:p w14:paraId="326F3554">
      <w:pPr>
        <w:bidi w:val="0"/>
        <w:rPr>
          <w:rFonts w:hint="default"/>
          <w:lang w:val="en-US" w:eastAsia="zh-CN"/>
        </w:rPr>
      </w:pPr>
    </w:p>
    <w:p w14:paraId="2EE5F14A">
      <w:pPr>
        <w:bidi w:val="0"/>
        <w:rPr>
          <w:rFonts w:hint="default"/>
          <w:lang w:val="en-US" w:eastAsia="zh-CN"/>
        </w:rPr>
      </w:pPr>
    </w:p>
    <w:p w14:paraId="68C42EAC">
      <w:pPr>
        <w:tabs>
          <w:tab w:val="left" w:pos="2799"/>
        </w:tabs>
        <w:bidi w:val="0"/>
        <w:jc w:val="left"/>
        <w:rPr>
          <w:rFonts w:hint="default"/>
          <w:lang w:val="en-US" w:eastAsia="zh-CN"/>
        </w:rPr>
        <w:sectPr>
          <w:footerReference r:id="rId14" w:type="default"/>
          <w:pgSz w:w="11906" w:h="16838"/>
          <w:pgMar w:top="1417" w:right="1134" w:bottom="1134" w:left="1587" w:header="737" w:footer="737" w:gutter="0"/>
          <w:pgNumType w:fmt="decimal" w:start="1"/>
          <w:cols w:space="720" w:num="1"/>
          <w:rtlGutter w:val="0"/>
          <w:docGrid w:linePitch="312" w:charSpace="0"/>
        </w:sectPr>
      </w:pPr>
      <w:r>
        <w:rPr>
          <w:rFonts w:hint="eastAsia"/>
          <w:lang w:val="en-US" w:eastAsia="zh-CN"/>
        </w:rPr>
        <w:tab/>
      </w:r>
    </w:p>
    <w:p w14:paraId="4ADC2853">
      <w:pPr>
        <w:pStyle w:val="3"/>
        <w:numPr>
          <w:ilvl w:val="0"/>
          <w:numId w:val="1"/>
        </w:numPr>
        <w:tabs>
          <w:tab w:val="left" w:pos="420"/>
        </w:tabs>
        <w:adjustRightInd w:val="0"/>
        <w:spacing w:before="120" w:after="120"/>
        <w:ind w:left="0"/>
        <w:rPr>
          <w:color w:val="auto"/>
          <w:sz w:val="44"/>
          <w:szCs w:val="44"/>
        </w:rPr>
      </w:pPr>
      <w:bookmarkStart w:id="52" w:name="_Toc13827"/>
      <w:r>
        <w:rPr>
          <w:rFonts w:hint="eastAsia"/>
          <w:color w:val="auto"/>
          <w:sz w:val="44"/>
          <w:szCs w:val="44"/>
        </w:rPr>
        <w:t>安全评价工作经过</w:t>
      </w:r>
      <w:bookmarkEnd w:id="43"/>
      <w:bookmarkEnd w:id="44"/>
      <w:bookmarkEnd w:id="45"/>
      <w:bookmarkEnd w:id="52"/>
    </w:p>
    <w:p w14:paraId="4E3073E7">
      <w:pPr>
        <w:pStyle w:val="4"/>
        <w:spacing w:before="193"/>
        <w:jc w:val="left"/>
        <w:rPr>
          <w:rFonts w:hint="eastAsia" w:ascii="黑体" w:hAnsi="黑体" w:eastAsia="黑体" w:cs="黑体"/>
          <w:b/>
          <w:bCs w:val="0"/>
          <w:color w:val="auto"/>
          <w:sz w:val="36"/>
          <w:szCs w:val="36"/>
        </w:rPr>
      </w:pPr>
      <w:bookmarkStart w:id="53" w:name="_Toc323036336"/>
      <w:bookmarkStart w:id="54" w:name="_Toc336009599"/>
      <w:bookmarkStart w:id="55" w:name="_Toc195176696"/>
      <w:bookmarkStart w:id="56" w:name="_Toc15662"/>
      <w:bookmarkStart w:id="57" w:name="_Toc47119717"/>
      <w:bookmarkStart w:id="58" w:name="_Toc47119859"/>
      <w:bookmarkStart w:id="59" w:name="_Toc18509510"/>
      <w:bookmarkStart w:id="60" w:name="_Toc300136533"/>
      <w:bookmarkStart w:id="61" w:name="_Toc189986303"/>
      <w:bookmarkStart w:id="62" w:name="_Toc188337766"/>
      <w:r>
        <w:rPr>
          <w:rFonts w:hint="eastAsia" w:ascii="黑体" w:hAnsi="黑体" w:eastAsia="黑体" w:cs="黑体"/>
          <w:b/>
          <w:bCs w:val="0"/>
          <w:color w:val="auto"/>
          <w:sz w:val="36"/>
          <w:szCs w:val="36"/>
        </w:rPr>
        <w:t>前期准备情况</w:t>
      </w:r>
      <w:bookmarkEnd w:id="53"/>
      <w:bookmarkEnd w:id="54"/>
      <w:bookmarkEnd w:id="55"/>
      <w:bookmarkEnd w:id="56"/>
      <w:bookmarkEnd w:id="57"/>
      <w:bookmarkEnd w:id="58"/>
      <w:bookmarkEnd w:id="59"/>
      <w:bookmarkEnd w:id="60"/>
    </w:p>
    <w:p w14:paraId="4443F21F">
      <w:pPr>
        <w:pStyle w:val="5"/>
        <w:numPr>
          <w:ilvl w:val="2"/>
          <w:numId w:val="1"/>
        </w:numPr>
        <w:adjustRightInd w:val="0"/>
        <w:spacing w:before="120" w:after="120"/>
        <w:jc w:val="both"/>
        <w:rPr>
          <w:b/>
          <w:bCs/>
          <w:color w:val="auto"/>
          <w:sz w:val="32"/>
          <w:szCs w:val="32"/>
        </w:rPr>
      </w:pPr>
      <w:bookmarkStart w:id="63" w:name="_Toc47119718"/>
      <w:bookmarkStart w:id="64" w:name="_Toc47119860"/>
      <w:bookmarkStart w:id="65" w:name="_Toc5227"/>
      <w:bookmarkStart w:id="66" w:name="_Toc323036337"/>
      <w:bookmarkStart w:id="67" w:name="_Toc18509511"/>
      <w:bookmarkStart w:id="68" w:name="_Toc195176697"/>
      <w:bookmarkStart w:id="69" w:name="_Toc336009600"/>
      <w:r>
        <w:rPr>
          <w:rFonts w:hint="eastAsia"/>
          <w:b/>
          <w:bCs/>
          <w:color w:val="auto"/>
          <w:sz w:val="32"/>
          <w:szCs w:val="32"/>
        </w:rPr>
        <w:t>任务来源</w:t>
      </w:r>
      <w:bookmarkEnd w:id="61"/>
      <w:bookmarkEnd w:id="62"/>
      <w:bookmarkEnd w:id="63"/>
      <w:bookmarkEnd w:id="64"/>
      <w:bookmarkEnd w:id="65"/>
      <w:bookmarkEnd w:id="66"/>
      <w:bookmarkEnd w:id="67"/>
      <w:bookmarkEnd w:id="68"/>
      <w:bookmarkEnd w:id="69"/>
    </w:p>
    <w:p w14:paraId="06ABEEE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cs="Times New Roman"/>
          <w:color w:val="000000"/>
          <w:sz w:val="28"/>
          <w:szCs w:val="28"/>
        </w:rPr>
      </w:pPr>
      <w:bookmarkStart w:id="70" w:name="_Toc323036338"/>
      <w:bookmarkStart w:id="71" w:name="_Toc195176698"/>
      <w:bookmarkStart w:id="72" w:name="_Toc18509512"/>
      <w:bookmarkStart w:id="73" w:name="_Toc47119719"/>
      <w:bookmarkStart w:id="74" w:name="_Toc47119861"/>
      <w:bookmarkStart w:id="75" w:name="_Toc300136534"/>
      <w:bookmarkStart w:id="76" w:name="_Toc336009601"/>
      <w:r>
        <w:rPr>
          <w:rFonts w:hint="eastAsia" w:ascii="Times New Roman" w:cs="Times New Roman"/>
          <w:color w:val="000000"/>
          <w:sz w:val="28"/>
          <w:szCs w:val="28"/>
          <w:lang w:eastAsia="zh-CN"/>
        </w:rPr>
        <w:t>云南瓮福祥丰氟硅新材料有限公司3万吨/年无水氟化氢和2万吨/年电子级氢氟酸厂外公用工程管架建设项目</w:t>
      </w:r>
      <w:r>
        <w:rPr>
          <w:rFonts w:hint="default" w:ascii="Times New Roman" w:hAnsi="Times New Roman" w:cs="Times New Roman"/>
          <w:color w:val="000000"/>
          <w:sz w:val="28"/>
          <w:szCs w:val="28"/>
        </w:rPr>
        <w:t>于2023年11月</w:t>
      </w:r>
      <w:r>
        <w:rPr>
          <w:rFonts w:hint="eastAsia" w:ascii="Times New Roman" w:cs="Times New Roman"/>
          <w:color w:val="000000"/>
          <w:sz w:val="28"/>
          <w:szCs w:val="28"/>
          <w:lang w:val="en-US" w:eastAsia="zh-CN"/>
        </w:rPr>
        <w:t>22</w:t>
      </w:r>
      <w:r>
        <w:rPr>
          <w:rFonts w:hint="default" w:ascii="Times New Roman" w:hAnsi="Times New Roman" w:cs="Times New Roman"/>
          <w:color w:val="000000"/>
          <w:sz w:val="28"/>
          <w:szCs w:val="28"/>
        </w:rPr>
        <w:t>日取得了《云南省固定资产投资项目备案证》（备案号：2311-5301</w:t>
      </w:r>
      <w:r>
        <w:rPr>
          <w:rFonts w:hint="eastAsia" w:ascii="Times New Roman" w:cs="Times New Roman"/>
          <w:color w:val="000000"/>
          <w:sz w:val="28"/>
          <w:szCs w:val="28"/>
          <w:lang w:val="en-US" w:eastAsia="zh-CN"/>
        </w:rPr>
        <w:t>81</w:t>
      </w:r>
      <w:r>
        <w:rPr>
          <w:rFonts w:hint="default" w:ascii="Times New Roman" w:hAnsi="Times New Roman" w:cs="Times New Roman"/>
          <w:color w:val="000000"/>
          <w:sz w:val="28"/>
          <w:szCs w:val="28"/>
        </w:rPr>
        <w:t>-04-01-</w:t>
      </w:r>
      <w:r>
        <w:rPr>
          <w:rFonts w:hint="eastAsia" w:ascii="Times New Roman" w:cs="Times New Roman"/>
          <w:color w:val="000000"/>
          <w:sz w:val="28"/>
          <w:szCs w:val="28"/>
          <w:lang w:val="en-US" w:eastAsia="zh-CN"/>
        </w:rPr>
        <w:t>896081</w:t>
      </w:r>
      <w:r>
        <w:rPr>
          <w:rFonts w:hint="default" w:ascii="Times New Roman" w:hAnsi="Times New Roman" w:cs="Times New Roman"/>
          <w:color w:val="000000"/>
          <w:sz w:val="28"/>
          <w:szCs w:val="28"/>
        </w:rPr>
        <w:t>），</w:t>
      </w:r>
      <w:r>
        <w:rPr>
          <w:rFonts w:hint="default" w:ascii="Times New Roman" w:hAnsi="Times New Roman" w:cs="Times New Roman"/>
          <w:color w:val="000000"/>
          <w:sz w:val="28"/>
          <w:szCs w:val="28"/>
          <w:lang w:val="en-US" w:eastAsia="zh-CN"/>
        </w:rPr>
        <w:t>根据投资项目备案证内容，</w:t>
      </w:r>
      <w:r>
        <w:rPr>
          <w:rFonts w:hint="default" w:ascii="Times New Roman" w:hAnsi="Times New Roman" w:cs="Times New Roman"/>
          <w:color w:val="000000"/>
          <w:sz w:val="28"/>
          <w:szCs w:val="28"/>
        </w:rPr>
        <w:t>项目所属行业为</w:t>
      </w:r>
      <w:r>
        <w:rPr>
          <w:rFonts w:hint="eastAsia" w:ascii="Times New Roman" w:cs="Times New Roman"/>
          <w:color w:val="000000"/>
          <w:sz w:val="28"/>
          <w:szCs w:val="28"/>
          <w:lang w:val="en-US" w:eastAsia="zh-CN"/>
        </w:rPr>
        <w:t>化工</w:t>
      </w:r>
      <w:r>
        <w:rPr>
          <w:rFonts w:hint="default" w:ascii="Times New Roman" w:hAnsi="Times New Roman" w:cs="Times New Roman"/>
          <w:color w:val="000000"/>
          <w:sz w:val="28"/>
          <w:szCs w:val="28"/>
        </w:rPr>
        <w:t>。</w:t>
      </w:r>
      <w:r>
        <w:rPr>
          <w:rFonts w:hint="default" w:ascii="Times New Roman" w:hAnsi="Times New Roman" w:cs="Times New Roman"/>
          <w:color w:val="000000"/>
          <w:kern w:val="0"/>
          <w:sz w:val="28"/>
          <w:szCs w:val="28"/>
        </w:rPr>
        <w:t>根据</w:t>
      </w:r>
      <w:r>
        <w:rPr>
          <w:rFonts w:hint="default" w:ascii="Times New Roman" w:hAnsi="Times New Roman" w:cs="Times New Roman"/>
          <w:color w:val="000000"/>
          <w:sz w:val="28"/>
          <w:szCs w:val="28"/>
        </w:rPr>
        <w:t>《中华人民共和国安全生产法》（中华人民共和国主席令第88号，根据2021年6月10日第十三届全国人民代表大会常务委员会第二十九次会议《关于修改&lt;中华人民共和国安全生产法&gt;的决定》第三次修正）、《危险化学品建设项目安全监</w:t>
      </w:r>
      <w:r>
        <w:rPr>
          <w:rFonts w:hint="default" w:ascii="Times New Roman" w:hAnsi="Times New Roman" w:eastAsia="宋体" w:cs="Times New Roman"/>
          <w:color w:val="000000"/>
          <w:sz w:val="28"/>
          <w:szCs w:val="28"/>
        </w:rPr>
        <w:t>督管理办法》（2012年1月30日国家安全监管总局令第45号公布，根据2015年5月27日国家安全监管总局令第79号修正）、《应急管理部 国家发展改革委工业和信息化部市场监管总局关于印发〈危险化学品生产建设项目安全风险防控指南（试行）〉的通知》（应急〔2022〕52号）的规定及应急管理部门的要求，建设项目试生产期间，建设单位应当委托有相应资质的安全评价机构对建设项目及其安全设施试生产（使用）情况进行安全验收评价，且不得委托在可行性研究阶段进行安全评价的同一安全评价机构。受</w:t>
      </w:r>
      <w:r>
        <w:rPr>
          <w:rFonts w:hint="eastAsia" w:ascii="Times New Roman" w:cs="Times New Roman"/>
          <w:color w:val="000000"/>
          <w:sz w:val="28"/>
          <w:szCs w:val="28"/>
          <w:lang w:eastAsia="zh-CN"/>
        </w:rPr>
        <w:t>云南瓮福祥丰氟硅新材料有限公司</w:t>
      </w:r>
      <w:r>
        <w:rPr>
          <w:rFonts w:hint="default" w:ascii="Times New Roman" w:hAnsi="Times New Roman" w:eastAsia="宋体" w:cs="Times New Roman"/>
          <w:color w:val="000000"/>
          <w:sz w:val="28"/>
          <w:szCs w:val="28"/>
        </w:rPr>
        <w:t>委托，由我公司承担其</w:t>
      </w:r>
      <w:r>
        <w:rPr>
          <w:rFonts w:hint="eastAsia" w:ascii="Times New Roman" w:cs="Times New Roman"/>
          <w:color w:val="000000"/>
          <w:sz w:val="28"/>
          <w:szCs w:val="28"/>
          <w:lang w:eastAsia="zh-CN"/>
        </w:rPr>
        <w:t>3万吨/年无水氟化氢和2万吨/年电子级氢氟酸厂外公用工程管架建设项目</w:t>
      </w:r>
      <w:r>
        <w:rPr>
          <w:rFonts w:hint="default" w:ascii="Times New Roman" w:hAnsi="Times New Roman" w:eastAsia="宋体" w:cs="Times New Roman"/>
          <w:color w:val="000000"/>
          <w:sz w:val="28"/>
          <w:szCs w:val="28"/>
        </w:rPr>
        <w:t>的</w:t>
      </w:r>
      <w:r>
        <w:rPr>
          <w:rFonts w:hint="default" w:ascii="Times New Roman" w:hAnsi="Times New Roman" w:eastAsia="宋体" w:cs="Times New Roman"/>
          <w:color w:val="000000"/>
          <w:sz w:val="28"/>
          <w:szCs w:val="28"/>
          <w:lang w:eastAsia="zh-CN"/>
        </w:rPr>
        <w:t>安全验收评价</w:t>
      </w:r>
      <w:r>
        <w:rPr>
          <w:rFonts w:hint="default" w:ascii="Times New Roman" w:hAnsi="Times New Roman" w:eastAsia="宋体" w:cs="Times New Roman"/>
          <w:color w:val="000000"/>
          <w:sz w:val="28"/>
          <w:szCs w:val="28"/>
        </w:rPr>
        <w:t>工作。</w:t>
      </w:r>
    </w:p>
    <w:p w14:paraId="73B9B8CA">
      <w:pPr>
        <w:pStyle w:val="5"/>
        <w:numPr>
          <w:ilvl w:val="2"/>
          <w:numId w:val="1"/>
        </w:numPr>
        <w:adjustRightInd w:val="0"/>
        <w:spacing w:before="120" w:after="120"/>
        <w:jc w:val="both"/>
        <w:rPr>
          <w:rFonts w:hint="eastAsia" w:ascii="宋体"/>
          <w:b/>
          <w:bCs/>
          <w:color w:val="auto"/>
          <w:sz w:val="32"/>
          <w:szCs w:val="32"/>
        </w:rPr>
      </w:pPr>
      <w:bookmarkStart w:id="77" w:name="_Toc18534"/>
      <w:r>
        <w:rPr>
          <w:rFonts w:hint="eastAsia" w:ascii="宋体"/>
          <w:b/>
          <w:bCs/>
          <w:color w:val="auto"/>
          <w:sz w:val="32"/>
          <w:szCs w:val="32"/>
        </w:rPr>
        <w:t>收集资料</w:t>
      </w:r>
      <w:bookmarkEnd w:id="70"/>
      <w:bookmarkEnd w:id="71"/>
      <w:bookmarkEnd w:id="72"/>
      <w:bookmarkEnd w:id="73"/>
      <w:bookmarkEnd w:id="74"/>
      <w:bookmarkEnd w:id="75"/>
      <w:bookmarkEnd w:id="76"/>
      <w:bookmarkEnd w:id="77"/>
    </w:p>
    <w:p w14:paraId="2084266E">
      <w:pPr>
        <w:pStyle w:val="122"/>
        <w:rPr>
          <w:color w:val="auto"/>
        </w:rPr>
      </w:pPr>
      <w:r>
        <w:rPr>
          <w:rFonts w:hint="eastAsia"/>
          <w:color w:val="auto"/>
        </w:rPr>
        <w:t>项目组成员根据评价目的的需要，在充分调查研究安全评价对象和范围相关情况后，现场考察被评价项目拟选用地址的周边环境，收集、整理安全评价所需要的各种文件、资料和数据。收集与被评价项目有关的法律法规、技术标准、气象、水文、地质等资料，为实施评价做好准备。</w:t>
      </w:r>
    </w:p>
    <w:p w14:paraId="2B1C16EC">
      <w:pPr>
        <w:pStyle w:val="122"/>
        <w:rPr>
          <w:color w:val="auto"/>
        </w:rPr>
      </w:pPr>
      <w:r>
        <w:rPr>
          <w:rFonts w:hint="eastAsia"/>
          <w:color w:val="auto"/>
        </w:rPr>
        <w:t>安全评价资料、数据收集应遵循的原则：</w:t>
      </w:r>
    </w:p>
    <w:p w14:paraId="72F324E6">
      <w:pPr>
        <w:numPr>
          <w:ilvl w:val="0"/>
          <w:numId w:val="11"/>
        </w:numPr>
        <w:rPr>
          <w:color w:val="auto"/>
        </w:rPr>
      </w:pPr>
      <w:r>
        <w:rPr>
          <w:rFonts w:hint="eastAsia"/>
          <w:color w:val="auto"/>
        </w:rPr>
        <w:t>应保证满足全面、客观、具体、准确的要求。</w:t>
      </w:r>
    </w:p>
    <w:p w14:paraId="7BCDC320">
      <w:pPr>
        <w:numPr>
          <w:ilvl w:val="0"/>
          <w:numId w:val="11"/>
        </w:numPr>
        <w:rPr>
          <w:color w:val="auto"/>
        </w:rPr>
      </w:pPr>
      <w:r>
        <w:rPr>
          <w:rFonts w:hint="eastAsia"/>
          <w:color w:val="auto"/>
        </w:rPr>
        <w:t>应尽量避免索取不必要的资料，避免给企业带来不必要的麻烦。</w:t>
      </w:r>
    </w:p>
    <w:p w14:paraId="45EC256D">
      <w:pPr>
        <w:numPr>
          <w:ilvl w:val="0"/>
          <w:numId w:val="11"/>
        </w:numPr>
        <w:rPr>
          <w:color w:val="auto"/>
        </w:rPr>
      </w:pPr>
      <w:r>
        <w:rPr>
          <w:rFonts w:hint="eastAsia"/>
          <w:color w:val="auto"/>
        </w:rPr>
        <w:t>收集的资料数据，要对其真实性和可信度进行评估，必要时可要求资料提供方书面说明资料来源。</w:t>
      </w:r>
    </w:p>
    <w:p w14:paraId="3AE76AA2">
      <w:pPr>
        <w:numPr>
          <w:ilvl w:val="0"/>
          <w:numId w:val="11"/>
        </w:numPr>
        <w:rPr>
          <w:color w:val="auto"/>
        </w:rPr>
      </w:pPr>
      <w:r>
        <w:rPr>
          <w:rFonts w:hint="eastAsia"/>
          <w:color w:val="auto"/>
        </w:rPr>
        <w:t>对用作类比推理的资料，要注意类比双方的相关程度和资料获得的条件。</w:t>
      </w:r>
    </w:p>
    <w:p w14:paraId="7ADA5E40">
      <w:pPr>
        <w:numPr>
          <w:ilvl w:val="0"/>
          <w:numId w:val="11"/>
        </w:numPr>
        <w:rPr>
          <w:color w:val="auto"/>
        </w:rPr>
      </w:pPr>
      <w:r>
        <w:rPr>
          <w:rFonts w:hint="eastAsia"/>
          <w:color w:val="auto"/>
        </w:rPr>
        <w:t>代表性不强的资料（未按随机原则获取的资料）不能用于评价。</w:t>
      </w:r>
    </w:p>
    <w:p w14:paraId="4A7668AA">
      <w:pPr>
        <w:numPr>
          <w:ilvl w:val="0"/>
          <w:numId w:val="11"/>
        </w:numPr>
        <w:rPr>
          <w:color w:val="auto"/>
        </w:rPr>
      </w:pPr>
      <w:r>
        <w:rPr>
          <w:rFonts w:hint="eastAsia"/>
          <w:color w:val="auto"/>
        </w:rPr>
        <w:t>引用反映现状的资料数据必须是有效数据；一般采用法定的检测检验机构或者通过省级或国家级计量认证的机构出具的数据。</w:t>
      </w:r>
    </w:p>
    <w:p w14:paraId="7C62AE26">
      <w:pPr>
        <w:pStyle w:val="5"/>
        <w:numPr>
          <w:ilvl w:val="2"/>
          <w:numId w:val="1"/>
        </w:numPr>
        <w:adjustRightInd w:val="0"/>
        <w:spacing w:before="120" w:after="120"/>
        <w:jc w:val="both"/>
        <w:rPr>
          <w:rFonts w:hint="eastAsia" w:ascii="宋体"/>
          <w:b/>
          <w:bCs/>
          <w:color w:val="auto"/>
          <w:sz w:val="32"/>
          <w:szCs w:val="32"/>
        </w:rPr>
      </w:pPr>
      <w:bookmarkStart w:id="78" w:name="_Toc195176699"/>
      <w:bookmarkStart w:id="79" w:name="_Toc336009602"/>
      <w:bookmarkStart w:id="80" w:name="_Toc18509513"/>
      <w:bookmarkStart w:id="81" w:name="_Toc16272"/>
      <w:bookmarkStart w:id="82" w:name="_Toc300136535"/>
      <w:bookmarkStart w:id="83" w:name="_Toc323036339"/>
      <w:bookmarkStart w:id="84" w:name="_Toc47119862"/>
      <w:bookmarkStart w:id="85" w:name="_Toc47119720"/>
      <w:r>
        <w:rPr>
          <w:rFonts w:hint="eastAsia" w:ascii="宋体"/>
          <w:b/>
          <w:bCs/>
          <w:color w:val="auto"/>
          <w:sz w:val="32"/>
          <w:szCs w:val="32"/>
        </w:rPr>
        <w:t>评价目的</w:t>
      </w:r>
      <w:bookmarkEnd w:id="78"/>
      <w:bookmarkEnd w:id="79"/>
      <w:bookmarkEnd w:id="80"/>
      <w:bookmarkEnd w:id="81"/>
      <w:bookmarkEnd w:id="82"/>
      <w:bookmarkEnd w:id="83"/>
      <w:bookmarkEnd w:id="84"/>
      <w:bookmarkEnd w:id="85"/>
    </w:p>
    <w:p w14:paraId="1FC747E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color w:val="000000"/>
          <w:sz w:val="28"/>
          <w:szCs w:val="28"/>
        </w:rPr>
      </w:pPr>
      <w:bookmarkStart w:id="86" w:name="_Toc121910185"/>
      <w:bookmarkStart w:id="87" w:name="_Toc300136536"/>
      <w:bookmarkStart w:id="88" w:name="_Toc47119863"/>
      <w:bookmarkStart w:id="89" w:name="_Toc323036340"/>
      <w:bookmarkStart w:id="90" w:name="_Toc195176700"/>
      <w:bookmarkStart w:id="91" w:name="_Toc18509514"/>
      <w:bookmarkStart w:id="92" w:name="_Toc336009603"/>
      <w:bookmarkStart w:id="93" w:name="_Toc47119721"/>
      <w:r>
        <w:rPr>
          <w:color w:val="000000"/>
          <w:sz w:val="28"/>
          <w:szCs w:val="28"/>
          <w:lang w:bidi="ar"/>
        </w:rPr>
        <w:t>1.为建设项目的安全验收提供科学依据，指导危险源监控和事故预防，以实现最低的事故率、最少的损失和最优的安全投资效益，以保证建设项目正常投入生产或使用后的安全性和可靠性</w:t>
      </w:r>
      <w:r>
        <w:rPr>
          <w:rFonts w:hint="eastAsia"/>
          <w:color w:val="000000"/>
          <w:sz w:val="28"/>
          <w:szCs w:val="28"/>
          <w:lang w:bidi="ar"/>
        </w:rPr>
        <w:t>。</w:t>
      </w:r>
    </w:p>
    <w:p w14:paraId="32E2C06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color w:val="000000"/>
          <w:sz w:val="28"/>
          <w:szCs w:val="28"/>
        </w:rPr>
      </w:pPr>
      <w:r>
        <w:rPr>
          <w:color w:val="000000"/>
          <w:sz w:val="28"/>
          <w:szCs w:val="28"/>
          <w:lang w:bidi="ar"/>
        </w:rPr>
        <w:t>2.通过对建设项目“三同时”落实情况及设施、设备、装置实际运行状况的检查，对未达到安全目标的系统或单元提出具有针对性、可操作性和经济合理性的安全对策措施建议，以利于提高建设项目本质安全程度，满足安全生产要求</w:t>
      </w:r>
      <w:r>
        <w:rPr>
          <w:rFonts w:hint="eastAsia"/>
          <w:color w:val="000000"/>
          <w:sz w:val="28"/>
          <w:szCs w:val="28"/>
          <w:lang w:bidi="ar"/>
        </w:rPr>
        <w:t>。</w:t>
      </w:r>
    </w:p>
    <w:p w14:paraId="7ACEE73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color w:val="000000"/>
          <w:sz w:val="28"/>
          <w:szCs w:val="28"/>
        </w:rPr>
      </w:pPr>
      <w:r>
        <w:rPr>
          <w:color w:val="000000"/>
          <w:sz w:val="28"/>
          <w:szCs w:val="28"/>
          <w:lang w:bidi="ar"/>
        </w:rPr>
        <w:t>3.通过安全验收评价，该企业可进一步全面了解和掌握企业的安全生产条件和安全管理状况；并通过完善安全措施，以提高企业本质安全程度，保障企业人员的生命安全和财产安全</w:t>
      </w:r>
      <w:r>
        <w:rPr>
          <w:rFonts w:hint="eastAsia"/>
          <w:color w:val="000000"/>
          <w:sz w:val="28"/>
          <w:szCs w:val="28"/>
          <w:lang w:bidi="ar"/>
        </w:rPr>
        <w:t>。</w:t>
      </w:r>
    </w:p>
    <w:p w14:paraId="3F9D150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color w:val="000000"/>
          <w:sz w:val="28"/>
          <w:szCs w:val="28"/>
        </w:rPr>
      </w:pPr>
      <w:r>
        <w:rPr>
          <w:color w:val="000000"/>
          <w:sz w:val="28"/>
          <w:szCs w:val="28"/>
          <w:lang w:bidi="ar"/>
        </w:rPr>
        <w:t>4.为实现企业安全技术、安全管理的标准化和科学化创造条件，并为</w:t>
      </w:r>
      <w:r>
        <w:rPr>
          <w:rFonts w:hint="eastAsia"/>
          <w:color w:val="000000"/>
          <w:sz w:val="28"/>
          <w:szCs w:val="28"/>
          <w:lang w:bidi="ar"/>
        </w:rPr>
        <w:t>应急</w:t>
      </w:r>
      <w:r>
        <w:rPr>
          <w:color w:val="000000"/>
          <w:sz w:val="28"/>
          <w:szCs w:val="28"/>
          <w:lang w:bidi="ar"/>
        </w:rPr>
        <w:t>管理部门提供安全监管依据。</w:t>
      </w:r>
    </w:p>
    <w:bookmarkEnd w:id="86"/>
    <w:p w14:paraId="59AEA5F3">
      <w:pPr>
        <w:pStyle w:val="5"/>
        <w:numPr>
          <w:ilvl w:val="2"/>
          <w:numId w:val="1"/>
        </w:numPr>
        <w:adjustRightInd w:val="0"/>
        <w:spacing w:before="120" w:after="120"/>
        <w:jc w:val="both"/>
        <w:rPr>
          <w:rFonts w:hint="eastAsia" w:ascii="宋体"/>
          <w:b/>
          <w:bCs/>
          <w:color w:val="auto"/>
          <w:sz w:val="32"/>
          <w:szCs w:val="32"/>
        </w:rPr>
      </w:pPr>
      <w:bookmarkStart w:id="94" w:name="_Toc8246"/>
      <w:r>
        <w:rPr>
          <w:rFonts w:hint="eastAsia" w:ascii="宋体"/>
          <w:b/>
          <w:bCs/>
          <w:color w:val="auto"/>
          <w:sz w:val="32"/>
          <w:szCs w:val="32"/>
        </w:rPr>
        <w:t>评价原则</w:t>
      </w:r>
      <w:bookmarkEnd w:id="87"/>
      <w:bookmarkEnd w:id="88"/>
      <w:bookmarkEnd w:id="89"/>
      <w:bookmarkEnd w:id="90"/>
      <w:bookmarkEnd w:id="91"/>
      <w:bookmarkEnd w:id="92"/>
      <w:bookmarkEnd w:id="93"/>
      <w:bookmarkEnd w:id="94"/>
    </w:p>
    <w:p w14:paraId="48782A1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cs="Times New Roman"/>
          <w:snapToGrid w:val="0"/>
          <w:color w:val="000000"/>
          <w:kern w:val="0"/>
          <w:sz w:val="28"/>
          <w:szCs w:val="28"/>
        </w:rPr>
      </w:pPr>
      <w:bookmarkStart w:id="95" w:name="_Toc47119722"/>
      <w:bookmarkStart w:id="96" w:name="_Toc47119864"/>
      <w:bookmarkStart w:id="97" w:name="_Toc300136537"/>
      <w:bookmarkStart w:id="98" w:name="_Toc336009604"/>
      <w:bookmarkStart w:id="99" w:name="_Toc195176701"/>
      <w:bookmarkStart w:id="100" w:name="_Toc323036341"/>
      <w:bookmarkStart w:id="101" w:name="_Toc18509515"/>
      <w:r>
        <w:rPr>
          <w:rFonts w:hint="default" w:ascii="Times New Roman" w:hAnsi="Times New Roman" w:cs="Times New Roman"/>
          <w:snapToGrid w:val="0"/>
          <w:color w:val="000000"/>
          <w:kern w:val="0"/>
          <w:sz w:val="28"/>
          <w:szCs w:val="28"/>
          <w:lang w:eastAsia="zh-CN"/>
        </w:rPr>
        <w:t>昭通市鼎安科技有限公司</w:t>
      </w:r>
      <w:r>
        <w:rPr>
          <w:rFonts w:hint="default" w:ascii="Times New Roman" w:hAnsi="Times New Roman" w:cs="Times New Roman"/>
          <w:snapToGrid w:val="0"/>
          <w:color w:val="000000"/>
          <w:kern w:val="0"/>
          <w:sz w:val="28"/>
          <w:szCs w:val="28"/>
        </w:rPr>
        <w:t>在对</w:t>
      </w:r>
      <w:r>
        <w:rPr>
          <w:rFonts w:hint="default" w:ascii="Times New Roman" w:hAnsi="Times New Roman" w:cs="Times New Roman"/>
          <w:snapToGrid w:val="0"/>
          <w:color w:val="000000"/>
          <w:kern w:val="0"/>
          <w:sz w:val="28"/>
          <w:szCs w:val="28"/>
          <w:lang w:eastAsia="zh-CN"/>
        </w:rPr>
        <w:t>本</w:t>
      </w:r>
      <w:r>
        <w:rPr>
          <w:rFonts w:hint="default" w:ascii="Times New Roman" w:hAnsi="Times New Roman" w:cs="Times New Roman"/>
          <w:snapToGrid w:val="0"/>
          <w:color w:val="000000"/>
          <w:kern w:val="0"/>
          <w:sz w:val="28"/>
          <w:szCs w:val="28"/>
        </w:rPr>
        <w:t>项目进行</w:t>
      </w:r>
      <w:r>
        <w:rPr>
          <w:rFonts w:hint="default" w:ascii="Times New Roman" w:hAnsi="Times New Roman" w:cs="Times New Roman"/>
          <w:snapToGrid w:val="0"/>
          <w:color w:val="000000"/>
          <w:kern w:val="0"/>
          <w:sz w:val="28"/>
          <w:szCs w:val="28"/>
          <w:lang w:eastAsia="zh-CN"/>
        </w:rPr>
        <w:t>安全验收评价</w:t>
      </w:r>
      <w:r>
        <w:rPr>
          <w:rFonts w:hint="default" w:ascii="Times New Roman" w:hAnsi="Times New Roman" w:cs="Times New Roman"/>
          <w:snapToGrid w:val="0"/>
          <w:color w:val="000000"/>
          <w:kern w:val="0"/>
          <w:sz w:val="28"/>
          <w:szCs w:val="28"/>
        </w:rPr>
        <w:t>工作中，始终坚持以下原则：</w:t>
      </w:r>
    </w:p>
    <w:p w14:paraId="4B16FE6F">
      <w:pPr>
        <w:keepNext w:val="0"/>
        <w:keepLines w:val="0"/>
        <w:pageBreakBefore w:val="0"/>
        <w:widowControl w:val="0"/>
        <w:numPr>
          <w:ilvl w:val="0"/>
          <w:numId w:val="12"/>
        </w:numPr>
        <w:kinsoku/>
        <w:wordWrap/>
        <w:overflowPunct/>
        <w:topLinePunct w:val="0"/>
        <w:autoSpaceDE/>
        <w:autoSpaceDN/>
        <w:bidi w:val="0"/>
        <w:snapToGrid w:val="0"/>
        <w:spacing w:line="360" w:lineRule="auto"/>
        <w:ind w:firstLine="560" w:firstLineChars="200"/>
        <w:textAlignment w:val="auto"/>
        <w:rPr>
          <w:rFonts w:hint="default" w:ascii="Times New Roman" w:hAnsi="Times New Roman" w:cs="Times New Roman"/>
          <w:snapToGrid w:val="0"/>
          <w:color w:val="000000"/>
          <w:kern w:val="0"/>
          <w:sz w:val="28"/>
          <w:szCs w:val="28"/>
        </w:rPr>
      </w:pPr>
      <w:r>
        <w:rPr>
          <w:rFonts w:hint="default" w:ascii="Times New Roman" w:hAnsi="Times New Roman" w:cs="Times New Roman"/>
          <w:snapToGrid w:val="0"/>
          <w:color w:val="000000"/>
          <w:kern w:val="0"/>
          <w:sz w:val="28"/>
          <w:szCs w:val="28"/>
        </w:rPr>
        <w:t>严格执行国家现行有关法律、法规、标准和规范的要求，对该建设项目进行科学、客观、公正、独立的评价。</w:t>
      </w:r>
    </w:p>
    <w:p w14:paraId="626F7618">
      <w:pPr>
        <w:keepNext w:val="0"/>
        <w:keepLines w:val="0"/>
        <w:pageBreakBefore w:val="0"/>
        <w:widowControl w:val="0"/>
        <w:numPr>
          <w:ilvl w:val="0"/>
          <w:numId w:val="12"/>
        </w:numPr>
        <w:kinsoku/>
        <w:wordWrap/>
        <w:overflowPunct/>
        <w:topLinePunct w:val="0"/>
        <w:autoSpaceDE/>
        <w:autoSpaceDN/>
        <w:bidi w:val="0"/>
        <w:snapToGrid w:val="0"/>
        <w:spacing w:line="360" w:lineRule="auto"/>
        <w:ind w:firstLine="560" w:firstLineChars="200"/>
        <w:textAlignment w:val="auto"/>
        <w:rPr>
          <w:rFonts w:hint="default" w:ascii="Times New Roman" w:hAnsi="Times New Roman" w:cs="Times New Roman"/>
          <w:snapToGrid w:val="0"/>
          <w:color w:val="000000"/>
          <w:kern w:val="0"/>
          <w:sz w:val="28"/>
          <w:szCs w:val="28"/>
        </w:rPr>
      </w:pPr>
      <w:r>
        <w:rPr>
          <w:rFonts w:hint="default" w:ascii="Times New Roman" w:hAnsi="Times New Roman" w:cs="Times New Roman"/>
          <w:color w:val="000000"/>
          <w:sz w:val="28"/>
          <w:szCs w:val="28"/>
        </w:rPr>
        <w:t>采用可靠、适用的评价技术和评价方法对建设项目进行定性、定量评价，遵循针对性、技术可行性、经济合理性、可操作性的原则，提出消除或减弱危险、有害因素的技术和管理对策措施建议。</w:t>
      </w:r>
    </w:p>
    <w:p w14:paraId="13D3EDA6">
      <w:pPr>
        <w:keepNext w:val="0"/>
        <w:keepLines w:val="0"/>
        <w:pageBreakBefore w:val="0"/>
        <w:widowControl w:val="0"/>
        <w:numPr>
          <w:ilvl w:val="0"/>
          <w:numId w:val="12"/>
        </w:numPr>
        <w:kinsoku/>
        <w:wordWrap/>
        <w:overflowPunct/>
        <w:topLinePunct w:val="0"/>
        <w:autoSpaceDE/>
        <w:autoSpaceDN/>
        <w:bidi w:val="0"/>
        <w:snapToGrid w:val="0"/>
        <w:spacing w:line="360" w:lineRule="auto"/>
        <w:ind w:firstLine="560" w:firstLineChars="200"/>
        <w:textAlignment w:val="auto"/>
        <w:rPr>
          <w:rFonts w:hint="default" w:ascii="Times New Roman" w:hAnsi="Times New Roman" w:cs="Times New Roman"/>
          <w:snapToGrid w:val="0"/>
          <w:color w:val="000000"/>
          <w:kern w:val="0"/>
          <w:sz w:val="28"/>
          <w:szCs w:val="28"/>
        </w:rPr>
      </w:pPr>
      <w:r>
        <w:rPr>
          <w:rFonts w:hint="default" w:ascii="Times New Roman" w:hAnsi="Times New Roman" w:cs="Times New Roman"/>
          <w:color w:val="000000"/>
          <w:sz w:val="28"/>
          <w:szCs w:val="28"/>
        </w:rPr>
        <w:t>真实、准确地做出</w:t>
      </w:r>
      <w:r>
        <w:rPr>
          <w:rFonts w:hint="default" w:ascii="Times New Roman" w:hAnsi="Times New Roman" w:cs="Times New Roman"/>
          <w:snapToGrid w:val="0"/>
          <w:color w:val="000000"/>
          <w:kern w:val="0"/>
          <w:sz w:val="28"/>
          <w:szCs w:val="28"/>
        </w:rPr>
        <w:t>评价结论，并对在当时条件下做出的安全评价结果承担法律责任。</w:t>
      </w:r>
    </w:p>
    <w:p w14:paraId="2EA6F39E">
      <w:pPr>
        <w:keepNext w:val="0"/>
        <w:keepLines w:val="0"/>
        <w:pageBreakBefore w:val="0"/>
        <w:widowControl w:val="0"/>
        <w:numPr>
          <w:ilvl w:val="0"/>
          <w:numId w:val="12"/>
        </w:numPr>
        <w:kinsoku/>
        <w:wordWrap/>
        <w:overflowPunct/>
        <w:topLinePunct w:val="0"/>
        <w:autoSpaceDE/>
        <w:autoSpaceDN/>
        <w:bidi w:val="0"/>
        <w:snapToGrid w:val="0"/>
        <w:spacing w:line="360" w:lineRule="auto"/>
        <w:ind w:firstLine="560" w:firstLineChars="200"/>
        <w:textAlignment w:val="auto"/>
        <w:rPr>
          <w:rFonts w:hint="default" w:ascii="Times New Roman" w:hAnsi="Times New Roman" w:cs="Times New Roman"/>
          <w:snapToGrid w:val="0"/>
          <w:color w:val="000000"/>
          <w:kern w:val="0"/>
          <w:sz w:val="28"/>
          <w:szCs w:val="28"/>
        </w:rPr>
      </w:pPr>
      <w:r>
        <w:rPr>
          <w:rFonts w:hint="default" w:ascii="Times New Roman" w:hAnsi="Times New Roman" w:cs="Times New Roman"/>
          <w:snapToGrid w:val="0"/>
          <w:color w:val="000000"/>
          <w:kern w:val="0"/>
          <w:sz w:val="28"/>
          <w:szCs w:val="28"/>
        </w:rPr>
        <w:t>遵纪守法、恪守职业道德、诚实守信，对被评价单位的技术和商业秘密保密。</w:t>
      </w:r>
    </w:p>
    <w:p w14:paraId="140A9700">
      <w:pPr>
        <w:pStyle w:val="4"/>
        <w:spacing w:before="193"/>
        <w:jc w:val="left"/>
        <w:rPr>
          <w:rFonts w:hint="eastAsia" w:ascii="黑体" w:hAnsi="黑体" w:eastAsia="黑体" w:cs="黑体"/>
          <w:b/>
          <w:bCs w:val="0"/>
          <w:color w:val="auto"/>
          <w:sz w:val="36"/>
          <w:szCs w:val="36"/>
        </w:rPr>
      </w:pPr>
      <w:bookmarkStart w:id="102" w:name="_Toc28037"/>
      <w:r>
        <w:rPr>
          <w:rFonts w:hint="eastAsia" w:ascii="黑体" w:hAnsi="黑体" w:eastAsia="黑体" w:cs="黑体"/>
          <w:b/>
          <w:bCs w:val="0"/>
          <w:color w:val="auto"/>
          <w:sz w:val="36"/>
          <w:szCs w:val="36"/>
        </w:rPr>
        <w:t>评价对象及范围</w:t>
      </w:r>
      <w:bookmarkEnd w:id="95"/>
      <w:bookmarkEnd w:id="96"/>
      <w:bookmarkEnd w:id="97"/>
      <w:bookmarkEnd w:id="98"/>
      <w:bookmarkEnd w:id="99"/>
      <w:bookmarkEnd w:id="100"/>
      <w:bookmarkEnd w:id="101"/>
      <w:bookmarkEnd w:id="102"/>
    </w:p>
    <w:p w14:paraId="5703B8C0">
      <w:pPr>
        <w:pStyle w:val="5"/>
        <w:numPr>
          <w:ilvl w:val="2"/>
          <w:numId w:val="1"/>
        </w:numPr>
        <w:adjustRightInd w:val="0"/>
        <w:spacing w:before="120" w:after="120"/>
        <w:jc w:val="both"/>
        <w:rPr>
          <w:rFonts w:hint="default" w:ascii="宋体"/>
          <w:b/>
          <w:bCs/>
          <w:color w:val="auto"/>
          <w:sz w:val="32"/>
          <w:szCs w:val="32"/>
        </w:rPr>
      </w:pPr>
      <w:bookmarkStart w:id="103" w:name="_Toc13176"/>
      <w:bookmarkStart w:id="104" w:name="_Toc12996"/>
      <w:r>
        <w:rPr>
          <w:rFonts w:hint="default" w:ascii="宋体"/>
          <w:b/>
          <w:bCs/>
          <w:color w:val="auto"/>
          <w:sz w:val="32"/>
          <w:szCs w:val="32"/>
        </w:rPr>
        <w:t>评价对象</w:t>
      </w:r>
      <w:bookmarkEnd w:id="103"/>
      <w:bookmarkEnd w:id="104"/>
    </w:p>
    <w:p w14:paraId="64AAC463">
      <w:pPr>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cs="Times New Roman"/>
          <w:snapToGrid w:val="0"/>
          <w:color w:val="000000"/>
          <w:kern w:val="0"/>
          <w:sz w:val="28"/>
          <w:szCs w:val="28"/>
        </w:rPr>
      </w:pPr>
      <w:r>
        <w:rPr>
          <w:rFonts w:hint="default" w:ascii="Times New Roman" w:hAnsi="Times New Roman" w:cs="Times New Roman"/>
          <w:snapToGrid w:val="0"/>
          <w:color w:val="000000"/>
          <w:kern w:val="0"/>
          <w:sz w:val="28"/>
          <w:szCs w:val="28"/>
        </w:rPr>
        <w:t>根据与企业签订的安全评价合同，本次</w:t>
      </w:r>
      <w:r>
        <w:rPr>
          <w:rFonts w:hint="default" w:ascii="Times New Roman" w:hAnsi="Times New Roman" w:cs="Times New Roman"/>
          <w:snapToGrid w:val="0"/>
          <w:color w:val="000000"/>
          <w:kern w:val="0"/>
          <w:sz w:val="28"/>
          <w:szCs w:val="28"/>
          <w:lang w:eastAsia="zh-CN"/>
        </w:rPr>
        <w:t>安全验收评价</w:t>
      </w:r>
      <w:r>
        <w:rPr>
          <w:rFonts w:hint="default" w:ascii="Times New Roman" w:hAnsi="Times New Roman" w:cs="Times New Roman"/>
          <w:snapToGrid w:val="0"/>
          <w:color w:val="000000"/>
          <w:kern w:val="0"/>
          <w:sz w:val="28"/>
          <w:szCs w:val="28"/>
        </w:rPr>
        <w:t>的对象为</w:t>
      </w:r>
      <w:r>
        <w:rPr>
          <w:rFonts w:hint="eastAsia" w:ascii="Times New Roman" w:cs="Times New Roman"/>
          <w:color w:val="000000"/>
          <w:sz w:val="28"/>
          <w:szCs w:val="28"/>
          <w:lang w:eastAsia="zh-CN"/>
        </w:rPr>
        <w:t>云南瓮福祥丰氟硅新材料有限公司3万吨/年无水氟化氢和2万吨/年电子级氢氟酸厂外公用工程管架建设项目</w:t>
      </w:r>
      <w:r>
        <w:rPr>
          <w:rFonts w:hint="default" w:ascii="Times New Roman" w:hAnsi="Times New Roman" w:cs="Times New Roman"/>
          <w:snapToGrid w:val="0"/>
          <w:color w:val="000000"/>
          <w:kern w:val="0"/>
          <w:sz w:val="28"/>
          <w:szCs w:val="28"/>
        </w:rPr>
        <w:t>。</w:t>
      </w:r>
    </w:p>
    <w:p w14:paraId="1EDEE3CD">
      <w:pPr>
        <w:pStyle w:val="5"/>
        <w:numPr>
          <w:ilvl w:val="2"/>
          <w:numId w:val="1"/>
        </w:numPr>
        <w:adjustRightInd w:val="0"/>
        <w:spacing w:before="120" w:after="120"/>
        <w:jc w:val="both"/>
        <w:rPr>
          <w:rFonts w:hint="default" w:ascii="宋体"/>
          <w:b/>
          <w:bCs/>
          <w:color w:val="auto"/>
          <w:sz w:val="32"/>
          <w:szCs w:val="32"/>
        </w:rPr>
      </w:pPr>
      <w:bookmarkStart w:id="105" w:name="_Toc4748"/>
      <w:bookmarkStart w:id="106" w:name="_Toc10936"/>
      <w:r>
        <w:rPr>
          <w:rFonts w:hint="default" w:ascii="宋体"/>
          <w:b/>
          <w:bCs/>
          <w:color w:val="auto"/>
          <w:sz w:val="32"/>
          <w:szCs w:val="32"/>
        </w:rPr>
        <w:t>评价范围</w:t>
      </w:r>
      <w:bookmarkEnd w:id="105"/>
      <w:bookmarkEnd w:id="106"/>
    </w:p>
    <w:p w14:paraId="224F2E6E">
      <w:pPr>
        <w:pStyle w:val="25"/>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snapToGrid w:val="0"/>
          <w:color w:val="000000"/>
          <w:kern w:val="0"/>
          <w:sz w:val="28"/>
          <w:szCs w:val="28"/>
          <w:lang w:bidi="ar"/>
        </w:rPr>
      </w:pPr>
      <w:r>
        <w:rPr>
          <w:rFonts w:hint="default" w:ascii="Times New Roman" w:hAnsi="Times New Roman" w:eastAsia="宋体" w:cs="Times New Roman"/>
          <w:color w:val="000000"/>
          <w:sz w:val="28"/>
          <w:szCs w:val="28"/>
          <w:lang w:val="en-US" w:eastAsia="zh-CN" w:bidi="ar-SA"/>
        </w:rPr>
        <w:t>根据项目在投资投资项目备案的主要内容、评价技术服务合同的约定、安全设施设计范围</w:t>
      </w:r>
      <w:r>
        <w:rPr>
          <w:rFonts w:hint="eastAsia" w:ascii="Times New Roman" w:hAnsi="Times New Roman" w:eastAsia="宋体" w:cs="Times New Roman"/>
          <w:color w:val="000000"/>
          <w:sz w:val="28"/>
          <w:szCs w:val="28"/>
          <w:lang w:val="en-US" w:eastAsia="zh-CN" w:bidi="ar-SA"/>
        </w:rPr>
        <w:t>，</w:t>
      </w:r>
      <w:r>
        <w:rPr>
          <w:rFonts w:hint="default" w:ascii="Times New Roman" w:hAnsi="Times New Roman" w:eastAsia="宋体" w:cs="Times New Roman"/>
          <w:color w:val="000000"/>
          <w:sz w:val="28"/>
          <w:szCs w:val="28"/>
          <w:lang w:val="en-US" w:eastAsia="zh-CN" w:bidi="ar-SA"/>
        </w:rPr>
        <w:t>本次安全验收评价范围</w:t>
      </w:r>
      <w:r>
        <w:rPr>
          <w:rFonts w:hint="eastAsia" w:ascii="Times New Roman" w:hAnsi="Times New Roman" w:eastAsia="宋体" w:cs="Times New Roman"/>
          <w:color w:val="000000"/>
          <w:sz w:val="28"/>
          <w:szCs w:val="28"/>
          <w:lang w:val="en-US" w:eastAsia="zh-CN" w:bidi="ar-SA"/>
        </w:rPr>
        <w:t>为云南瓮福祥丰氟硅新材料有限公司3万吨/年无水氟化氢和2万吨/年电子级氢氟酸厂外公用工程管架建设项目的选址、总平面布置、周边环境、输送装置、安全设施、配套公用工程和安全管理。</w:t>
      </w:r>
      <w:r>
        <w:rPr>
          <w:rFonts w:hint="eastAsia"/>
          <w:snapToGrid w:val="0"/>
          <w:color w:val="000000"/>
          <w:kern w:val="0"/>
          <w:sz w:val="28"/>
          <w:szCs w:val="28"/>
          <w:lang w:bidi="ar"/>
        </w:rPr>
        <w:t>具体建设内容详见本报告“2.</w:t>
      </w:r>
      <w:r>
        <w:rPr>
          <w:rFonts w:hint="eastAsia"/>
          <w:snapToGrid w:val="0"/>
          <w:color w:val="000000"/>
          <w:kern w:val="0"/>
          <w:sz w:val="28"/>
          <w:szCs w:val="28"/>
          <w:lang w:val="en-US" w:eastAsia="zh-CN" w:bidi="ar"/>
        </w:rPr>
        <w:t>2.1</w:t>
      </w:r>
      <w:r>
        <w:rPr>
          <w:rFonts w:hint="eastAsia"/>
          <w:snapToGrid w:val="0"/>
          <w:color w:val="000000"/>
          <w:kern w:val="0"/>
          <w:sz w:val="28"/>
          <w:szCs w:val="28"/>
          <w:lang w:bidi="ar"/>
        </w:rPr>
        <w:t>主要建设内容”</w:t>
      </w:r>
      <w:r>
        <w:rPr>
          <w:rFonts w:hint="eastAsia"/>
          <w:snapToGrid w:val="0"/>
          <w:color w:val="000000"/>
          <w:kern w:val="0"/>
          <w:sz w:val="28"/>
          <w:szCs w:val="28"/>
          <w:lang w:eastAsia="zh-CN" w:bidi="ar"/>
        </w:rPr>
        <w:t>，</w:t>
      </w:r>
      <w:r>
        <w:rPr>
          <w:rFonts w:hint="eastAsia"/>
          <w:snapToGrid w:val="0"/>
          <w:color w:val="000000"/>
          <w:kern w:val="0"/>
          <w:sz w:val="28"/>
          <w:szCs w:val="28"/>
          <w:lang w:val="en-US" w:eastAsia="zh-CN" w:bidi="ar"/>
        </w:rPr>
        <w:t>安全验收评价报告内容与安全设施设计内容一致</w:t>
      </w:r>
      <w:r>
        <w:rPr>
          <w:rFonts w:hint="eastAsia"/>
          <w:snapToGrid w:val="0"/>
          <w:color w:val="000000"/>
          <w:kern w:val="0"/>
          <w:sz w:val="28"/>
          <w:szCs w:val="28"/>
          <w:lang w:bidi="ar"/>
        </w:rPr>
        <w:t>。</w:t>
      </w:r>
    </w:p>
    <w:p w14:paraId="09EC2069">
      <w:pPr>
        <w:keepNext w:val="0"/>
        <w:keepLines w:val="0"/>
        <w:pageBreakBefore w:val="0"/>
        <w:widowControl w:val="0"/>
        <w:kinsoku/>
        <w:wordWrap/>
        <w:overflowPunct/>
        <w:topLinePunct w:val="0"/>
        <w:autoSpaceDE/>
        <w:autoSpaceDN/>
        <w:bidi w:val="0"/>
        <w:adjustRightInd w:val="0"/>
        <w:snapToGrid/>
        <w:spacing w:line="360" w:lineRule="auto"/>
        <w:ind w:firstLine="560" w:firstLineChars="200"/>
        <w:textAlignment w:val="auto"/>
        <w:rPr>
          <w:snapToGrid w:val="0"/>
          <w:color w:val="000000"/>
          <w:kern w:val="0"/>
          <w:sz w:val="28"/>
          <w:szCs w:val="28"/>
        </w:rPr>
      </w:pPr>
      <w:r>
        <w:rPr>
          <w:rFonts w:hint="eastAsia"/>
          <w:snapToGrid w:val="0"/>
          <w:color w:val="000000"/>
          <w:kern w:val="0"/>
          <w:sz w:val="28"/>
          <w:szCs w:val="28"/>
          <w:lang w:bidi="ar"/>
        </w:rPr>
        <w:t>该项目依托</w:t>
      </w:r>
      <w:r>
        <w:rPr>
          <w:rFonts w:hint="eastAsia"/>
        </w:rPr>
        <w:t>云南祥丰金麦化工有限公司原有供电设施</w:t>
      </w:r>
      <w:r>
        <w:rPr>
          <w:rFonts w:hint="eastAsia"/>
          <w:lang w:val="en-US" w:eastAsia="zh-CN"/>
        </w:rPr>
        <w:t>,</w:t>
      </w:r>
      <w:r>
        <w:rPr>
          <w:rFonts w:hint="eastAsia"/>
          <w:snapToGrid w:val="0"/>
          <w:color w:val="000000"/>
          <w:kern w:val="0"/>
          <w:sz w:val="28"/>
          <w:szCs w:val="28"/>
          <w:lang w:bidi="ar"/>
        </w:rPr>
        <w:t>祥丰石化的消防</w:t>
      </w:r>
      <w:r>
        <w:rPr>
          <w:rFonts w:hint="eastAsia"/>
          <w:snapToGrid w:val="0"/>
          <w:color w:val="000000"/>
          <w:kern w:val="0"/>
          <w:sz w:val="28"/>
          <w:szCs w:val="28"/>
          <w:lang w:val="en-US" w:eastAsia="zh-CN" w:bidi="ar"/>
        </w:rPr>
        <w:t>水源及泵房，</w:t>
      </w:r>
      <w:r>
        <w:rPr>
          <w:rFonts w:hint="eastAsia"/>
          <w:snapToGrid w:val="0"/>
          <w:color w:val="000000"/>
          <w:kern w:val="0"/>
          <w:sz w:val="28"/>
          <w:szCs w:val="28"/>
          <w:lang w:bidi="ar"/>
        </w:rPr>
        <w:t>该</w:t>
      </w:r>
      <w:r>
        <w:rPr>
          <w:snapToGrid w:val="0"/>
          <w:color w:val="000000"/>
          <w:kern w:val="0"/>
          <w:sz w:val="28"/>
        </w:rPr>
        <w:t>项目职业卫生、环境保护</w:t>
      </w:r>
      <w:r>
        <w:rPr>
          <w:rFonts w:hint="eastAsia"/>
          <w:snapToGrid w:val="0"/>
          <w:color w:val="000000"/>
          <w:kern w:val="0"/>
          <w:sz w:val="28"/>
        </w:rPr>
        <w:t>等专项评价内容</w:t>
      </w:r>
      <w:r>
        <w:rPr>
          <w:snapToGrid w:val="0"/>
          <w:color w:val="000000"/>
          <w:kern w:val="0"/>
          <w:sz w:val="28"/>
        </w:rPr>
        <w:t>不在评价范围内</w:t>
      </w:r>
    </w:p>
    <w:p w14:paraId="03A15606">
      <w:pPr>
        <w:pStyle w:val="25"/>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宋体" w:cs="Times New Roman"/>
          <w:color w:val="000000"/>
          <w:sz w:val="28"/>
          <w:szCs w:val="28"/>
          <w:lang w:val="en-US" w:eastAsia="zh-CN" w:bidi="ar-SA"/>
        </w:rPr>
      </w:pPr>
      <w:r>
        <w:rPr>
          <w:rFonts w:hint="default" w:ascii="Times New Roman" w:hAnsi="Times New Roman" w:eastAsia="宋体" w:cs="Times New Roman"/>
          <w:color w:val="000000"/>
          <w:sz w:val="28"/>
          <w:szCs w:val="28"/>
          <w:lang w:val="en-US" w:eastAsia="zh-CN" w:bidi="ar-SA"/>
        </w:rPr>
        <w:t>以上方面企业应执行国家相关法律、法规、标准和规范要求。若以后企业发生产品更新、扩大产量等情况，企业应按照国家相关法律、法规、标准和规范要求完善相关手续。</w:t>
      </w:r>
    </w:p>
    <w:p w14:paraId="09C9308C">
      <w:pPr>
        <w:pStyle w:val="25"/>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宋体" w:cs="Times New Roman"/>
          <w:color w:val="000000"/>
          <w:sz w:val="28"/>
          <w:szCs w:val="28"/>
          <w:lang w:val="en-US" w:eastAsia="zh-CN" w:bidi="ar-SA"/>
        </w:rPr>
      </w:pPr>
      <w:r>
        <w:rPr>
          <w:rFonts w:hint="default" w:ascii="Times New Roman" w:hAnsi="Times New Roman" w:eastAsia="宋体" w:cs="Times New Roman"/>
          <w:color w:val="000000"/>
          <w:sz w:val="28"/>
          <w:szCs w:val="28"/>
          <w:lang w:val="en-US" w:eastAsia="zh-CN" w:bidi="ar-SA"/>
        </w:rPr>
        <w:t>本项目安全设施设计专篇中投资规模、建设内容与投资项目备案证对比情况如下表所示：</w:t>
      </w:r>
    </w:p>
    <w:p w14:paraId="646F71D3">
      <w:pPr>
        <w:keepNext w:val="0"/>
        <w:keepLines w:val="0"/>
        <w:pageBreakBefore w:val="0"/>
        <w:widowControl w:val="0"/>
        <w:numPr>
          <w:ilvl w:val="0"/>
          <w:numId w:val="13"/>
        </w:numPr>
        <w:kinsoku/>
        <w:wordWrap/>
        <w:overflowPunct/>
        <w:topLinePunct w:val="0"/>
        <w:autoSpaceDE/>
        <w:autoSpaceDN/>
        <w:bidi w:val="0"/>
        <w:adjustRightInd/>
        <w:snapToGrid w:val="0"/>
        <w:spacing w:line="360" w:lineRule="auto"/>
        <w:ind w:left="0" w:firstLine="0"/>
        <w:jc w:val="center"/>
        <w:textAlignment w:val="auto"/>
        <w:rPr>
          <w:rFonts w:hint="default" w:ascii="Times New Roman" w:hAnsi="Times New Roman" w:cs="Times New Roman"/>
          <w:b/>
          <w:bCs/>
          <w:snapToGrid w:val="0"/>
          <w:color w:val="000000"/>
          <w:kern w:val="0"/>
          <w:sz w:val="24"/>
        </w:rPr>
      </w:pPr>
      <w:r>
        <w:rPr>
          <w:rFonts w:hint="default" w:ascii="Times New Roman" w:hAnsi="Times New Roman" w:cs="Times New Roman"/>
          <w:b/>
          <w:bCs/>
          <w:snapToGrid w:val="0"/>
          <w:color w:val="000000"/>
          <w:kern w:val="0"/>
          <w:sz w:val="24"/>
          <w:lang w:val="en-US" w:eastAsia="zh-CN"/>
        </w:rPr>
        <w:t>安全设施设计专篇</w:t>
      </w:r>
      <w:r>
        <w:rPr>
          <w:rFonts w:hint="default" w:ascii="Times New Roman" w:hAnsi="Times New Roman" w:cs="Times New Roman"/>
          <w:b/>
          <w:bCs/>
          <w:snapToGrid w:val="0"/>
          <w:color w:val="000000"/>
          <w:kern w:val="0"/>
          <w:sz w:val="24"/>
        </w:rPr>
        <w:t>报告与投资项目备案证中</w:t>
      </w:r>
      <w:r>
        <w:rPr>
          <w:rFonts w:hint="default" w:ascii="Times New Roman" w:hAnsi="Times New Roman" w:cs="Times New Roman"/>
          <w:b/>
          <w:bCs/>
          <w:snapToGrid w:val="0"/>
          <w:color w:val="000000"/>
          <w:kern w:val="0"/>
          <w:sz w:val="24"/>
          <w:lang w:val="en-US" w:eastAsia="zh-CN"/>
        </w:rPr>
        <w:t>规模投资及</w:t>
      </w:r>
      <w:r>
        <w:rPr>
          <w:rFonts w:hint="default" w:ascii="Times New Roman" w:hAnsi="Times New Roman" w:cs="Times New Roman"/>
          <w:b/>
          <w:bCs/>
          <w:snapToGrid w:val="0"/>
          <w:color w:val="000000"/>
          <w:kern w:val="0"/>
          <w:sz w:val="24"/>
        </w:rPr>
        <w:t>建设内容对比情况表</w:t>
      </w:r>
    </w:p>
    <w:tbl>
      <w:tblPr>
        <w:tblStyle w:val="8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95"/>
        <w:gridCol w:w="3539"/>
        <w:gridCol w:w="3800"/>
        <w:gridCol w:w="766"/>
      </w:tblGrid>
      <w:tr w14:paraId="3B4F5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5" w:type="dxa"/>
            <w:vAlign w:val="center"/>
          </w:tcPr>
          <w:p w14:paraId="03C55F7C">
            <w:pPr>
              <w:pStyle w:val="122"/>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Ansi="Calibri"/>
                <w:b/>
                <w:bCs/>
                <w:color w:val="auto"/>
                <w:sz w:val="21"/>
                <w:szCs w:val="21"/>
              </w:rPr>
            </w:pPr>
            <w:r>
              <w:rPr>
                <w:rFonts w:hint="eastAsia" w:hAnsi="Calibri"/>
                <w:b/>
                <w:bCs/>
                <w:color w:val="auto"/>
                <w:sz w:val="21"/>
                <w:szCs w:val="21"/>
              </w:rPr>
              <w:t>评价对象</w:t>
            </w:r>
          </w:p>
        </w:tc>
        <w:tc>
          <w:tcPr>
            <w:tcW w:w="3539" w:type="dxa"/>
            <w:vAlign w:val="center"/>
          </w:tcPr>
          <w:p w14:paraId="2545E8E5">
            <w:pPr>
              <w:pStyle w:val="122"/>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宋体" w:hAnsi="Calibri" w:eastAsia="宋体" w:cs="宋体"/>
                <w:b/>
                <w:bCs/>
                <w:color w:val="auto"/>
                <w:sz w:val="21"/>
                <w:szCs w:val="21"/>
              </w:rPr>
            </w:pPr>
            <w:r>
              <w:rPr>
                <w:rFonts w:hint="eastAsia" w:ascii="宋体" w:hAnsi="Calibri" w:eastAsia="宋体" w:cs="宋体"/>
                <w:b/>
                <w:bCs/>
                <w:color w:val="auto"/>
                <w:sz w:val="21"/>
                <w:szCs w:val="21"/>
              </w:rPr>
              <w:t>投资备案证主要建设内容及规模</w:t>
            </w:r>
          </w:p>
        </w:tc>
        <w:tc>
          <w:tcPr>
            <w:tcW w:w="3800" w:type="dxa"/>
            <w:vAlign w:val="center"/>
          </w:tcPr>
          <w:p w14:paraId="6FD8ECC8">
            <w:pPr>
              <w:pStyle w:val="122"/>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宋体" w:hAnsi="Calibri" w:eastAsia="宋体" w:cs="宋体"/>
                <w:b/>
                <w:bCs/>
                <w:color w:val="auto"/>
                <w:sz w:val="21"/>
                <w:szCs w:val="21"/>
                <w:lang w:val="en-US" w:eastAsia="zh-CN"/>
              </w:rPr>
            </w:pPr>
            <w:r>
              <w:rPr>
                <w:rFonts w:hint="default" w:ascii="宋体" w:hAnsi="Calibri" w:eastAsia="宋体" w:cs="宋体"/>
                <w:b/>
                <w:bCs/>
                <w:color w:val="auto"/>
                <w:sz w:val="21"/>
                <w:szCs w:val="21"/>
                <w:lang w:val="en-US" w:eastAsia="zh-CN"/>
              </w:rPr>
              <w:t>安全设施设计专篇报告</w:t>
            </w:r>
            <w:r>
              <w:rPr>
                <w:rFonts w:hint="default" w:ascii="宋体" w:hAnsi="Calibri" w:eastAsia="宋体" w:cs="宋体"/>
                <w:b/>
                <w:bCs/>
                <w:color w:val="auto"/>
                <w:sz w:val="21"/>
                <w:szCs w:val="21"/>
              </w:rPr>
              <w:t>中</w:t>
            </w:r>
            <w:r>
              <w:rPr>
                <w:rFonts w:hint="default" w:ascii="宋体" w:hAnsi="Calibri" w:eastAsia="宋体" w:cs="宋体"/>
                <w:b/>
                <w:bCs/>
                <w:color w:val="auto"/>
                <w:sz w:val="21"/>
                <w:szCs w:val="21"/>
                <w:lang w:val="en-US" w:eastAsia="zh-CN"/>
              </w:rPr>
              <w:t>投资规模、建设内容</w:t>
            </w:r>
          </w:p>
        </w:tc>
        <w:tc>
          <w:tcPr>
            <w:tcW w:w="766" w:type="dxa"/>
            <w:vAlign w:val="center"/>
          </w:tcPr>
          <w:p w14:paraId="0F2021BD">
            <w:pPr>
              <w:pStyle w:val="122"/>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宋体" w:hAnsi="Calibri" w:eastAsia="宋体" w:cs="宋体"/>
                <w:b/>
                <w:bCs/>
                <w:color w:val="auto"/>
                <w:sz w:val="21"/>
                <w:szCs w:val="21"/>
                <w:lang w:val="en-US" w:eastAsia="zh-CN"/>
              </w:rPr>
            </w:pPr>
            <w:r>
              <w:rPr>
                <w:rFonts w:hint="eastAsia" w:ascii="宋体" w:hAnsi="Calibri" w:eastAsia="宋体" w:cs="宋体"/>
                <w:b/>
                <w:bCs/>
                <w:color w:val="auto"/>
                <w:sz w:val="21"/>
                <w:szCs w:val="21"/>
                <w:lang w:val="en-US" w:eastAsia="zh-CN"/>
              </w:rPr>
              <w:t>对比一致</w:t>
            </w:r>
          </w:p>
        </w:tc>
      </w:tr>
      <w:tr w14:paraId="53745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70" w:hRule="atLeast"/>
          <w:jc w:val="center"/>
        </w:trPr>
        <w:tc>
          <w:tcPr>
            <w:tcW w:w="1295" w:type="dxa"/>
            <w:vAlign w:val="center"/>
          </w:tcPr>
          <w:p w14:paraId="07833043">
            <w:pPr>
              <w:keepNext w:val="0"/>
              <w:keepLines w:val="0"/>
              <w:pageBreakBefore w:val="0"/>
              <w:widowControl w:val="0"/>
              <w:kinsoku/>
              <w:wordWrap/>
              <w:overflowPunct/>
              <w:topLinePunct w:val="0"/>
              <w:autoSpaceDE/>
              <w:autoSpaceDN/>
              <w:bidi w:val="0"/>
              <w:snapToGrid w:val="0"/>
              <w:spacing w:line="240" w:lineRule="auto"/>
              <w:jc w:val="center"/>
              <w:textAlignment w:val="auto"/>
              <w:rPr>
                <w:rFonts w:ascii="新宋体" w:hAnsi="新宋体" w:eastAsia="新宋体" w:cs="新宋体"/>
                <w:color w:val="auto"/>
                <w:sz w:val="21"/>
                <w:szCs w:val="21"/>
              </w:rPr>
            </w:pPr>
            <w:r>
              <w:rPr>
                <w:rFonts w:hint="eastAsia" w:ascii="新宋体" w:hAnsi="新宋体" w:eastAsia="新宋体" w:cs="新宋体"/>
                <w:color w:val="auto"/>
                <w:sz w:val="21"/>
                <w:szCs w:val="21"/>
              </w:rPr>
              <w:t>云南瓮福祥丰氟硅新材料有限公司3万吨/年无水氟化氢和2万吨/年电子级氢氟酸厂外公用工程管架建设项目</w:t>
            </w:r>
          </w:p>
        </w:tc>
        <w:tc>
          <w:tcPr>
            <w:tcW w:w="3539" w:type="dxa"/>
            <w:vAlign w:val="center"/>
          </w:tcPr>
          <w:p w14:paraId="420C2A2D">
            <w:pPr>
              <w:keepNext w:val="0"/>
              <w:keepLines w:val="0"/>
              <w:pageBreakBefore w:val="0"/>
              <w:widowControl w:val="0"/>
              <w:kinsoku/>
              <w:wordWrap/>
              <w:overflowPunct/>
              <w:topLinePunct w:val="0"/>
              <w:autoSpaceDE/>
              <w:autoSpaceDN/>
              <w:bidi w:val="0"/>
              <w:snapToGrid w:val="0"/>
              <w:spacing w:line="240" w:lineRule="auto"/>
              <w:jc w:val="left"/>
              <w:textAlignment w:val="auto"/>
              <w:rPr>
                <w:rFonts w:hint="eastAsia" w:ascii="新宋体" w:hAnsi="新宋体" w:eastAsia="新宋体" w:cs="新宋体"/>
                <w:color w:val="auto"/>
                <w:sz w:val="21"/>
                <w:szCs w:val="21"/>
              </w:rPr>
            </w:pPr>
            <w:r>
              <w:rPr>
                <w:rFonts w:hint="eastAsia" w:ascii="新宋体" w:hAnsi="新宋体" w:eastAsia="新宋体" w:cs="新宋体"/>
                <w:color w:val="auto"/>
                <w:sz w:val="21"/>
                <w:szCs w:val="21"/>
              </w:rPr>
              <w:t>该项目主要为云南瓮福祥丰氟硅新材料有限公司3万吨/年无水氟化氢和2万吨/年电子级氢氟酸项目输送配套的工艺物料以及蒸汽 、工艺水等公用工程 。该项目外管廊主要输送介质包含中压蒸汽、生活水、工艺脱盐水、消防水（2根）、氟硅酸（2根）、浓硫酸（1根）</w:t>
            </w:r>
            <w:r>
              <w:rPr>
                <w:rFonts w:hint="eastAsia" w:ascii="新宋体" w:hAnsi="新宋体" w:eastAsia="新宋体" w:cs="新宋体"/>
                <w:color w:val="auto"/>
                <w:sz w:val="21"/>
                <w:szCs w:val="21"/>
                <w:lang w:eastAsia="zh-CN"/>
              </w:rPr>
              <w:t>、</w:t>
            </w:r>
            <w:r>
              <w:rPr>
                <w:rFonts w:hint="eastAsia" w:ascii="新宋体" w:hAnsi="新宋体" w:eastAsia="新宋体" w:cs="新宋体"/>
                <w:color w:val="auto"/>
                <w:sz w:val="21"/>
                <w:szCs w:val="21"/>
              </w:rPr>
              <w:t>再浆水（1根）、稀硫酸（2根）、渣浆水（1根）、过滤机洗水（1根）等， 总长度约为3000</w:t>
            </w:r>
            <w:r>
              <w:rPr>
                <w:rFonts w:hint="eastAsia" w:ascii="新宋体" w:hAnsi="新宋体" w:eastAsia="新宋体" w:cs="新宋体"/>
                <w:color w:val="auto"/>
                <w:sz w:val="21"/>
                <w:szCs w:val="21"/>
                <w:lang w:val="en-US" w:eastAsia="zh-CN"/>
              </w:rPr>
              <w:t>m</w:t>
            </w:r>
            <w:r>
              <w:rPr>
                <w:rFonts w:hint="eastAsia" w:ascii="新宋体" w:hAnsi="新宋体" w:eastAsia="新宋体" w:cs="新宋体"/>
                <w:color w:val="auto"/>
                <w:sz w:val="21"/>
                <w:szCs w:val="21"/>
              </w:rPr>
              <w:t>。</w:t>
            </w:r>
          </w:p>
        </w:tc>
        <w:tc>
          <w:tcPr>
            <w:tcW w:w="3800" w:type="dxa"/>
            <w:vAlign w:val="center"/>
          </w:tcPr>
          <w:p w14:paraId="1D27DB28">
            <w:pPr>
              <w:keepNext w:val="0"/>
              <w:keepLines w:val="0"/>
              <w:pageBreakBefore w:val="0"/>
              <w:widowControl w:val="0"/>
              <w:kinsoku/>
              <w:wordWrap/>
              <w:overflowPunct/>
              <w:topLinePunct w:val="0"/>
              <w:autoSpaceDE/>
              <w:autoSpaceDN/>
              <w:bidi w:val="0"/>
              <w:snapToGrid w:val="0"/>
              <w:spacing w:line="240" w:lineRule="auto"/>
              <w:jc w:val="left"/>
              <w:textAlignment w:val="auto"/>
              <w:rPr>
                <w:rFonts w:hint="eastAsia" w:ascii="新宋体" w:hAnsi="新宋体" w:eastAsia="新宋体" w:cs="新宋体"/>
                <w:color w:val="auto"/>
                <w:sz w:val="21"/>
                <w:szCs w:val="21"/>
              </w:rPr>
            </w:pPr>
            <w:r>
              <w:rPr>
                <w:rFonts w:hint="eastAsia" w:ascii="新宋体" w:hAnsi="新宋体" w:eastAsia="新宋体" w:cs="新宋体"/>
                <w:color w:val="auto"/>
                <w:sz w:val="21"/>
                <w:szCs w:val="21"/>
              </w:rPr>
              <w:t>本项目主要为云南瓮福祥丰氟硅新材料有限公司3万吨/年无水氟化氢和2万吨/年电子级氢氟酸项目输送配套的工艺物料以及蒸汽、工艺水等。该项目外管廊主要输送介质包含中压蒸汽（1根）、生活水（1根）、工艺水（1根）、脱盐水（1根）、消防水（2根）、氟硅酸（2根）、浓硫酸（1根）、再浆水（1根）、稀硫酸（2根）、渣浆水（1根）、过滤机洗水（1根）等，外管廊总长度约为3000米。</w:t>
            </w:r>
          </w:p>
          <w:p w14:paraId="267D1065">
            <w:pPr>
              <w:keepNext w:val="0"/>
              <w:keepLines w:val="0"/>
              <w:pageBreakBefore w:val="0"/>
              <w:widowControl w:val="0"/>
              <w:kinsoku/>
              <w:wordWrap/>
              <w:overflowPunct/>
              <w:topLinePunct w:val="0"/>
              <w:autoSpaceDE/>
              <w:autoSpaceDN/>
              <w:bidi w:val="0"/>
              <w:snapToGrid w:val="0"/>
              <w:spacing w:line="240" w:lineRule="auto"/>
              <w:jc w:val="left"/>
              <w:textAlignment w:val="auto"/>
              <w:rPr>
                <w:rFonts w:hint="eastAsia" w:ascii="新宋体" w:hAnsi="新宋体" w:eastAsia="新宋体" w:cs="新宋体"/>
                <w:color w:val="auto"/>
                <w:sz w:val="21"/>
                <w:szCs w:val="21"/>
              </w:rPr>
            </w:pPr>
          </w:p>
        </w:tc>
        <w:tc>
          <w:tcPr>
            <w:tcW w:w="766" w:type="dxa"/>
            <w:vAlign w:val="center"/>
          </w:tcPr>
          <w:p w14:paraId="7C5DC107">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hAnsi="Calibri"/>
                <w:color w:val="auto"/>
                <w:sz w:val="21"/>
                <w:szCs w:val="21"/>
              </w:rPr>
            </w:pPr>
            <w:r>
              <w:rPr>
                <w:rFonts w:hint="eastAsia" w:hAnsi="Calibri"/>
                <w:color w:val="auto"/>
                <w:sz w:val="21"/>
                <w:szCs w:val="21"/>
              </w:rPr>
              <w:t>一致</w:t>
            </w:r>
          </w:p>
          <w:p w14:paraId="48BD144A">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hAnsi="Calibri"/>
                <w:color w:val="auto"/>
                <w:sz w:val="21"/>
                <w:szCs w:val="21"/>
              </w:rPr>
            </w:pPr>
          </w:p>
        </w:tc>
      </w:tr>
    </w:tbl>
    <w:p w14:paraId="4C722CD8">
      <w:pPr>
        <w:pStyle w:val="4"/>
        <w:spacing w:before="193"/>
        <w:jc w:val="left"/>
        <w:rPr>
          <w:rFonts w:hint="eastAsia" w:ascii="黑体" w:hAnsi="黑体" w:eastAsia="黑体" w:cs="黑体"/>
          <w:b/>
          <w:bCs w:val="0"/>
          <w:color w:val="auto"/>
          <w:sz w:val="36"/>
          <w:szCs w:val="36"/>
        </w:rPr>
      </w:pPr>
      <w:bookmarkStart w:id="107" w:name="_Toc47119865"/>
      <w:bookmarkStart w:id="108" w:name="_Toc47119723"/>
      <w:bookmarkStart w:id="109" w:name="_Toc15925"/>
      <w:bookmarkStart w:id="110" w:name="_Toc300136538"/>
      <w:bookmarkStart w:id="111" w:name="_Toc323036347"/>
      <w:bookmarkStart w:id="112" w:name="_Toc195176702"/>
      <w:bookmarkStart w:id="113" w:name="_Toc336009610"/>
      <w:bookmarkStart w:id="114" w:name="_Toc18509516"/>
      <w:r>
        <w:rPr>
          <w:rFonts w:hint="eastAsia" w:ascii="黑体" w:hAnsi="黑体" w:eastAsia="黑体" w:cs="黑体"/>
          <w:b/>
          <w:bCs w:val="0"/>
          <w:color w:val="auto"/>
          <w:sz w:val="36"/>
          <w:szCs w:val="36"/>
        </w:rPr>
        <w:t>工作经过和程序</w:t>
      </w:r>
      <w:bookmarkEnd w:id="107"/>
      <w:bookmarkEnd w:id="108"/>
      <w:bookmarkEnd w:id="109"/>
      <w:bookmarkEnd w:id="110"/>
      <w:bookmarkEnd w:id="111"/>
      <w:bookmarkEnd w:id="112"/>
      <w:bookmarkEnd w:id="113"/>
      <w:bookmarkEnd w:id="114"/>
    </w:p>
    <w:p w14:paraId="3D249560">
      <w:pPr>
        <w:pStyle w:val="5"/>
        <w:numPr>
          <w:ilvl w:val="2"/>
          <w:numId w:val="1"/>
        </w:numPr>
        <w:adjustRightInd w:val="0"/>
        <w:spacing w:before="120" w:after="120"/>
        <w:jc w:val="both"/>
        <w:rPr>
          <w:rFonts w:hint="default" w:ascii="宋体"/>
          <w:b/>
          <w:bCs/>
          <w:color w:val="auto"/>
          <w:sz w:val="32"/>
          <w:szCs w:val="32"/>
        </w:rPr>
      </w:pPr>
      <w:bookmarkStart w:id="115" w:name="_Toc20508"/>
      <w:bookmarkStart w:id="116" w:name="_Toc23134"/>
      <w:bookmarkStart w:id="117" w:name="_Toc47119866"/>
      <w:bookmarkStart w:id="118" w:name="_Toc18509517"/>
      <w:bookmarkStart w:id="119" w:name="_Toc300136539"/>
      <w:bookmarkStart w:id="120" w:name="_Toc323036348"/>
      <w:bookmarkStart w:id="121" w:name="_Toc47119724"/>
      <w:bookmarkStart w:id="122" w:name="_Toc336009611"/>
      <w:r>
        <w:rPr>
          <w:rFonts w:hint="default" w:ascii="宋体"/>
          <w:b/>
          <w:bCs/>
          <w:color w:val="auto"/>
          <w:sz w:val="32"/>
          <w:szCs w:val="32"/>
        </w:rPr>
        <w:t>工作经过</w:t>
      </w:r>
      <w:bookmarkEnd w:id="115"/>
      <w:bookmarkEnd w:id="116"/>
    </w:p>
    <w:p w14:paraId="0521009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snapToGrid w:val="0"/>
          <w:color w:val="000000"/>
          <w:kern w:val="0"/>
          <w:sz w:val="28"/>
          <w:szCs w:val="28"/>
        </w:rPr>
      </w:pPr>
      <w:r>
        <w:rPr>
          <w:snapToGrid w:val="0"/>
          <w:color w:val="000000"/>
          <w:kern w:val="0"/>
          <w:sz w:val="28"/>
          <w:szCs w:val="28"/>
          <w:lang w:bidi="ar"/>
        </w:rPr>
        <w:t>本次安全验收评价工作经过如下：</w:t>
      </w:r>
    </w:p>
    <w:p w14:paraId="36BD34D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snapToGrid w:val="0"/>
          <w:color w:val="000000"/>
          <w:kern w:val="0"/>
          <w:sz w:val="28"/>
          <w:szCs w:val="28"/>
        </w:rPr>
      </w:pPr>
      <w:r>
        <w:rPr>
          <w:snapToGrid w:val="0"/>
          <w:color w:val="000000"/>
          <w:kern w:val="0"/>
          <w:sz w:val="28"/>
          <w:szCs w:val="28"/>
          <w:lang w:bidi="ar"/>
        </w:rPr>
        <w:t>1.前期准备：确定安全评价对象和范围；收集、整理安全评价所需资料。</w:t>
      </w:r>
    </w:p>
    <w:p w14:paraId="2590F2B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snapToGrid w:val="0"/>
          <w:color w:val="000000"/>
          <w:kern w:val="0"/>
          <w:sz w:val="28"/>
          <w:szCs w:val="28"/>
        </w:rPr>
      </w:pPr>
      <w:r>
        <w:rPr>
          <w:snapToGrid w:val="0"/>
          <w:color w:val="000000"/>
          <w:kern w:val="0"/>
          <w:sz w:val="28"/>
          <w:szCs w:val="28"/>
          <w:lang w:bidi="ar"/>
        </w:rPr>
        <w:t>2.安全评价：辨识危险、有害因素；划分评价单元；确定安全评价方法；定性、定量分析危险、有害程度；分析安全条件和安全生产条件；提出安全对策与建议；整理、归纳安全评价结论。</w:t>
      </w:r>
    </w:p>
    <w:p w14:paraId="1DB83733">
      <w:pPr>
        <w:keepNext w:val="0"/>
        <w:keepLines w:val="0"/>
        <w:pageBreakBefore w:val="0"/>
        <w:widowControl w:val="0"/>
        <w:kinsoku/>
        <w:wordWrap/>
        <w:overflowPunct/>
        <w:topLinePunct w:val="0"/>
        <w:autoSpaceDE/>
        <w:autoSpaceDN/>
        <w:bidi w:val="0"/>
        <w:adjustRightInd w:val="0"/>
        <w:snapToGrid/>
        <w:spacing w:line="360" w:lineRule="auto"/>
        <w:ind w:firstLine="560" w:firstLineChars="200"/>
        <w:textAlignment w:val="auto"/>
        <w:rPr>
          <w:snapToGrid w:val="0"/>
          <w:color w:val="000000"/>
          <w:kern w:val="0"/>
          <w:sz w:val="28"/>
          <w:szCs w:val="28"/>
        </w:rPr>
      </w:pPr>
      <w:r>
        <w:rPr>
          <w:snapToGrid w:val="0"/>
          <w:color w:val="000000"/>
          <w:kern w:val="0"/>
          <w:sz w:val="28"/>
          <w:szCs w:val="28"/>
          <w:lang w:bidi="ar"/>
        </w:rPr>
        <w:t>3.与建设单位交换意见：就建设项目安全评价中各方面的情况与建设单位反复、充分交换意见；当与建设单位就某些内容达不成一致意见时，报告中如实说明建设单位的意见及其理由。</w:t>
      </w:r>
    </w:p>
    <w:p w14:paraId="088F5E1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snapToGrid w:val="0"/>
          <w:color w:val="000000"/>
          <w:kern w:val="0"/>
          <w:sz w:val="28"/>
          <w:szCs w:val="28"/>
        </w:rPr>
      </w:pPr>
      <w:r>
        <w:rPr>
          <w:snapToGrid w:val="0"/>
          <w:color w:val="000000"/>
          <w:kern w:val="0"/>
          <w:sz w:val="28"/>
          <w:szCs w:val="28"/>
          <w:lang w:bidi="ar"/>
        </w:rPr>
        <w:t>4.编制安全评价报告：根据前期准备、安全评价程序，结合与建设单位交换意见，编制安全评价报告。</w:t>
      </w:r>
    </w:p>
    <w:p w14:paraId="59F8F34E">
      <w:pPr>
        <w:pStyle w:val="5"/>
        <w:numPr>
          <w:ilvl w:val="2"/>
          <w:numId w:val="1"/>
        </w:numPr>
        <w:adjustRightInd w:val="0"/>
        <w:spacing w:before="120" w:after="120"/>
        <w:jc w:val="both"/>
        <w:rPr>
          <w:rFonts w:hint="default" w:ascii="宋体"/>
          <w:b/>
          <w:bCs/>
          <w:color w:val="auto"/>
          <w:sz w:val="32"/>
          <w:szCs w:val="32"/>
        </w:rPr>
      </w:pPr>
      <w:bookmarkStart w:id="123" w:name="_Toc26610"/>
      <w:bookmarkStart w:id="124" w:name="_Toc11208"/>
      <w:r>
        <w:rPr>
          <w:rFonts w:hint="default" w:ascii="宋体"/>
          <w:b/>
          <w:bCs/>
          <w:color w:val="auto"/>
          <w:sz w:val="32"/>
          <w:szCs w:val="32"/>
        </w:rPr>
        <w:t>安全评价程序</w:t>
      </w:r>
      <w:bookmarkEnd w:id="123"/>
      <w:bookmarkEnd w:id="124"/>
    </w:p>
    <w:p w14:paraId="5CE1287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snapToGrid w:val="0"/>
          <w:color w:val="000000"/>
          <w:kern w:val="0"/>
          <w:sz w:val="28"/>
          <w:szCs w:val="28"/>
        </w:rPr>
      </w:pPr>
      <w:r>
        <w:rPr>
          <w:snapToGrid w:val="0"/>
          <w:color w:val="000000"/>
          <w:kern w:val="0"/>
          <w:sz w:val="28"/>
          <w:szCs w:val="28"/>
          <w:lang w:bidi="ar"/>
        </w:rPr>
        <w:t>按照《危险化学品建设项目安全评价细则（试行）》（安监总危化〔2007〕255号）、《安全验收评价导则》（AQ8003-2007）的要求，安全验收评价程序如图1-1所示。</w:t>
      </w:r>
    </w:p>
    <w:p w14:paraId="58EA40BD">
      <w:pPr>
        <w:jc w:val="center"/>
        <w:rPr>
          <w:color w:val="000000"/>
        </w:rPr>
      </w:pPr>
      <w:r>
        <w:rPr>
          <w:color w:val="000000"/>
          <w:lang w:bidi="ar"/>
        </w:rPr>
        <w:object>
          <v:shape id="_x0000_i1025" o:spt="75" alt="" type="#_x0000_t75" style="height:200.25pt;width:356.2pt;" o:ole="t" filled="f" o:preferrelative="t" stroked="f" coordsize="21600,21600">
            <v:path/>
            <v:fill on="f" focussize="0,0"/>
            <v:stroke on="f"/>
            <v:imagedata r:id="rId18" o:title=""/>
            <o:lock v:ext="edit" aspectratio="t"/>
            <w10:wrap type="none"/>
            <w10:anchorlock/>
          </v:shape>
          <o:OLEObject Type="Embed" ProgID="Msxml2.SAXXMLReader.5.0" ShapeID="_x0000_i1025" DrawAspect="Content" ObjectID="_1468075725" r:id="rId17">
            <o:LockedField>false</o:LockedField>
          </o:OLEObject>
        </w:object>
      </w:r>
    </w:p>
    <w:p w14:paraId="7786EEBE">
      <w:pPr>
        <w:spacing w:line="500" w:lineRule="exact"/>
        <w:jc w:val="center"/>
        <w:rPr>
          <w:b/>
          <w:bCs/>
          <w:color w:val="000000"/>
          <w:sz w:val="24"/>
        </w:rPr>
      </w:pPr>
      <w:r>
        <w:rPr>
          <w:b/>
          <w:bCs/>
          <w:color w:val="000000"/>
          <w:sz w:val="24"/>
          <w:lang w:bidi="ar"/>
        </w:rPr>
        <w:t>图1-1 安全验收评价程序框图</w:t>
      </w:r>
    </w:p>
    <w:p w14:paraId="61367FFB">
      <w:pPr>
        <w:pStyle w:val="4"/>
        <w:spacing w:before="193"/>
        <w:jc w:val="left"/>
        <w:rPr>
          <w:rFonts w:hint="eastAsia" w:ascii="黑体" w:hAnsi="黑体" w:eastAsia="黑体" w:cs="黑体"/>
          <w:b/>
          <w:bCs w:val="0"/>
          <w:color w:val="auto"/>
          <w:sz w:val="36"/>
          <w:szCs w:val="36"/>
        </w:rPr>
      </w:pPr>
      <w:bookmarkStart w:id="125" w:name="_Toc10045"/>
      <w:r>
        <w:rPr>
          <w:rFonts w:hint="eastAsia" w:ascii="黑体" w:hAnsi="黑体" w:eastAsia="黑体" w:cs="黑体"/>
          <w:b/>
          <w:bCs w:val="0"/>
          <w:color w:val="auto"/>
          <w:sz w:val="36"/>
          <w:szCs w:val="36"/>
        </w:rPr>
        <w:t>评价基准日</w:t>
      </w:r>
      <w:bookmarkEnd w:id="117"/>
      <w:bookmarkEnd w:id="118"/>
      <w:bookmarkEnd w:id="119"/>
      <w:bookmarkEnd w:id="120"/>
      <w:bookmarkEnd w:id="121"/>
      <w:bookmarkEnd w:id="122"/>
      <w:bookmarkEnd w:id="125"/>
    </w:p>
    <w:p w14:paraId="1BF193CC">
      <w:pPr>
        <w:pStyle w:val="122"/>
        <w:keepNext w:val="0"/>
        <w:keepLines w:val="0"/>
        <w:pageBreakBefore w:val="0"/>
        <w:widowControl w:val="0"/>
        <w:kinsoku/>
        <w:wordWrap/>
        <w:overflowPunct/>
        <w:topLinePunct w:val="0"/>
        <w:autoSpaceDE/>
        <w:autoSpaceDN/>
        <w:bidi w:val="0"/>
        <w:adjustRightInd/>
        <w:snapToGrid w:val="0"/>
        <w:ind w:firstLine="561"/>
        <w:textAlignment w:val="auto"/>
        <w:rPr>
          <w:rFonts w:hint="eastAsia"/>
          <w:color w:val="auto"/>
        </w:rPr>
      </w:pPr>
      <w:r>
        <w:rPr>
          <w:rFonts w:hint="eastAsia"/>
          <w:color w:val="auto"/>
        </w:rPr>
        <w:t>本次安全</w:t>
      </w:r>
      <w:r>
        <w:rPr>
          <w:rFonts w:hint="eastAsia"/>
          <w:color w:val="auto"/>
          <w:lang w:eastAsia="zh-CN"/>
        </w:rPr>
        <w:t>验收评价</w:t>
      </w:r>
      <w:r>
        <w:rPr>
          <w:rFonts w:hint="eastAsia"/>
          <w:color w:val="auto"/>
        </w:rPr>
        <w:t>的基准日为202</w:t>
      </w:r>
      <w:r>
        <w:rPr>
          <w:rFonts w:hint="eastAsia"/>
          <w:color w:val="auto"/>
          <w:lang w:val="en-US" w:eastAsia="zh-CN"/>
        </w:rPr>
        <w:t>5</w:t>
      </w:r>
      <w:r>
        <w:rPr>
          <w:rFonts w:hint="eastAsia"/>
          <w:color w:val="auto"/>
        </w:rPr>
        <w:t>年</w:t>
      </w:r>
      <w:r>
        <w:rPr>
          <w:rFonts w:hint="eastAsia"/>
          <w:color w:val="auto"/>
          <w:lang w:val="en-US" w:eastAsia="zh-CN"/>
        </w:rPr>
        <w:t>7</w:t>
      </w:r>
      <w:r>
        <w:rPr>
          <w:rFonts w:hint="eastAsia"/>
          <w:color w:val="auto"/>
        </w:rPr>
        <w:t>月</w:t>
      </w:r>
      <w:r>
        <w:rPr>
          <w:rFonts w:hint="eastAsia"/>
          <w:color w:val="auto"/>
          <w:lang w:val="en-US" w:eastAsia="zh-CN"/>
        </w:rPr>
        <w:t>09</w:t>
      </w:r>
      <w:r>
        <w:rPr>
          <w:rFonts w:hint="eastAsia"/>
          <w:color w:val="auto"/>
        </w:rPr>
        <w:t>日。</w:t>
      </w:r>
    </w:p>
    <w:p w14:paraId="70FA1B5A">
      <w:pPr>
        <w:pStyle w:val="4"/>
        <w:spacing w:before="193"/>
        <w:jc w:val="left"/>
        <w:rPr>
          <w:rFonts w:hint="eastAsia" w:ascii="黑体" w:hAnsi="黑体" w:eastAsia="黑体" w:cs="黑体"/>
          <w:b/>
          <w:bCs w:val="0"/>
          <w:color w:val="auto"/>
          <w:sz w:val="36"/>
          <w:szCs w:val="36"/>
        </w:rPr>
      </w:pPr>
      <w:bookmarkStart w:id="126" w:name="_Toc12027"/>
      <w:bookmarkStart w:id="127" w:name="_Toc18103"/>
      <w:r>
        <w:rPr>
          <w:rFonts w:hint="eastAsia" w:ascii="黑体" w:hAnsi="黑体" w:eastAsia="黑体" w:cs="黑体"/>
          <w:b/>
          <w:bCs w:val="0"/>
          <w:color w:val="auto"/>
          <w:sz w:val="36"/>
          <w:szCs w:val="36"/>
        </w:rPr>
        <w:t>评价报告使用权声明</w:t>
      </w:r>
      <w:bookmarkEnd w:id="126"/>
      <w:bookmarkEnd w:id="127"/>
    </w:p>
    <w:p w14:paraId="78E1D54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color w:val="000000"/>
          <w:lang w:bidi="ar"/>
        </w:rPr>
      </w:pPr>
      <w:r>
        <w:rPr>
          <w:snapToGrid w:val="0"/>
          <w:color w:val="000000"/>
          <w:kern w:val="0"/>
          <w:sz w:val="28"/>
          <w:szCs w:val="28"/>
          <w:lang w:bidi="ar"/>
        </w:rPr>
        <w:t>本评价报告是受</w:t>
      </w:r>
      <w:r>
        <w:rPr>
          <w:rFonts w:hint="eastAsia"/>
          <w:snapToGrid w:val="0"/>
          <w:color w:val="000000"/>
          <w:kern w:val="0"/>
          <w:sz w:val="28"/>
          <w:szCs w:val="28"/>
          <w:lang w:bidi="ar"/>
        </w:rPr>
        <w:t>云南瓮福祥丰氟硅新材料有限公司</w:t>
      </w:r>
      <w:r>
        <w:rPr>
          <w:snapToGrid w:val="0"/>
          <w:color w:val="000000"/>
          <w:kern w:val="0"/>
          <w:sz w:val="28"/>
          <w:szCs w:val="28"/>
          <w:lang w:bidi="ar"/>
        </w:rPr>
        <w:t>委托而编制的，专属委托方使用。</w:t>
      </w:r>
      <w:bookmarkStart w:id="128" w:name="_Toc121910194"/>
      <w:r>
        <w:rPr>
          <w:snapToGrid w:val="0"/>
          <w:color w:val="000000"/>
          <w:kern w:val="0"/>
          <w:sz w:val="28"/>
          <w:szCs w:val="28"/>
          <w:lang w:bidi="ar"/>
        </w:rPr>
        <w:t>除按规定上报各级应急管理部门外，</w:t>
      </w:r>
      <w:r>
        <w:rPr>
          <w:rFonts w:hint="eastAsia"/>
          <w:snapToGrid w:val="0"/>
          <w:color w:val="000000"/>
          <w:kern w:val="0"/>
          <w:sz w:val="28"/>
          <w:szCs w:val="28"/>
          <w:lang w:eastAsia="zh-CN" w:bidi="ar"/>
        </w:rPr>
        <w:t>昭通市鼎安科技有限公司</w:t>
      </w:r>
      <w:r>
        <w:rPr>
          <w:snapToGrid w:val="0"/>
          <w:color w:val="000000"/>
          <w:kern w:val="0"/>
          <w:sz w:val="28"/>
          <w:szCs w:val="28"/>
          <w:lang w:bidi="ar"/>
        </w:rPr>
        <w:t>不会将本评价报告内容向其它任何单位和个人提供，也不会将本评价报告的全部或部分内容在媒体上或以其它形式公开发表。</w:t>
      </w:r>
      <w:bookmarkEnd w:id="128"/>
    </w:p>
    <w:p w14:paraId="4F77EDFA">
      <w:pPr>
        <w:pStyle w:val="122"/>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rFonts w:hint="eastAsia"/>
          <w:color w:val="auto"/>
        </w:rPr>
        <w:sectPr>
          <w:pgSz w:w="11905" w:h="16838"/>
          <w:pgMar w:top="1417" w:right="1134" w:bottom="1134" w:left="1587" w:header="850" w:footer="680" w:gutter="0"/>
          <w:pgNumType w:fmt="decimal"/>
          <w:cols w:space="0" w:num="1"/>
          <w:rtlGutter w:val="0"/>
          <w:docGrid w:type="lines" w:linePitch="386" w:charSpace="0"/>
        </w:sectPr>
      </w:pPr>
    </w:p>
    <w:bookmarkEnd w:id="46"/>
    <w:p w14:paraId="25751300">
      <w:pPr>
        <w:pStyle w:val="3"/>
        <w:numPr>
          <w:ilvl w:val="0"/>
          <w:numId w:val="1"/>
        </w:numPr>
        <w:tabs>
          <w:tab w:val="left" w:pos="420"/>
        </w:tabs>
        <w:adjustRightInd w:val="0"/>
        <w:spacing w:before="120" w:after="120"/>
        <w:ind w:left="0"/>
        <w:rPr>
          <w:rFonts w:hint="eastAsia" w:ascii="宋体" w:cs="宋体"/>
          <w:color w:val="auto"/>
          <w:sz w:val="44"/>
          <w:szCs w:val="44"/>
        </w:rPr>
      </w:pPr>
      <w:bookmarkStart w:id="129" w:name="_Toc342730303"/>
      <w:bookmarkStart w:id="130" w:name="_Toc90911261"/>
      <w:bookmarkStart w:id="131" w:name="_Toc20453"/>
      <w:bookmarkStart w:id="132" w:name="_Toc413892140"/>
      <w:bookmarkStart w:id="133" w:name="_Toc114690636"/>
      <w:r>
        <w:rPr>
          <w:rFonts w:hint="eastAsia" w:ascii="宋体" w:cs="宋体"/>
          <w:color w:val="auto"/>
          <w:sz w:val="44"/>
          <w:szCs w:val="44"/>
        </w:rPr>
        <w:t>建设项目概况</w:t>
      </w:r>
      <w:bookmarkEnd w:id="129"/>
      <w:bookmarkEnd w:id="130"/>
      <w:bookmarkEnd w:id="131"/>
      <w:bookmarkEnd w:id="132"/>
    </w:p>
    <w:p w14:paraId="59386CE1">
      <w:pPr>
        <w:pStyle w:val="4"/>
        <w:spacing w:before="193"/>
        <w:jc w:val="left"/>
        <w:rPr>
          <w:rFonts w:hint="eastAsia" w:ascii="黑体" w:hAnsi="黑体" w:eastAsia="黑体" w:cs="黑体"/>
          <w:b/>
          <w:bCs w:val="0"/>
          <w:color w:val="auto"/>
          <w:sz w:val="36"/>
          <w:szCs w:val="36"/>
        </w:rPr>
      </w:pPr>
      <w:bookmarkStart w:id="134" w:name="_Toc90911262"/>
      <w:bookmarkStart w:id="135" w:name="_Toc15993"/>
      <w:r>
        <w:rPr>
          <w:rFonts w:hint="eastAsia" w:ascii="黑体" w:hAnsi="黑体" w:eastAsia="黑体" w:cs="黑体"/>
          <w:b/>
          <w:bCs w:val="0"/>
          <w:color w:val="auto"/>
          <w:sz w:val="36"/>
          <w:szCs w:val="36"/>
        </w:rPr>
        <w:t>建设</w:t>
      </w:r>
      <w:bookmarkEnd w:id="134"/>
      <w:r>
        <w:rPr>
          <w:rFonts w:hint="eastAsia" w:ascii="黑体" w:hAnsi="黑体" w:eastAsia="黑体" w:cs="黑体"/>
          <w:b/>
          <w:bCs w:val="0"/>
          <w:color w:val="auto"/>
          <w:sz w:val="36"/>
          <w:szCs w:val="36"/>
        </w:rPr>
        <w:t>单位基本情况</w:t>
      </w:r>
      <w:bookmarkEnd w:id="135"/>
    </w:p>
    <w:p w14:paraId="13E42832">
      <w:pPr>
        <w:pStyle w:val="122"/>
        <w:keepNext w:val="0"/>
        <w:keepLines w:val="0"/>
        <w:pageBreakBefore w:val="0"/>
        <w:widowControl w:val="0"/>
        <w:tabs>
          <w:tab w:val="left" w:pos="1050"/>
        </w:tabs>
        <w:kinsoku/>
        <w:wordWrap/>
        <w:overflowPunct/>
        <w:topLinePunct w:val="0"/>
        <w:autoSpaceDE/>
        <w:autoSpaceDN/>
        <w:bidi w:val="0"/>
        <w:adjustRightInd/>
        <w:snapToGrid w:val="0"/>
        <w:ind w:firstLine="840" w:firstLineChars="300"/>
        <w:textAlignment w:val="auto"/>
        <w:rPr>
          <w:rFonts w:hint="eastAsia"/>
          <w:color w:val="auto"/>
        </w:rPr>
      </w:pPr>
      <w:r>
        <w:rPr>
          <w:rFonts w:hint="eastAsia"/>
          <w:color w:val="auto"/>
          <w:lang w:val="en-US" w:eastAsia="zh-CN"/>
        </w:rPr>
        <w:t>企业名称：</w:t>
      </w:r>
      <w:r>
        <w:rPr>
          <w:rFonts w:hint="eastAsia"/>
          <w:color w:val="auto"/>
        </w:rPr>
        <w:t>云南瓮福祥丰氟硅新材料有限公司</w:t>
      </w:r>
    </w:p>
    <w:p w14:paraId="400721E6">
      <w:pPr>
        <w:pStyle w:val="122"/>
        <w:keepNext w:val="0"/>
        <w:keepLines w:val="0"/>
        <w:pageBreakBefore w:val="0"/>
        <w:widowControl w:val="0"/>
        <w:tabs>
          <w:tab w:val="left" w:pos="1050"/>
        </w:tabs>
        <w:kinsoku/>
        <w:wordWrap/>
        <w:overflowPunct/>
        <w:topLinePunct w:val="0"/>
        <w:autoSpaceDE/>
        <w:autoSpaceDN/>
        <w:bidi w:val="0"/>
        <w:adjustRightInd/>
        <w:snapToGrid w:val="0"/>
        <w:ind w:firstLine="840" w:firstLineChars="300"/>
        <w:textAlignment w:val="auto"/>
        <w:rPr>
          <w:rFonts w:hint="eastAsia"/>
          <w:color w:val="auto"/>
          <w:lang w:val="en-US" w:eastAsia="zh-CN"/>
        </w:rPr>
      </w:pPr>
      <w:r>
        <w:rPr>
          <w:rFonts w:hint="eastAsia"/>
          <w:color w:val="auto"/>
          <w:lang w:val="en-US" w:eastAsia="zh-CN"/>
        </w:rPr>
        <w:t>类    型：有限责任公司</w:t>
      </w:r>
    </w:p>
    <w:p w14:paraId="5CBA26D0">
      <w:pPr>
        <w:pStyle w:val="122"/>
        <w:keepNext w:val="0"/>
        <w:keepLines w:val="0"/>
        <w:pageBreakBefore w:val="0"/>
        <w:widowControl w:val="0"/>
        <w:tabs>
          <w:tab w:val="left" w:pos="1050"/>
        </w:tabs>
        <w:kinsoku/>
        <w:wordWrap/>
        <w:overflowPunct/>
        <w:topLinePunct w:val="0"/>
        <w:autoSpaceDE/>
        <w:autoSpaceDN/>
        <w:bidi w:val="0"/>
        <w:adjustRightInd/>
        <w:snapToGrid w:val="0"/>
        <w:ind w:firstLine="840" w:firstLineChars="300"/>
        <w:textAlignment w:val="auto"/>
        <w:rPr>
          <w:rFonts w:hint="eastAsia"/>
          <w:color w:val="auto"/>
          <w:lang w:val="en-US" w:eastAsia="zh-CN"/>
        </w:rPr>
      </w:pPr>
      <w:r>
        <w:rPr>
          <w:rFonts w:hint="eastAsia"/>
          <w:color w:val="auto"/>
          <w:lang w:val="en-US" w:eastAsia="zh-CN"/>
        </w:rPr>
        <w:t>法定代表人：杨国荣</w:t>
      </w:r>
    </w:p>
    <w:p w14:paraId="40C9CEF5">
      <w:pPr>
        <w:pStyle w:val="122"/>
        <w:keepNext w:val="0"/>
        <w:keepLines w:val="0"/>
        <w:pageBreakBefore w:val="0"/>
        <w:widowControl w:val="0"/>
        <w:tabs>
          <w:tab w:val="left" w:pos="1050"/>
        </w:tabs>
        <w:kinsoku/>
        <w:wordWrap/>
        <w:overflowPunct/>
        <w:topLinePunct w:val="0"/>
        <w:autoSpaceDE/>
        <w:autoSpaceDN/>
        <w:bidi w:val="0"/>
        <w:adjustRightInd/>
        <w:snapToGrid w:val="0"/>
        <w:ind w:firstLine="840" w:firstLineChars="300"/>
        <w:textAlignment w:val="auto"/>
        <w:rPr>
          <w:rFonts w:hint="eastAsia"/>
          <w:color w:val="auto"/>
        </w:rPr>
      </w:pPr>
      <w:r>
        <w:rPr>
          <w:rFonts w:hint="eastAsia"/>
          <w:color w:val="auto"/>
          <w:lang w:val="en-US" w:eastAsia="zh-CN"/>
        </w:rPr>
        <w:t>成立日期：</w:t>
      </w:r>
      <w:r>
        <w:rPr>
          <w:rFonts w:hint="eastAsia"/>
          <w:color w:val="auto"/>
        </w:rPr>
        <w:t>2023年2月23日</w:t>
      </w:r>
    </w:p>
    <w:p w14:paraId="4DD92052">
      <w:pPr>
        <w:pStyle w:val="122"/>
        <w:keepNext w:val="0"/>
        <w:keepLines w:val="0"/>
        <w:pageBreakBefore w:val="0"/>
        <w:widowControl w:val="0"/>
        <w:tabs>
          <w:tab w:val="left" w:pos="1050"/>
        </w:tabs>
        <w:kinsoku/>
        <w:wordWrap/>
        <w:overflowPunct/>
        <w:topLinePunct w:val="0"/>
        <w:autoSpaceDE/>
        <w:autoSpaceDN/>
        <w:bidi w:val="0"/>
        <w:adjustRightInd/>
        <w:snapToGrid w:val="0"/>
        <w:ind w:firstLine="840" w:firstLineChars="300"/>
        <w:textAlignment w:val="auto"/>
        <w:rPr>
          <w:rFonts w:hint="eastAsia" w:eastAsia="宋体"/>
          <w:color w:val="auto"/>
          <w:lang w:val="en-US" w:eastAsia="zh-CN"/>
        </w:rPr>
      </w:pPr>
      <w:r>
        <w:rPr>
          <w:rFonts w:hint="eastAsia"/>
          <w:color w:val="auto"/>
          <w:lang w:val="en-US" w:eastAsia="zh-CN"/>
        </w:rPr>
        <w:t>住  所：云南省</w:t>
      </w:r>
      <w:r>
        <w:rPr>
          <w:rFonts w:hint="eastAsia"/>
          <w:color w:val="auto"/>
        </w:rPr>
        <w:t>昆明市安宁市禄脿街道安宁</w:t>
      </w:r>
      <w:r>
        <w:rPr>
          <w:rFonts w:hint="eastAsia"/>
          <w:color w:val="auto"/>
          <w:lang w:val="en-US" w:eastAsia="zh-CN"/>
        </w:rPr>
        <w:t>产业园区</w:t>
      </w:r>
      <w:r>
        <w:rPr>
          <w:rFonts w:hint="eastAsia"/>
          <w:color w:val="auto"/>
        </w:rPr>
        <w:t>化工园区</w:t>
      </w:r>
      <w:r>
        <w:rPr>
          <w:rFonts w:hint="eastAsia"/>
          <w:color w:val="auto"/>
          <w:lang w:val="en-US" w:eastAsia="zh-CN"/>
        </w:rPr>
        <w:t>西区</w:t>
      </w:r>
      <w:r>
        <w:rPr>
          <w:rFonts w:hint="eastAsia"/>
          <w:color w:val="auto"/>
        </w:rPr>
        <w:t>内</w:t>
      </w:r>
    </w:p>
    <w:p w14:paraId="1EB7486E">
      <w:pPr>
        <w:pStyle w:val="122"/>
        <w:keepNext w:val="0"/>
        <w:keepLines w:val="0"/>
        <w:pageBreakBefore w:val="0"/>
        <w:widowControl w:val="0"/>
        <w:tabs>
          <w:tab w:val="left" w:pos="1050"/>
        </w:tabs>
        <w:kinsoku/>
        <w:wordWrap/>
        <w:overflowPunct/>
        <w:topLinePunct w:val="0"/>
        <w:autoSpaceDE/>
        <w:autoSpaceDN/>
        <w:bidi w:val="0"/>
        <w:adjustRightInd/>
        <w:snapToGrid w:val="0"/>
        <w:ind w:firstLine="840" w:firstLineChars="300"/>
        <w:textAlignment w:val="auto"/>
        <w:rPr>
          <w:color w:val="auto"/>
        </w:rPr>
      </w:pPr>
      <w:r>
        <w:rPr>
          <w:rFonts w:hint="eastAsia"/>
          <w:color w:val="auto"/>
        </w:rPr>
        <w:t>注册资本</w:t>
      </w:r>
      <w:r>
        <w:rPr>
          <w:rFonts w:hint="eastAsia"/>
          <w:color w:val="auto"/>
          <w:lang w:eastAsia="zh-CN"/>
        </w:rPr>
        <w:t>：</w:t>
      </w:r>
      <w:r>
        <w:rPr>
          <w:rFonts w:hint="eastAsia"/>
          <w:color w:val="auto"/>
        </w:rPr>
        <w:t>9000万元人民币。</w:t>
      </w:r>
    </w:p>
    <w:p w14:paraId="365981E7">
      <w:pPr>
        <w:pStyle w:val="122"/>
        <w:keepNext w:val="0"/>
        <w:keepLines w:val="0"/>
        <w:pageBreakBefore w:val="0"/>
        <w:widowControl w:val="0"/>
        <w:tabs>
          <w:tab w:val="left" w:pos="1050"/>
        </w:tabs>
        <w:kinsoku/>
        <w:wordWrap/>
        <w:overflowPunct/>
        <w:topLinePunct w:val="0"/>
        <w:autoSpaceDE/>
        <w:autoSpaceDN/>
        <w:bidi w:val="0"/>
        <w:adjustRightInd/>
        <w:snapToGrid w:val="0"/>
        <w:ind w:firstLine="840" w:firstLineChars="300"/>
        <w:textAlignment w:val="auto"/>
        <w:rPr>
          <w:rFonts w:hint="eastAsia"/>
          <w:color w:val="auto"/>
        </w:rPr>
      </w:pPr>
      <w:r>
        <w:rPr>
          <w:rFonts w:hint="eastAsia"/>
          <w:color w:val="auto"/>
        </w:rPr>
        <w:t>经营范围</w:t>
      </w:r>
      <w:r>
        <w:rPr>
          <w:rFonts w:hint="eastAsia"/>
          <w:color w:val="auto"/>
          <w:lang w:eastAsia="zh-CN"/>
        </w:rPr>
        <w:t>：</w:t>
      </w:r>
      <w:r>
        <w:rPr>
          <w:rFonts w:hint="eastAsia"/>
          <w:color w:val="auto"/>
        </w:rPr>
        <w:t>许可项目：第二、三类监控化学品和第四类监控化学品中含磷、硫、氟的特定有机化学品的生产。（依法须经批准的项目，经相关部门批准后方可开展经营活动，具体经营项目以相关部门批准文件或许可证件为准）一般项目：电池制造；电池销售；电池零配件的生产；电池零配件的销售；新材料技术研发；新兴技术能源技术研发；新能源技术废旧动力蓄电池回收及梯次利用（不含危险废物经营）；电子专用材料研发；电子专用材料制造；电子专用材料销售；专用化学品制造（不含危险化学品）；专用化学产品销售（不含危险化学品）；高纯元素及化合物销售</w:t>
      </w:r>
      <w:r>
        <w:rPr>
          <w:rFonts w:hint="default" w:ascii="Times New Roman" w:hAnsi="Times New Roman" w:cs="Times New Roman"/>
          <w:color w:val="000000"/>
          <w:sz w:val="28"/>
          <w:szCs w:val="28"/>
        </w:rPr>
        <w:t>（除依法须经批准的项目外，凭营业执照依法自主开展经营活动）。</w:t>
      </w:r>
    </w:p>
    <w:p w14:paraId="0B97CC78">
      <w:pPr>
        <w:pStyle w:val="122"/>
        <w:keepNext w:val="0"/>
        <w:keepLines w:val="0"/>
        <w:pageBreakBefore w:val="0"/>
        <w:widowControl w:val="0"/>
        <w:kinsoku/>
        <w:wordWrap/>
        <w:overflowPunct/>
        <w:topLinePunct w:val="0"/>
        <w:autoSpaceDE/>
        <w:autoSpaceDN/>
        <w:bidi w:val="0"/>
        <w:adjustRightInd/>
        <w:snapToGrid w:val="0"/>
        <w:ind w:firstLine="560" w:firstLineChars="200"/>
        <w:textAlignment w:val="auto"/>
        <w:rPr>
          <w:rFonts w:hint="eastAsia"/>
          <w:color w:val="auto"/>
        </w:rPr>
      </w:pPr>
      <w:r>
        <w:rPr>
          <w:rFonts w:hint="eastAsia"/>
          <w:color w:val="auto"/>
        </w:rPr>
        <w:t>为充分利用瓮福在氟硅酸制备无水氟化氢方面的技术优势和云南祥丰金麦化工有限公司氟硅酸资源，云南瓮福祥丰氟硅新材料有限公司建设产能为3万吨/年氟化氢/氢氟酸生产装置和2万吨/年电子氢氟酸装置，本项目为3万吨/年氟化氢/氢氟酸生产装置和2万吨/年电子氢氟酸装置配套的厂外公用工程管架建设项目。</w:t>
      </w:r>
    </w:p>
    <w:p w14:paraId="13BA2043">
      <w:pPr>
        <w:keepNext w:val="0"/>
        <w:keepLines w:val="0"/>
        <w:pageBreakBefore w:val="0"/>
        <w:widowControl w:val="0"/>
        <w:kinsoku/>
        <w:wordWrap/>
        <w:overflowPunct/>
        <w:topLinePunct w:val="0"/>
        <w:autoSpaceDE/>
        <w:autoSpaceDN/>
        <w:bidi w:val="0"/>
        <w:adjustRightInd/>
        <w:snapToGrid w:val="0"/>
        <w:ind w:firstLine="560" w:firstLineChars="200"/>
        <w:textAlignment w:val="auto"/>
      </w:pPr>
      <w:r>
        <w:rPr>
          <w:rFonts w:hint="eastAsia"/>
        </w:rPr>
        <w:t>厂外工艺及供热外管用于连接云南祥丰化肥有限公司和云南瓮福祥丰氟硅新材料有限公司厂区工艺物料、公用工程管道、供热管道等，使上下游装置及公用工程等实现贯通，氟化氢生产装置生产所需的物料都要通过管廊进行传输。管廊作为化工园区内特有的基础配套设施，以较低的投资成本、较高的资源利用效率和快速、安全的传输速度，确保了气体、液体物料在各企业间、工厂及仓储之间便捷、高效的流动，被形容为化工园区的“动脉”。</w:t>
      </w:r>
    </w:p>
    <w:p w14:paraId="459A9A7E">
      <w:pPr>
        <w:keepNext w:val="0"/>
        <w:keepLines w:val="0"/>
        <w:pageBreakBefore w:val="0"/>
        <w:widowControl w:val="0"/>
        <w:kinsoku/>
        <w:wordWrap/>
        <w:overflowPunct/>
        <w:topLinePunct w:val="0"/>
        <w:autoSpaceDE/>
        <w:autoSpaceDN/>
        <w:bidi w:val="0"/>
        <w:adjustRightInd/>
        <w:snapToGrid w:val="0"/>
        <w:ind w:firstLine="560" w:firstLineChars="200"/>
        <w:textAlignment w:val="auto"/>
      </w:pPr>
      <w:r>
        <w:rPr>
          <w:rFonts w:hint="eastAsia"/>
        </w:rPr>
        <w:t>本项目厂外工艺及供热外管是云南祥丰化肥有限公司和云南瓮福祥丰氟硅新材料有限公司的运输纽带，为3万吨/年氟化氢生产装置和2万吨/年电子级氢氟酸装置提供重要的先决条件。</w:t>
      </w:r>
    </w:p>
    <w:p w14:paraId="128C6F94">
      <w:pPr>
        <w:pStyle w:val="4"/>
        <w:spacing w:before="193"/>
        <w:jc w:val="left"/>
        <w:rPr>
          <w:rFonts w:hint="eastAsia" w:ascii="黑体" w:hAnsi="黑体" w:eastAsia="黑体" w:cs="黑体"/>
          <w:b/>
          <w:bCs w:val="0"/>
          <w:color w:val="auto"/>
          <w:sz w:val="36"/>
          <w:szCs w:val="36"/>
        </w:rPr>
      </w:pPr>
      <w:bookmarkStart w:id="136" w:name="_Toc20885"/>
      <w:r>
        <w:rPr>
          <w:rFonts w:hint="eastAsia" w:ascii="黑体" w:hAnsi="黑体" w:eastAsia="黑体" w:cs="黑体"/>
          <w:b/>
          <w:bCs w:val="0"/>
          <w:color w:val="auto"/>
          <w:sz w:val="36"/>
          <w:szCs w:val="36"/>
        </w:rPr>
        <w:t>建设项目概况</w:t>
      </w:r>
      <w:bookmarkEnd w:id="133"/>
      <w:bookmarkEnd w:id="136"/>
    </w:p>
    <w:p w14:paraId="7259BD59">
      <w:pPr>
        <w:pStyle w:val="5"/>
        <w:numPr>
          <w:ilvl w:val="2"/>
          <w:numId w:val="1"/>
        </w:numPr>
        <w:adjustRightInd w:val="0"/>
        <w:spacing w:before="120" w:after="120"/>
        <w:jc w:val="both"/>
        <w:rPr>
          <w:rFonts w:hint="default" w:ascii="宋体"/>
          <w:b/>
          <w:bCs/>
          <w:color w:val="auto"/>
          <w:sz w:val="32"/>
          <w:szCs w:val="32"/>
        </w:rPr>
      </w:pPr>
      <w:bookmarkStart w:id="137" w:name="_Toc17450"/>
      <w:r>
        <w:rPr>
          <w:rFonts w:hint="eastAsia" w:ascii="宋体"/>
          <w:b/>
          <w:bCs/>
          <w:color w:val="auto"/>
          <w:sz w:val="32"/>
          <w:szCs w:val="32"/>
        </w:rPr>
        <w:t>项目基本情况</w:t>
      </w:r>
      <w:bookmarkEnd w:id="137"/>
    </w:p>
    <w:p w14:paraId="429EEF19">
      <w:pPr>
        <w:pStyle w:val="122"/>
        <w:adjustRightInd w:val="0"/>
        <w:rPr>
          <w:color w:val="auto"/>
          <w:szCs w:val="44"/>
        </w:rPr>
      </w:pPr>
      <w:r>
        <w:rPr>
          <w:rFonts w:hint="eastAsia"/>
          <w:color w:val="auto"/>
          <w:szCs w:val="44"/>
        </w:rPr>
        <w:t>建设单位名称：云南瓮福祥丰氟硅新材料有限公司</w:t>
      </w:r>
    </w:p>
    <w:p w14:paraId="7E230D3A">
      <w:pPr>
        <w:pStyle w:val="122"/>
        <w:adjustRightInd w:val="0"/>
        <w:rPr>
          <w:color w:val="auto"/>
          <w:szCs w:val="44"/>
        </w:rPr>
      </w:pPr>
      <w:r>
        <w:rPr>
          <w:rFonts w:hint="eastAsia" w:ascii="Times New Roman" w:cs="Times New Roman"/>
          <w:bCs/>
          <w:color w:val="auto"/>
        </w:rPr>
        <w:t>项目名称：</w:t>
      </w:r>
      <w:r>
        <w:rPr>
          <w:rFonts w:hint="eastAsia" w:ascii="Times New Roman" w:cs="Times New Roman"/>
          <w:color w:val="auto"/>
        </w:rPr>
        <w:t>3万吨/年无水氟化氢和2万吨/年电子级氢氟酸厂外公用工程管架建设项目</w:t>
      </w:r>
    </w:p>
    <w:p w14:paraId="63F92CA7">
      <w:pPr>
        <w:pStyle w:val="122"/>
        <w:adjustRightInd w:val="0"/>
        <w:rPr>
          <w:rFonts w:hint="eastAsia" w:ascii="Times New Roman" w:cs="Times New Roman"/>
          <w:bCs/>
          <w:color w:val="auto"/>
        </w:rPr>
      </w:pPr>
      <w:r>
        <w:rPr>
          <w:rFonts w:hint="eastAsia" w:ascii="Times New Roman" w:cs="Times New Roman"/>
          <w:bCs/>
          <w:color w:val="auto"/>
        </w:rPr>
        <w:t>建设地点：安宁市禄脿街道安宁产业园区化工园区西区内</w:t>
      </w:r>
    </w:p>
    <w:p w14:paraId="228C2999">
      <w:pPr>
        <w:pStyle w:val="122"/>
        <w:adjustRightInd w:val="0"/>
        <w:rPr>
          <w:rFonts w:hint="eastAsia" w:ascii="Times New Roman" w:cs="Times New Roman"/>
          <w:bCs/>
          <w:color w:val="auto"/>
          <w:lang w:val="en-US" w:eastAsia="zh-CN"/>
        </w:rPr>
      </w:pPr>
      <w:r>
        <w:rPr>
          <w:rFonts w:hint="eastAsia" w:ascii="Times New Roman" w:cs="Times New Roman"/>
          <w:bCs/>
          <w:color w:val="auto"/>
          <w:lang w:val="en-US" w:eastAsia="zh-CN"/>
        </w:rPr>
        <w:t>建设项目性质：新建项目</w:t>
      </w:r>
    </w:p>
    <w:p w14:paraId="54FB3D5D">
      <w:pPr>
        <w:pStyle w:val="122"/>
        <w:adjustRightInd w:val="0"/>
        <w:rPr>
          <w:rFonts w:hint="default" w:ascii="Times New Roman" w:cs="Times New Roman"/>
          <w:bCs/>
          <w:color w:val="auto"/>
          <w:lang w:val="en-US" w:eastAsia="zh-CN"/>
        </w:rPr>
      </w:pPr>
      <w:r>
        <w:rPr>
          <w:rFonts w:hint="eastAsia" w:ascii="Times New Roman" w:cs="Times New Roman"/>
          <w:bCs/>
          <w:color w:val="auto"/>
          <w:lang w:val="en-US" w:eastAsia="zh-CN"/>
        </w:rPr>
        <w:t>项目总投资：6839万元</w:t>
      </w:r>
    </w:p>
    <w:p w14:paraId="7674F767">
      <w:pPr>
        <w:pStyle w:val="122"/>
        <w:adjustRightInd w:val="0"/>
        <w:rPr>
          <w:color w:val="auto"/>
        </w:rPr>
      </w:pPr>
      <w:r>
        <w:rPr>
          <w:rFonts w:hint="eastAsia" w:ascii="Times New Roman" w:cs="Times New Roman"/>
          <w:bCs/>
          <w:color w:val="auto"/>
        </w:rPr>
        <w:t>主要建设内容及规模：该项目主要为云南瓮福祥丰氟硅新材料有限公司3万吨/年无水氟化氢和2万吨/年电子级氢氟酸项目输送配套的工艺物料以及蒸汽、工艺水等公用工程。该项目外管廊主要输送介质包含中压蒸汽（1根）、生活水（1根）、工艺水（1根）、脱盐水（1根）、消防水（2根）、氟硅酸（2根）、浓硫酸（1根）、再浆水（1根）、稀硫酸（2根）、渣浆水（1根）、过滤机洗水（1根）等，</w:t>
      </w:r>
      <w:r>
        <w:rPr>
          <w:rFonts w:hint="eastAsia" w:ascii="Times New Roman" w:cs="Times New Roman"/>
          <w:bCs/>
          <w:color w:val="auto"/>
          <w:lang w:val="en-US" w:eastAsia="zh-CN"/>
        </w:rPr>
        <w:t>外管廊</w:t>
      </w:r>
      <w:r>
        <w:rPr>
          <w:rFonts w:hint="eastAsia" w:ascii="Times New Roman" w:cs="Times New Roman"/>
          <w:bCs/>
          <w:color w:val="auto"/>
        </w:rPr>
        <w:t>总长度约为3000米。</w:t>
      </w:r>
    </w:p>
    <w:p w14:paraId="58BBF3EE">
      <w:pPr>
        <w:pStyle w:val="122"/>
        <w:adjustRightInd w:val="0"/>
        <w:rPr>
          <w:rFonts w:hint="eastAsia" w:hAnsi="宋体"/>
          <w:color w:val="auto"/>
          <w:szCs w:val="28"/>
        </w:rPr>
        <w:sectPr>
          <w:pgSz w:w="11905" w:h="16838"/>
          <w:pgMar w:top="1417" w:right="1134" w:bottom="1134" w:left="1587" w:header="850" w:footer="680" w:gutter="0"/>
          <w:pgNumType w:fmt="decimal"/>
          <w:cols w:space="0" w:num="1"/>
          <w:rtlGutter w:val="0"/>
          <w:docGrid w:type="lines" w:linePitch="386" w:charSpace="0"/>
        </w:sectPr>
      </w:pPr>
      <w:r>
        <w:rPr>
          <w:rFonts w:hint="eastAsia" w:hAnsi="宋体"/>
          <w:color w:val="auto"/>
          <w:szCs w:val="28"/>
        </w:rPr>
        <w:t>本项目主要建设内容及外管廊范围</w:t>
      </w:r>
      <w:r>
        <w:rPr>
          <w:rFonts w:hAnsi="宋体"/>
          <w:color w:val="auto"/>
          <w:szCs w:val="28"/>
        </w:rPr>
        <w:t>见下表</w:t>
      </w:r>
      <w:r>
        <w:rPr>
          <w:rFonts w:hint="eastAsia" w:hAnsi="宋体"/>
          <w:color w:val="auto"/>
          <w:szCs w:val="28"/>
        </w:rPr>
        <w:t>：</w:t>
      </w:r>
    </w:p>
    <w:p w14:paraId="4D0F33E8">
      <w:pPr>
        <w:pStyle w:val="122"/>
        <w:adjustRightInd w:val="0"/>
        <w:ind w:firstLine="0"/>
        <w:jc w:val="center"/>
        <w:rPr>
          <w:b/>
          <w:bCs/>
          <w:color w:val="auto"/>
          <w:sz w:val="24"/>
          <w:szCs w:val="24"/>
        </w:rPr>
      </w:pPr>
      <w:r>
        <w:rPr>
          <w:b/>
          <w:bCs/>
          <w:color w:val="auto"/>
          <w:sz w:val="24"/>
          <w:szCs w:val="24"/>
        </w:rPr>
        <w:t>表</w:t>
      </w:r>
      <w:r>
        <w:rPr>
          <w:rFonts w:hint="eastAsia"/>
          <w:b/>
          <w:bCs/>
          <w:color w:val="auto"/>
          <w:sz w:val="24"/>
          <w:szCs w:val="24"/>
        </w:rPr>
        <w:t>2</w:t>
      </w:r>
      <w:r>
        <w:rPr>
          <w:rFonts w:hint="eastAsia"/>
          <w:b/>
          <w:bCs/>
          <w:color w:val="auto"/>
          <w:sz w:val="24"/>
          <w:szCs w:val="24"/>
          <w:lang w:val="en-US" w:eastAsia="zh-CN"/>
        </w:rPr>
        <w:t>.2</w:t>
      </w:r>
      <w:r>
        <w:rPr>
          <w:rFonts w:hint="eastAsia"/>
          <w:b/>
          <w:bCs/>
          <w:color w:val="auto"/>
          <w:sz w:val="24"/>
          <w:szCs w:val="24"/>
        </w:rPr>
        <w:t>-</w:t>
      </w:r>
      <w:r>
        <w:rPr>
          <w:b/>
          <w:bCs/>
          <w:color w:val="auto"/>
          <w:sz w:val="24"/>
          <w:szCs w:val="24"/>
        </w:rPr>
        <w:t>1</w:t>
      </w:r>
      <w:r>
        <w:rPr>
          <w:rFonts w:hint="eastAsia"/>
          <w:b/>
          <w:bCs/>
          <w:color w:val="auto"/>
          <w:sz w:val="24"/>
          <w:szCs w:val="24"/>
        </w:rPr>
        <w:t xml:space="preserve"> 本项目主要建设内容</w:t>
      </w:r>
    </w:p>
    <w:tbl>
      <w:tblPr>
        <w:tblStyle w:val="8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30"/>
        <w:gridCol w:w="1246"/>
        <w:gridCol w:w="1639"/>
        <w:gridCol w:w="2296"/>
        <w:gridCol w:w="7430"/>
        <w:gridCol w:w="1092"/>
      </w:tblGrid>
      <w:tr w14:paraId="0A7EF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Header/>
          <w:jc w:val="center"/>
        </w:trPr>
        <w:tc>
          <w:tcPr>
            <w:tcW w:w="634" w:type="dxa"/>
            <w:vAlign w:val="center"/>
          </w:tcPr>
          <w:p w14:paraId="1FB68697">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b/>
                <w:bCs/>
                <w:color w:val="auto"/>
                <w:sz w:val="18"/>
                <w:szCs w:val="18"/>
                <w:lang w:bidi="ar"/>
              </w:rPr>
            </w:pPr>
            <w:r>
              <w:rPr>
                <w:rFonts w:hint="eastAsia" w:ascii="宋体" w:eastAsia="宋体" w:cs="Times New Roman"/>
                <w:b/>
                <w:bCs/>
                <w:color w:val="auto"/>
                <w:sz w:val="18"/>
                <w:szCs w:val="18"/>
                <w:lang w:bidi="ar"/>
              </w:rPr>
              <w:t>序号</w:t>
            </w:r>
          </w:p>
        </w:tc>
        <w:tc>
          <w:tcPr>
            <w:tcW w:w="2920" w:type="dxa"/>
            <w:gridSpan w:val="2"/>
            <w:vAlign w:val="center"/>
          </w:tcPr>
          <w:p w14:paraId="0B388482">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b/>
                <w:bCs/>
                <w:color w:val="auto"/>
                <w:sz w:val="18"/>
                <w:szCs w:val="18"/>
                <w:lang w:bidi="ar"/>
              </w:rPr>
            </w:pPr>
            <w:r>
              <w:rPr>
                <w:rFonts w:hint="eastAsia" w:ascii="宋体" w:eastAsia="宋体" w:cs="Times New Roman"/>
                <w:b/>
                <w:bCs/>
                <w:color w:val="auto"/>
                <w:sz w:val="18"/>
                <w:szCs w:val="18"/>
                <w:lang w:bidi="ar"/>
              </w:rPr>
              <w:t>项目组成</w:t>
            </w:r>
          </w:p>
        </w:tc>
        <w:tc>
          <w:tcPr>
            <w:tcW w:w="2320" w:type="dxa"/>
            <w:vAlign w:val="center"/>
          </w:tcPr>
          <w:p w14:paraId="60E9E6A9">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b/>
                <w:bCs/>
                <w:color w:val="auto"/>
                <w:sz w:val="18"/>
                <w:szCs w:val="18"/>
                <w:lang w:bidi="ar"/>
              </w:rPr>
            </w:pPr>
            <w:r>
              <w:rPr>
                <w:rFonts w:hint="eastAsia" w:ascii="宋体" w:eastAsia="宋体" w:cs="Times New Roman"/>
                <w:b/>
                <w:bCs/>
                <w:color w:val="auto"/>
                <w:sz w:val="18"/>
                <w:szCs w:val="18"/>
                <w:lang w:bidi="ar"/>
              </w:rPr>
              <w:t>管道长度（m）</w:t>
            </w:r>
          </w:p>
        </w:tc>
        <w:tc>
          <w:tcPr>
            <w:tcW w:w="7529" w:type="dxa"/>
            <w:vAlign w:val="center"/>
          </w:tcPr>
          <w:p w14:paraId="6C05E81D">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b/>
                <w:bCs/>
                <w:color w:val="auto"/>
                <w:sz w:val="18"/>
                <w:szCs w:val="18"/>
                <w:lang w:bidi="ar"/>
              </w:rPr>
            </w:pPr>
            <w:r>
              <w:rPr>
                <w:rFonts w:hint="eastAsia" w:ascii="宋体" w:eastAsia="宋体" w:cs="Times New Roman"/>
                <w:b/>
                <w:bCs/>
                <w:color w:val="auto"/>
                <w:sz w:val="18"/>
                <w:szCs w:val="18"/>
                <w:lang w:bidi="ar"/>
              </w:rPr>
              <w:t>主要建设内容</w:t>
            </w:r>
          </w:p>
        </w:tc>
        <w:tc>
          <w:tcPr>
            <w:tcW w:w="1100" w:type="dxa"/>
            <w:vAlign w:val="center"/>
          </w:tcPr>
          <w:p w14:paraId="2E3B03A5">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b/>
                <w:bCs/>
                <w:color w:val="auto"/>
                <w:sz w:val="18"/>
                <w:szCs w:val="18"/>
                <w:lang w:bidi="ar"/>
              </w:rPr>
            </w:pPr>
            <w:r>
              <w:rPr>
                <w:rFonts w:hint="eastAsia" w:ascii="宋体" w:eastAsia="宋体" w:cs="Times New Roman"/>
                <w:b/>
                <w:bCs/>
                <w:color w:val="auto"/>
                <w:sz w:val="18"/>
                <w:szCs w:val="18"/>
                <w:lang w:bidi="ar"/>
              </w:rPr>
              <w:t>备注</w:t>
            </w:r>
          </w:p>
        </w:tc>
      </w:tr>
      <w:tr w14:paraId="760407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34" w:type="dxa"/>
            <w:vAlign w:val="center"/>
          </w:tcPr>
          <w:p w14:paraId="596DEEC2">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1</w:t>
            </w:r>
          </w:p>
        </w:tc>
        <w:tc>
          <w:tcPr>
            <w:tcW w:w="1260" w:type="dxa"/>
            <w:vMerge w:val="restart"/>
            <w:vAlign w:val="center"/>
          </w:tcPr>
          <w:p w14:paraId="19CEE372">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管道工程</w:t>
            </w:r>
          </w:p>
        </w:tc>
        <w:tc>
          <w:tcPr>
            <w:tcW w:w="1660" w:type="dxa"/>
            <w:vAlign w:val="center"/>
          </w:tcPr>
          <w:p w14:paraId="27CD9B1F">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氟硅酸管道</w:t>
            </w:r>
          </w:p>
        </w:tc>
        <w:tc>
          <w:tcPr>
            <w:tcW w:w="2320" w:type="dxa"/>
            <w:vAlign w:val="center"/>
          </w:tcPr>
          <w:p w14:paraId="7DEE8A3B">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约3</w:t>
            </w:r>
            <w:r>
              <w:rPr>
                <w:rFonts w:ascii="宋体" w:eastAsia="宋体" w:cs="Times New Roman"/>
                <w:color w:val="auto"/>
                <w:sz w:val="18"/>
                <w:szCs w:val="18"/>
                <w:lang w:bidi="ar"/>
              </w:rPr>
              <w:t>000</w:t>
            </w:r>
            <w:r>
              <w:rPr>
                <w:rFonts w:hint="eastAsia" w:ascii="宋体" w:eastAsia="宋体" w:cs="Times New Roman"/>
                <w:color w:val="auto"/>
                <w:sz w:val="18"/>
                <w:szCs w:val="18"/>
                <w:lang w:bidi="ar"/>
              </w:rPr>
              <w:t>×</w:t>
            </w:r>
            <w:r>
              <w:rPr>
                <w:rFonts w:ascii="宋体" w:eastAsia="宋体" w:cs="Times New Roman"/>
                <w:color w:val="auto"/>
                <w:sz w:val="18"/>
                <w:szCs w:val="18"/>
                <w:lang w:bidi="ar"/>
              </w:rPr>
              <w:t>2</w:t>
            </w:r>
          </w:p>
        </w:tc>
        <w:tc>
          <w:tcPr>
            <w:tcW w:w="7529" w:type="dxa"/>
          </w:tcPr>
          <w:p w14:paraId="634CCEA4">
            <w:pPr>
              <w:pStyle w:val="75"/>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eastAsia" w:ascii="宋体" w:eastAsia="宋体" w:cs="Times New Roman"/>
                <w:color w:val="auto"/>
                <w:sz w:val="18"/>
                <w:szCs w:val="18"/>
                <w:lang w:val="en-US" w:eastAsia="zh-CN" w:bidi="ar"/>
              </w:rPr>
            </w:pPr>
            <w:r>
              <w:rPr>
                <w:rFonts w:hint="eastAsia" w:ascii="宋体" w:eastAsia="宋体" w:cs="Times New Roman"/>
                <w:color w:val="auto"/>
                <w:sz w:val="18"/>
                <w:szCs w:val="18"/>
                <w:lang w:val="en-US" w:eastAsia="zh-CN" w:bidi="ar"/>
              </w:rPr>
              <w:t>祥丰金麦磷酸装置氟硅酸槽旁边新建两台氟硅酸泵，输送管线先借用祥丰金麦磷酸装置区原有管架约50m，沿新建外管廊布至AHF 厂区北侧，接至两个2000m</w:t>
            </w:r>
            <w:r>
              <w:rPr>
                <w:rFonts w:hint="eastAsia" w:ascii="宋体" w:eastAsia="宋体" w:cs="Times New Roman"/>
                <w:color w:val="auto"/>
                <w:sz w:val="18"/>
                <w:szCs w:val="18"/>
                <w:vertAlign w:val="superscript"/>
                <w:lang w:val="en-US" w:eastAsia="zh-CN" w:bidi="ar"/>
              </w:rPr>
              <w:t>3</w:t>
            </w:r>
            <w:r>
              <w:rPr>
                <w:rFonts w:hint="eastAsia" w:ascii="宋体" w:eastAsia="宋体" w:cs="Times New Roman"/>
                <w:color w:val="auto"/>
                <w:sz w:val="18"/>
                <w:szCs w:val="18"/>
                <w:lang w:val="en-US" w:eastAsia="zh-CN" w:bidi="ar"/>
              </w:rPr>
              <w:t>氟硅酸槽,两根管线采用钢衬超高分子量聚乙烯管道材质，管径DN150，单管总长度约为3000米。</w:t>
            </w:r>
          </w:p>
        </w:tc>
        <w:tc>
          <w:tcPr>
            <w:tcW w:w="1100" w:type="dxa"/>
            <w:vAlign w:val="center"/>
          </w:tcPr>
          <w:p w14:paraId="05DC1BCC">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eastAsia="宋体" w:cs="Times New Roman"/>
                <w:color w:val="auto"/>
                <w:sz w:val="18"/>
                <w:szCs w:val="18"/>
                <w:lang w:val="en-US" w:eastAsia="zh-CN" w:bidi="ar"/>
              </w:rPr>
            </w:pPr>
            <w:r>
              <w:rPr>
                <w:rFonts w:hint="eastAsia" w:ascii="宋体" w:eastAsia="宋体" w:cs="Times New Roman"/>
                <w:color w:val="auto"/>
                <w:sz w:val="18"/>
                <w:szCs w:val="18"/>
                <w:lang w:val="en-US" w:eastAsia="zh-CN" w:bidi="ar"/>
              </w:rPr>
              <w:t>新建（含2台氟硅酸泵）</w:t>
            </w:r>
          </w:p>
        </w:tc>
      </w:tr>
      <w:tr w14:paraId="6D2B04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34" w:type="dxa"/>
            <w:vAlign w:val="center"/>
          </w:tcPr>
          <w:p w14:paraId="759778FB">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2</w:t>
            </w:r>
          </w:p>
        </w:tc>
        <w:tc>
          <w:tcPr>
            <w:tcW w:w="1260" w:type="dxa"/>
            <w:vMerge w:val="continue"/>
          </w:tcPr>
          <w:p w14:paraId="25B236E2">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p>
        </w:tc>
        <w:tc>
          <w:tcPr>
            <w:tcW w:w="1660" w:type="dxa"/>
            <w:vAlign w:val="center"/>
          </w:tcPr>
          <w:p w14:paraId="701FDC15">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浓硫酸管道</w:t>
            </w:r>
          </w:p>
        </w:tc>
        <w:tc>
          <w:tcPr>
            <w:tcW w:w="2320" w:type="dxa"/>
            <w:vAlign w:val="center"/>
          </w:tcPr>
          <w:p w14:paraId="4FCB8A53">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约3</w:t>
            </w:r>
            <w:r>
              <w:rPr>
                <w:rFonts w:ascii="宋体" w:eastAsia="宋体" w:cs="Times New Roman"/>
                <w:color w:val="auto"/>
                <w:sz w:val="18"/>
                <w:szCs w:val="18"/>
                <w:lang w:bidi="ar"/>
              </w:rPr>
              <w:t>000</w:t>
            </w:r>
          </w:p>
        </w:tc>
        <w:tc>
          <w:tcPr>
            <w:tcW w:w="7529" w:type="dxa"/>
          </w:tcPr>
          <w:p w14:paraId="50EB536D">
            <w:pPr>
              <w:pStyle w:val="75"/>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eastAsia" w:ascii="宋体" w:eastAsia="宋体" w:cs="Times New Roman"/>
                <w:color w:val="auto"/>
                <w:sz w:val="18"/>
                <w:szCs w:val="18"/>
                <w:lang w:val="en-US" w:eastAsia="zh-CN" w:bidi="ar"/>
              </w:rPr>
            </w:pPr>
            <w:r>
              <w:rPr>
                <w:rFonts w:hint="eastAsia" w:ascii="宋体" w:eastAsia="宋体" w:cs="Times New Roman"/>
                <w:color w:val="auto"/>
                <w:sz w:val="18"/>
                <w:szCs w:val="18"/>
                <w:lang w:val="en-US" w:eastAsia="zh-CN" w:bidi="ar"/>
              </w:rPr>
              <w:t>祥丰金麦磷酸装置浓硫酸槽旁边新建两台浓硫酸泵，输送管线先借用祥丰金麦磷酸装置区原有管架约200m，沿新建外管廊布至 AHF 厂区北侧，接至1000m</w:t>
            </w:r>
            <w:r>
              <w:rPr>
                <w:rFonts w:hint="eastAsia" w:ascii="宋体" w:eastAsia="宋体" w:cs="Times New Roman"/>
                <w:color w:val="auto"/>
                <w:sz w:val="18"/>
                <w:szCs w:val="18"/>
                <w:vertAlign w:val="superscript"/>
                <w:lang w:val="en-US" w:eastAsia="zh-CN" w:bidi="ar"/>
              </w:rPr>
              <w:t>3</w:t>
            </w:r>
            <w:r>
              <w:rPr>
                <w:rFonts w:hint="eastAsia" w:ascii="宋体" w:eastAsia="宋体" w:cs="Times New Roman"/>
                <w:color w:val="auto"/>
                <w:sz w:val="18"/>
                <w:szCs w:val="18"/>
                <w:lang w:val="en-US" w:eastAsia="zh-CN" w:bidi="ar"/>
              </w:rPr>
              <w:t>的浓硫酸槽，管线采用不锈钢（06Cr19Ni10）材质，管径DN250，总长度约为3000米。</w:t>
            </w:r>
          </w:p>
        </w:tc>
        <w:tc>
          <w:tcPr>
            <w:tcW w:w="1100" w:type="dxa"/>
            <w:vAlign w:val="center"/>
          </w:tcPr>
          <w:p w14:paraId="3D060D36">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eastAsia="宋体" w:cs="Times New Roman"/>
                <w:color w:val="auto"/>
                <w:sz w:val="18"/>
                <w:szCs w:val="18"/>
                <w:lang w:val="en-US" w:eastAsia="zh-CN" w:bidi="ar"/>
              </w:rPr>
            </w:pPr>
            <w:r>
              <w:rPr>
                <w:rFonts w:hint="eastAsia" w:ascii="宋体" w:eastAsia="宋体" w:cs="Times New Roman"/>
                <w:color w:val="auto"/>
                <w:sz w:val="18"/>
                <w:szCs w:val="18"/>
                <w:lang w:val="en-US" w:eastAsia="zh-CN" w:bidi="ar"/>
              </w:rPr>
              <w:t>新建（含2台浓硫酸泵）</w:t>
            </w:r>
          </w:p>
        </w:tc>
      </w:tr>
      <w:tr w14:paraId="4BBF8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34" w:type="dxa"/>
            <w:vAlign w:val="center"/>
          </w:tcPr>
          <w:p w14:paraId="28EAF1B8">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3</w:t>
            </w:r>
          </w:p>
        </w:tc>
        <w:tc>
          <w:tcPr>
            <w:tcW w:w="1260" w:type="dxa"/>
            <w:vMerge w:val="continue"/>
          </w:tcPr>
          <w:p w14:paraId="234DC8B8">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p>
        </w:tc>
        <w:tc>
          <w:tcPr>
            <w:tcW w:w="1660" w:type="dxa"/>
            <w:vAlign w:val="center"/>
          </w:tcPr>
          <w:p w14:paraId="2FE5B56A">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再浆水管道</w:t>
            </w:r>
          </w:p>
        </w:tc>
        <w:tc>
          <w:tcPr>
            <w:tcW w:w="2320" w:type="dxa"/>
            <w:vAlign w:val="center"/>
          </w:tcPr>
          <w:p w14:paraId="43A8A333">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约22</w:t>
            </w:r>
            <w:r>
              <w:rPr>
                <w:rFonts w:ascii="宋体" w:eastAsia="宋体" w:cs="Times New Roman"/>
                <w:color w:val="auto"/>
                <w:sz w:val="18"/>
                <w:szCs w:val="18"/>
                <w:lang w:bidi="ar"/>
              </w:rPr>
              <w:t>00</w:t>
            </w:r>
          </w:p>
        </w:tc>
        <w:tc>
          <w:tcPr>
            <w:tcW w:w="7529" w:type="dxa"/>
          </w:tcPr>
          <w:p w14:paraId="0E844F50">
            <w:pPr>
              <w:pStyle w:val="75"/>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eastAsia" w:ascii="宋体" w:eastAsia="宋体" w:cs="Times New Roman"/>
                <w:color w:val="auto"/>
                <w:sz w:val="18"/>
                <w:szCs w:val="18"/>
                <w:lang w:val="en-US" w:eastAsia="zh-CN" w:bidi="ar"/>
              </w:rPr>
            </w:pPr>
            <w:r>
              <w:rPr>
                <w:rFonts w:hint="eastAsia" w:ascii="宋体" w:eastAsia="宋体" w:cs="Times New Roman"/>
                <w:color w:val="auto"/>
                <w:sz w:val="18"/>
                <w:szCs w:val="18"/>
                <w:lang w:val="en-US" w:eastAsia="zh-CN" w:bidi="ar"/>
              </w:rPr>
              <w:t>再浆水管线由祥丰金麦磷酸装置管廊架（水处理厂北侧）再浆水管接管，沿新建外管廊布至 AHF厂区北侧，接至二氧化硅再浆槽，采用钢骨架复合PE材质，管径DN100，总长度约为2200米。</w:t>
            </w:r>
          </w:p>
        </w:tc>
        <w:tc>
          <w:tcPr>
            <w:tcW w:w="1100" w:type="dxa"/>
            <w:vAlign w:val="center"/>
          </w:tcPr>
          <w:p w14:paraId="337FC1D2">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eastAsia="宋体" w:cs="Times New Roman"/>
                <w:color w:val="auto"/>
                <w:sz w:val="18"/>
                <w:szCs w:val="18"/>
                <w:lang w:val="en-US" w:eastAsia="zh-CN" w:bidi="ar"/>
              </w:rPr>
            </w:pPr>
            <w:r>
              <w:rPr>
                <w:rFonts w:hint="eastAsia" w:ascii="宋体" w:eastAsia="宋体" w:cs="Times New Roman"/>
                <w:color w:val="auto"/>
                <w:sz w:val="18"/>
                <w:szCs w:val="18"/>
                <w:lang w:val="en-US" w:eastAsia="zh-CN" w:bidi="ar"/>
              </w:rPr>
              <w:t>新建</w:t>
            </w:r>
          </w:p>
        </w:tc>
      </w:tr>
      <w:tr w14:paraId="579D93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34" w:type="dxa"/>
            <w:vAlign w:val="center"/>
          </w:tcPr>
          <w:p w14:paraId="2E062180">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4</w:t>
            </w:r>
          </w:p>
        </w:tc>
        <w:tc>
          <w:tcPr>
            <w:tcW w:w="1260" w:type="dxa"/>
            <w:vMerge w:val="continue"/>
          </w:tcPr>
          <w:p w14:paraId="7AFB1CB7">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p>
        </w:tc>
        <w:tc>
          <w:tcPr>
            <w:tcW w:w="1660" w:type="dxa"/>
            <w:vAlign w:val="center"/>
          </w:tcPr>
          <w:p w14:paraId="6F0BFF16">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脱盐水管道</w:t>
            </w:r>
          </w:p>
        </w:tc>
        <w:tc>
          <w:tcPr>
            <w:tcW w:w="2320" w:type="dxa"/>
            <w:vAlign w:val="center"/>
          </w:tcPr>
          <w:p w14:paraId="39B25458">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约6</w:t>
            </w:r>
            <w:r>
              <w:rPr>
                <w:rFonts w:ascii="宋体" w:eastAsia="宋体" w:cs="Times New Roman"/>
                <w:color w:val="auto"/>
                <w:sz w:val="18"/>
                <w:szCs w:val="18"/>
                <w:lang w:bidi="ar"/>
              </w:rPr>
              <w:t>00</w:t>
            </w:r>
          </w:p>
        </w:tc>
        <w:tc>
          <w:tcPr>
            <w:tcW w:w="7529" w:type="dxa"/>
          </w:tcPr>
          <w:p w14:paraId="5EF0425A">
            <w:pPr>
              <w:pStyle w:val="75"/>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eastAsia" w:ascii="宋体" w:eastAsia="宋体" w:cs="Times New Roman"/>
                <w:color w:val="auto"/>
                <w:sz w:val="18"/>
                <w:szCs w:val="18"/>
                <w:lang w:val="en-US" w:eastAsia="zh-CN" w:bidi="ar"/>
              </w:rPr>
            </w:pPr>
            <w:r>
              <w:rPr>
                <w:rFonts w:hint="eastAsia" w:ascii="宋体" w:eastAsia="宋体" w:cs="Times New Roman"/>
                <w:color w:val="auto"/>
                <w:sz w:val="18"/>
                <w:szCs w:val="18"/>
                <w:lang w:val="en-US" w:eastAsia="zh-CN" w:bidi="ar"/>
              </w:rPr>
              <w:t>祥丰石化氨罐区东角引管，沿新建外管廊布至AHF厂区北侧，接至脱盐水槽，采用不锈钢（06Cr19Ni10）材质，管径 DN40，总长度约为600米。</w:t>
            </w:r>
          </w:p>
        </w:tc>
        <w:tc>
          <w:tcPr>
            <w:tcW w:w="1100" w:type="dxa"/>
            <w:vAlign w:val="center"/>
          </w:tcPr>
          <w:p w14:paraId="29045950">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eastAsia="宋体" w:cs="Times New Roman"/>
                <w:color w:val="auto"/>
                <w:sz w:val="18"/>
                <w:szCs w:val="18"/>
                <w:lang w:val="en-US" w:eastAsia="zh-CN" w:bidi="ar"/>
              </w:rPr>
            </w:pPr>
            <w:r>
              <w:rPr>
                <w:rFonts w:hint="eastAsia" w:ascii="宋体" w:eastAsia="宋体" w:cs="Times New Roman"/>
                <w:color w:val="auto"/>
                <w:sz w:val="18"/>
                <w:szCs w:val="18"/>
                <w:lang w:val="en-US" w:eastAsia="zh-CN" w:bidi="ar"/>
              </w:rPr>
              <w:t>新建</w:t>
            </w:r>
          </w:p>
        </w:tc>
      </w:tr>
      <w:tr w14:paraId="3E1EF1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34" w:type="dxa"/>
            <w:vAlign w:val="center"/>
          </w:tcPr>
          <w:p w14:paraId="68EFB1B6">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5</w:t>
            </w:r>
          </w:p>
        </w:tc>
        <w:tc>
          <w:tcPr>
            <w:tcW w:w="1260" w:type="dxa"/>
            <w:vMerge w:val="continue"/>
          </w:tcPr>
          <w:p w14:paraId="6EFD65EE">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p>
        </w:tc>
        <w:tc>
          <w:tcPr>
            <w:tcW w:w="1660" w:type="dxa"/>
            <w:vAlign w:val="center"/>
          </w:tcPr>
          <w:p w14:paraId="206C05E2">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饱和蒸汽管道</w:t>
            </w:r>
          </w:p>
        </w:tc>
        <w:tc>
          <w:tcPr>
            <w:tcW w:w="2320" w:type="dxa"/>
            <w:vAlign w:val="center"/>
          </w:tcPr>
          <w:p w14:paraId="5EC0DCB5">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约19</w:t>
            </w:r>
            <w:r>
              <w:rPr>
                <w:rFonts w:ascii="宋体" w:eastAsia="宋体" w:cs="Times New Roman"/>
                <w:color w:val="auto"/>
                <w:sz w:val="18"/>
                <w:szCs w:val="18"/>
                <w:lang w:bidi="ar"/>
              </w:rPr>
              <w:t>00</w:t>
            </w:r>
          </w:p>
        </w:tc>
        <w:tc>
          <w:tcPr>
            <w:tcW w:w="7529" w:type="dxa"/>
          </w:tcPr>
          <w:p w14:paraId="1229977A">
            <w:pPr>
              <w:pStyle w:val="75"/>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ascii="宋体" w:eastAsia="宋体" w:cs="Times New Roman"/>
                <w:color w:val="auto"/>
                <w:sz w:val="18"/>
                <w:szCs w:val="18"/>
                <w:lang w:bidi="ar"/>
              </w:rPr>
            </w:pPr>
            <w:r>
              <w:rPr>
                <w:rFonts w:hint="eastAsia" w:ascii="宋体" w:eastAsia="宋体" w:cs="Times New Roman"/>
                <w:color w:val="auto"/>
                <w:sz w:val="18"/>
                <w:szCs w:val="18"/>
                <w:lang w:val="en-US" w:eastAsia="zh-CN" w:bidi="ar"/>
              </w:rPr>
              <w:t>祥丰石化</w:t>
            </w:r>
            <w:r>
              <w:rPr>
                <w:rFonts w:hint="eastAsia" w:ascii="宋体" w:eastAsia="宋体" w:cs="Times New Roman"/>
                <w:color w:val="auto"/>
                <w:sz w:val="18"/>
                <w:szCs w:val="18"/>
                <w:lang w:bidi="ar"/>
              </w:rPr>
              <w:t>合成氨装置西南侧向北引管，沿新建</w:t>
            </w:r>
            <w:r>
              <w:rPr>
                <w:rFonts w:hint="eastAsia" w:ascii="宋体" w:eastAsia="宋体" w:cs="Times New Roman"/>
                <w:color w:val="auto"/>
                <w:sz w:val="18"/>
                <w:szCs w:val="18"/>
                <w:lang w:val="en-US" w:eastAsia="zh-CN" w:bidi="ar"/>
              </w:rPr>
              <w:t>外</w:t>
            </w:r>
            <w:r>
              <w:rPr>
                <w:rFonts w:hint="eastAsia" w:ascii="宋体" w:eastAsia="宋体" w:cs="Times New Roman"/>
                <w:color w:val="auto"/>
                <w:sz w:val="18"/>
                <w:szCs w:val="18"/>
                <w:lang w:bidi="ar"/>
              </w:rPr>
              <w:t>管廊布至AHF厂区北侧，</w:t>
            </w:r>
            <w:r>
              <w:rPr>
                <w:rFonts w:hint="eastAsia" w:ascii="宋体" w:eastAsia="宋体" w:cs="Times New Roman"/>
                <w:color w:val="auto"/>
                <w:sz w:val="18"/>
                <w:szCs w:val="18"/>
                <w:lang w:val="en-US" w:eastAsia="zh-CN" w:bidi="ar"/>
              </w:rPr>
              <w:t>接至</w:t>
            </w:r>
            <w:r>
              <w:rPr>
                <w:rFonts w:hint="eastAsia" w:ascii="宋体" w:eastAsia="宋体" w:cs="Times New Roman"/>
                <w:color w:val="auto"/>
                <w:sz w:val="18"/>
                <w:szCs w:val="18"/>
                <w:lang w:bidi="ar"/>
              </w:rPr>
              <w:t>HF再沸器及汽提塔</w:t>
            </w:r>
            <w:r>
              <w:rPr>
                <w:rFonts w:hint="eastAsia" w:ascii="宋体" w:eastAsia="宋体" w:cs="Times New Roman"/>
                <w:color w:val="auto"/>
                <w:sz w:val="18"/>
                <w:szCs w:val="18"/>
                <w:lang w:eastAsia="zh-CN" w:bidi="ar"/>
              </w:rPr>
              <w:t>，</w:t>
            </w:r>
            <w:r>
              <w:rPr>
                <w:rFonts w:hint="eastAsia" w:ascii="宋体" w:eastAsia="宋体" w:cs="Times New Roman"/>
                <w:color w:val="auto"/>
                <w:sz w:val="18"/>
                <w:szCs w:val="18"/>
                <w:lang w:bidi="ar"/>
              </w:rPr>
              <w:t>采用碳钢（20）材质，管径DN250，总长度约为1900米。</w:t>
            </w:r>
          </w:p>
        </w:tc>
        <w:tc>
          <w:tcPr>
            <w:tcW w:w="1100" w:type="dxa"/>
            <w:vAlign w:val="center"/>
          </w:tcPr>
          <w:p w14:paraId="139C6325">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新建</w:t>
            </w:r>
          </w:p>
        </w:tc>
      </w:tr>
      <w:tr w14:paraId="2AAB69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34" w:type="dxa"/>
            <w:vAlign w:val="center"/>
          </w:tcPr>
          <w:p w14:paraId="7957DD9A">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6</w:t>
            </w:r>
          </w:p>
        </w:tc>
        <w:tc>
          <w:tcPr>
            <w:tcW w:w="1260" w:type="dxa"/>
            <w:vMerge w:val="continue"/>
          </w:tcPr>
          <w:p w14:paraId="00300E0B">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p>
        </w:tc>
        <w:tc>
          <w:tcPr>
            <w:tcW w:w="1660" w:type="dxa"/>
            <w:vAlign w:val="center"/>
          </w:tcPr>
          <w:p w14:paraId="55DC63E7">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工艺水管道</w:t>
            </w:r>
          </w:p>
        </w:tc>
        <w:tc>
          <w:tcPr>
            <w:tcW w:w="2320" w:type="dxa"/>
            <w:vAlign w:val="center"/>
          </w:tcPr>
          <w:p w14:paraId="777FC3FD">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约12</w:t>
            </w:r>
            <w:r>
              <w:rPr>
                <w:rFonts w:ascii="宋体" w:eastAsia="宋体" w:cs="Times New Roman"/>
                <w:color w:val="auto"/>
                <w:sz w:val="18"/>
                <w:szCs w:val="18"/>
                <w:lang w:bidi="ar"/>
              </w:rPr>
              <w:t>00</w:t>
            </w:r>
          </w:p>
        </w:tc>
        <w:tc>
          <w:tcPr>
            <w:tcW w:w="7529" w:type="dxa"/>
          </w:tcPr>
          <w:p w14:paraId="2FEDF819">
            <w:pPr>
              <w:pStyle w:val="75"/>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eastAsia" w:ascii="宋体" w:eastAsia="宋体" w:cs="Times New Roman"/>
                <w:color w:val="auto"/>
                <w:sz w:val="18"/>
                <w:szCs w:val="18"/>
                <w:lang w:val="en-US" w:eastAsia="zh-CN" w:bidi="ar"/>
              </w:rPr>
            </w:pPr>
            <w:r>
              <w:rPr>
                <w:rFonts w:hint="eastAsia" w:ascii="宋体" w:eastAsia="宋体" w:cs="Times New Roman"/>
                <w:color w:val="auto"/>
                <w:sz w:val="18"/>
                <w:szCs w:val="18"/>
                <w:lang w:val="en-US" w:eastAsia="zh-CN" w:bidi="ar"/>
              </w:rPr>
              <w:t>祥丰石化合成氨装置东北侧（祥丰石化循环水池右后侧）引管，沿新建外管廊布至AHF厂区北侧，接至循环水池及机封水管道，采用碳钢（20）材质，管径DN150，总长度约为1200米。</w:t>
            </w:r>
          </w:p>
        </w:tc>
        <w:tc>
          <w:tcPr>
            <w:tcW w:w="1100" w:type="dxa"/>
            <w:vAlign w:val="center"/>
          </w:tcPr>
          <w:p w14:paraId="259A4141">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eastAsia="宋体" w:cs="Times New Roman"/>
                <w:color w:val="auto"/>
                <w:sz w:val="18"/>
                <w:szCs w:val="18"/>
                <w:lang w:val="en-US" w:eastAsia="zh-CN" w:bidi="ar"/>
              </w:rPr>
            </w:pPr>
            <w:r>
              <w:rPr>
                <w:rFonts w:hint="eastAsia" w:ascii="宋体" w:eastAsia="宋体" w:cs="Times New Roman"/>
                <w:color w:val="auto"/>
                <w:sz w:val="18"/>
                <w:szCs w:val="18"/>
                <w:lang w:val="en-US" w:eastAsia="zh-CN" w:bidi="ar"/>
              </w:rPr>
              <w:t>新建</w:t>
            </w:r>
          </w:p>
        </w:tc>
      </w:tr>
      <w:tr w14:paraId="485E3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34" w:type="dxa"/>
            <w:vAlign w:val="center"/>
          </w:tcPr>
          <w:p w14:paraId="5B141CB3">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7</w:t>
            </w:r>
          </w:p>
        </w:tc>
        <w:tc>
          <w:tcPr>
            <w:tcW w:w="1260" w:type="dxa"/>
            <w:vMerge w:val="continue"/>
          </w:tcPr>
          <w:p w14:paraId="07E311BB">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p>
        </w:tc>
        <w:tc>
          <w:tcPr>
            <w:tcW w:w="1660" w:type="dxa"/>
            <w:vAlign w:val="center"/>
          </w:tcPr>
          <w:p w14:paraId="22DA37AA">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生活水管道</w:t>
            </w:r>
          </w:p>
        </w:tc>
        <w:tc>
          <w:tcPr>
            <w:tcW w:w="2320" w:type="dxa"/>
            <w:vAlign w:val="center"/>
          </w:tcPr>
          <w:p w14:paraId="6803E7CE">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约3</w:t>
            </w:r>
            <w:r>
              <w:rPr>
                <w:rFonts w:ascii="宋体" w:eastAsia="宋体" w:cs="Times New Roman"/>
                <w:color w:val="auto"/>
                <w:sz w:val="18"/>
                <w:szCs w:val="18"/>
                <w:lang w:bidi="ar"/>
              </w:rPr>
              <w:t>50</w:t>
            </w:r>
          </w:p>
        </w:tc>
        <w:tc>
          <w:tcPr>
            <w:tcW w:w="7529" w:type="dxa"/>
          </w:tcPr>
          <w:p w14:paraId="581A5958">
            <w:pPr>
              <w:pStyle w:val="75"/>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eastAsia" w:ascii="宋体" w:eastAsia="宋体" w:cs="Times New Roman"/>
                <w:color w:val="auto"/>
                <w:sz w:val="18"/>
                <w:szCs w:val="18"/>
                <w:lang w:val="en-US" w:eastAsia="zh-CN" w:bidi="ar"/>
              </w:rPr>
            </w:pPr>
            <w:r>
              <w:rPr>
                <w:rFonts w:hint="eastAsia" w:ascii="宋体" w:eastAsia="宋体" w:cs="Times New Roman"/>
                <w:color w:val="auto"/>
                <w:sz w:val="18"/>
                <w:szCs w:val="18"/>
                <w:lang w:val="en-US" w:eastAsia="zh-CN" w:bidi="ar"/>
              </w:rPr>
              <w:t>祥丰石化仓库区北侧绿化带（祥丰石化消防站门口涵洞处）引管，沿连接管廊布至AHF厂区北侧，接入AHF厂区生活水槽，采用不锈钢（06Cr19Ni10）材质，管径DN80，总长度约为350米。</w:t>
            </w:r>
          </w:p>
        </w:tc>
        <w:tc>
          <w:tcPr>
            <w:tcW w:w="1100" w:type="dxa"/>
            <w:vAlign w:val="center"/>
          </w:tcPr>
          <w:p w14:paraId="34F002C5">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eastAsia="宋体" w:cs="Times New Roman"/>
                <w:color w:val="auto"/>
                <w:sz w:val="18"/>
                <w:szCs w:val="18"/>
                <w:lang w:val="en-US" w:eastAsia="zh-CN" w:bidi="ar"/>
              </w:rPr>
            </w:pPr>
            <w:r>
              <w:rPr>
                <w:rFonts w:hint="eastAsia" w:ascii="宋体" w:eastAsia="宋体" w:cs="Times New Roman"/>
                <w:color w:val="auto"/>
                <w:sz w:val="18"/>
                <w:szCs w:val="18"/>
                <w:lang w:val="en-US" w:eastAsia="zh-CN" w:bidi="ar"/>
              </w:rPr>
              <w:t>新建</w:t>
            </w:r>
          </w:p>
        </w:tc>
      </w:tr>
      <w:tr w14:paraId="366BAB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34" w:type="dxa"/>
            <w:vAlign w:val="center"/>
          </w:tcPr>
          <w:p w14:paraId="3BD1FBFA">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8</w:t>
            </w:r>
          </w:p>
        </w:tc>
        <w:tc>
          <w:tcPr>
            <w:tcW w:w="1260" w:type="dxa"/>
            <w:vMerge w:val="continue"/>
          </w:tcPr>
          <w:p w14:paraId="177221AE">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p>
        </w:tc>
        <w:tc>
          <w:tcPr>
            <w:tcW w:w="1660" w:type="dxa"/>
            <w:vAlign w:val="center"/>
          </w:tcPr>
          <w:p w14:paraId="2F396A2B">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消防水管道</w:t>
            </w:r>
          </w:p>
        </w:tc>
        <w:tc>
          <w:tcPr>
            <w:tcW w:w="2320" w:type="dxa"/>
            <w:vAlign w:val="center"/>
          </w:tcPr>
          <w:p w14:paraId="287E6AC1">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约3</w:t>
            </w:r>
            <w:r>
              <w:rPr>
                <w:rFonts w:ascii="宋体" w:eastAsia="宋体" w:cs="Times New Roman"/>
                <w:color w:val="auto"/>
                <w:sz w:val="18"/>
                <w:szCs w:val="18"/>
                <w:lang w:bidi="ar"/>
              </w:rPr>
              <w:t>50</w:t>
            </w:r>
            <w:r>
              <w:rPr>
                <w:rFonts w:hint="eastAsia" w:ascii="宋体" w:eastAsia="宋体" w:cs="Times New Roman"/>
                <w:color w:val="auto"/>
                <w:sz w:val="18"/>
                <w:szCs w:val="18"/>
                <w:lang w:bidi="ar"/>
              </w:rPr>
              <w:t>×</w:t>
            </w:r>
            <w:r>
              <w:rPr>
                <w:rFonts w:ascii="宋体" w:eastAsia="宋体" w:cs="Times New Roman"/>
                <w:color w:val="auto"/>
                <w:sz w:val="18"/>
                <w:szCs w:val="18"/>
                <w:lang w:bidi="ar"/>
              </w:rPr>
              <w:t>2</w:t>
            </w:r>
          </w:p>
        </w:tc>
        <w:tc>
          <w:tcPr>
            <w:tcW w:w="7529" w:type="dxa"/>
          </w:tcPr>
          <w:p w14:paraId="0784A25F">
            <w:pPr>
              <w:pStyle w:val="75"/>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eastAsia" w:ascii="宋体" w:eastAsia="宋体" w:cs="Times New Roman"/>
                <w:color w:val="auto"/>
                <w:sz w:val="18"/>
                <w:szCs w:val="18"/>
                <w:lang w:val="en-US" w:eastAsia="zh-CN" w:bidi="ar"/>
              </w:rPr>
            </w:pPr>
            <w:r>
              <w:rPr>
                <w:rFonts w:hint="eastAsia" w:ascii="宋体" w:eastAsia="宋体" w:cs="Times New Roman"/>
                <w:color w:val="auto"/>
                <w:sz w:val="18"/>
                <w:szCs w:val="18"/>
                <w:lang w:val="en-US" w:eastAsia="zh-CN" w:bidi="ar"/>
              </w:rPr>
              <w:t>一根由祥丰石化仓库区北侧绿化带引管，沿连接管廊布至AHF厂区北侧，接入AHF厂区消防管网，采用20+GLAV材质，管径DN300，总长度约为330米。另一根由祥丰石化氨罐区内部引管，沿新建外管廊布至AHF厂区北侧，接入AHF厂区消防栓，采用20#钢材质，管径 DN300，总长度约为350米。</w:t>
            </w:r>
          </w:p>
        </w:tc>
        <w:tc>
          <w:tcPr>
            <w:tcW w:w="1100" w:type="dxa"/>
            <w:vAlign w:val="center"/>
          </w:tcPr>
          <w:p w14:paraId="4ABACF9C">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eastAsia="宋体" w:cs="Times New Roman"/>
                <w:color w:val="auto"/>
                <w:sz w:val="18"/>
                <w:szCs w:val="18"/>
                <w:lang w:val="en-US" w:eastAsia="zh-CN" w:bidi="ar"/>
              </w:rPr>
            </w:pPr>
            <w:r>
              <w:rPr>
                <w:rFonts w:hint="eastAsia" w:ascii="宋体" w:eastAsia="宋体" w:cs="Times New Roman"/>
                <w:color w:val="auto"/>
                <w:sz w:val="18"/>
                <w:szCs w:val="18"/>
                <w:lang w:val="en-US" w:eastAsia="zh-CN" w:bidi="ar"/>
              </w:rPr>
              <w:t>新建</w:t>
            </w:r>
          </w:p>
        </w:tc>
      </w:tr>
      <w:tr w14:paraId="34C86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34" w:type="dxa"/>
            <w:vAlign w:val="center"/>
          </w:tcPr>
          <w:p w14:paraId="5D8252B6">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9</w:t>
            </w:r>
          </w:p>
        </w:tc>
        <w:tc>
          <w:tcPr>
            <w:tcW w:w="1260" w:type="dxa"/>
            <w:vMerge w:val="continue"/>
          </w:tcPr>
          <w:p w14:paraId="5748746C">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p>
        </w:tc>
        <w:tc>
          <w:tcPr>
            <w:tcW w:w="1660" w:type="dxa"/>
            <w:vAlign w:val="center"/>
          </w:tcPr>
          <w:p w14:paraId="53591BDF">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稀硫酸管道</w:t>
            </w:r>
          </w:p>
        </w:tc>
        <w:tc>
          <w:tcPr>
            <w:tcW w:w="2320" w:type="dxa"/>
            <w:vAlign w:val="center"/>
          </w:tcPr>
          <w:p w14:paraId="4D5418D0">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约3</w:t>
            </w:r>
            <w:r>
              <w:rPr>
                <w:rFonts w:ascii="宋体" w:eastAsia="宋体" w:cs="Times New Roman"/>
                <w:color w:val="auto"/>
                <w:sz w:val="18"/>
                <w:szCs w:val="18"/>
                <w:lang w:bidi="ar"/>
              </w:rPr>
              <w:t>000</w:t>
            </w:r>
            <w:r>
              <w:rPr>
                <w:rFonts w:hint="eastAsia" w:ascii="宋体" w:eastAsia="宋体" w:cs="Times New Roman"/>
                <w:color w:val="auto"/>
                <w:sz w:val="18"/>
                <w:szCs w:val="18"/>
                <w:lang w:bidi="ar"/>
              </w:rPr>
              <w:t>×</w:t>
            </w:r>
            <w:r>
              <w:rPr>
                <w:rFonts w:ascii="宋体" w:eastAsia="宋体" w:cs="Times New Roman"/>
                <w:color w:val="auto"/>
                <w:sz w:val="18"/>
                <w:szCs w:val="18"/>
                <w:lang w:bidi="ar"/>
              </w:rPr>
              <w:t>2</w:t>
            </w:r>
          </w:p>
        </w:tc>
        <w:tc>
          <w:tcPr>
            <w:tcW w:w="7529" w:type="dxa"/>
          </w:tcPr>
          <w:p w14:paraId="5D6B71DA">
            <w:pPr>
              <w:pStyle w:val="75"/>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eastAsia" w:ascii="宋体" w:eastAsia="宋体" w:cs="Times New Roman"/>
                <w:color w:val="auto"/>
                <w:sz w:val="18"/>
                <w:szCs w:val="18"/>
                <w:lang w:val="en-US" w:eastAsia="zh-CN" w:bidi="ar"/>
              </w:rPr>
            </w:pPr>
            <w:r>
              <w:rPr>
                <w:rFonts w:hint="eastAsia" w:ascii="宋体" w:eastAsia="宋体" w:cs="Times New Roman"/>
                <w:color w:val="auto"/>
                <w:sz w:val="18"/>
                <w:szCs w:val="18"/>
                <w:lang w:val="en-US" w:eastAsia="zh-CN" w:bidi="ar"/>
              </w:rPr>
              <w:t>由AHF厂区输送泵出口管线接管至新建外管廊，沿新建外管廊布至祥丰金麦磷酸装置两个反应萃取槽顶部混合器，两根管线采用钢骨架复合PE材质，管径DN200，单管总长度约为3000米。</w:t>
            </w:r>
          </w:p>
        </w:tc>
        <w:tc>
          <w:tcPr>
            <w:tcW w:w="1100" w:type="dxa"/>
            <w:vAlign w:val="center"/>
          </w:tcPr>
          <w:p w14:paraId="6697423C">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eastAsia="宋体" w:cs="Times New Roman"/>
                <w:color w:val="auto"/>
                <w:sz w:val="18"/>
                <w:szCs w:val="18"/>
                <w:lang w:val="en-US" w:eastAsia="zh-CN" w:bidi="ar"/>
              </w:rPr>
            </w:pPr>
            <w:r>
              <w:rPr>
                <w:rFonts w:hint="eastAsia" w:ascii="宋体" w:eastAsia="宋体" w:cs="Times New Roman"/>
                <w:color w:val="auto"/>
                <w:sz w:val="18"/>
                <w:szCs w:val="18"/>
                <w:lang w:val="en-US" w:eastAsia="zh-CN" w:bidi="ar"/>
              </w:rPr>
              <w:t>新建</w:t>
            </w:r>
          </w:p>
        </w:tc>
      </w:tr>
      <w:tr w14:paraId="4778A7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34" w:type="dxa"/>
            <w:vAlign w:val="center"/>
          </w:tcPr>
          <w:p w14:paraId="7780BCD7">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1</w:t>
            </w:r>
            <w:r>
              <w:rPr>
                <w:rFonts w:ascii="宋体" w:eastAsia="宋体" w:cs="Times New Roman"/>
                <w:color w:val="auto"/>
                <w:sz w:val="18"/>
                <w:szCs w:val="18"/>
                <w:lang w:bidi="ar"/>
              </w:rPr>
              <w:t>0</w:t>
            </w:r>
          </w:p>
        </w:tc>
        <w:tc>
          <w:tcPr>
            <w:tcW w:w="1260" w:type="dxa"/>
            <w:vMerge w:val="continue"/>
          </w:tcPr>
          <w:p w14:paraId="0170143F">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p>
        </w:tc>
        <w:tc>
          <w:tcPr>
            <w:tcW w:w="1660" w:type="dxa"/>
            <w:vAlign w:val="center"/>
          </w:tcPr>
          <w:p w14:paraId="5F0D549C">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过滤机洗水管道</w:t>
            </w:r>
          </w:p>
        </w:tc>
        <w:tc>
          <w:tcPr>
            <w:tcW w:w="2320" w:type="dxa"/>
            <w:vAlign w:val="center"/>
          </w:tcPr>
          <w:p w14:paraId="0546D3E5">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约3</w:t>
            </w:r>
            <w:r>
              <w:rPr>
                <w:rFonts w:ascii="宋体" w:eastAsia="宋体" w:cs="Times New Roman"/>
                <w:color w:val="auto"/>
                <w:sz w:val="18"/>
                <w:szCs w:val="18"/>
                <w:lang w:bidi="ar"/>
              </w:rPr>
              <w:t>000</w:t>
            </w:r>
          </w:p>
        </w:tc>
        <w:tc>
          <w:tcPr>
            <w:tcW w:w="7529" w:type="dxa"/>
          </w:tcPr>
          <w:p w14:paraId="21DC1383">
            <w:pPr>
              <w:pStyle w:val="75"/>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eastAsia" w:ascii="宋体" w:eastAsia="宋体" w:cs="Times New Roman"/>
                <w:color w:val="auto"/>
                <w:sz w:val="18"/>
                <w:szCs w:val="18"/>
                <w:lang w:val="en-US" w:eastAsia="zh-CN" w:bidi="ar"/>
              </w:rPr>
            </w:pPr>
            <w:r>
              <w:rPr>
                <w:rFonts w:hint="eastAsia" w:ascii="宋体" w:eastAsia="宋体" w:cs="Times New Roman"/>
                <w:color w:val="auto"/>
                <w:sz w:val="18"/>
                <w:szCs w:val="18"/>
                <w:lang w:val="en-US" w:eastAsia="zh-CN" w:bidi="ar"/>
              </w:rPr>
              <w:t>由AHF厂区输送泵出口管线接管至新建外管廊，沿新建外管廊布至祥丰金麦磷酸装置氟吸收塔，采用钢骨架复合PE材质，管径DN100，总长度约为3000米。</w:t>
            </w:r>
          </w:p>
        </w:tc>
        <w:tc>
          <w:tcPr>
            <w:tcW w:w="1100" w:type="dxa"/>
            <w:vAlign w:val="center"/>
          </w:tcPr>
          <w:p w14:paraId="190A96A9">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eastAsia="宋体" w:cs="Times New Roman"/>
                <w:color w:val="auto"/>
                <w:sz w:val="18"/>
                <w:szCs w:val="18"/>
                <w:lang w:val="en-US" w:eastAsia="zh-CN" w:bidi="ar"/>
              </w:rPr>
            </w:pPr>
            <w:r>
              <w:rPr>
                <w:rFonts w:hint="eastAsia" w:ascii="宋体" w:eastAsia="宋体" w:cs="Times New Roman"/>
                <w:color w:val="auto"/>
                <w:sz w:val="18"/>
                <w:szCs w:val="18"/>
                <w:lang w:val="en-US" w:eastAsia="zh-CN" w:bidi="ar"/>
              </w:rPr>
              <w:t>新建</w:t>
            </w:r>
          </w:p>
        </w:tc>
      </w:tr>
      <w:tr w14:paraId="515F2D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34" w:type="dxa"/>
            <w:vAlign w:val="center"/>
          </w:tcPr>
          <w:p w14:paraId="6D5604E4">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1</w:t>
            </w:r>
            <w:r>
              <w:rPr>
                <w:rFonts w:ascii="宋体" w:eastAsia="宋体" w:cs="Times New Roman"/>
                <w:color w:val="auto"/>
                <w:sz w:val="18"/>
                <w:szCs w:val="18"/>
                <w:lang w:bidi="ar"/>
              </w:rPr>
              <w:t>1</w:t>
            </w:r>
          </w:p>
        </w:tc>
        <w:tc>
          <w:tcPr>
            <w:tcW w:w="1260" w:type="dxa"/>
            <w:vMerge w:val="continue"/>
          </w:tcPr>
          <w:p w14:paraId="18B7A4EF">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p>
        </w:tc>
        <w:tc>
          <w:tcPr>
            <w:tcW w:w="1660" w:type="dxa"/>
            <w:vAlign w:val="center"/>
          </w:tcPr>
          <w:p w14:paraId="677BB52A">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渣浆水管道</w:t>
            </w:r>
          </w:p>
        </w:tc>
        <w:tc>
          <w:tcPr>
            <w:tcW w:w="2320" w:type="dxa"/>
            <w:vAlign w:val="center"/>
          </w:tcPr>
          <w:p w14:paraId="1D066FEE">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约3</w:t>
            </w:r>
            <w:r>
              <w:rPr>
                <w:rFonts w:ascii="宋体" w:eastAsia="宋体" w:cs="Times New Roman"/>
                <w:color w:val="auto"/>
                <w:sz w:val="18"/>
                <w:szCs w:val="18"/>
                <w:lang w:bidi="ar"/>
              </w:rPr>
              <w:t>000</w:t>
            </w:r>
          </w:p>
        </w:tc>
        <w:tc>
          <w:tcPr>
            <w:tcW w:w="7529" w:type="dxa"/>
          </w:tcPr>
          <w:p w14:paraId="06C76A16">
            <w:pPr>
              <w:pStyle w:val="75"/>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eastAsia" w:ascii="宋体" w:eastAsia="宋体" w:cs="Times New Roman"/>
                <w:color w:val="auto"/>
                <w:sz w:val="18"/>
                <w:szCs w:val="18"/>
                <w:lang w:val="en-US" w:eastAsia="zh-CN" w:bidi="ar"/>
              </w:rPr>
            </w:pPr>
            <w:r>
              <w:rPr>
                <w:rFonts w:hint="eastAsia" w:ascii="宋体" w:eastAsia="宋体" w:cs="Times New Roman"/>
                <w:color w:val="auto"/>
                <w:sz w:val="18"/>
                <w:szCs w:val="18"/>
                <w:lang w:val="en-US" w:eastAsia="zh-CN" w:bidi="ar"/>
              </w:rPr>
              <w:t>渣浆水管道由AHF厂区输送泵输送，沿新建外管廊布至祥丰金麦磷酸装置后，借用祥丰金麦原有管架约150m后接入磷酸再浆槽，采用钢骨架复合PE材质，管径DN150，总长度约为3000米。</w:t>
            </w:r>
          </w:p>
        </w:tc>
        <w:tc>
          <w:tcPr>
            <w:tcW w:w="1100" w:type="dxa"/>
            <w:vAlign w:val="center"/>
          </w:tcPr>
          <w:p w14:paraId="59C63F41">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eastAsia="宋体" w:cs="Times New Roman"/>
                <w:color w:val="auto"/>
                <w:sz w:val="18"/>
                <w:szCs w:val="18"/>
                <w:lang w:val="en-US" w:eastAsia="zh-CN" w:bidi="ar"/>
              </w:rPr>
            </w:pPr>
            <w:r>
              <w:rPr>
                <w:rFonts w:hint="eastAsia" w:ascii="宋体" w:eastAsia="宋体" w:cs="Times New Roman"/>
                <w:color w:val="auto"/>
                <w:sz w:val="18"/>
                <w:szCs w:val="18"/>
                <w:lang w:val="en-US" w:eastAsia="zh-CN" w:bidi="ar"/>
              </w:rPr>
              <w:t>新建</w:t>
            </w:r>
          </w:p>
        </w:tc>
      </w:tr>
      <w:tr w14:paraId="3C19A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34" w:type="dxa"/>
            <w:vAlign w:val="center"/>
          </w:tcPr>
          <w:p w14:paraId="5C660E9E">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1</w:t>
            </w:r>
            <w:r>
              <w:rPr>
                <w:rFonts w:ascii="宋体" w:eastAsia="宋体" w:cs="Times New Roman"/>
                <w:color w:val="auto"/>
                <w:sz w:val="18"/>
                <w:szCs w:val="18"/>
                <w:lang w:bidi="ar"/>
              </w:rPr>
              <w:t>2</w:t>
            </w:r>
          </w:p>
        </w:tc>
        <w:tc>
          <w:tcPr>
            <w:tcW w:w="1260" w:type="dxa"/>
            <w:vMerge w:val="restart"/>
            <w:vAlign w:val="center"/>
          </w:tcPr>
          <w:p w14:paraId="4448CFC5">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土建工程</w:t>
            </w:r>
          </w:p>
        </w:tc>
        <w:tc>
          <w:tcPr>
            <w:tcW w:w="1660" w:type="dxa"/>
            <w:vAlign w:val="center"/>
          </w:tcPr>
          <w:p w14:paraId="130AFABE">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管廊基础</w:t>
            </w:r>
          </w:p>
        </w:tc>
        <w:tc>
          <w:tcPr>
            <w:tcW w:w="2320" w:type="dxa"/>
            <w:vAlign w:val="center"/>
          </w:tcPr>
          <w:p w14:paraId="5A55946F">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w:t>
            </w:r>
          </w:p>
        </w:tc>
        <w:tc>
          <w:tcPr>
            <w:tcW w:w="7529" w:type="dxa"/>
          </w:tcPr>
          <w:p w14:paraId="10FB2612">
            <w:pPr>
              <w:pStyle w:val="75"/>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eastAsia" w:ascii="宋体" w:eastAsia="宋体" w:cs="Times New Roman"/>
                <w:color w:val="auto"/>
                <w:sz w:val="18"/>
                <w:szCs w:val="18"/>
                <w:lang w:val="en-US" w:eastAsia="zh-CN" w:bidi="ar"/>
              </w:rPr>
            </w:pPr>
            <w:r>
              <w:rPr>
                <w:rFonts w:hint="eastAsia" w:ascii="宋体" w:eastAsia="宋体" w:cs="Times New Roman"/>
                <w:color w:val="auto"/>
                <w:sz w:val="18"/>
                <w:szCs w:val="18"/>
                <w:lang w:val="en-US" w:eastAsia="zh-CN" w:bidi="ar"/>
              </w:rPr>
              <w:t>在选择地基处理方案时，应考虑上部结构、基础和地基的共同作用，进行多种方案的技术经济比较。地基处理方案应结合现场地勘实际情况综合确定。</w:t>
            </w:r>
          </w:p>
          <w:p w14:paraId="11F426EE">
            <w:pPr>
              <w:pStyle w:val="75"/>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eastAsia" w:ascii="宋体" w:eastAsia="宋体" w:cs="Times New Roman"/>
                <w:color w:val="auto"/>
                <w:sz w:val="18"/>
                <w:szCs w:val="18"/>
                <w:lang w:val="en-US" w:eastAsia="zh-CN" w:bidi="ar"/>
              </w:rPr>
            </w:pPr>
            <w:r>
              <w:rPr>
                <w:rFonts w:hint="eastAsia" w:ascii="宋体" w:eastAsia="宋体" w:cs="Times New Roman"/>
                <w:color w:val="auto"/>
                <w:sz w:val="18"/>
                <w:szCs w:val="18"/>
                <w:lang w:val="en-US" w:eastAsia="zh-CN" w:bidi="ar"/>
              </w:rPr>
              <w:t>对于荷载不大，地基条件良好的管廊优先采用天然地基，基础形式为独立基础；对于荷载不大，地基条件一般的管廊优先采用天然地基或换填垫层地基处理方案；对于荷载较大、跨度较大的管廊，地基条件较差的管廊，可根据场地工程地质条件，采用钢筋混凝土灌注桩加承台的方案或换填垫层地基处理方案。</w:t>
            </w:r>
          </w:p>
        </w:tc>
        <w:tc>
          <w:tcPr>
            <w:tcW w:w="1100" w:type="dxa"/>
            <w:vAlign w:val="center"/>
          </w:tcPr>
          <w:p w14:paraId="1F54258D">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eastAsia="宋体" w:cs="Times New Roman"/>
                <w:color w:val="auto"/>
                <w:sz w:val="18"/>
                <w:szCs w:val="18"/>
                <w:lang w:val="en-US" w:eastAsia="zh-CN" w:bidi="ar"/>
              </w:rPr>
            </w:pPr>
            <w:r>
              <w:rPr>
                <w:rFonts w:hint="eastAsia" w:ascii="宋体" w:eastAsia="宋体" w:cs="Times New Roman"/>
                <w:color w:val="auto"/>
                <w:sz w:val="18"/>
                <w:szCs w:val="18"/>
                <w:lang w:val="en-US" w:eastAsia="zh-CN" w:bidi="ar"/>
              </w:rPr>
              <w:t>新建</w:t>
            </w:r>
          </w:p>
        </w:tc>
      </w:tr>
      <w:tr w14:paraId="281C09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34" w:type="dxa"/>
            <w:vAlign w:val="center"/>
          </w:tcPr>
          <w:p w14:paraId="68640321">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1</w:t>
            </w:r>
            <w:r>
              <w:rPr>
                <w:rFonts w:ascii="宋体" w:eastAsia="宋体" w:cs="Times New Roman"/>
                <w:color w:val="auto"/>
                <w:sz w:val="18"/>
                <w:szCs w:val="18"/>
                <w:lang w:bidi="ar"/>
              </w:rPr>
              <w:t>3</w:t>
            </w:r>
          </w:p>
        </w:tc>
        <w:tc>
          <w:tcPr>
            <w:tcW w:w="1260" w:type="dxa"/>
            <w:vMerge w:val="continue"/>
            <w:vAlign w:val="center"/>
          </w:tcPr>
          <w:p w14:paraId="57F63D9E">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p>
        </w:tc>
        <w:tc>
          <w:tcPr>
            <w:tcW w:w="1660" w:type="dxa"/>
            <w:vAlign w:val="center"/>
          </w:tcPr>
          <w:p w14:paraId="4A2C4157">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管廊钢结构</w:t>
            </w:r>
          </w:p>
        </w:tc>
        <w:tc>
          <w:tcPr>
            <w:tcW w:w="2320" w:type="dxa"/>
            <w:vAlign w:val="center"/>
          </w:tcPr>
          <w:p w14:paraId="3CA198A6">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w:t>
            </w:r>
          </w:p>
        </w:tc>
        <w:tc>
          <w:tcPr>
            <w:tcW w:w="7529" w:type="dxa"/>
          </w:tcPr>
          <w:p w14:paraId="692FBBFC">
            <w:pPr>
              <w:pStyle w:val="75"/>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eastAsia" w:ascii="宋体" w:eastAsia="宋体" w:cs="Times New Roman"/>
                <w:color w:val="auto"/>
                <w:sz w:val="18"/>
                <w:szCs w:val="18"/>
                <w:lang w:val="en-US" w:eastAsia="zh-CN" w:bidi="ar"/>
              </w:rPr>
            </w:pPr>
            <w:r>
              <w:rPr>
                <w:rFonts w:hint="eastAsia" w:ascii="宋体" w:eastAsia="宋体" w:cs="Times New Roman"/>
                <w:color w:val="auto"/>
                <w:sz w:val="18"/>
                <w:szCs w:val="18"/>
                <w:lang w:val="en-US" w:eastAsia="zh-CN" w:bidi="ar"/>
              </w:rPr>
              <w:t>结构体系的选择应按照工艺及设备安装的要求，同时考虑抗震、防腐蚀等的措施并满足国家规范的要求。</w:t>
            </w:r>
          </w:p>
          <w:p w14:paraId="0DF49438">
            <w:pPr>
              <w:pStyle w:val="75"/>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eastAsia" w:ascii="宋体" w:eastAsia="宋体" w:cs="Times New Roman"/>
                <w:color w:val="auto"/>
                <w:sz w:val="18"/>
                <w:szCs w:val="18"/>
                <w:lang w:val="en-US" w:eastAsia="zh-CN" w:bidi="ar"/>
              </w:rPr>
            </w:pPr>
            <w:r>
              <w:rPr>
                <w:rFonts w:hint="eastAsia" w:ascii="宋体" w:eastAsia="宋体" w:cs="Times New Roman"/>
                <w:color w:val="auto"/>
                <w:sz w:val="18"/>
                <w:szCs w:val="18"/>
                <w:lang w:val="en-US" w:eastAsia="zh-CN" w:bidi="ar"/>
              </w:rPr>
              <w:t>结构选型的具体原则为：1）管廊优先采用钢结构。</w:t>
            </w:r>
          </w:p>
          <w:p w14:paraId="2341F212">
            <w:pPr>
              <w:pStyle w:val="75"/>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eastAsia" w:ascii="宋体" w:eastAsia="宋体" w:cs="Times New Roman"/>
                <w:color w:val="auto"/>
                <w:sz w:val="18"/>
                <w:szCs w:val="18"/>
                <w:lang w:val="en-US" w:eastAsia="zh-CN" w:bidi="ar"/>
              </w:rPr>
            </w:pPr>
            <w:r>
              <w:rPr>
                <w:rFonts w:hint="eastAsia" w:ascii="宋体" w:eastAsia="宋体" w:cs="Times New Roman"/>
                <w:color w:val="auto"/>
                <w:sz w:val="18"/>
                <w:szCs w:val="18"/>
                <w:lang w:val="en-US" w:eastAsia="zh-CN" w:bidi="ar"/>
              </w:rPr>
              <w:t>2）管廊平台铺板优先采用热浸锌钢格栅板。</w:t>
            </w:r>
          </w:p>
          <w:p w14:paraId="3870162F">
            <w:pPr>
              <w:pStyle w:val="75"/>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eastAsia" w:ascii="宋体" w:eastAsia="宋体" w:cs="Times New Roman"/>
                <w:color w:val="auto"/>
                <w:sz w:val="18"/>
                <w:szCs w:val="18"/>
                <w:lang w:val="en-US" w:eastAsia="zh-CN" w:bidi="ar"/>
              </w:rPr>
            </w:pPr>
            <w:r>
              <w:rPr>
                <w:rFonts w:hint="eastAsia" w:ascii="宋体" w:eastAsia="宋体" w:cs="Times New Roman"/>
                <w:color w:val="auto"/>
                <w:sz w:val="18"/>
                <w:szCs w:val="18"/>
                <w:lang w:val="en-US" w:eastAsia="zh-CN" w:bidi="ar"/>
              </w:rPr>
              <w:t>3）钢结构的连结方式采用焊接连接。</w:t>
            </w:r>
          </w:p>
        </w:tc>
        <w:tc>
          <w:tcPr>
            <w:tcW w:w="1100" w:type="dxa"/>
            <w:vAlign w:val="center"/>
          </w:tcPr>
          <w:p w14:paraId="2DBACC57">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eastAsia="宋体" w:cs="Times New Roman"/>
                <w:color w:val="auto"/>
                <w:sz w:val="18"/>
                <w:szCs w:val="18"/>
                <w:lang w:val="en-US" w:eastAsia="zh-CN" w:bidi="ar"/>
              </w:rPr>
            </w:pPr>
            <w:r>
              <w:rPr>
                <w:rFonts w:hint="eastAsia" w:ascii="宋体" w:eastAsia="宋体" w:cs="Times New Roman"/>
                <w:color w:val="auto"/>
                <w:sz w:val="18"/>
                <w:szCs w:val="18"/>
                <w:lang w:val="en-US" w:eastAsia="zh-CN" w:bidi="ar"/>
              </w:rPr>
              <w:t>新建</w:t>
            </w:r>
          </w:p>
        </w:tc>
      </w:tr>
      <w:tr w14:paraId="66C3F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34" w:type="dxa"/>
            <w:vAlign w:val="center"/>
          </w:tcPr>
          <w:p w14:paraId="731FDE58">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1</w:t>
            </w:r>
            <w:r>
              <w:rPr>
                <w:rFonts w:ascii="宋体" w:eastAsia="宋体" w:cs="Times New Roman"/>
                <w:color w:val="auto"/>
                <w:sz w:val="18"/>
                <w:szCs w:val="18"/>
                <w:lang w:bidi="ar"/>
              </w:rPr>
              <w:t>4</w:t>
            </w:r>
          </w:p>
        </w:tc>
        <w:tc>
          <w:tcPr>
            <w:tcW w:w="1260" w:type="dxa"/>
            <w:vMerge w:val="restart"/>
            <w:vAlign w:val="center"/>
          </w:tcPr>
          <w:p w14:paraId="36E22401">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防腐保温</w:t>
            </w:r>
          </w:p>
        </w:tc>
        <w:tc>
          <w:tcPr>
            <w:tcW w:w="1660" w:type="dxa"/>
            <w:vAlign w:val="center"/>
          </w:tcPr>
          <w:p w14:paraId="5CBFD824">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管道防腐</w:t>
            </w:r>
          </w:p>
        </w:tc>
        <w:tc>
          <w:tcPr>
            <w:tcW w:w="2320" w:type="dxa"/>
            <w:vAlign w:val="center"/>
          </w:tcPr>
          <w:p w14:paraId="2CAE0E5C">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w:t>
            </w:r>
          </w:p>
        </w:tc>
        <w:tc>
          <w:tcPr>
            <w:tcW w:w="7529" w:type="dxa"/>
          </w:tcPr>
          <w:p w14:paraId="559D2AE2">
            <w:pPr>
              <w:pStyle w:val="75"/>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eastAsia" w:ascii="宋体" w:eastAsia="宋体" w:cs="Times New Roman"/>
                <w:color w:val="auto"/>
                <w:sz w:val="18"/>
                <w:szCs w:val="18"/>
                <w:lang w:val="en-US" w:eastAsia="zh-CN" w:bidi="ar"/>
              </w:rPr>
            </w:pPr>
            <w:r>
              <w:rPr>
                <w:rFonts w:hint="eastAsia" w:ascii="宋体" w:eastAsia="宋体" w:cs="Times New Roman"/>
                <w:color w:val="auto"/>
                <w:sz w:val="18"/>
                <w:szCs w:val="18"/>
                <w:lang w:val="en-US" w:eastAsia="zh-CN" w:bidi="ar"/>
              </w:rPr>
              <w:t>1. 对于蒸汽管线：底漆：无机富锌底漆，中间漆为耐高温漆，涂层干膜总厚度≥190mm；</w:t>
            </w:r>
          </w:p>
          <w:p w14:paraId="27983812">
            <w:pPr>
              <w:pStyle w:val="75"/>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eastAsia" w:ascii="宋体" w:eastAsia="宋体" w:cs="Times New Roman"/>
                <w:color w:val="auto"/>
                <w:sz w:val="18"/>
                <w:szCs w:val="18"/>
                <w:lang w:val="en-US" w:eastAsia="zh-CN" w:bidi="ar"/>
              </w:rPr>
            </w:pPr>
            <w:r>
              <w:rPr>
                <w:rFonts w:hint="eastAsia" w:ascii="宋体" w:eastAsia="宋体" w:cs="Times New Roman"/>
                <w:color w:val="auto"/>
                <w:sz w:val="18"/>
                <w:szCs w:val="18"/>
                <w:lang w:val="en-US" w:eastAsia="zh-CN" w:bidi="ar"/>
              </w:rPr>
              <w:t>2. 对于工艺水等碳钢管线：底漆：环氧富锌底漆，中间漆：环氧云铁漆，面漆：脂肪族聚氨酯面漆，涂层干膜总厚度≥190mm。</w:t>
            </w:r>
          </w:p>
        </w:tc>
        <w:tc>
          <w:tcPr>
            <w:tcW w:w="1100" w:type="dxa"/>
            <w:vAlign w:val="center"/>
          </w:tcPr>
          <w:p w14:paraId="7230FCD0">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eastAsia="宋体" w:cs="Times New Roman"/>
                <w:color w:val="auto"/>
                <w:sz w:val="18"/>
                <w:szCs w:val="18"/>
                <w:lang w:val="en-US" w:eastAsia="zh-CN" w:bidi="ar"/>
              </w:rPr>
            </w:pPr>
            <w:r>
              <w:rPr>
                <w:rFonts w:hint="eastAsia" w:ascii="宋体" w:eastAsia="宋体" w:cs="Times New Roman"/>
                <w:color w:val="auto"/>
                <w:sz w:val="18"/>
                <w:szCs w:val="18"/>
                <w:lang w:val="en-US" w:eastAsia="zh-CN" w:bidi="ar"/>
              </w:rPr>
              <w:t>新建</w:t>
            </w:r>
          </w:p>
        </w:tc>
      </w:tr>
      <w:tr w14:paraId="4F4A1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34" w:type="dxa"/>
            <w:vAlign w:val="center"/>
          </w:tcPr>
          <w:p w14:paraId="13751E16">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1</w:t>
            </w:r>
            <w:r>
              <w:rPr>
                <w:rFonts w:ascii="宋体" w:eastAsia="宋体" w:cs="Times New Roman"/>
                <w:color w:val="auto"/>
                <w:sz w:val="18"/>
                <w:szCs w:val="18"/>
                <w:lang w:bidi="ar"/>
              </w:rPr>
              <w:t>5</w:t>
            </w:r>
          </w:p>
        </w:tc>
        <w:tc>
          <w:tcPr>
            <w:tcW w:w="1260" w:type="dxa"/>
            <w:vMerge w:val="continue"/>
          </w:tcPr>
          <w:p w14:paraId="036EAC19">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p>
        </w:tc>
        <w:tc>
          <w:tcPr>
            <w:tcW w:w="1660" w:type="dxa"/>
            <w:vAlign w:val="center"/>
          </w:tcPr>
          <w:p w14:paraId="68AD1C9F">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管道保温</w:t>
            </w:r>
          </w:p>
        </w:tc>
        <w:tc>
          <w:tcPr>
            <w:tcW w:w="2320" w:type="dxa"/>
            <w:vAlign w:val="center"/>
          </w:tcPr>
          <w:p w14:paraId="254C6801">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w:t>
            </w:r>
          </w:p>
        </w:tc>
        <w:tc>
          <w:tcPr>
            <w:tcW w:w="7529" w:type="dxa"/>
          </w:tcPr>
          <w:p w14:paraId="13878EFE">
            <w:pPr>
              <w:pStyle w:val="75"/>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eastAsia" w:ascii="宋体" w:eastAsia="宋体" w:cs="Times New Roman"/>
                <w:color w:val="auto"/>
                <w:sz w:val="18"/>
                <w:szCs w:val="18"/>
                <w:lang w:val="en-US" w:eastAsia="zh-CN" w:bidi="ar"/>
              </w:rPr>
            </w:pPr>
            <w:r>
              <w:rPr>
                <w:rFonts w:hint="eastAsia" w:ascii="宋体" w:eastAsia="宋体" w:cs="Times New Roman"/>
                <w:color w:val="auto"/>
                <w:sz w:val="18"/>
                <w:szCs w:val="18"/>
                <w:lang w:val="en-US" w:eastAsia="zh-CN" w:bidi="ar"/>
              </w:rPr>
              <w:t>对于蒸汽管线，采用复合硅酸岩进行保温，其他管线无需保温。</w:t>
            </w:r>
          </w:p>
        </w:tc>
        <w:tc>
          <w:tcPr>
            <w:tcW w:w="1100" w:type="dxa"/>
            <w:vAlign w:val="center"/>
          </w:tcPr>
          <w:p w14:paraId="54079CE6">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eastAsia="宋体" w:cs="Times New Roman"/>
                <w:color w:val="auto"/>
                <w:sz w:val="18"/>
                <w:szCs w:val="18"/>
                <w:lang w:val="en-US" w:eastAsia="zh-CN" w:bidi="ar"/>
              </w:rPr>
            </w:pPr>
            <w:r>
              <w:rPr>
                <w:rFonts w:hint="eastAsia" w:ascii="宋体" w:eastAsia="宋体" w:cs="Times New Roman"/>
                <w:color w:val="auto"/>
                <w:sz w:val="18"/>
                <w:szCs w:val="18"/>
                <w:lang w:val="en-US" w:eastAsia="zh-CN" w:bidi="ar"/>
              </w:rPr>
              <w:t>新建</w:t>
            </w:r>
          </w:p>
        </w:tc>
      </w:tr>
    </w:tbl>
    <w:p w14:paraId="75A32AAE">
      <w:pPr>
        <w:pStyle w:val="122"/>
        <w:keepNext w:val="0"/>
        <w:keepLines w:val="0"/>
        <w:pageBreakBefore w:val="0"/>
        <w:widowControl w:val="0"/>
        <w:kinsoku/>
        <w:wordWrap/>
        <w:overflowPunct/>
        <w:topLinePunct w:val="0"/>
        <w:autoSpaceDE/>
        <w:autoSpaceDN/>
        <w:bidi w:val="0"/>
        <w:adjustRightInd w:val="0"/>
        <w:snapToGrid w:val="0"/>
        <w:spacing w:before="200"/>
        <w:ind w:firstLine="0"/>
        <w:jc w:val="center"/>
        <w:textAlignment w:val="auto"/>
        <w:rPr>
          <w:rFonts w:ascii="宋体" w:hAnsi="Times New Roman" w:eastAsia="宋体" w:cs="宋体"/>
          <w:b/>
          <w:bCs/>
          <w:color w:val="auto"/>
          <w:sz w:val="24"/>
          <w:szCs w:val="24"/>
        </w:rPr>
      </w:pPr>
      <w:r>
        <w:rPr>
          <w:rFonts w:ascii="宋体" w:hAnsi="Times New Roman" w:eastAsia="宋体" w:cs="宋体"/>
          <w:b/>
          <w:bCs/>
          <w:color w:val="auto"/>
          <w:sz w:val="24"/>
          <w:szCs w:val="24"/>
        </w:rPr>
        <w:t>表</w:t>
      </w:r>
      <w:r>
        <w:rPr>
          <w:rFonts w:hint="eastAsia" w:ascii="宋体" w:hAnsi="Times New Roman" w:eastAsia="宋体" w:cs="宋体"/>
          <w:b/>
          <w:bCs/>
          <w:color w:val="auto"/>
          <w:sz w:val="24"/>
          <w:szCs w:val="24"/>
        </w:rPr>
        <w:t>2</w:t>
      </w:r>
      <w:r>
        <w:rPr>
          <w:rFonts w:hint="eastAsia" w:ascii="宋体" w:hAnsi="Times New Roman" w:eastAsia="宋体" w:cs="宋体"/>
          <w:b/>
          <w:bCs/>
          <w:color w:val="auto"/>
          <w:sz w:val="24"/>
          <w:szCs w:val="24"/>
          <w:lang w:val="en-US" w:eastAsia="zh-CN"/>
        </w:rPr>
        <w:t>.2</w:t>
      </w:r>
      <w:r>
        <w:rPr>
          <w:rFonts w:hint="eastAsia" w:ascii="宋体" w:hAnsi="Times New Roman" w:eastAsia="宋体" w:cs="宋体"/>
          <w:b/>
          <w:bCs/>
          <w:color w:val="auto"/>
          <w:sz w:val="24"/>
          <w:szCs w:val="24"/>
        </w:rPr>
        <w:t>-</w:t>
      </w:r>
      <w:r>
        <w:rPr>
          <w:rFonts w:ascii="宋体" w:hAnsi="Times New Roman" w:eastAsia="宋体" w:cs="宋体"/>
          <w:b/>
          <w:bCs/>
          <w:color w:val="auto"/>
          <w:sz w:val="24"/>
          <w:szCs w:val="24"/>
        </w:rPr>
        <w:t>2</w:t>
      </w:r>
      <w:r>
        <w:rPr>
          <w:rFonts w:hint="eastAsia" w:ascii="宋体" w:hAnsi="Times New Roman" w:eastAsia="宋体" w:cs="宋体"/>
          <w:b/>
          <w:bCs/>
          <w:color w:val="auto"/>
          <w:sz w:val="24"/>
          <w:szCs w:val="24"/>
        </w:rPr>
        <w:t xml:space="preserve"> 外管廊范围</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
        <w:gridCol w:w="1853"/>
        <w:gridCol w:w="4652"/>
        <w:gridCol w:w="4089"/>
        <w:gridCol w:w="1127"/>
        <w:gridCol w:w="1703"/>
      </w:tblGrid>
      <w:tr w14:paraId="6E0B9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589" w:type="dxa"/>
            <w:tcBorders>
              <w:top w:val="single" w:color="auto" w:sz="4" w:space="0"/>
              <w:left w:val="single" w:color="auto" w:sz="4" w:space="0"/>
              <w:bottom w:val="single" w:color="auto" w:sz="4" w:space="0"/>
              <w:right w:val="single" w:color="auto" w:sz="4" w:space="0"/>
            </w:tcBorders>
            <w:shd w:val="clear" w:color="auto" w:fill="auto"/>
            <w:vAlign w:val="center"/>
          </w:tcPr>
          <w:p w14:paraId="10B98371">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b/>
                <w:bCs/>
                <w:color w:val="auto"/>
                <w:sz w:val="18"/>
                <w:szCs w:val="18"/>
              </w:rPr>
            </w:pPr>
            <w:r>
              <w:rPr>
                <w:rFonts w:hint="eastAsia" w:ascii="宋体" w:eastAsia="宋体" w:cs="Times New Roman"/>
                <w:b/>
                <w:bCs/>
                <w:color w:val="auto"/>
                <w:sz w:val="18"/>
                <w:szCs w:val="18"/>
                <w:lang w:bidi="ar"/>
              </w:rPr>
              <w:t>序号</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7A150FC6">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b/>
                <w:bCs/>
                <w:color w:val="auto"/>
                <w:sz w:val="18"/>
                <w:szCs w:val="18"/>
              </w:rPr>
            </w:pPr>
            <w:r>
              <w:rPr>
                <w:rFonts w:hint="eastAsia" w:ascii="宋体" w:eastAsia="宋体" w:cs="Times New Roman"/>
                <w:b/>
                <w:bCs/>
                <w:color w:val="auto"/>
                <w:sz w:val="18"/>
                <w:szCs w:val="18"/>
                <w:lang w:bidi="ar"/>
              </w:rPr>
              <w:t>输送物料名称</w:t>
            </w:r>
          </w:p>
        </w:tc>
        <w:tc>
          <w:tcPr>
            <w:tcW w:w="3013" w:type="dxa"/>
            <w:tcBorders>
              <w:top w:val="single" w:color="auto" w:sz="4" w:space="0"/>
              <w:left w:val="single" w:color="auto" w:sz="4" w:space="0"/>
              <w:bottom w:val="single" w:color="auto" w:sz="4" w:space="0"/>
              <w:right w:val="single" w:color="auto" w:sz="4" w:space="0"/>
            </w:tcBorders>
            <w:shd w:val="clear" w:color="auto" w:fill="auto"/>
            <w:vAlign w:val="center"/>
          </w:tcPr>
          <w:p w14:paraId="0CA01EB8">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b/>
                <w:bCs/>
                <w:color w:val="auto"/>
                <w:sz w:val="18"/>
                <w:szCs w:val="18"/>
              </w:rPr>
            </w:pPr>
            <w:r>
              <w:rPr>
                <w:rFonts w:hint="eastAsia" w:ascii="宋体" w:eastAsia="宋体" w:cs="Times New Roman"/>
                <w:b/>
                <w:bCs/>
                <w:color w:val="auto"/>
                <w:sz w:val="18"/>
                <w:szCs w:val="18"/>
                <w:lang w:bidi="ar"/>
              </w:rPr>
              <w:t>来自</w:t>
            </w:r>
          </w:p>
        </w:tc>
        <w:tc>
          <w:tcPr>
            <w:tcW w:w="2649" w:type="dxa"/>
            <w:tcBorders>
              <w:top w:val="single" w:color="auto" w:sz="4" w:space="0"/>
              <w:left w:val="single" w:color="auto" w:sz="4" w:space="0"/>
              <w:bottom w:val="single" w:color="auto" w:sz="4" w:space="0"/>
              <w:right w:val="single" w:color="auto" w:sz="4" w:space="0"/>
            </w:tcBorders>
            <w:shd w:val="clear" w:color="auto" w:fill="auto"/>
            <w:vAlign w:val="center"/>
          </w:tcPr>
          <w:p w14:paraId="203243A6">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b/>
                <w:bCs/>
                <w:color w:val="auto"/>
                <w:sz w:val="18"/>
                <w:szCs w:val="18"/>
              </w:rPr>
            </w:pPr>
            <w:r>
              <w:rPr>
                <w:rFonts w:hint="eastAsia" w:ascii="宋体" w:eastAsia="宋体" w:cs="Times New Roman"/>
                <w:b/>
                <w:bCs/>
                <w:color w:val="auto"/>
                <w:sz w:val="18"/>
                <w:szCs w:val="18"/>
                <w:lang w:bidi="ar"/>
              </w:rPr>
              <w:t>去往</w:t>
            </w:r>
          </w:p>
        </w:tc>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14:paraId="4CBD1DB5">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b/>
                <w:bCs/>
                <w:color w:val="auto"/>
                <w:sz w:val="18"/>
                <w:szCs w:val="18"/>
              </w:rPr>
            </w:pPr>
            <w:r>
              <w:rPr>
                <w:rFonts w:hint="eastAsia" w:ascii="宋体" w:eastAsia="宋体" w:cs="Times New Roman"/>
                <w:b/>
                <w:bCs/>
                <w:color w:val="auto"/>
                <w:sz w:val="18"/>
                <w:szCs w:val="18"/>
                <w:lang w:bidi="ar"/>
              </w:rPr>
              <w:t>相态</w:t>
            </w:r>
          </w:p>
        </w:tc>
        <w:tc>
          <w:tcPr>
            <w:tcW w:w="1102" w:type="dxa"/>
            <w:tcBorders>
              <w:top w:val="single" w:color="auto" w:sz="4" w:space="0"/>
              <w:left w:val="single" w:color="auto" w:sz="4" w:space="0"/>
              <w:bottom w:val="single" w:color="auto" w:sz="4" w:space="0"/>
              <w:right w:val="single" w:color="auto" w:sz="4" w:space="0"/>
            </w:tcBorders>
            <w:shd w:val="clear" w:color="auto" w:fill="auto"/>
            <w:vAlign w:val="center"/>
          </w:tcPr>
          <w:p w14:paraId="6CCF8F31">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b/>
                <w:bCs/>
                <w:color w:val="auto"/>
                <w:sz w:val="18"/>
                <w:szCs w:val="18"/>
              </w:rPr>
            </w:pPr>
            <w:r>
              <w:rPr>
                <w:rFonts w:hint="eastAsia" w:ascii="宋体" w:eastAsia="宋体" w:cs="Times New Roman"/>
                <w:b/>
                <w:bCs/>
                <w:color w:val="auto"/>
                <w:sz w:val="18"/>
                <w:szCs w:val="18"/>
                <w:lang w:bidi="ar"/>
              </w:rPr>
              <w:t>输送量</w:t>
            </w:r>
          </w:p>
        </w:tc>
      </w:tr>
      <w:tr w14:paraId="317B6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9" w:type="dxa"/>
            <w:tcBorders>
              <w:top w:val="single" w:color="auto" w:sz="4" w:space="0"/>
              <w:left w:val="single" w:color="auto" w:sz="4" w:space="0"/>
              <w:bottom w:val="single" w:color="auto" w:sz="4" w:space="0"/>
              <w:right w:val="single" w:color="auto" w:sz="4" w:space="0"/>
            </w:tcBorders>
            <w:shd w:val="clear" w:color="auto" w:fill="auto"/>
            <w:vAlign w:val="center"/>
          </w:tcPr>
          <w:p w14:paraId="144693BA">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1</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2667A474">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氟硅酸</w:t>
            </w:r>
          </w:p>
        </w:tc>
        <w:tc>
          <w:tcPr>
            <w:tcW w:w="3013" w:type="dxa"/>
            <w:tcBorders>
              <w:top w:val="single" w:color="auto" w:sz="4" w:space="0"/>
              <w:left w:val="single" w:color="auto" w:sz="4" w:space="0"/>
              <w:bottom w:val="single" w:color="auto" w:sz="4" w:space="0"/>
              <w:right w:val="single" w:color="auto" w:sz="4" w:space="0"/>
            </w:tcBorders>
            <w:shd w:val="clear" w:color="auto" w:fill="auto"/>
            <w:vAlign w:val="center"/>
          </w:tcPr>
          <w:p w14:paraId="0C2BA546">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云南祥丰金麦化工有限公司磷酸装置氟硅酸槽</w:t>
            </w:r>
          </w:p>
        </w:tc>
        <w:tc>
          <w:tcPr>
            <w:tcW w:w="2649" w:type="dxa"/>
            <w:tcBorders>
              <w:top w:val="single" w:color="auto" w:sz="4" w:space="0"/>
              <w:left w:val="single" w:color="auto" w:sz="4" w:space="0"/>
              <w:bottom w:val="single" w:color="auto" w:sz="4" w:space="0"/>
              <w:right w:val="single" w:color="auto" w:sz="4" w:space="0"/>
            </w:tcBorders>
            <w:shd w:val="clear" w:color="auto" w:fill="auto"/>
            <w:vAlign w:val="center"/>
          </w:tcPr>
          <w:p w14:paraId="3AEA3294">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云南瓮福祥丰氟硅新材料有限公司AHF厂区2000m</w:t>
            </w:r>
            <w:r>
              <w:rPr>
                <w:rFonts w:hint="eastAsia" w:ascii="宋体" w:eastAsia="宋体" w:cs="Times New Roman"/>
                <w:color w:val="auto"/>
                <w:sz w:val="18"/>
                <w:szCs w:val="18"/>
                <w:vertAlign w:val="superscript"/>
                <w:lang w:bidi="ar"/>
              </w:rPr>
              <w:t>3</w:t>
            </w:r>
            <w:r>
              <w:rPr>
                <w:rFonts w:hint="eastAsia" w:ascii="宋体" w:eastAsia="宋体" w:cs="Times New Roman"/>
                <w:color w:val="auto"/>
                <w:sz w:val="18"/>
                <w:szCs w:val="18"/>
                <w:lang w:bidi="ar"/>
              </w:rPr>
              <w:t>氟硅酸槽</w:t>
            </w:r>
          </w:p>
        </w:tc>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14:paraId="4CF895D5">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液体</w:t>
            </w:r>
          </w:p>
        </w:tc>
        <w:tc>
          <w:tcPr>
            <w:tcW w:w="1102" w:type="dxa"/>
            <w:tcBorders>
              <w:top w:val="single" w:color="auto" w:sz="4" w:space="0"/>
              <w:left w:val="single" w:color="auto" w:sz="4" w:space="0"/>
              <w:bottom w:val="single" w:color="auto" w:sz="4" w:space="0"/>
              <w:right w:val="single" w:color="auto" w:sz="4" w:space="0"/>
            </w:tcBorders>
            <w:shd w:val="clear" w:color="auto" w:fill="auto"/>
            <w:vAlign w:val="center"/>
          </w:tcPr>
          <w:p w14:paraId="08A075A0">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28m</w:t>
            </w:r>
            <w:r>
              <w:rPr>
                <w:rFonts w:hint="eastAsia" w:ascii="宋体" w:eastAsia="宋体" w:cs="Times New Roman"/>
                <w:color w:val="auto"/>
                <w:sz w:val="18"/>
                <w:szCs w:val="18"/>
                <w:vertAlign w:val="superscript"/>
                <w:lang w:bidi="ar"/>
              </w:rPr>
              <w:t>3</w:t>
            </w:r>
            <w:r>
              <w:rPr>
                <w:rFonts w:hint="eastAsia" w:ascii="宋体" w:eastAsia="宋体" w:cs="Times New Roman"/>
                <w:color w:val="auto"/>
                <w:sz w:val="18"/>
                <w:szCs w:val="18"/>
                <w:lang w:bidi="ar"/>
              </w:rPr>
              <w:t>/h</w:t>
            </w:r>
          </w:p>
        </w:tc>
      </w:tr>
      <w:tr w14:paraId="1184E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9" w:type="dxa"/>
            <w:tcBorders>
              <w:top w:val="single" w:color="auto" w:sz="4" w:space="0"/>
              <w:left w:val="single" w:color="auto" w:sz="4" w:space="0"/>
              <w:bottom w:val="single" w:color="auto" w:sz="4" w:space="0"/>
              <w:right w:val="single" w:color="auto" w:sz="4" w:space="0"/>
            </w:tcBorders>
            <w:shd w:val="clear" w:color="auto" w:fill="auto"/>
            <w:vAlign w:val="center"/>
          </w:tcPr>
          <w:p w14:paraId="5D3A25F0">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2</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46FB8028">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氟硅酸</w:t>
            </w:r>
          </w:p>
        </w:tc>
        <w:tc>
          <w:tcPr>
            <w:tcW w:w="3013" w:type="dxa"/>
            <w:tcBorders>
              <w:top w:val="single" w:color="auto" w:sz="4" w:space="0"/>
              <w:left w:val="single" w:color="auto" w:sz="4" w:space="0"/>
              <w:bottom w:val="single" w:color="auto" w:sz="4" w:space="0"/>
              <w:right w:val="single" w:color="auto" w:sz="4" w:space="0"/>
            </w:tcBorders>
            <w:shd w:val="clear" w:color="auto" w:fill="auto"/>
            <w:vAlign w:val="center"/>
          </w:tcPr>
          <w:p w14:paraId="5E92C0C3">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云南祥丰金麦化工有限公司磷酸装置氟硅酸槽</w:t>
            </w:r>
          </w:p>
        </w:tc>
        <w:tc>
          <w:tcPr>
            <w:tcW w:w="2649" w:type="dxa"/>
            <w:tcBorders>
              <w:top w:val="single" w:color="auto" w:sz="4" w:space="0"/>
              <w:left w:val="single" w:color="auto" w:sz="4" w:space="0"/>
              <w:bottom w:val="single" w:color="auto" w:sz="4" w:space="0"/>
              <w:right w:val="single" w:color="auto" w:sz="4" w:space="0"/>
            </w:tcBorders>
            <w:shd w:val="clear" w:color="auto" w:fill="auto"/>
            <w:vAlign w:val="center"/>
          </w:tcPr>
          <w:p w14:paraId="043392CD">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云南瓮福祥丰氟硅新材料有限公司AHF厂区2000m</w:t>
            </w:r>
            <w:r>
              <w:rPr>
                <w:rFonts w:hint="eastAsia" w:ascii="宋体" w:eastAsia="宋体" w:cs="Times New Roman"/>
                <w:color w:val="auto"/>
                <w:sz w:val="18"/>
                <w:szCs w:val="18"/>
                <w:vertAlign w:val="superscript"/>
                <w:lang w:bidi="ar"/>
              </w:rPr>
              <w:t>3</w:t>
            </w:r>
            <w:r>
              <w:rPr>
                <w:rFonts w:hint="eastAsia" w:ascii="宋体" w:eastAsia="宋体" w:cs="Times New Roman"/>
                <w:color w:val="auto"/>
                <w:sz w:val="18"/>
                <w:szCs w:val="18"/>
                <w:lang w:bidi="ar"/>
              </w:rPr>
              <w:t>氟硅酸槽</w:t>
            </w:r>
          </w:p>
        </w:tc>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14:paraId="3F35E67E">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液体</w:t>
            </w:r>
          </w:p>
        </w:tc>
        <w:tc>
          <w:tcPr>
            <w:tcW w:w="1102" w:type="dxa"/>
            <w:tcBorders>
              <w:top w:val="single" w:color="auto" w:sz="4" w:space="0"/>
              <w:left w:val="single" w:color="auto" w:sz="4" w:space="0"/>
              <w:bottom w:val="single" w:color="auto" w:sz="4" w:space="0"/>
              <w:right w:val="single" w:color="auto" w:sz="4" w:space="0"/>
            </w:tcBorders>
            <w:shd w:val="clear" w:color="auto" w:fill="auto"/>
            <w:vAlign w:val="center"/>
          </w:tcPr>
          <w:p w14:paraId="6EED6979">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28m</w:t>
            </w:r>
            <w:r>
              <w:rPr>
                <w:rFonts w:hint="eastAsia" w:ascii="宋体" w:eastAsia="宋体" w:cs="Times New Roman"/>
                <w:color w:val="auto"/>
                <w:sz w:val="18"/>
                <w:szCs w:val="18"/>
                <w:vertAlign w:val="superscript"/>
                <w:lang w:bidi="ar"/>
              </w:rPr>
              <w:t>3</w:t>
            </w:r>
            <w:r>
              <w:rPr>
                <w:rFonts w:hint="eastAsia" w:ascii="宋体" w:eastAsia="宋体" w:cs="Times New Roman"/>
                <w:color w:val="auto"/>
                <w:sz w:val="18"/>
                <w:szCs w:val="18"/>
                <w:lang w:bidi="ar"/>
              </w:rPr>
              <w:t>/h</w:t>
            </w:r>
          </w:p>
        </w:tc>
      </w:tr>
      <w:tr w14:paraId="4500E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9" w:type="dxa"/>
            <w:tcBorders>
              <w:top w:val="single" w:color="auto" w:sz="4" w:space="0"/>
              <w:left w:val="single" w:color="auto" w:sz="4" w:space="0"/>
              <w:bottom w:val="single" w:color="auto" w:sz="4" w:space="0"/>
              <w:right w:val="single" w:color="auto" w:sz="4" w:space="0"/>
            </w:tcBorders>
            <w:shd w:val="clear" w:color="auto" w:fill="auto"/>
            <w:vAlign w:val="center"/>
          </w:tcPr>
          <w:p w14:paraId="0090C0B3">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3</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12C57AC3">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浓硫酸</w:t>
            </w:r>
          </w:p>
        </w:tc>
        <w:tc>
          <w:tcPr>
            <w:tcW w:w="3013" w:type="dxa"/>
            <w:tcBorders>
              <w:top w:val="single" w:color="auto" w:sz="4" w:space="0"/>
              <w:left w:val="single" w:color="auto" w:sz="4" w:space="0"/>
              <w:bottom w:val="single" w:color="auto" w:sz="4" w:space="0"/>
              <w:right w:val="single" w:color="auto" w:sz="4" w:space="0"/>
            </w:tcBorders>
            <w:shd w:val="clear" w:color="auto" w:fill="auto"/>
            <w:vAlign w:val="center"/>
          </w:tcPr>
          <w:p w14:paraId="5289FE68">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宋体" w:eastAsia="宋体" w:cs="Times New Roman"/>
                <w:color w:val="auto"/>
                <w:sz w:val="18"/>
                <w:szCs w:val="18"/>
                <w:lang w:val="en-US" w:eastAsia="zh-CN"/>
              </w:rPr>
            </w:pPr>
            <w:r>
              <w:rPr>
                <w:rFonts w:hint="eastAsia" w:ascii="宋体" w:eastAsia="宋体" w:cs="Times New Roman"/>
                <w:color w:val="auto"/>
                <w:sz w:val="18"/>
                <w:szCs w:val="18"/>
                <w:lang w:bidi="ar"/>
              </w:rPr>
              <w:t>云南祥丰金麦化工有限公司硫酸装置</w:t>
            </w:r>
            <w:r>
              <w:rPr>
                <w:rFonts w:hint="eastAsia" w:ascii="宋体" w:eastAsia="宋体" w:cs="Times New Roman"/>
                <w:color w:val="auto"/>
                <w:sz w:val="18"/>
                <w:szCs w:val="18"/>
                <w:lang w:val="en-US" w:eastAsia="zh-CN" w:bidi="ar"/>
              </w:rPr>
              <w:t>浓硫酸槽</w:t>
            </w:r>
          </w:p>
        </w:tc>
        <w:tc>
          <w:tcPr>
            <w:tcW w:w="2649" w:type="dxa"/>
            <w:tcBorders>
              <w:top w:val="single" w:color="auto" w:sz="4" w:space="0"/>
              <w:left w:val="single" w:color="auto" w:sz="4" w:space="0"/>
              <w:bottom w:val="single" w:color="auto" w:sz="4" w:space="0"/>
              <w:right w:val="single" w:color="auto" w:sz="4" w:space="0"/>
            </w:tcBorders>
            <w:shd w:val="clear" w:color="auto" w:fill="auto"/>
            <w:vAlign w:val="center"/>
          </w:tcPr>
          <w:p w14:paraId="1D1D215B">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云南瓮福祥丰氟硅新材料有限公司AHF厂区1000m</w:t>
            </w:r>
            <w:r>
              <w:rPr>
                <w:rFonts w:hint="eastAsia" w:ascii="宋体" w:eastAsia="宋体" w:cs="Times New Roman"/>
                <w:color w:val="auto"/>
                <w:sz w:val="18"/>
                <w:szCs w:val="18"/>
                <w:vertAlign w:val="superscript"/>
                <w:lang w:bidi="ar"/>
              </w:rPr>
              <w:t>3</w:t>
            </w:r>
            <w:r>
              <w:rPr>
                <w:rFonts w:hint="eastAsia" w:ascii="宋体" w:eastAsia="宋体" w:cs="Times New Roman"/>
                <w:color w:val="auto"/>
                <w:sz w:val="18"/>
                <w:szCs w:val="18"/>
                <w:lang w:bidi="ar"/>
              </w:rPr>
              <w:t>的浓硫酸槽</w:t>
            </w:r>
          </w:p>
        </w:tc>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14:paraId="269C31A5">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液体</w:t>
            </w:r>
          </w:p>
        </w:tc>
        <w:tc>
          <w:tcPr>
            <w:tcW w:w="1102" w:type="dxa"/>
            <w:tcBorders>
              <w:top w:val="single" w:color="auto" w:sz="4" w:space="0"/>
              <w:left w:val="single" w:color="auto" w:sz="4" w:space="0"/>
              <w:bottom w:val="single" w:color="auto" w:sz="4" w:space="0"/>
              <w:right w:val="single" w:color="auto" w:sz="4" w:space="0"/>
            </w:tcBorders>
            <w:shd w:val="clear" w:color="auto" w:fill="auto"/>
            <w:vAlign w:val="center"/>
          </w:tcPr>
          <w:p w14:paraId="7ECC8616">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67m</w:t>
            </w:r>
            <w:r>
              <w:rPr>
                <w:rFonts w:hint="eastAsia" w:ascii="宋体" w:eastAsia="宋体" w:cs="Times New Roman"/>
                <w:color w:val="auto"/>
                <w:sz w:val="18"/>
                <w:szCs w:val="18"/>
                <w:vertAlign w:val="superscript"/>
                <w:lang w:bidi="ar"/>
              </w:rPr>
              <w:t>3</w:t>
            </w:r>
            <w:r>
              <w:rPr>
                <w:rFonts w:hint="eastAsia" w:ascii="宋体" w:eastAsia="宋体" w:cs="Times New Roman"/>
                <w:color w:val="auto"/>
                <w:sz w:val="18"/>
                <w:szCs w:val="18"/>
                <w:lang w:bidi="ar"/>
              </w:rPr>
              <w:t>/h</w:t>
            </w:r>
          </w:p>
        </w:tc>
      </w:tr>
      <w:tr w14:paraId="57537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9" w:type="dxa"/>
            <w:tcBorders>
              <w:top w:val="single" w:color="auto" w:sz="4" w:space="0"/>
              <w:left w:val="single" w:color="auto" w:sz="4" w:space="0"/>
              <w:bottom w:val="single" w:color="auto" w:sz="4" w:space="0"/>
              <w:right w:val="single" w:color="auto" w:sz="4" w:space="0"/>
            </w:tcBorders>
            <w:shd w:val="clear" w:color="auto" w:fill="auto"/>
            <w:vAlign w:val="center"/>
          </w:tcPr>
          <w:p w14:paraId="70CBDD5A">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4</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5F8A3239">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再浆水</w:t>
            </w:r>
          </w:p>
        </w:tc>
        <w:tc>
          <w:tcPr>
            <w:tcW w:w="3013" w:type="dxa"/>
            <w:tcBorders>
              <w:top w:val="single" w:color="auto" w:sz="4" w:space="0"/>
              <w:left w:val="single" w:color="auto" w:sz="4" w:space="0"/>
              <w:bottom w:val="single" w:color="auto" w:sz="4" w:space="0"/>
              <w:right w:val="single" w:color="auto" w:sz="4" w:space="0"/>
            </w:tcBorders>
            <w:shd w:val="clear" w:color="auto" w:fill="auto"/>
            <w:vAlign w:val="center"/>
          </w:tcPr>
          <w:p w14:paraId="12A497C5">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宋体" w:eastAsia="宋体" w:cs="Times New Roman"/>
                <w:color w:val="auto"/>
                <w:sz w:val="18"/>
                <w:szCs w:val="18"/>
                <w:lang w:val="en-US" w:eastAsia="zh-CN"/>
              </w:rPr>
            </w:pPr>
            <w:r>
              <w:rPr>
                <w:rFonts w:hint="eastAsia" w:ascii="宋体" w:eastAsia="宋体" w:cs="Times New Roman"/>
                <w:color w:val="auto"/>
                <w:sz w:val="18"/>
                <w:szCs w:val="18"/>
                <w:lang w:bidi="ar"/>
              </w:rPr>
              <w:t>云南祥丰金麦化工有限公司磷酸装置管廊架（水处理厂北侧）</w:t>
            </w:r>
            <w:r>
              <w:rPr>
                <w:rFonts w:hint="eastAsia" w:ascii="宋体" w:eastAsia="宋体" w:cs="Times New Roman"/>
                <w:color w:val="auto"/>
                <w:sz w:val="18"/>
                <w:szCs w:val="18"/>
                <w:lang w:val="en-US" w:eastAsia="zh-CN" w:bidi="ar"/>
              </w:rPr>
              <w:t>渣浆水管</w:t>
            </w:r>
          </w:p>
        </w:tc>
        <w:tc>
          <w:tcPr>
            <w:tcW w:w="2649" w:type="dxa"/>
            <w:tcBorders>
              <w:top w:val="single" w:color="auto" w:sz="4" w:space="0"/>
              <w:left w:val="single" w:color="auto" w:sz="4" w:space="0"/>
              <w:bottom w:val="single" w:color="auto" w:sz="4" w:space="0"/>
              <w:right w:val="single" w:color="auto" w:sz="4" w:space="0"/>
            </w:tcBorders>
            <w:shd w:val="clear" w:color="auto" w:fill="auto"/>
            <w:vAlign w:val="center"/>
          </w:tcPr>
          <w:p w14:paraId="2B61FBAD">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云南瓮福祥丰氟硅新材料有限公司AHF厂区二氧化硅再浆槽</w:t>
            </w:r>
          </w:p>
        </w:tc>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14:paraId="3A23F566">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液体</w:t>
            </w:r>
          </w:p>
        </w:tc>
        <w:tc>
          <w:tcPr>
            <w:tcW w:w="1102" w:type="dxa"/>
            <w:tcBorders>
              <w:top w:val="single" w:color="auto" w:sz="4" w:space="0"/>
              <w:left w:val="single" w:color="auto" w:sz="4" w:space="0"/>
              <w:bottom w:val="single" w:color="auto" w:sz="4" w:space="0"/>
              <w:right w:val="single" w:color="auto" w:sz="4" w:space="0"/>
            </w:tcBorders>
            <w:shd w:val="clear" w:color="auto" w:fill="auto"/>
            <w:vAlign w:val="center"/>
          </w:tcPr>
          <w:p w14:paraId="35357252">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10m</w:t>
            </w:r>
            <w:r>
              <w:rPr>
                <w:rFonts w:hint="eastAsia" w:ascii="宋体" w:eastAsia="宋体" w:cs="Times New Roman"/>
                <w:color w:val="auto"/>
                <w:sz w:val="18"/>
                <w:szCs w:val="18"/>
                <w:vertAlign w:val="superscript"/>
                <w:lang w:bidi="ar"/>
              </w:rPr>
              <w:t>3</w:t>
            </w:r>
            <w:r>
              <w:rPr>
                <w:rFonts w:hint="eastAsia" w:ascii="宋体" w:eastAsia="宋体" w:cs="Times New Roman"/>
                <w:color w:val="auto"/>
                <w:sz w:val="18"/>
                <w:szCs w:val="18"/>
                <w:lang w:bidi="ar"/>
              </w:rPr>
              <w:t>/h</w:t>
            </w:r>
          </w:p>
        </w:tc>
      </w:tr>
      <w:tr w14:paraId="3B73A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9" w:type="dxa"/>
            <w:tcBorders>
              <w:top w:val="single" w:color="auto" w:sz="4" w:space="0"/>
              <w:left w:val="single" w:color="auto" w:sz="4" w:space="0"/>
              <w:bottom w:val="single" w:color="auto" w:sz="4" w:space="0"/>
              <w:right w:val="single" w:color="auto" w:sz="4" w:space="0"/>
            </w:tcBorders>
            <w:shd w:val="clear" w:color="auto" w:fill="auto"/>
            <w:vAlign w:val="center"/>
          </w:tcPr>
          <w:p w14:paraId="248EECB4">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5</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3F99F8CA">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脱盐水</w:t>
            </w:r>
          </w:p>
        </w:tc>
        <w:tc>
          <w:tcPr>
            <w:tcW w:w="3013" w:type="dxa"/>
            <w:tcBorders>
              <w:top w:val="single" w:color="auto" w:sz="4" w:space="0"/>
              <w:left w:val="single" w:color="auto" w:sz="4" w:space="0"/>
              <w:bottom w:val="single" w:color="auto" w:sz="4" w:space="0"/>
              <w:right w:val="single" w:color="auto" w:sz="4" w:space="0"/>
            </w:tcBorders>
            <w:shd w:val="clear" w:color="auto" w:fill="auto"/>
            <w:vAlign w:val="center"/>
          </w:tcPr>
          <w:p w14:paraId="4FF493FF">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宋体" w:eastAsia="宋体" w:cs="Times New Roman"/>
                <w:color w:val="auto"/>
                <w:sz w:val="18"/>
                <w:szCs w:val="18"/>
                <w:lang w:val="en-US" w:eastAsia="zh-CN"/>
              </w:rPr>
            </w:pPr>
            <w:bookmarkStart w:id="138" w:name="_Hlk154046859"/>
            <w:r>
              <w:rPr>
                <w:rFonts w:hint="eastAsia" w:ascii="宋体" w:eastAsia="宋体" w:cs="Times New Roman"/>
                <w:color w:val="auto"/>
                <w:sz w:val="18"/>
                <w:szCs w:val="18"/>
                <w:lang w:bidi="ar"/>
              </w:rPr>
              <w:t>云南祥丰石化有限公司氨罐区东角</w:t>
            </w:r>
            <w:bookmarkEnd w:id="138"/>
            <w:r>
              <w:rPr>
                <w:rFonts w:hint="eastAsia" w:ascii="宋体" w:eastAsia="宋体" w:cs="Times New Roman"/>
                <w:color w:val="auto"/>
                <w:sz w:val="18"/>
                <w:szCs w:val="18"/>
                <w:lang w:val="en-US" w:eastAsia="zh-CN" w:bidi="ar"/>
              </w:rPr>
              <w:t>脱盐水管道</w:t>
            </w:r>
          </w:p>
        </w:tc>
        <w:tc>
          <w:tcPr>
            <w:tcW w:w="2649" w:type="dxa"/>
            <w:tcBorders>
              <w:top w:val="single" w:color="auto" w:sz="4" w:space="0"/>
              <w:left w:val="single" w:color="auto" w:sz="4" w:space="0"/>
              <w:bottom w:val="single" w:color="auto" w:sz="4" w:space="0"/>
              <w:right w:val="single" w:color="auto" w:sz="4" w:space="0"/>
            </w:tcBorders>
            <w:shd w:val="clear" w:color="auto" w:fill="auto"/>
            <w:vAlign w:val="center"/>
          </w:tcPr>
          <w:p w14:paraId="272369FA">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云南瓮福祥丰氟硅新材料有限公司AHF厂区脱盐水槽</w:t>
            </w:r>
          </w:p>
        </w:tc>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14:paraId="1B74E685">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液体</w:t>
            </w:r>
          </w:p>
        </w:tc>
        <w:tc>
          <w:tcPr>
            <w:tcW w:w="1102" w:type="dxa"/>
            <w:tcBorders>
              <w:top w:val="single" w:color="auto" w:sz="4" w:space="0"/>
              <w:left w:val="single" w:color="auto" w:sz="4" w:space="0"/>
              <w:bottom w:val="single" w:color="auto" w:sz="4" w:space="0"/>
              <w:right w:val="single" w:color="auto" w:sz="4" w:space="0"/>
            </w:tcBorders>
            <w:shd w:val="clear" w:color="auto" w:fill="auto"/>
            <w:vAlign w:val="center"/>
          </w:tcPr>
          <w:p w14:paraId="682F48D2">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0.3t/h</w:t>
            </w:r>
          </w:p>
        </w:tc>
      </w:tr>
      <w:tr w14:paraId="2B111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9" w:type="dxa"/>
            <w:tcBorders>
              <w:top w:val="single" w:color="auto" w:sz="4" w:space="0"/>
              <w:left w:val="single" w:color="auto" w:sz="4" w:space="0"/>
              <w:bottom w:val="single" w:color="auto" w:sz="4" w:space="0"/>
              <w:right w:val="single" w:color="auto" w:sz="4" w:space="0"/>
            </w:tcBorders>
            <w:shd w:val="clear" w:color="auto" w:fill="auto"/>
            <w:vAlign w:val="center"/>
          </w:tcPr>
          <w:p w14:paraId="3B72AC9F">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6</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6545BEFC">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饱和蒸汽</w:t>
            </w:r>
          </w:p>
        </w:tc>
        <w:tc>
          <w:tcPr>
            <w:tcW w:w="3013" w:type="dxa"/>
            <w:tcBorders>
              <w:top w:val="single" w:color="auto" w:sz="4" w:space="0"/>
              <w:left w:val="single" w:color="auto" w:sz="4" w:space="0"/>
              <w:bottom w:val="single" w:color="auto" w:sz="4" w:space="0"/>
              <w:right w:val="single" w:color="auto" w:sz="4" w:space="0"/>
            </w:tcBorders>
            <w:shd w:val="clear" w:color="auto" w:fill="auto"/>
            <w:vAlign w:val="center"/>
          </w:tcPr>
          <w:p w14:paraId="3B46EF15">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宋体" w:eastAsia="宋体" w:cs="Times New Roman"/>
                <w:color w:val="auto"/>
                <w:sz w:val="18"/>
                <w:szCs w:val="18"/>
                <w:lang w:val="en-US" w:eastAsia="zh-CN"/>
              </w:rPr>
            </w:pPr>
            <w:bookmarkStart w:id="139" w:name="_Hlk154046908"/>
            <w:r>
              <w:rPr>
                <w:rFonts w:hint="eastAsia" w:ascii="宋体" w:eastAsia="宋体" w:cs="Times New Roman"/>
                <w:color w:val="auto"/>
                <w:sz w:val="18"/>
                <w:szCs w:val="18"/>
                <w:lang w:bidi="ar"/>
              </w:rPr>
              <w:t>云南祥丰石化有限公司合成氨装置西南侧</w:t>
            </w:r>
            <w:bookmarkEnd w:id="139"/>
            <w:r>
              <w:rPr>
                <w:rFonts w:hint="eastAsia" w:ascii="宋体" w:eastAsia="宋体" w:cs="Times New Roman"/>
                <w:color w:val="auto"/>
                <w:sz w:val="18"/>
                <w:szCs w:val="18"/>
                <w:lang w:val="en-US" w:eastAsia="zh-CN" w:bidi="ar"/>
              </w:rPr>
              <w:t>饱和蒸汽管道</w:t>
            </w:r>
          </w:p>
        </w:tc>
        <w:tc>
          <w:tcPr>
            <w:tcW w:w="2649" w:type="dxa"/>
            <w:tcBorders>
              <w:top w:val="single" w:color="auto" w:sz="4" w:space="0"/>
              <w:left w:val="single" w:color="auto" w:sz="4" w:space="0"/>
              <w:bottom w:val="single" w:color="auto" w:sz="4" w:space="0"/>
              <w:right w:val="single" w:color="auto" w:sz="4" w:space="0"/>
            </w:tcBorders>
            <w:shd w:val="clear" w:color="auto" w:fill="auto"/>
            <w:vAlign w:val="center"/>
          </w:tcPr>
          <w:p w14:paraId="7BE6BA6C">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云南瓮福祥丰氟硅新材料有限公司AHF厂区HF再沸器及汽提塔</w:t>
            </w:r>
          </w:p>
        </w:tc>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14:paraId="624CDC73">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液体</w:t>
            </w:r>
          </w:p>
        </w:tc>
        <w:tc>
          <w:tcPr>
            <w:tcW w:w="1102" w:type="dxa"/>
            <w:tcBorders>
              <w:top w:val="single" w:color="auto" w:sz="4" w:space="0"/>
              <w:left w:val="single" w:color="auto" w:sz="4" w:space="0"/>
              <w:bottom w:val="single" w:color="auto" w:sz="4" w:space="0"/>
              <w:right w:val="single" w:color="auto" w:sz="4" w:space="0"/>
            </w:tcBorders>
            <w:shd w:val="clear" w:color="auto" w:fill="auto"/>
            <w:vAlign w:val="center"/>
          </w:tcPr>
          <w:p w14:paraId="474E4F37">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18t/h</w:t>
            </w:r>
          </w:p>
        </w:tc>
      </w:tr>
      <w:tr w14:paraId="36043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9" w:type="dxa"/>
            <w:tcBorders>
              <w:top w:val="single" w:color="auto" w:sz="4" w:space="0"/>
              <w:left w:val="single" w:color="auto" w:sz="4" w:space="0"/>
              <w:bottom w:val="single" w:color="auto" w:sz="4" w:space="0"/>
              <w:right w:val="single" w:color="auto" w:sz="4" w:space="0"/>
            </w:tcBorders>
            <w:shd w:val="clear" w:color="auto" w:fill="auto"/>
            <w:vAlign w:val="center"/>
          </w:tcPr>
          <w:p w14:paraId="1EE99FA5">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7</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47A49996">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工艺水</w:t>
            </w:r>
          </w:p>
        </w:tc>
        <w:tc>
          <w:tcPr>
            <w:tcW w:w="3013" w:type="dxa"/>
            <w:tcBorders>
              <w:top w:val="single" w:color="auto" w:sz="4" w:space="0"/>
              <w:left w:val="single" w:color="auto" w:sz="4" w:space="0"/>
              <w:bottom w:val="single" w:color="auto" w:sz="4" w:space="0"/>
              <w:right w:val="single" w:color="auto" w:sz="4" w:space="0"/>
            </w:tcBorders>
            <w:shd w:val="clear" w:color="auto" w:fill="auto"/>
            <w:vAlign w:val="center"/>
          </w:tcPr>
          <w:p w14:paraId="6CB4C7FD">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宋体" w:eastAsia="宋体" w:cs="Times New Roman"/>
                <w:color w:val="auto"/>
                <w:sz w:val="18"/>
                <w:szCs w:val="18"/>
                <w:lang w:val="en-US" w:eastAsia="zh-CN"/>
              </w:rPr>
            </w:pPr>
            <w:r>
              <w:rPr>
                <w:rFonts w:hint="eastAsia" w:ascii="宋体" w:eastAsia="宋体" w:cs="Times New Roman"/>
                <w:color w:val="auto"/>
                <w:sz w:val="18"/>
                <w:szCs w:val="18"/>
                <w:lang w:bidi="ar"/>
              </w:rPr>
              <w:t>云南祥丰石化有限公司合成氨装置东北侧（祥丰石化循环水池右后侧）</w:t>
            </w:r>
            <w:r>
              <w:rPr>
                <w:rFonts w:hint="eastAsia" w:ascii="宋体" w:eastAsia="宋体" w:cs="Times New Roman"/>
                <w:color w:val="auto"/>
                <w:sz w:val="18"/>
                <w:szCs w:val="18"/>
                <w:lang w:val="en-US" w:eastAsia="zh-CN" w:bidi="ar"/>
              </w:rPr>
              <w:t>工艺水管道</w:t>
            </w:r>
          </w:p>
        </w:tc>
        <w:tc>
          <w:tcPr>
            <w:tcW w:w="2649" w:type="dxa"/>
            <w:tcBorders>
              <w:top w:val="single" w:color="auto" w:sz="4" w:space="0"/>
              <w:left w:val="single" w:color="auto" w:sz="4" w:space="0"/>
              <w:bottom w:val="single" w:color="auto" w:sz="4" w:space="0"/>
              <w:right w:val="single" w:color="auto" w:sz="4" w:space="0"/>
            </w:tcBorders>
            <w:shd w:val="clear" w:color="auto" w:fill="auto"/>
            <w:vAlign w:val="center"/>
          </w:tcPr>
          <w:p w14:paraId="145CE50E">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eastAsia="宋体" w:cs="Times New Roman"/>
                <w:color w:val="auto"/>
                <w:sz w:val="18"/>
                <w:szCs w:val="18"/>
                <w:lang w:val="en-US" w:eastAsia="zh-CN"/>
              </w:rPr>
            </w:pPr>
            <w:r>
              <w:rPr>
                <w:rFonts w:hint="eastAsia" w:ascii="宋体" w:eastAsia="宋体" w:cs="Times New Roman"/>
                <w:color w:val="auto"/>
                <w:sz w:val="18"/>
                <w:szCs w:val="18"/>
                <w:lang w:bidi="ar"/>
              </w:rPr>
              <w:t>云南瓮福祥丰氟硅新材料有限公司AHF厂区循环水池及机封水使用</w:t>
            </w:r>
            <w:r>
              <w:rPr>
                <w:rFonts w:hint="eastAsia" w:ascii="宋体" w:eastAsia="宋体" w:cs="Times New Roman"/>
                <w:color w:val="auto"/>
                <w:sz w:val="18"/>
                <w:szCs w:val="18"/>
                <w:lang w:val="en-US" w:eastAsia="zh-CN" w:bidi="ar"/>
              </w:rPr>
              <w:t>管道</w:t>
            </w:r>
          </w:p>
        </w:tc>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14:paraId="652E6EE4">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液体</w:t>
            </w:r>
          </w:p>
        </w:tc>
        <w:tc>
          <w:tcPr>
            <w:tcW w:w="1102" w:type="dxa"/>
            <w:tcBorders>
              <w:top w:val="single" w:color="auto" w:sz="4" w:space="0"/>
              <w:left w:val="single" w:color="auto" w:sz="4" w:space="0"/>
              <w:bottom w:val="single" w:color="auto" w:sz="4" w:space="0"/>
              <w:right w:val="single" w:color="auto" w:sz="4" w:space="0"/>
            </w:tcBorders>
            <w:shd w:val="clear" w:color="auto" w:fill="auto"/>
            <w:vAlign w:val="center"/>
          </w:tcPr>
          <w:p w14:paraId="7A7D2995">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17m</w:t>
            </w:r>
            <w:r>
              <w:rPr>
                <w:rFonts w:hint="eastAsia" w:ascii="宋体" w:eastAsia="宋体" w:cs="Times New Roman"/>
                <w:color w:val="auto"/>
                <w:sz w:val="18"/>
                <w:szCs w:val="18"/>
                <w:vertAlign w:val="superscript"/>
                <w:lang w:bidi="ar"/>
              </w:rPr>
              <w:t>3</w:t>
            </w:r>
            <w:r>
              <w:rPr>
                <w:rFonts w:hint="eastAsia" w:ascii="宋体" w:eastAsia="宋体" w:cs="Times New Roman"/>
                <w:color w:val="auto"/>
                <w:sz w:val="18"/>
                <w:szCs w:val="18"/>
                <w:lang w:bidi="ar"/>
              </w:rPr>
              <w:t>/h</w:t>
            </w:r>
          </w:p>
        </w:tc>
      </w:tr>
      <w:tr w14:paraId="47F04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9" w:type="dxa"/>
            <w:tcBorders>
              <w:top w:val="single" w:color="auto" w:sz="4" w:space="0"/>
              <w:left w:val="single" w:color="auto" w:sz="4" w:space="0"/>
              <w:bottom w:val="single" w:color="auto" w:sz="4" w:space="0"/>
              <w:right w:val="single" w:color="auto" w:sz="4" w:space="0"/>
            </w:tcBorders>
            <w:shd w:val="clear" w:color="auto" w:fill="auto"/>
            <w:vAlign w:val="center"/>
          </w:tcPr>
          <w:p w14:paraId="4F163CB5">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8</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0C96A117">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生活水</w:t>
            </w:r>
          </w:p>
        </w:tc>
        <w:tc>
          <w:tcPr>
            <w:tcW w:w="3013" w:type="dxa"/>
            <w:tcBorders>
              <w:top w:val="single" w:color="auto" w:sz="4" w:space="0"/>
              <w:left w:val="single" w:color="auto" w:sz="4" w:space="0"/>
              <w:bottom w:val="single" w:color="auto" w:sz="4" w:space="0"/>
              <w:right w:val="single" w:color="auto" w:sz="4" w:space="0"/>
            </w:tcBorders>
            <w:shd w:val="clear" w:color="auto" w:fill="auto"/>
            <w:vAlign w:val="center"/>
          </w:tcPr>
          <w:p w14:paraId="1FCEA9E6">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宋体" w:eastAsia="宋体" w:cs="Times New Roman"/>
                <w:color w:val="auto"/>
                <w:sz w:val="18"/>
                <w:szCs w:val="18"/>
                <w:lang w:val="en-US" w:eastAsia="zh-CN"/>
              </w:rPr>
            </w:pPr>
            <w:r>
              <w:rPr>
                <w:rFonts w:hint="eastAsia" w:ascii="宋体" w:eastAsia="宋体" w:cs="Times New Roman"/>
                <w:color w:val="auto"/>
                <w:sz w:val="18"/>
                <w:szCs w:val="18"/>
                <w:lang w:bidi="ar"/>
              </w:rPr>
              <w:t>云南祥丰石化有限公司</w:t>
            </w:r>
            <w:r>
              <w:rPr>
                <w:rFonts w:hint="eastAsia" w:ascii="宋体" w:eastAsia="宋体" w:cs="Times New Roman"/>
                <w:color w:val="auto"/>
                <w:sz w:val="18"/>
                <w:szCs w:val="18"/>
                <w:lang w:eastAsia="zh-CN" w:bidi="ar"/>
              </w:rPr>
              <w:t>（</w:t>
            </w:r>
            <w:r>
              <w:rPr>
                <w:rFonts w:hint="eastAsia" w:ascii="宋体" w:eastAsia="宋体" w:cs="Times New Roman"/>
                <w:color w:val="auto"/>
                <w:sz w:val="18"/>
                <w:szCs w:val="18"/>
                <w:lang w:bidi="ar"/>
              </w:rPr>
              <w:t>祥丰石化消防站门口涵洞处</w:t>
            </w:r>
            <w:r>
              <w:rPr>
                <w:rFonts w:hint="eastAsia" w:ascii="宋体" w:eastAsia="宋体" w:cs="Times New Roman"/>
                <w:color w:val="auto"/>
                <w:sz w:val="18"/>
                <w:szCs w:val="18"/>
                <w:lang w:eastAsia="zh-CN" w:bidi="ar"/>
              </w:rPr>
              <w:t>）</w:t>
            </w:r>
            <w:r>
              <w:rPr>
                <w:rFonts w:hint="eastAsia" w:ascii="宋体" w:eastAsia="宋体" w:cs="Times New Roman"/>
                <w:color w:val="auto"/>
                <w:sz w:val="18"/>
                <w:szCs w:val="18"/>
                <w:lang w:val="en-US" w:eastAsia="zh-CN" w:bidi="ar"/>
              </w:rPr>
              <w:t>生活水管道</w:t>
            </w:r>
          </w:p>
        </w:tc>
        <w:tc>
          <w:tcPr>
            <w:tcW w:w="2649" w:type="dxa"/>
            <w:tcBorders>
              <w:top w:val="single" w:color="auto" w:sz="4" w:space="0"/>
              <w:left w:val="single" w:color="auto" w:sz="4" w:space="0"/>
              <w:bottom w:val="single" w:color="auto" w:sz="4" w:space="0"/>
              <w:right w:val="single" w:color="auto" w:sz="4" w:space="0"/>
            </w:tcBorders>
            <w:shd w:val="clear" w:color="auto" w:fill="auto"/>
            <w:vAlign w:val="center"/>
          </w:tcPr>
          <w:p w14:paraId="388769D7">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云南瓮福祥丰氟硅新材料有限公司AHF厂区生活水槽</w:t>
            </w:r>
          </w:p>
        </w:tc>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14:paraId="5B27A25F">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液体</w:t>
            </w:r>
          </w:p>
        </w:tc>
        <w:tc>
          <w:tcPr>
            <w:tcW w:w="1102" w:type="dxa"/>
            <w:tcBorders>
              <w:top w:val="single" w:color="auto" w:sz="4" w:space="0"/>
              <w:left w:val="single" w:color="auto" w:sz="4" w:space="0"/>
              <w:bottom w:val="single" w:color="auto" w:sz="4" w:space="0"/>
              <w:right w:val="single" w:color="auto" w:sz="4" w:space="0"/>
            </w:tcBorders>
            <w:shd w:val="clear" w:color="auto" w:fill="auto"/>
            <w:vAlign w:val="center"/>
          </w:tcPr>
          <w:p w14:paraId="086D7E3E">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1m</w:t>
            </w:r>
            <w:r>
              <w:rPr>
                <w:rFonts w:hint="eastAsia" w:ascii="宋体" w:eastAsia="宋体" w:cs="Times New Roman"/>
                <w:color w:val="auto"/>
                <w:sz w:val="18"/>
                <w:szCs w:val="18"/>
                <w:vertAlign w:val="superscript"/>
                <w:lang w:bidi="ar"/>
              </w:rPr>
              <w:t>3</w:t>
            </w:r>
            <w:r>
              <w:rPr>
                <w:rFonts w:hint="eastAsia" w:ascii="宋体" w:eastAsia="宋体" w:cs="Times New Roman"/>
                <w:color w:val="auto"/>
                <w:sz w:val="18"/>
                <w:szCs w:val="18"/>
                <w:lang w:bidi="ar"/>
              </w:rPr>
              <w:t>/h</w:t>
            </w:r>
          </w:p>
        </w:tc>
      </w:tr>
      <w:tr w14:paraId="2830D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9" w:type="dxa"/>
            <w:tcBorders>
              <w:top w:val="single" w:color="auto" w:sz="4" w:space="0"/>
              <w:left w:val="single" w:color="auto" w:sz="4" w:space="0"/>
              <w:bottom w:val="single" w:color="auto" w:sz="4" w:space="0"/>
              <w:right w:val="single" w:color="auto" w:sz="4" w:space="0"/>
            </w:tcBorders>
            <w:shd w:val="clear" w:color="auto" w:fill="auto"/>
            <w:vAlign w:val="center"/>
          </w:tcPr>
          <w:p w14:paraId="4BC0EA7A">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9</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02FD8E9F">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消防水</w:t>
            </w:r>
          </w:p>
        </w:tc>
        <w:tc>
          <w:tcPr>
            <w:tcW w:w="3013" w:type="dxa"/>
            <w:tcBorders>
              <w:top w:val="single" w:color="auto" w:sz="4" w:space="0"/>
              <w:left w:val="single" w:color="auto" w:sz="4" w:space="0"/>
              <w:bottom w:val="single" w:color="auto" w:sz="4" w:space="0"/>
              <w:right w:val="single" w:color="auto" w:sz="4" w:space="0"/>
            </w:tcBorders>
            <w:shd w:val="clear" w:color="auto" w:fill="auto"/>
            <w:vAlign w:val="center"/>
          </w:tcPr>
          <w:p w14:paraId="3F1EE08C">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宋体" w:eastAsia="宋体" w:cs="Times New Roman"/>
                <w:color w:val="auto"/>
                <w:sz w:val="18"/>
                <w:szCs w:val="18"/>
                <w:lang w:val="en-US" w:eastAsia="zh-CN"/>
              </w:rPr>
            </w:pPr>
            <w:bookmarkStart w:id="140" w:name="_Hlk154047063"/>
            <w:r>
              <w:rPr>
                <w:rFonts w:hint="eastAsia" w:ascii="宋体" w:eastAsia="宋体" w:cs="Times New Roman"/>
                <w:color w:val="auto"/>
                <w:sz w:val="18"/>
                <w:szCs w:val="18"/>
                <w:lang w:bidi="ar"/>
              </w:rPr>
              <w:t>云南祥丰石化有限公司</w:t>
            </w:r>
            <w:bookmarkEnd w:id="140"/>
            <w:r>
              <w:rPr>
                <w:rFonts w:hint="eastAsia" w:ascii="宋体" w:eastAsia="宋体" w:cs="Times New Roman"/>
                <w:color w:val="auto"/>
                <w:sz w:val="18"/>
                <w:szCs w:val="18"/>
                <w:lang w:bidi="ar"/>
              </w:rPr>
              <w:t>仓库区北侧</w:t>
            </w:r>
            <w:r>
              <w:rPr>
                <w:rFonts w:hint="eastAsia" w:ascii="宋体" w:eastAsia="宋体" w:cs="Times New Roman"/>
                <w:color w:val="auto"/>
                <w:sz w:val="18"/>
                <w:szCs w:val="18"/>
                <w:lang w:val="en-US" w:eastAsia="zh-CN" w:bidi="ar"/>
              </w:rPr>
              <w:t>消防水管道</w:t>
            </w:r>
          </w:p>
        </w:tc>
        <w:tc>
          <w:tcPr>
            <w:tcW w:w="2649" w:type="dxa"/>
            <w:tcBorders>
              <w:top w:val="single" w:color="auto" w:sz="4" w:space="0"/>
              <w:left w:val="single" w:color="auto" w:sz="4" w:space="0"/>
              <w:bottom w:val="single" w:color="auto" w:sz="4" w:space="0"/>
              <w:right w:val="single" w:color="auto" w:sz="4" w:space="0"/>
            </w:tcBorders>
            <w:shd w:val="clear" w:color="auto" w:fill="auto"/>
            <w:vAlign w:val="center"/>
          </w:tcPr>
          <w:p w14:paraId="65BD4698">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宋体" w:eastAsia="宋体" w:cs="Times New Roman"/>
                <w:color w:val="auto"/>
                <w:sz w:val="18"/>
                <w:szCs w:val="18"/>
                <w:lang w:val="en-US" w:eastAsia="zh-CN"/>
              </w:rPr>
            </w:pPr>
            <w:r>
              <w:rPr>
                <w:rFonts w:hint="eastAsia" w:ascii="宋体" w:eastAsia="宋体" w:cs="Times New Roman"/>
                <w:color w:val="auto"/>
                <w:sz w:val="18"/>
                <w:szCs w:val="18"/>
                <w:lang w:bidi="ar"/>
              </w:rPr>
              <w:t>云南瓮福祥丰氟硅新材料有限公司AHF厂区</w:t>
            </w:r>
            <w:r>
              <w:rPr>
                <w:rFonts w:hint="eastAsia" w:ascii="宋体" w:eastAsia="宋体" w:cs="Times New Roman"/>
                <w:color w:val="auto"/>
                <w:sz w:val="18"/>
                <w:szCs w:val="18"/>
                <w:lang w:val="en-US" w:eastAsia="zh-CN" w:bidi="ar"/>
              </w:rPr>
              <w:t>消防栓</w:t>
            </w:r>
          </w:p>
        </w:tc>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14:paraId="7669E3F4">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液体</w:t>
            </w:r>
          </w:p>
        </w:tc>
        <w:tc>
          <w:tcPr>
            <w:tcW w:w="1102" w:type="dxa"/>
            <w:tcBorders>
              <w:top w:val="single" w:color="auto" w:sz="4" w:space="0"/>
              <w:left w:val="single" w:color="auto" w:sz="4" w:space="0"/>
              <w:bottom w:val="single" w:color="auto" w:sz="4" w:space="0"/>
              <w:right w:val="single" w:color="auto" w:sz="4" w:space="0"/>
            </w:tcBorders>
            <w:shd w:val="clear" w:color="auto" w:fill="auto"/>
            <w:vAlign w:val="center"/>
          </w:tcPr>
          <w:p w14:paraId="5A1D1B25">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w:t>
            </w:r>
          </w:p>
        </w:tc>
      </w:tr>
      <w:tr w14:paraId="2BFFE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9" w:type="dxa"/>
            <w:tcBorders>
              <w:top w:val="single" w:color="auto" w:sz="4" w:space="0"/>
              <w:left w:val="single" w:color="auto" w:sz="4" w:space="0"/>
              <w:bottom w:val="single" w:color="auto" w:sz="4" w:space="0"/>
              <w:right w:val="single" w:color="auto" w:sz="4" w:space="0"/>
            </w:tcBorders>
            <w:shd w:val="clear" w:color="auto" w:fill="auto"/>
            <w:vAlign w:val="center"/>
          </w:tcPr>
          <w:p w14:paraId="599B7B34">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10</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6E82F337">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消防水</w:t>
            </w:r>
          </w:p>
        </w:tc>
        <w:tc>
          <w:tcPr>
            <w:tcW w:w="3013" w:type="dxa"/>
            <w:tcBorders>
              <w:top w:val="single" w:color="auto" w:sz="4" w:space="0"/>
              <w:left w:val="single" w:color="auto" w:sz="4" w:space="0"/>
              <w:bottom w:val="single" w:color="auto" w:sz="4" w:space="0"/>
              <w:right w:val="single" w:color="auto" w:sz="4" w:space="0"/>
            </w:tcBorders>
            <w:shd w:val="clear" w:color="auto" w:fill="auto"/>
            <w:vAlign w:val="center"/>
          </w:tcPr>
          <w:p w14:paraId="301CBC09">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宋体" w:eastAsia="宋体" w:cs="Times New Roman"/>
                <w:color w:val="auto"/>
                <w:sz w:val="18"/>
                <w:szCs w:val="18"/>
                <w:lang w:val="en-US" w:eastAsia="zh-CN"/>
              </w:rPr>
            </w:pPr>
            <w:r>
              <w:rPr>
                <w:rFonts w:hint="eastAsia" w:ascii="宋体" w:eastAsia="宋体" w:cs="Times New Roman"/>
                <w:color w:val="auto"/>
                <w:sz w:val="18"/>
                <w:szCs w:val="18"/>
                <w:lang w:bidi="ar"/>
              </w:rPr>
              <w:t>云南祥丰石化有限公司氨罐区</w:t>
            </w:r>
            <w:r>
              <w:rPr>
                <w:rFonts w:hint="eastAsia" w:ascii="宋体" w:eastAsia="宋体" w:cs="Times New Roman"/>
                <w:color w:val="auto"/>
                <w:sz w:val="18"/>
                <w:szCs w:val="18"/>
                <w:lang w:val="en-US" w:eastAsia="zh-CN" w:bidi="ar"/>
              </w:rPr>
              <w:t>消防水管道</w:t>
            </w:r>
          </w:p>
        </w:tc>
        <w:tc>
          <w:tcPr>
            <w:tcW w:w="2649" w:type="dxa"/>
            <w:tcBorders>
              <w:top w:val="single" w:color="auto" w:sz="4" w:space="0"/>
              <w:left w:val="single" w:color="auto" w:sz="4" w:space="0"/>
              <w:bottom w:val="single" w:color="auto" w:sz="4" w:space="0"/>
              <w:right w:val="single" w:color="auto" w:sz="4" w:space="0"/>
            </w:tcBorders>
            <w:shd w:val="clear" w:color="auto" w:fill="auto"/>
            <w:vAlign w:val="center"/>
          </w:tcPr>
          <w:p w14:paraId="59CC2094">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eastAsia="宋体" w:cs="Times New Roman"/>
                <w:color w:val="auto"/>
                <w:sz w:val="18"/>
                <w:szCs w:val="18"/>
                <w:lang w:val="en-US" w:eastAsia="zh-CN"/>
              </w:rPr>
            </w:pPr>
            <w:r>
              <w:rPr>
                <w:rFonts w:hint="eastAsia" w:ascii="宋体" w:eastAsia="宋体" w:cs="Times New Roman"/>
                <w:color w:val="auto"/>
                <w:sz w:val="18"/>
                <w:szCs w:val="18"/>
                <w:lang w:bidi="ar"/>
              </w:rPr>
              <w:t>云南瓮福祥丰氟硅新材料有限公司AHF厂区</w:t>
            </w:r>
            <w:r>
              <w:rPr>
                <w:rFonts w:hint="eastAsia" w:ascii="宋体" w:eastAsia="宋体" w:cs="Times New Roman"/>
                <w:color w:val="auto"/>
                <w:sz w:val="18"/>
                <w:szCs w:val="18"/>
                <w:lang w:val="en-US" w:eastAsia="zh-CN" w:bidi="ar"/>
              </w:rPr>
              <w:t>消防栓</w:t>
            </w:r>
          </w:p>
        </w:tc>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14:paraId="47D65BB4">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液体</w:t>
            </w:r>
          </w:p>
        </w:tc>
        <w:tc>
          <w:tcPr>
            <w:tcW w:w="1102" w:type="dxa"/>
            <w:tcBorders>
              <w:top w:val="single" w:color="auto" w:sz="4" w:space="0"/>
              <w:left w:val="single" w:color="auto" w:sz="4" w:space="0"/>
              <w:bottom w:val="single" w:color="auto" w:sz="4" w:space="0"/>
              <w:right w:val="single" w:color="auto" w:sz="4" w:space="0"/>
            </w:tcBorders>
            <w:shd w:val="clear" w:color="auto" w:fill="auto"/>
            <w:vAlign w:val="center"/>
          </w:tcPr>
          <w:p w14:paraId="29371101">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rPr>
            </w:pPr>
            <w:r>
              <w:rPr>
                <w:rFonts w:hint="eastAsia" w:ascii="宋体" w:eastAsia="宋体" w:cs="Times New Roman"/>
                <w:color w:val="auto"/>
                <w:sz w:val="18"/>
                <w:szCs w:val="18"/>
                <w:lang w:bidi="ar"/>
              </w:rPr>
              <w:t>-</w:t>
            </w:r>
          </w:p>
        </w:tc>
      </w:tr>
      <w:tr w14:paraId="7AD93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9" w:type="dxa"/>
            <w:tcBorders>
              <w:top w:val="single" w:color="auto" w:sz="4" w:space="0"/>
              <w:left w:val="single" w:color="auto" w:sz="4" w:space="0"/>
              <w:bottom w:val="single" w:color="auto" w:sz="4" w:space="0"/>
              <w:right w:val="single" w:color="auto" w:sz="4" w:space="0"/>
            </w:tcBorders>
            <w:shd w:val="clear" w:color="auto" w:fill="auto"/>
            <w:vAlign w:val="center"/>
          </w:tcPr>
          <w:p w14:paraId="4E477FE9">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11</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0891BB63">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稀硫酸</w:t>
            </w:r>
          </w:p>
        </w:tc>
        <w:tc>
          <w:tcPr>
            <w:tcW w:w="3013" w:type="dxa"/>
            <w:tcBorders>
              <w:top w:val="single" w:color="auto" w:sz="4" w:space="0"/>
              <w:left w:val="single" w:color="auto" w:sz="4" w:space="0"/>
              <w:bottom w:val="single" w:color="auto" w:sz="4" w:space="0"/>
              <w:right w:val="single" w:color="auto" w:sz="4" w:space="0"/>
            </w:tcBorders>
            <w:shd w:val="clear" w:color="auto" w:fill="auto"/>
            <w:vAlign w:val="center"/>
          </w:tcPr>
          <w:p w14:paraId="4239495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hAnsi="宋体" w:eastAsia="宋体" w:cs="Times New Roman"/>
                <w:color w:val="auto"/>
                <w:sz w:val="18"/>
                <w:szCs w:val="18"/>
                <w:lang w:val="en-US" w:eastAsia="zh-CN" w:bidi="ar"/>
              </w:rPr>
            </w:pPr>
            <w:r>
              <w:rPr>
                <w:rFonts w:hint="eastAsia" w:hAnsi="宋体" w:cs="Times New Roman"/>
                <w:color w:val="auto"/>
                <w:sz w:val="18"/>
                <w:szCs w:val="18"/>
                <w:lang w:bidi="ar"/>
              </w:rPr>
              <w:t>云南瓮福祥丰氟硅新材料有限公司AHF厂区</w:t>
            </w:r>
            <w:r>
              <w:rPr>
                <w:rFonts w:hint="eastAsia" w:hAnsi="宋体" w:cs="Times New Roman"/>
                <w:color w:val="auto"/>
                <w:sz w:val="18"/>
                <w:szCs w:val="18"/>
                <w:lang w:val="en-US" w:eastAsia="zh-CN" w:bidi="ar"/>
              </w:rPr>
              <w:t>稀硫酸槽</w:t>
            </w:r>
          </w:p>
        </w:tc>
        <w:tc>
          <w:tcPr>
            <w:tcW w:w="2649" w:type="dxa"/>
            <w:tcBorders>
              <w:top w:val="single" w:color="auto" w:sz="4" w:space="0"/>
              <w:left w:val="single" w:color="auto" w:sz="4" w:space="0"/>
              <w:bottom w:val="single" w:color="auto" w:sz="4" w:space="0"/>
              <w:right w:val="single" w:color="auto" w:sz="4" w:space="0"/>
            </w:tcBorders>
            <w:shd w:val="clear" w:color="auto" w:fill="auto"/>
            <w:vAlign w:val="center"/>
          </w:tcPr>
          <w:p w14:paraId="78ADE28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Ansi="宋体" w:cs="Times New Roman"/>
                <w:color w:val="auto"/>
                <w:sz w:val="18"/>
                <w:szCs w:val="18"/>
                <w:lang w:bidi="ar"/>
              </w:rPr>
            </w:pPr>
            <w:bookmarkStart w:id="141" w:name="_Hlk154130763"/>
            <w:r>
              <w:rPr>
                <w:rFonts w:hint="eastAsia" w:hAnsi="宋体" w:cs="Times New Roman"/>
                <w:color w:val="auto"/>
                <w:sz w:val="18"/>
                <w:szCs w:val="18"/>
                <w:lang w:bidi="ar"/>
              </w:rPr>
              <w:t>云南祥丰金麦化工有限公司磷酸装置</w:t>
            </w:r>
            <w:bookmarkEnd w:id="141"/>
            <w:r>
              <w:rPr>
                <w:rFonts w:hint="eastAsia" w:hAnsi="宋体" w:cs="Times New Roman"/>
                <w:color w:val="auto"/>
                <w:sz w:val="18"/>
                <w:szCs w:val="18"/>
                <w:lang w:bidi="ar"/>
              </w:rPr>
              <w:t>两个反应萃取槽顶部混合器</w:t>
            </w:r>
          </w:p>
        </w:tc>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14:paraId="58E73E7F">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液体</w:t>
            </w:r>
          </w:p>
        </w:tc>
        <w:tc>
          <w:tcPr>
            <w:tcW w:w="1102" w:type="dxa"/>
            <w:tcBorders>
              <w:top w:val="single" w:color="auto" w:sz="4" w:space="0"/>
              <w:left w:val="single" w:color="auto" w:sz="4" w:space="0"/>
              <w:bottom w:val="single" w:color="auto" w:sz="4" w:space="0"/>
              <w:right w:val="single" w:color="auto" w:sz="4" w:space="0"/>
            </w:tcBorders>
            <w:shd w:val="clear" w:color="auto" w:fill="auto"/>
            <w:vAlign w:val="center"/>
          </w:tcPr>
          <w:p w14:paraId="3B2EA1E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Times New Roman"/>
                <w:color w:val="auto"/>
                <w:sz w:val="18"/>
                <w:szCs w:val="18"/>
                <w:lang w:bidi="ar"/>
              </w:rPr>
            </w:pPr>
            <w:r>
              <w:rPr>
                <w:rFonts w:hint="eastAsia" w:hAnsi="宋体" w:cs="Times New Roman"/>
                <w:color w:val="auto"/>
                <w:sz w:val="18"/>
                <w:szCs w:val="18"/>
                <w:lang w:bidi="ar"/>
              </w:rPr>
              <w:t>99m</w:t>
            </w:r>
            <w:r>
              <w:rPr>
                <w:rFonts w:hint="eastAsia" w:hAnsi="宋体" w:cs="Times New Roman"/>
                <w:color w:val="auto"/>
                <w:sz w:val="18"/>
                <w:szCs w:val="18"/>
                <w:vertAlign w:val="superscript"/>
                <w:lang w:bidi="ar"/>
              </w:rPr>
              <w:t>3</w:t>
            </w:r>
            <w:r>
              <w:rPr>
                <w:rFonts w:hint="eastAsia" w:hAnsi="宋体" w:cs="Times New Roman"/>
                <w:color w:val="auto"/>
                <w:sz w:val="18"/>
                <w:szCs w:val="18"/>
                <w:lang w:bidi="ar"/>
              </w:rPr>
              <w:t>/h</w:t>
            </w:r>
          </w:p>
        </w:tc>
      </w:tr>
      <w:tr w14:paraId="18AFB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9" w:type="dxa"/>
            <w:tcBorders>
              <w:top w:val="single" w:color="auto" w:sz="4" w:space="0"/>
              <w:left w:val="single" w:color="auto" w:sz="4" w:space="0"/>
              <w:bottom w:val="single" w:color="auto" w:sz="4" w:space="0"/>
              <w:right w:val="single" w:color="auto" w:sz="4" w:space="0"/>
            </w:tcBorders>
            <w:shd w:val="clear" w:color="auto" w:fill="auto"/>
            <w:vAlign w:val="center"/>
          </w:tcPr>
          <w:p w14:paraId="00A480EE">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12</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67492B82">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稀硫酸</w:t>
            </w:r>
          </w:p>
        </w:tc>
        <w:tc>
          <w:tcPr>
            <w:tcW w:w="3013" w:type="dxa"/>
            <w:tcBorders>
              <w:top w:val="single" w:color="auto" w:sz="4" w:space="0"/>
              <w:left w:val="single" w:color="auto" w:sz="4" w:space="0"/>
              <w:bottom w:val="single" w:color="auto" w:sz="4" w:space="0"/>
              <w:right w:val="single" w:color="auto" w:sz="4" w:space="0"/>
            </w:tcBorders>
            <w:shd w:val="clear" w:color="auto" w:fill="auto"/>
            <w:vAlign w:val="center"/>
          </w:tcPr>
          <w:p w14:paraId="70E7B0D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Ansi="宋体" w:cs="Times New Roman"/>
                <w:color w:val="auto"/>
                <w:sz w:val="18"/>
                <w:szCs w:val="18"/>
                <w:lang w:bidi="ar"/>
              </w:rPr>
            </w:pPr>
            <w:r>
              <w:rPr>
                <w:rFonts w:hint="eastAsia" w:hAnsi="宋体" w:cs="Times New Roman"/>
                <w:color w:val="auto"/>
                <w:sz w:val="18"/>
                <w:szCs w:val="18"/>
                <w:lang w:bidi="ar"/>
              </w:rPr>
              <w:t>云南瓮福祥丰氟硅新材料有限公司AHF厂区</w:t>
            </w:r>
            <w:r>
              <w:rPr>
                <w:rFonts w:hint="eastAsia" w:hAnsi="宋体" w:cs="Times New Roman"/>
                <w:color w:val="auto"/>
                <w:sz w:val="18"/>
                <w:szCs w:val="18"/>
                <w:lang w:val="en-US" w:eastAsia="zh-CN" w:bidi="ar"/>
              </w:rPr>
              <w:t>稀硫酸槽</w:t>
            </w:r>
          </w:p>
        </w:tc>
        <w:tc>
          <w:tcPr>
            <w:tcW w:w="2649" w:type="dxa"/>
            <w:tcBorders>
              <w:top w:val="single" w:color="auto" w:sz="4" w:space="0"/>
              <w:left w:val="single" w:color="auto" w:sz="4" w:space="0"/>
              <w:bottom w:val="single" w:color="auto" w:sz="4" w:space="0"/>
              <w:right w:val="single" w:color="auto" w:sz="4" w:space="0"/>
            </w:tcBorders>
            <w:shd w:val="clear" w:color="auto" w:fill="auto"/>
            <w:vAlign w:val="center"/>
          </w:tcPr>
          <w:p w14:paraId="2C2B69D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Ansi="宋体" w:cs="Times New Roman"/>
                <w:color w:val="auto"/>
                <w:sz w:val="18"/>
                <w:szCs w:val="18"/>
                <w:lang w:bidi="ar"/>
              </w:rPr>
            </w:pPr>
            <w:r>
              <w:rPr>
                <w:rFonts w:hint="eastAsia" w:hAnsi="宋体" w:cs="Times New Roman"/>
                <w:color w:val="auto"/>
                <w:sz w:val="18"/>
                <w:szCs w:val="18"/>
                <w:lang w:bidi="ar"/>
              </w:rPr>
              <w:t>云南祥丰金麦化工有限公司磷酸装置两个反应萃取槽顶部混合器</w:t>
            </w:r>
          </w:p>
        </w:tc>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14:paraId="6730AE77">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液体</w:t>
            </w:r>
          </w:p>
        </w:tc>
        <w:tc>
          <w:tcPr>
            <w:tcW w:w="1102" w:type="dxa"/>
            <w:tcBorders>
              <w:top w:val="single" w:color="auto" w:sz="4" w:space="0"/>
              <w:left w:val="single" w:color="auto" w:sz="4" w:space="0"/>
              <w:bottom w:val="single" w:color="auto" w:sz="4" w:space="0"/>
              <w:right w:val="single" w:color="auto" w:sz="4" w:space="0"/>
            </w:tcBorders>
            <w:shd w:val="clear" w:color="auto" w:fill="auto"/>
            <w:vAlign w:val="center"/>
          </w:tcPr>
          <w:p w14:paraId="491E404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Times New Roman"/>
                <w:color w:val="auto"/>
                <w:sz w:val="18"/>
                <w:szCs w:val="18"/>
                <w:lang w:bidi="ar"/>
              </w:rPr>
            </w:pPr>
            <w:r>
              <w:rPr>
                <w:rFonts w:hint="eastAsia" w:hAnsi="宋体" w:cs="Times New Roman"/>
                <w:color w:val="auto"/>
                <w:sz w:val="18"/>
                <w:szCs w:val="18"/>
                <w:lang w:bidi="ar"/>
              </w:rPr>
              <w:t>99m</w:t>
            </w:r>
            <w:r>
              <w:rPr>
                <w:rFonts w:hint="eastAsia" w:hAnsi="宋体" w:cs="Times New Roman"/>
                <w:color w:val="auto"/>
                <w:sz w:val="18"/>
                <w:szCs w:val="18"/>
                <w:vertAlign w:val="superscript"/>
                <w:lang w:bidi="ar"/>
              </w:rPr>
              <w:t>3</w:t>
            </w:r>
            <w:r>
              <w:rPr>
                <w:rFonts w:hint="eastAsia" w:hAnsi="宋体" w:cs="Times New Roman"/>
                <w:color w:val="auto"/>
                <w:sz w:val="18"/>
                <w:szCs w:val="18"/>
                <w:lang w:bidi="ar"/>
              </w:rPr>
              <w:t>/h</w:t>
            </w:r>
          </w:p>
        </w:tc>
      </w:tr>
      <w:tr w14:paraId="2D3FB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9" w:type="dxa"/>
            <w:tcBorders>
              <w:top w:val="single" w:color="auto" w:sz="4" w:space="0"/>
              <w:left w:val="single" w:color="auto" w:sz="4" w:space="0"/>
              <w:bottom w:val="single" w:color="auto" w:sz="4" w:space="0"/>
              <w:right w:val="single" w:color="auto" w:sz="4" w:space="0"/>
            </w:tcBorders>
            <w:shd w:val="clear" w:color="auto" w:fill="auto"/>
            <w:vAlign w:val="center"/>
          </w:tcPr>
          <w:p w14:paraId="74858CBF">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13</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1B05460D">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过滤机洗水</w:t>
            </w:r>
          </w:p>
        </w:tc>
        <w:tc>
          <w:tcPr>
            <w:tcW w:w="3013" w:type="dxa"/>
            <w:tcBorders>
              <w:top w:val="single" w:color="auto" w:sz="4" w:space="0"/>
              <w:left w:val="single" w:color="auto" w:sz="4" w:space="0"/>
              <w:bottom w:val="single" w:color="auto" w:sz="4" w:space="0"/>
              <w:right w:val="single" w:color="auto" w:sz="4" w:space="0"/>
            </w:tcBorders>
            <w:shd w:val="clear" w:color="auto" w:fill="auto"/>
            <w:vAlign w:val="center"/>
          </w:tcPr>
          <w:p w14:paraId="42721C5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Ansi="宋体" w:cs="Times New Roman"/>
                <w:color w:val="auto"/>
                <w:sz w:val="18"/>
                <w:szCs w:val="18"/>
                <w:lang w:bidi="ar"/>
              </w:rPr>
            </w:pPr>
            <w:r>
              <w:rPr>
                <w:rFonts w:hint="eastAsia" w:hAnsi="宋体" w:cs="Times New Roman"/>
                <w:color w:val="auto"/>
                <w:sz w:val="18"/>
                <w:szCs w:val="18"/>
                <w:lang w:bidi="ar"/>
              </w:rPr>
              <w:t>云南瓮福祥丰氟硅新材料有限公司AHF厂区过滤机洗水槽</w:t>
            </w:r>
          </w:p>
        </w:tc>
        <w:tc>
          <w:tcPr>
            <w:tcW w:w="2649" w:type="dxa"/>
            <w:tcBorders>
              <w:top w:val="single" w:color="auto" w:sz="4" w:space="0"/>
              <w:left w:val="single" w:color="auto" w:sz="4" w:space="0"/>
              <w:bottom w:val="single" w:color="auto" w:sz="4" w:space="0"/>
              <w:right w:val="single" w:color="auto" w:sz="4" w:space="0"/>
            </w:tcBorders>
            <w:shd w:val="clear" w:color="auto" w:fill="auto"/>
            <w:vAlign w:val="center"/>
          </w:tcPr>
          <w:p w14:paraId="2E7A9C1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Ansi="宋体" w:cs="Times New Roman"/>
                <w:color w:val="auto"/>
                <w:sz w:val="18"/>
                <w:szCs w:val="18"/>
                <w:lang w:bidi="ar"/>
              </w:rPr>
            </w:pPr>
            <w:r>
              <w:rPr>
                <w:rFonts w:hint="eastAsia" w:hAnsi="宋体" w:cs="Times New Roman"/>
                <w:color w:val="auto"/>
                <w:sz w:val="18"/>
                <w:szCs w:val="18"/>
                <w:lang w:bidi="ar"/>
              </w:rPr>
              <w:t>云南祥丰金麦化工有限公司磷酸装置氟吸收塔</w:t>
            </w:r>
          </w:p>
        </w:tc>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14:paraId="643EDE06">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液体</w:t>
            </w:r>
          </w:p>
        </w:tc>
        <w:tc>
          <w:tcPr>
            <w:tcW w:w="1102" w:type="dxa"/>
            <w:tcBorders>
              <w:top w:val="single" w:color="auto" w:sz="4" w:space="0"/>
              <w:left w:val="single" w:color="auto" w:sz="4" w:space="0"/>
              <w:bottom w:val="single" w:color="auto" w:sz="4" w:space="0"/>
              <w:right w:val="single" w:color="auto" w:sz="4" w:space="0"/>
            </w:tcBorders>
            <w:shd w:val="clear" w:color="auto" w:fill="auto"/>
            <w:vAlign w:val="center"/>
          </w:tcPr>
          <w:p w14:paraId="0484FC0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Ansi="宋体" w:cs="Times New Roman"/>
                <w:color w:val="auto"/>
                <w:sz w:val="18"/>
                <w:szCs w:val="18"/>
                <w:lang w:bidi="ar"/>
              </w:rPr>
            </w:pPr>
            <w:r>
              <w:rPr>
                <w:rFonts w:hint="eastAsia" w:hAnsi="宋体" w:cs="Times New Roman"/>
                <w:color w:val="auto"/>
                <w:sz w:val="18"/>
                <w:szCs w:val="18"/>
                <w:lang w:bidi="ar"/>
              </w:rPr>
              <w:t>15m</w:t>
            </w:r>
            <w:r>
              <w:rPr>
                <w:rFonts w:hint="eastAsia" w:hAnsi="宋体" w:cs="Times New Roman"/>
                <w:color w:val="auto"/>
                <w:sz w:val="18"/>
                <w:szCs w:val="18"/>
                <w:vertAlign w:val="superscript"/>
                <w:lang w:bidi="ar"/>
              </w:rPr>
              <w:t>3</w:t>
            </w:r>
            <w:r>
              <w:rPr>
                <w:rFonts w:hint="eastAsia" w:hAnsi="宋体" w:cs="Times New Roman"/>
                <w:color w:val="auto"/>
                <w:sz w:val="18"/>
                <w:szCs w:val="18"/>
                <w:lang w:bidi="ar"/>
              </w:rPr>
              <w:t>/h</w:t>
            </w:r>
          </w:p>
        </w:tc>
      </w:tr>
      <w:tr w14:paraId="49B3E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9" w:type="dxa"/>
            <w:tcBorders>
              <w:top w:val="single" w:color="auto" w:sz="4" w:space="0"/>
              <w:left w:val="single" w:color="auto" w:sz="4" w:space="0"/>
              <w:bottom w:val="single" w:color="auto" w:sz="4" w:space="0"/>
              <w:right w:val="single" w:color="auto" w:sz="4" w:space="0"/>
            </w:tcBorders>
            <w:shd w:val="clear" w:color="auto" w:fill="auto"/>
            <w:vAlign w:val="center"/>
          </w:tcPr>
          <w:p w14:paraId="161686D2">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14</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51C45B37">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渣浆水</w:t>
            </w:r>
          </w:p>
        </w:tc>
        <w:tc>
          <w:tcPr>
            <w:tcW w:w="3013" w:type="dxa"/>
            <w:tcBorders>
              <w:top w:val="single" w:color="auto" w:sz="4" w:space="0"/>
              <w:left w:val="single" w:color="auto" w:sz="4" w:space="0"/>
              <w:bottom w:val="single" w:color="auto" w:sz="4" w:space="0"/>
              <w:right w:val="single" w:color="auto" w:sz="4" w:space="0"/>
            </w:tcBorders>
            <w:shd w:val="clear" w:color="auto" w:fill="auto"/>
            <w:vAlign w:val="center"/>
          </w:tcPr>
          <w:p w14:paraId="33AE9E7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Ansi="宋体" w:cs="Times New Roman"/>
                <w:color w:val="auto"/>
                <w:sz w:val="18"/>
                <w:szCs w:val="18"/>
                <w:lang w:bidi="ar"/>
              </w:rPr>
            </w:pPr>
            <w:r>
              <w:rPr>
                <w:rFonts w:hint="eastAsia" w:hAnsi="宋体" w:cs="Times New Roman"/>
                <w:color w:val="auto"/>
                <w:sz w:val="18"/>
                <w:szCs w:val="18"/>
                <w:lang w:bidi="ar"/>
              </w:rPr>
              <w:t>云南瓮福祥丰氟硅新材料有限公司AHF厂区</w:t>
            </w:r>
            <w:r>
              <w:rPr>
                <w:rFonts w:hint="eastAsia" w:ascii="宋体" w:eastAsia="宋体" w:cs="Times New Roman"/>
                <w:color w:val="auto"/>
                <w:sz w:val="18"/>
                <w:szCs w:val="18"/>
                <w:lang w:bidi="ar"/>
              </w:rPr>
              <w:t>二氧化硅再浆槽</w:t>
            </w:r>
          </w:p>
        </w:tc>
        <w:tc>
          <w:tcPr>
            <w:tcW w:w="2649" w:type="dxa"/>
            <w:tcBorders>
              <w:top w:val="single" w:color="auto" w:sz="4" w:space="0"/>
              <w:left w:val="single" w:color="auto" w:sz="4" w:space="0"/>
              <w:bottom w:val="single" w:color="auto" w:sz="4" w:space="0"/>
              <w:right w:val="single" w:color="auto" w:sz="4" w:space="0"/>
            </w:tcBorders>
            <w:shd w:val="clear" w:color="auto" w:fill="auto"/>
            <w:vAlign w:val="center"/>
          </w:tcPr>
          <w:p w14:paraId="0AB2D0D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Ansi="宋体" w:cs="Times New Roman"/>
                <w:color w:val="auto"/>
                <w:sz w:val="18"/>
                <w:szCs w:val="18"/>
                <w:lang w:bidi="ar"/>
              </w:rPr>
            </w:pPr>
            <w:r>
              <w:rPr>
                <w:rFonts w:hint="eastAsia" w:hAnsi="宋体" w:cs="Times New Roman"/>
                <w:color w:val="auto"/>
                <w:sz w:val="18"/>
                <w:szCs w:val="18"/>
                <w:lang w:bidi="ar"/>
              </w:rPr>
              <w:t>云南祥丰金麦化工有限公司磷酸装置</w:t>
            </w:r>
            <w:r>
              <w:rPr>
                <w:rFonts w:hint="eastAsia" w:ascii="宋体" w:eastAsia="宋体" w:cs="Times New Roman"/>
                <w:color w:val="auto"/>
                <w:sz w:val="18"/>
                <w:szCs w:val="18"/>
                <w:lang w:bidi="ar"/>
              </w:rPr>
              <w:t>磷酸再浆槽</w:t>
            </w:r>
          </w:p>
        </w:tc>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14:paraId="0AA19E4D">
            <w:pPr>
              <w:pStyle w:val="75"/>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eastAsia="宋体" w:cs="Times New Roman"/>
                <w:color w:val="auto"/>
                <w:sz w:val="18"/>
                <w:szCs w:val="18"/>
                <w:lang w:bidi="ar"/>
              </w:rPr>
            </w:pPr>
            <w:r>
              <w:rPr>
                <w:rFonts w:hint="eastAsia" w:ascii="宋体" w:eastAsia="宋体" w:cs="Times New Roman"/>
                <w:color w:val="auto"/>
                <w:sz w:val="18"/>
                <w:szCs w:val="18"/>
                <w:lang w:bidi="ar"/>
              </w:rPr>
              <w:t>液体</w:t>
            </w:r>
          </w:p>
        </w:tc>
        <w:tc>
          <w:tcPr>
            <w:tcW w:w="1102" w:type="dxa"/>
            <w:tcBorders>
              <w:top w:val="single" w:color="auto" w:sz="4" w:space="0"/>
              <w:left w:val="single" w:color="auto" w:sz="4" w:space="0"/>
              <w:bottom w:val="single" w:color="auto" w:sz="4" w:space="0"/>
              <w:right w:val="single" w:color="auto" w:sz="4" w:space="0"/>
            </w:tcBorders>
            <w:shd w:val="clear" w:color="auto" w:fill="auto"/>
            <w:vAlign w:val="center"/>
          </w:tcPr>
          <w:p w14:paraId="0F0299A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cs="Times New Roman"/>
                <w:color w:val="auto"/>
                <w:sz w:val="18"/>
                <w:szCs w:val="18"/>
                <w:lang w:bidi="ar"/>
              </w:rPr>
            </w:pPr>
            <w:r>
              <w:rPr>
                <w:rFonts w:hint="eastAsia" w:hAnsi="宋体" w:cs="Times New Roman"/>
                <w:color w:val="auto"/>
                <w:sz w:val="18"/>
                <w:szCs w:val="18"/>
                <w:lang w:bidi="ar"/>
              </w:rPr>
              <w:t>17-40m</w:t>
            </w:r>
            <w:r>
              <w:rPr>
                <w:rFonts w:hint="eastAsia" w:hAnsi="宋体" w:cs="Times New Roman"/>
                <w:color w:val="auto"/>
                <w:sz w:val="18"/>
                <w:szCs w:val="18"/>
                <w:vertAlign w:val="superscript"/>
                <w:lang w:bidi="ar"/>
              </w:rPr>
              <w:t>3</w:t>
            </w:r>
            <w:r>
              <w:rPr>
                <w:rFonts w:hint="eastAsia" w:hAnsi="宋体" w:cs="Times New Roman"/>
                <w:color w:val="auto"/>
                <w:sz w:val="18"/>
                <w:szCs w:val="18"/>
                <w:lang w:bidi="ar"/>
              </w:rPr>
              <w:t>/h</w:t>
            </w:r>
          </w:p>
        </w:tc>
      </w:tr>
    </w:tbl>
    <w:p w14:paraId="7CA680C8">
      <w:pPr>
        <w:pStyle w:val="122"/>
        <w:keepNext w:val="0"/>
        <w:keepLines w:val="0"/>
        <w:pageBreakBefore w:val="0"/>
        <w:widowControl w:val="0"/>
        <w:kinsoku/>
        <w:wordWrap/>
        <w:overflowPunct/>
        <w:topLinePunct w:val="0"/>
        <w:autoSpaceDE/>
        <w:autoSpaceDN/>
        <w:bidi w:val="0"/>
        <w:adjustRightInd w:val="0"/>
        <w:snapToGrid w:val="0"/>
        <w:spacing w:before="200"/>
        <w:ind w:firstLine="0"/>
        <w:jc w:val="center"/>
        <w:textAlignment w:val="auto"/>
        <w:rPr>
          <w:rFonts w:ascii="宋体" w:hAnsi="Times New Roman" w:eastAsia="宋体" w:cs="宋体"/>
          <w:b/>
          <w:bCs/>
          <w:color w:val="auto"/>
          <w:sz w:val="24"/>
          <w:szCs w:val="24"/>
        </w:rPr>
      </w:pPr>
      <w:r>
        <w:rPr>
          <w:rFonts w:ascii="宋体" w:hAnsi="Times New Roman" w:eastAsia="宋体" w:cs="宋体"/>
          <w:b/>
          <w:bCs/>
          <w:color w:val="auto"/>
          <w:sz w:val="24"/>
          <w:szCs w:val="24"/>
        </w:rPr>
        <w:t>表</w:t>
      </w:r>
      <w:r>
        <w:rPr>
          <w:rFonts w:hint="eastAsia" w:ascii="宋体" w:hAnsi="Times New Roman" w:eastAsia="宋体" w:cs="宋体"/>
          <w:b/>
          <w:bCs/>
          <w:color w:val="auto"/>
          <w:sz w:val="24"/>
          <w:szCs w:val="24"/>
        </w:rPr>
        <w:t>2</w:t>
      </w:r>
      <w:r>
        <w:rPr>
          <w:rFonts w:hint="eastAsia" w:ascii="宋体" w:hAnsi="Times New Roman" w:eastAsia="宋体" w:cs="宋体"/>
          <w:b/>
          <w:bCs/>
          <w:color w:val="auto"/>
          <w:sz w:val="24"/>
          <w:szCs w:val="24"/>
          <w:lang w:val="en-US" w:eastAsia="zh-CN"/>
        </w:rPr>
        <w:t>.2</w:t>
      </w:r>
      <w:r>
        <w:rPr>
          <w:rFonts w:hint="eastAsia" w:ascii="宋体" w:hAnsi="Times New Roman" w:eastAsia="宋体" w:cs="宋体"/>
          <w:b/>
          <w:bCs/>
          <w:color w:val="auto"/>
          <w:sz w:val="24"/>
          <w:szCs w:val="24"/>
        </w:rPr>
        <w:t>-</w:t>
      </w:r>
      <w:r>
        <w:rPr>
          <w:rFonts w:ascii="宋体" w:hAnsi="Times New Roman" w:eastAsia="宋体" w:cs="宋体"/>
          <w:b/>
          <w:bCs/>
          <w:color w:val="auto"/>
          <w:sz w:val="24"/>
          <w:szCs w:val="24"/>
        </w:rPr>
        <w:t>3</w:t>
      </w:r>
      <w:r>
        <w:rPr>
          <w:rFonts w:hint="eastAsia" w:ascii="宋体" w:hAnsi="Times New Roman" w:eastAsia="宋体" w:cs="宋体"/>
          <w:b/>
          <w:bCs/>
          <w:color w:val="auto"/>
          <w:sz w:val="24"/>
          <w:szCs w:val="24"/>
        </w:rPr>
        <w:t xml:space="preserve"> 外管廊管道主要设计参数</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840"/>
        <w:gridCol w:w="1066"/>
        <w:gridCol w:w="954"/>
        <w:gridCol w:w="840"/>
        <w:gridCol w:w="840"/>
        <w:gridCol w:w="840"/>
        <w:gridCol w:w="1066"/>
        <w:gridCol w:w="1395"/>
        <w:gridCol w:w="727"/>
        <w:gridCol w:w="1181"/>
        <w:gridCol w:w="1997"/>
        <w:gridCol w:w="1999"/>
      </w:tblGrid>
      <w:tr w14:paraId="4E9C9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97" w:type="dxa"/>
            <w:vMerge w:val="restart"/>
            <w:shd w:val="clear" w:color="auto" w:fill="auto"/>
            <w:vAlign w:val="center"/>
          </w:tcPr>
          <w:p w14:paraId="7CD26AD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bookmarkStart w:id="142" w:name="_Toc114690637"/>
            <w:r>
              <w:rPr>
                <w:rFonts w:hint="default" w:ascii="Times New Roman" w:hAnsi="Times New Roman" w:eastAsia="宋体" w:cs="Times New Roman"/>
                <w:color w:val="auto"/>
                <w:sz w:val="21"/>
                <w:szCs w:val="21"/>
                <w:highlight w:val="none"/>
                <w:lang w:bidi="ar"/>
              </w:rPr>
              <w:t>序号</w:t>
            </w:r>
          </w:p>
        </w:tc>
        <w:tc>
          <w:tcPr>
            <w:tcW w:w="568" w:type="dxa"/>
            <w:vMerge w:val="restart"/>
            <w:shd w:val="clear" w:color="auto" w:fill="auto"/>
            <w:vAlign w:val="center"/>
          </w:tcPr>
          <w:p w14:paraId="13ECDCD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输送物料名称</w:t>
            </w:r>
          </w:p>
        </w:tc>
        <w:tc>
          <w:tcPr>
            <w:tcW w:w="721" w:type="dxa"/>
            <w:vMerge w:val="restart"/>
            <w:shd w:val="clear" w:color="auto" w:fill="auto"/>
            <w:vAlign w:val="center"/>
          </w:tcPr>
          <w:p w14:paraId="0BEC6CC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设计流量</w:t>
            </w:r>
          </w:p>
        </w:tc>
        <w:tc>
          <w:tcPr>
            <w:tcW w:w="1213" w:type="dxa"/>
            <w:gridSpan w:val="2"/>
            <w:shd w:val="clear" w:color="auto" w:fill="auto"/>
            <w:vAlign w:val="center"/>
          </w:tcPr>
          <w:p w14:paraId="13614BA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操作参数</w:t>
            </w:r>
          </w:p>
        </w:tc>
        <w:tc>
          <w:tcPr>
            <w:tcW w:w="1136" w:type="dxa"/>
            <w:gridSpan w:val="2"/>
            <w:shd w:val="clear" w:color="auto" w:fill="auto"/>
            <w:vAlign w:val="center"/>
          </w:tcPr>
          <w:p w14:paraId="5C68CAC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设计参数</w:t>
            </w:r>
          </w:p>
        </w:tc>
        <w:tc>
          <w:tcPr>
            <w:tcW w:w="1664" w:type="dxa"/>
            <w:gridSpan w:val="2"/>
            <w:shd w:val="clear" w:color="auto" w:fill="auto"/>
            <w:vAlign w:val="center"/>
          </w:tcPr>
          <w:p w14:paraId="08992FA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管道参数</w:t>
            </w:r>
          </w:p>
        </w:tc>
        <w:tc>
          <w:tcPr>
            <w:tcW w:w="492" w:type="dxa"/>
            <w:vMerge w:val="restart"/>
            <w:shd w:val="clear" w:color="auto" w:fill="auto"/>
            <w:vAlign w:val="center"/>
          </w:tcPr>
          <w:p w14:paraId="12879E7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绝热保温</w:t>
            </w:r>
          </w:p>
        </w:tc>
        <w:tc>
          <w:tcPr>
            <w:tcW w:w="798" w:type="dxa"/>
            <w:vMerge w:val="restart"/>
            <w:shd w:val="clear" w:color="auto" w:fill="auto"/>
            <w:vAlign w:val="center"/>
          </w:tcPr>
          <w:p w14:paraId="0EB9CF3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压力管道</w:t>
            </w:r>
          </w:p>
          <w:p w14:paraId="7937640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级别</w:t>
            </w:r>
          </w:p>
        </w:tc>
        <w:tc>
          <w:tcPr>
            <w:tcW w:w="2701" w:type="dxa"/>
            <w:gridSpan w:val="2"/>
            <w:vAlign w:val="center"/>
          </w:tcPr>
          <w:p w14:paraId="3577B2B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起止点</w:t>
            </w:r>
          </w:p>
        </w:tc>
      </w:tr>
      <w:tr w14:paraId="18A43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97" w:type="dxa"/>
            <w:vMerge w:val="continue"/>
            <w:shd w:val="clear" w:color="auto" w:fill="auto"/>
            <w:vAlign w:val="center"/>
          </w:tcPr>
          <w:p w14:paraId="04FAA1A5">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p>
        </w:tc>
        <w:tc>
          <w:tcPr>
            <w:tcW w:w="568" w:type="dxa"/>
            <w:vMerge w:val="continue"/>
            <w:shd w:val="clear" w:color="auto" w:fill="auto"/>
            <w:vAlign w:val="center"/>
          </w:tcPr>
          <w:p w14:paraId="5EEC915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p>
        </w:tc>
        <w:tc>
          <w:tcPr>
            <w:tcW w:w="721" w:type="dxa"/>
            <w:vMerge w:val="continue"/>
            <w:shd w:val="clear" w:color="auto" w:fill="auto"/>
            <w:vAlign w:val="center"/>
          </w:tcPr>
          <w:p w14:paraId="64B3E7B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p>
        </w:tc>
        <w:tc>
          <w:tcPr>
            <w:tcW w:w="645" w:type="dxa"/>
            <w:shd w:val="clear" w:color="auto" w:fill="auto"/>
            <w:vAlign w:val="center"/>
          </w:tcPr>
          <w:p w14:paraId="1761959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压力(MPa)</w:t>
            </w:r>
          </w:p>
        </w:tc>
        <w:tc>
          <w:tcPr>
            <w:tcW w:w="568" w:type="dxa"/>
            <w:shd w:val="clear" w:color="auto" w:fill="auto"/>
            <w:vAlign w:val="center"/>
          </w:tcPr>
          <w:p w14:paraId="2A91D1E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温度(℃)</w:t>
            </w:r>
          </w:p>
        </w:tc>
        <w:tc>
          <w:tcPr>
            <w:tcW w:w="568" w:type="dxa"/>
            <w:shd w:val="clear" w:color="auto" w:fill="auto"/>
            <w:vAlign w:val="center"/>
          </w:tcPr>
          <w:p w14:paraId="3427E8A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压力(MPa)</w:t>
            </w:r>
          </w:p>
        </w:tc>
        <w:tc>
          <w:tcPr>
            <w:tcW w:w="568" w:type="dxa"/>
            <w:shd w:val="clear" w:color="auto" w:fill="auto"/>
            <w:vAlign w:val="center"/>
          </w:tcPr>
          <w:p w14:paraId="2027505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温度(℃)</w:t>
            </w:r>
          </w:p>
        </w:tc>
        <w:tc>
          <w:tcPr>
            <w:tcW w:w="721" w:type="dxa"/>
            <w:shd w:val="clear" w:color="auto" w:fill="auto"/>
            <w:vAlign w:val="center"/>
          </w:tcPr>
          <w:p w14:paraId="27D7B21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尺寸</w:t>
            </w:r>
          </w:p>
          <w:p w14:paraId="6AE0253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（mm）</w:t>
            </w:r>
          </w:p>
        </w:tc>
        <w:tc>
          <w:tcPr>
            <w:tcW w:w="943" w:type="dxa"/>
            <w:shd w:val="clear" w:color="auto" w:fill="auto"/>
            <w:vAlign w:val="center"/>
          </w:tcPr>
          <w:p w14:paraId="7790008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材质</w:t>
            </w:r>
          </w:p>
        </w:tc>
        <w:tc>
          <w:tcPr>
            <w:tcW w:w="492" w:type="dxa"/>
            <w:vMerge w:val="continue"/>
            <w:shd w:val="clear" w:color="auto" w:fill="auto"/>
            <w:vAlign w:val="center"/>
          </w:tcPr>
          <w:p w14:paraId="6AA6FD7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p>
        </w:tc>
        <w:tc>
          <w:tcPr>
            <w:tcW w:w="798" w:type="dxa"/>
            <w:vMerge w:val="continue"/>
            <w:shd w:val="clear" w:color="auto" w:fill="auto"/>
            <w:vAlign w:val="center"/>
          </w:tcPr>
          <w:p w14:paraId="1DBBD5A5">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p>
        </w:tc>
        <w:tc>
          <w:tcPr>
            <w:tcW w:w="1350" w:type="dxa"/>
            <w:vAlign w:val="center"/>
          </w:tcPr>
          <w:p w14:paraId="13D98EA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起点</w:t>
            </w:r>
          </w:p>
        </w:tc>
        <w:tc>
          <w:tcPr>
            <w:tcW w:w="1351" w:type="dxa"/>
            <w:vAlign w:val="center"/>
          </w:tcPr>
          <w:p w14:paraId="19446A1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终点</w:t>
            </w:r>
          </w:p>
        </w:tc>
      </w:tr>
      <w:tr w14:paraId="37905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7" w:type="dxa"/>
            <w:shd w:val="clear" w:color="auto" w:fill="auto"/>
            <w:vAlign w:val="center"/>
          </w:tcPr>
          <w:p w14:paraId="3A2BC24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w:t>
            </w:r>
          </w:p>
        </w:tc>
        <w:tc>
          <w:tcPr>
            <w:tcW w:w="568" w:type="dxa"/>
            <w:shd w:val="clear" w:color="auto" w:fill="auto"/>
            <w:vAlign w:val="center"/>
          </w:tcPr>
          <w:p w14:paraId="1E74A85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氟硅酸</w:t>
            </w:r>
          </w:p>
        </w:tc>
        <w:tc>
          <w:tcPr>
            <w:tcW w:w="721" w:type="dxa"/>
            <w:shd w:val="clear" w:color="auto" w:fill="auto"/>
            <w:vAlign w:val="center"/>
          </w:tcPr>
          <w:p w14:paraId="0250832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50m</w:t>
            </w:r>
            <w:r>
              <w:rPr>
                <w:rFonts w:hint="default" w:ascii="Times New Roman" w:hAnsi="Times New Roman" w:eastAsia="宋体" w:cs="Times New Roman"/>
                <w:color w:val="auto"/>
                <w:sz w:val="21"/>
                <w:szCs w:val="21"/>
                <w:highlight w:val="none"/>
                <w:vertAlign w:val="superscript"/>
                <w:lang w:bidi="ar"/>
              </w:rPr>
              <w:t>3</w:t>
            </w:r>
            <w:r>
              <w:rPr>
                <w:rFonts w:hint="default" w:ascii="Times New Roman" w:hAnsi="Times New Roman" w:eastAsia="宋体" w:cs="Times New Roman"/>
                <w:color w:val="auto"/>
                <w:sz w:val="21"/>
                <w:szCs w:val="21"/>
                <w:highlight w:val="none"/>
                <w:lang w:bidi="ar"/>
              </w:rPr>
              <w:t>/h</w:t>
            </w:r>
          </w:p>
        </w:tc>
        <w:tc>
          <w:tcPr>
            <w:tcW w:w="645" w:type="dxa"/>
            <w:shd w:val="clear" w:color="auto" w:fill="auto"/>
            <w:vAlign w:val="center"/>
          </w:tcPr>
          <w:p w14:paraId="0C45DFC5">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0.89</w:t>
            </w:r>
          </w:p>
        </w:tc>
        <w:tc>
          <w:tcPr>
            <w:tcW w:w="568" w:type="dxa"/>
            <w:shd w:val="clear" w:color="auto" w:fill="auto"/>
            <w:vAlign w:val="center"/>
          </w:tcPr>
          <w:p w14:paraId="2DFBFFA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30</w:t>
            </w:r>
          </w:p>
        </w:tc>
        <w:tc>
          <w:tcPr>
            <w:tcW w:w="568" w:type="dxa"/>
            <w:shd w:val="clear" w:color="auto" w:fill="auto"/>
            <w:vAlign w:val="center"/>
          </w:tcPr>
          <w:p w14:paraId="705C4E8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1.25</w:t>
            </w:r>
          </w:p>
        </w:tc>
        <w:tc>
          <w:tcPr>
            <w:tcW w:w="568" w:type="dxa"/>
            <w:shd w:val="clear" w:color="auto" w:fill="auto"/>
            <w:vAlign w:val="center"/>
          </w:tcPr>
          <w:p w14:paraId="45907DB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80</w:t>
            </w:r>
          </w:p>
        </w:tc>
        <w:tc>
          <w:tcPr>
            <w:tcW w:w="721" w:type="dxa"/>
            <w:shd w:val="clear" w:color="auto" w:fill="auto"/>
            <w:vAlign w:val="center"/>
          </w:tcPr>
          <w:p w14:paraId="71BE22D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DN150</w:t>
            </w:r>
          </w:p>
        </w:tc>
        <w:tc>
          <w:tcPr>
            <w:tcW w:w="943" w:type="dxa"/>
            <w:shd w:val="clear" w:color="auto" w:fill="auto"/>
            <w:vAlign w:val="center"/>
          </w:tcPr>
          <w:p w14:paraId="6678EBA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钢衬超高分子量聚乙烯管道</w:t>
            </w:r>
          </w:p>
        </w:tc>
        <w:tc>
          <w:tcPr>
            <w:tcW w:w="492" w:type="dxa"/>
            <w:shd w:val="clear" w:color="auto" w:fill="auto"/>
            <w:vAlign w:val="center"/>
          </w:tcPr>
          <w:p w14:paraId="675DDE6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798" w:type="dxa"/>
            <w:shd w:val="clear" w:color="auto" w:fill="auto"/>
            <w:vAlign w:val="center"/>
          </w:tcPr>
          <w:p w14:paraId="47C20005">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GC2</w:t>
            </w:r>
          </w:p>
        </w:tc>
        <w:tc>
          <w:tcPr>
            <w:tcW w:w="1350" w:type="dxa"/>
            <w:vAlign w:val="center"/>
          </w:tcPr>
          <w:p w14:paraId="18110C1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氟硅酸送料泵（P-4021A）、祥丰金麦厂内（A01轴西侧）</w:t>
            </w:r>
          </w:p>
        </w:tc>
        <w:tc>
          <w:tcPr>
            <w:tcW w:w="1351" w:type="dxa"/>
            <w:vAlign w:val="center"/>
          </w:tcPr>
          <w:p w14:paraId="37F3789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硫酸/氟硅酸/氢氟酸罐组（00191B）、瓮福祥丰氟化氢厂内</w:t>
            </w:r>
          </w:p>
        </w:tc>
      </w:tr>
      <w:tr w14:paraId="1FBC0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7" w:type="dxa"/>
            <w:shd w:val="clear" w:color="auto" w:fill="auto"/>
            <w:vAlign w:val="center"/>
          </w:tcPr>
          <w:p w14:paraId="5668B35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2</w:t>
            </w:r>
          </w:p>
        </w:tc>
        <w:tc>
          <w:tcPr>
            <w:tcW w:w="568" w:type="dxa"/>
            <w:shd w:val="clear" w:color="auto" w:fill="auto"/>
            <w:vAlign w:val="center"/>
          </w:tcPr>
          <w:p w14:paraId="71AC357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氟硅酸</w:t>
            </w:r>
          </w:p>
        </w:tc>
        <w:tc>
          <w:tcPr>
            <w:tcW w:w="721" w:type="dxa"/>
            <w:shd w:val="clear" w:color="auto" w:fill="auto"/>
            <w:vAlign w:val="center"/>
          </w:tcPr>
          <w:p w14:paraId="250A5AE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50m</w:t>
            </w:r>
            <w:r>
              <w:rPr>
                <w:rFonts w:hint="default" w:ascii="Times New Roman" w:hAnsi="Times New Roman" w:eastAsia="宋体" w:cs="Times New Roman"/>
                <w:color w:val="auto"/>
                <w:sz w:val="21"/>
                <w:szCs w:val="21"/>
                <w:highlight w:val="none"/>
                <w:vertAlign w:val="superscript"/>
                <w:lang w:bidi="ar"/>
              </w:rPr>
              <w:t>3</w:t>
            </w:r>
            <w:r>
              <w:rPr>
                <w:rFonts w:hint="default" w:ascii="Times New Roman" w:hAnsi="Times New Roman" w:eastAsia="宋体" w:cs="Times New Roman"/>
                <w:color w:val="auto"/>
                <w:sz w:val="21"/>
                <w:szCs w:val="21"/>
                <w:highlight w:val="none"/>
                <w:lang w:bidi="ar"/>
              </w:rPr>
              <w:t>/h</w:t>
            </w:r>
          </w:p>
        </w:tc>
        <w:tc>
          <w:tcPr>
            <w:tcW w:w="645" w:type="dxa"/>
            <w:shd w:val="clear" w:color="auto" w:fill="auto"/>
            <w:vAlign w:val="center"/>
          </w:tcPr>
          <w:p w14:paraId="224968D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0.89</w:t>
            </w:r>
          </w:p>
        </w:tc>
        <w:tc>
          <w:tcPr>
            <w:tcW w:w="568" w:type="dxa"/>
            <w:shd w:val="clear" w:color="auto" w:fill="auto"/>
            <w:vAlign w:val="center"/>
          </w:tcPr>
          <w:p w14:paraId="46ACFBE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30</w:t>
            </w:r>
          </w:p>
        </w:tc>
        <w:tc>
          <w:tcPr>
            <w:tcW w:w="568" w:type="dxa"/>
            <w:shd w:val="clear" w:color="auto" w:fill="auto"/>
            <w:vAlign w:val="center"/>
          </w:tcPr>
          <w:p w14:paraId="55A3CC1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1.25</w:t>
            </w:r>
          </w:p>
        </w:tc>
        <w:tc>
          <w:tcPr>
            <w:tcW w:w="568" w:type="dxa"/>
            <w:shd w:val="clear" w:color="auto" w:fill="auto"/>
            <w:vAlign w:val="center"/>
          </w:tcPr>
          <w:p w14:paraId="78BE15E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80</w:t>
            </w:r>
          </w:p>
        </w:tc>
        <w:tc>
          <w:tcPr>
            <w:tcW w:w="721" w:type="dxa"/>
            <w:shd w:val="clear" w:color="auto" w:fill="auto"/>
            <w:vAlign w:val="center"/>
          </w:tcPr>
          <w:p w14:paraId="4CF4A95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DN150</w:t>
            </w:r>
          </w:p>
        </w:tc>
        <w:tc>
          <w:tcPr>
            <w:tcW w:w="943" w:type="dxa"/>
            <w:shd w:val="clear" w:color="auto" w:fill="auto"/>
            <w:vAlign w:val="center"/>
          </w:tcPr>
          <w:p w14:paraId="274170D5">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钢衬超高分子量聚乙烯管道</w:t>
            </w:r>
          </w:p>
        </w:tc>
        <w:tc>
          <w:tcPr>
            <w:tcW w:w="492" w:type="dxa"/>
            <w:shd w:val="clear" w:color="auto" w:fill="auto"/>
            <w:vAlign w:val="center"/>
          </w:tcPr>
          <w:p w14:paraId="24A7BE55">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798" w:type="dxa"/>
            <w:shd w:val="clear" w:color="auto" w:fill="auto"/>
            <w:vAlign w:val="center"/>
          </w:tcPr>
          <w:p w14:paraId="7ED0924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GC2</w:t>
            </w:r>
          </w:p>
        </w:tc>
        <w:tc>
          <w:tcPr>
            <w:tcW w:w="1350" w:type="dxa"/>
            <w:vAlign w:val="center"/>
          </w:tcPr>
          <w:p w14:paraId="6D8FBE8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氟硅酸送料泵（P-4021S）、祥丰金麦厂内（A01轴西侧）</w:t>
            </w:r>
          </w:p>
        </w:tc>
        <w:tc>
          <w:tcPr>
            <w:tcW w:w="1351" w:type="dxa"/>
            <w:vAlign w:val="center"/>
          </w:tcPr>
          <w:p w14:paraId="355E4C4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硫酸/氟硅酸/氢氟酸罐组（00191B）、瓮福祥丰氟化氢厂内</w:t>
            </w:r>
          </w:p>
        </w:tc>
      </w:tr>
      <w:tr w14:paraId="57544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7" w:type="dxa"/>
            <w:shd w:val="clear" w:color="auto" w:fill="auto"/>
            <w:vAlign w:val="center"/>
          </w:tcPr>
          <w:p w14:paraId="1D5EC41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3</w:t>
            </w:r>
          </w:p>
        </w:tc>
        <w:tc>
          <w:tcPr>
            <w:tcW w:w="568" w:type="dxa"/>
            <w:shd w:val="clear" w:color="auto" w:fill="auto"/>
            <w:vAlign w:val="center"/>
          </w:tcPr>
          <w:p w14:paraId="16EEE81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浓硫酸</w:t>
            </w:r>
          </w:p>
        </w:tc>
        <w:tc>
          <w:tcPr>
            <w:tcW w:w="721" w:type="dxa"/>
            <w:shd w:val="clear" w:color="auto" w:fill="auto"/>
            <w:vAlign w:val="center"/>
          </w:tcPr>
          <w:p w14:paraId="60DF960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100m</w:t>
            </w:r>
            <w:r>
              <w:rPr>
                <w:rFonts w:hint="default" w:ascii="Times New Roman" w:hAnsi="Times New Roman" w:eastAsia="宋体" w:cs="Times New Roman"/>
                <w:color w:val="auto"/>
                <w:sz w:val="21"/>
                <w:szCs w:val="21"/>
                <w:highlight w:val="none"/>
                <w:vertAlign w:val="superscript"/>
                <w:lang w:bidi="ar"/>
              </w:rPr>
              <w:t>3</w:t>
            </w:r>
            <w:r>
              <w:rPr>
                <w:rFonts w:hint="default" w:ascii="Times New Roman" w:hAnsi="Times New Roman" w:eastAsia="宋体" w:cs="Times New Roman"/>
                <w:color w:val="auto"/>
                <w:sz w:val="21"/>
                <w:szCs w:val="21"/>
                <w:highlight w:val="none"/>
                <w:lang w:bidi="ar"/>
              </w:rPr>
              <w:t>/h</w:t>
            </w:r>
          </w:p>
        </w:tc>
        <w:tc>
          <w:tcPr>
            <w:tcW w:w="645" w:type="dxa"/>
            <w:shd w:val="clear" w:color="auto" w:fill="auto"/>
            <w:vAlign w:val="center"/>
          </w:tcPr>
          <w:p w14:paraId="2EE3DBC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1.35</w:t>
            </w:r>
          </w:p>
        </w:tc>
        <w:tc>
          <w:tcPr>
            <w:tcW w:w="568" w:type="dxa"/>
            <w:shd w:val="clear" w:color="auto" w:fill="auto"/>
            <w:vAlign w:val="center"/>
          </w:tcPr>
          <w:p w14:paraId="2AB3184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30</w:t>
            </w:r>
          </w:p>
        </w:tc>
        <w:tc>
          <w:tcPr>
            <w:tcW w:w="568" w:type="dxa"/>
            <w:shd w:val="clear" w:color="auto" w:fill="auto"/>
            <w:vAlign w:val="center"/>
          </w:tcPr>
          <w:p w14:paraId="4E9924D5">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1.8</w:t>
            </w:r>
          </w:p>
        </w:tc>
        <w:tc>
          <w:tcPr>
            <w:tcW w:w="568" w:type="dxa"/>
            <w:shd w:val="clear" w:color="auto" w:fill="auto"/>
            <w:vAlign w:val="center"/>
          </w:tcPr>
          <w:p w14:paraId="0D44C2D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50</w:t>
            </w:r>
          </w:p>
        </w:tc>
        <w:tc>
          <w:tcPr>
            <w:tcW w:w="721" w:type="dxa"/>
            <w:shd w:val="clear" w:color="auto" w:fill="auto"/>
            <w:vAlign w:val="center"/>
          </w:tcPr>
          <w:p w14:paraId="260A742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DN200</w:t>
            </w:r>
          </w:p>
        </w:tc>
        <w:tc>
          <w:tcPr>
            <w:tcW w:w="943" w:type="dxa"/>
            <w:shd w:val="clear" w:color="auto" w:fill="auto"/>
            <w:vAlign w:val="center"/>
          </w:tcPr>
          <w:p w14:paraId="3FE0FB0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不锈钢304</w:t>
            </w:r>
          </w:p>
        </w:tc>
        <w:tc>
          <w:tcPr>
            <w:tcW w:w="492" w:type="dxa"/>
            <w:shd w:val="clear" w:color="auto" w:fill="auto"/>
            <w:vAlign w:val="center"/>
          </w:tcPr>
          <w:p w14:paraId="024272F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798" w:type="dxa"/>
            <w:shd w:val="clear" w:color="auto" w:fill="auto"/>
            <w:vAlign w:val="center"/>
          </w:tcPr>
          <w:p w14:paraId="0AF869B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GC2</w:t>
            </w:r>
          </w:p>
        </w:tc>
        <w:tc>
          <w:tcPr>
            <w:tcW w:w="1350" w:type="dxa"/>
            <w:vAlign w:val="center"/>
          </w:tcPr>
          <w:p w14:paraId="282E5AC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浓硫酸输送泵（P-4031A/S）、祥丰金麦厂内（A01轴西侧）</w:t>
            </w:r>
          </w:p>
        </w:tc>
        <w:tc>
          <w:tcPr>
            <w:tcW w:w="1351" w:type="dxa"/>
            <w:vAlign w:val="center"/>
          </w:tcPr>
          <w:p w14:paraId="39651C4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硫酸/氟硅酸/氢氟酸罐组</w:t>
            </w:r>
          </w:p>
          <w:p w14:paraId="5928AC9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（00191B）、瓮福祥丰氟化氢厂内</w:t>
            </w:r>
          </w:p>
        </w:tc>
      </w:tr>
      <w:tr w14:paraId="7E971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7" w:type="dxa"/>
            <w:shd w:val="clear" w:color="auto" w:fill="auto"/>
            <w:vAlign w:val="center"/>
          </w:tcPr>
          <w:p w14:paraId="4AF1222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4</w:t>
            </w:r>
          </w:p>
        </w:tc>
        <w:tc>
          <w:tcPr>
            <w:tcW w:w="568" w:type="dxa"/>
            <w:shd w:val="clear" w:color="auto" w:fill="auto"/>
            <w:vAlign w:val="center"/>
          </w:tcPr>
          <w:p w14:paraId="5DDB1CD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再浆水</w:t>
            </w:r>
          </w:p>
        </w:tc>
        <w:tc>
          <w:tcPr>
            <w:tcW w:w="721" w:type="dxa"/>
            <w:shd w:val="clear" w:color="auto" w:fill="auto"/>
            <w:vAlign w:val="center"/>
          </w:tcPr>
          <w:p w14:paraId="5DA3AE4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31m</w:t>
            </w:r>
            <w:r>
              <w:rPr>
                <w:rFonts w:hint="default" w:ascii="Times New Roman" w:hAnsi="Times New Roman" w:eastAsia="宋体" w:cs="Times New Roman"/>
                <w:color w:val="auto"/>
                <w:sz w:val="21"/>
                <w:szCs w:val="21"/>
                <w:highlight w:val="none"/>
                <w:vertAlign w:val="superscript"/>
                <w:lang w:bidi="ar"/>
              </w:rPr>
              <w:t>3</w:t>
            </w:r>
            <w:r>
              <w:rPr>
                <w:rFonts w:hint="default" w:ascii="Times New Roman" w:hAnsi="Times New Roman" w:eastAsia="宋体" w:cs="Times New Roman"/>
                <w:color w:val="auto"/>
                <w:sz w:val="21"/>
                <w:szCs w:val="21"/>
                <w:highlight w:val="none"/>
                <w:lang w:bidi="ar"/>
              </w:rPr>
              <w:t>/h</w:t>
            </w:r>
          </w:p>
        </w:tc>
        <w:tc>
          <w:tcPr>
            <w:tcW w:w="645" w:type="dxa"/>
            <w:shd w:val="clear" w:color="auto" w:fill="auto"/>
            <w:vAlign w:val="center"/>
          </w:tcPr>
          <w:p w14:paraId="7AA6CE5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0.5</w:t>
            </w:r>
          </w:p>
        </w:tc>
        <w:tc>
          <w:tcPr>
            <w:tcW w:w="568" w:type="dxa"/>
            <w:shd w:val="clear" w:color="auto" w:fill="auto"/>
            <w:vAlign w:val="center"/>
          </w:tcPr>
          <w:p w14:paraId="116CC2A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30</w:t>
            </w:r>
          </w:p>
        </w:tc>
        <w:tc>
          <w:tcPr>
            <w:tcW w:w="568" w:type="dxa"/>
            <w:shd w:val="clear" w:color="auto" w:fill="auto"/>
            <w:vAlign w:val="center"/>
          </w:tcPr>
          <w:p w14:paraId="44D51525">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1.0</w:t>
            </w:r>
          </w:p>
        </w:tc>
        <w:tc>
          <w:tcPr>
            <w:tcW w:w="568" w:type="dxa"/>
            <w:shd w:val="clear" w:color="auto" w:fill="auto"/>
            <w:vAlign w:val="center"/>
          </w:tcPr>
          <w:p w14:paraId="6440728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60</w:t>
            </w:r>
          </w:p>
        </w:tc>
        <w:tc>
          <w:tcPr>
            <w:tcW w:w="721" w:type="dxa"/>
            <w:shd w:val="clear" w:color="auto" w:fill="auto"/>
            <w:vAlign w:val="center"/>
          </w:tcPr>
          <w:p w14:paraId="041211B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DN100</w:t>
            </w:r>
          </w:p>
        </w:tc>
        <w:tc>
          <w:tcPr>
            <w:tcW w:w="943" w:type="dxa"/>
            <w:shd w:val="clear" w:color="auto" w:fill="auto"/>
            <w:vAlign w:val="center"/>
          </w:tcPr>
          <w:p w14:paraId="2EAB87A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钢骨架复合PE</w:t>
            </w:r>
          </w:p>
        </w:tc>
        <w:tc>
          <w:tcPr>
            <w:tcW w:w="492" w:type="dxa"/>
            <w:shd w:val="clear" w:color="auto" w:fill="auto"/>
            <w:vAlign w:val="center"/>
          </w:tcPr>
          <w:p w14:paraId="2CDA0DC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798" w:type="dxa"/>
            <w:shd w:val="clear" w:color="auto" w:fill="auto"/>
            <w:vAlign w:val="center"/>
          </w:tcPr>
          <w:p w14:paraId="78B20FB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GC2</w:t>
            </w:r>
          </w:p>
        </w:tc>
        <w:tc>
          <w:tcPr>
            <w:tcW w:w="1350" w:type="dxa"/>
            <w:vAlign w:val="center"/>
          </w:tcPr>
          <w:p w14:paraId="68CF666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磷酸厂再浆水泵、祥丰金麦厂内（C14轴附近）</w:t>
            </w:r>
          </w:p>
        </w:tc>
        <w:tc>
          <w:tcPr>
            <w:tcW w:w="1351" w:type="dxa"/>
            <w:vAlign w:val="center"/>
          </w:tcPr>
          <w:p w14:paraId="75E7063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AHF装置（00742）、瓮福祥丰氟化氢厂内</w:t>
            </w:r>
          </w:p>
        </w:tc>
      </w:tr>
      <w:tr w14:paraId="54C81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7" w:type="dxa"/>
            <w:shd w:val="clear" w:color="auto" w:fill="auto"/>
            <w:vAlign w:val="center"/>
          </w:tcPr>
          <w:p w14:paraId="7BD826B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5</w:t>
            </w:r>
          </w:p>
        </w:tc>
        <w:tc>
          <w:tcPr>
            <w:tcW w:w="568" w:type="dxa"/>
            <w:shd w:val="clear" w:color="auto" w:fill="auto"/>
            <w:vAlign w:val="center"/>
          </w:tcPr>
          <w:p w14:paraId="27066CF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脱盐水</w:t>
            </w:r>
          </w:p>
        </w:tc>
        <w:tc>
          <w:tcPr>
            <w:tcW w:w="721" w:type="dxa"/>
            <w:shd w:val="clear" w:color="auto" w:fill="auto"/>
            <w:vAlign w:val="center"/>
          </w:tcPr>
          <w:p w14:paraId="7A211885">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2t/h</w:t>
            </w:r>
          </w:p>
        </w:tc>
        <w:tc>
          <w:tcPr>
            <w:tcW w:w="645" w:type="dxa"/>
            <w:shd w:val="clear" w:color="auto" w:fill="auto"/>
            <w:vAlign w:val="center"/>
          </w:tcPr>
          <w:p w14:paraId="1AA71D7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0.8</w:t>
            </w:r>
          </w:p>
        </w:tc>
        <w:tc>
          <w:tcPr>
            <w:tcW w:w="568" w:type="dxa"/>
            <w:shd w:val="clear" w:color="auto" w:fill="auto"/>
            <w:vAlign w:val="center"/>
          </w:tcPr>
          <w:p w14:paraId="5D1E587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常温</w:t>
            </w:r>
          </w:p>
        </w:tc>
        <w:tc>
          <w:tcPr>
            <w:tcW w:w="568" w:type="dxa"/>
            <w:shd w:val="clear" w:color="auto" w:fill="auto"/>
            <w:vAlign w:val="center"/>
          </w:tcPr>
          <w:p w14:paraId="125ED2A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1.0</w:t>
            </w:r>
          </w:p>
        </w:tc>
        <w:tc>
          <w:tcPr>
            <w:tcW w:w="568" w:type="dxa"/>
            <w:shd w:val="clear" w:color="auto" w:fill="auto"/>
            <w:vAlign w:val="center"/>
          </w:tcPr>
          <w:p w14:paraId="25AFD68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60</w:t>
            </w:r>
          </w:p>
        </w:tc>
        <w:tc>
          <w:tcPr>
            <w:tcW w:w="721" w:type="dxa"/>
            <w:shd w:val="clear" w:color="auto" w:fill="auto"/>
            <w:vAlign w:val="center"/>
          </w:tcPr>
          <w:p w14:paraId="5DE339B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DN40</w:t>
            </w:r>
          </w:p>
        </w:tc>
        <w:tc>
          <w:tcPr>
            <w:tcW w:w="943" w:type="dxa"/>
            <w:shd w:val="clear" w:color="auto" w:fill="auto"/>
            <w:vAlign w:val="center"/>
          </w:tcPr>
          <w:p w14:paraId="0D66FCA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不锈钢304</w:t>
            </w:r>
          </w:p>
        </w:tc>
        <w:tc>
          <w:tcPr>
            <w:tcW w:w="492" w:type="dxa"/>
            <w:shd w:val="clear" w:color="auto" w:fill="auto"/>
            <w:vAlign w:val="center"/>
          </w:tcPr>
          <w:p w14:paraId="757455E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798" w:type="dxa"/>
            <w:shd w:val="clear" w:color="auto" w:fill="auto"/>
            <w:vAlign w:val="center"/>
          </w:tcPr>
          <w:p w14:paraId="3204C9C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1350" w:type="dxa"/>
            <w:vAlign w:val="center"/>
          </w:tcPr>
          <w:p w14:paraId="6B37AEB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磷酸厂氨罐区东角脱盐水管网、祥丰石化厂内（E51轴西侧）</w:t>
            </w:r>
          </w:p>
        </w:tc>
        <w:tc>
          <w:tcPr>
            <w:tcW w:w="1351" w:type="dxa"/>
            <w:vAlign w:val="center"/>
          </w:tcPr>
          <w:p w14:paraId="2729805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AHF装置（00742）、瓮福祥丰氟化氢厂内</w:t>
            </w:r>
          </w:p>
        </w:tc>
      </w:tr>
      <w:tr w14:paraId="1A2F7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7" w:type="dxa"/>
            <w:shd w:val="clear" w:color="auto" w:fill="auto"/>
            <w:vAlign w:val="center"/>
          </w:tcPr>
          <w:p w14:paraId="2855FD0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6</w:t>
            </w:r>
          </w:p>
        </w:tc>
        <w:tc>
          <w:tcPr>
            <w:tcW w:w="568" w:type="dxa"/>
            <w:shd w:val="clear" w:color="auto" w:fill="auto"/>
            <w:vAlign w:val="center"/>
          </w:tcPr>
          <w:p w14:paraId="7C02D97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饱和蒸汽</w:t>
            </w:r>
          </w:p>
        </w:tc>
        <w:tc>
          <w:tcPr>
            <w:tcW w:w="721" w:type="dxa"/>
            <w:shd w:val="clear" w:color="auto" w:fill="auto"/>
            <w:vAlign w:val="center"/>
          </w:tcPr>
          <w:p w14:paraId="732922E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23.1t/h</w:t>
            </w:r>
          </w:p>
        </w:tc>
        <w:tc>
          <w:tcPr>
            <w:tcW w:w="645" w:type="dxa"/>
            <w:shd w:val="clear" w:color="auto" w:fill="auto"/>
            <w:vAlign w:val="center"/>
          </w:tcPr>
          <w:p w14:paraId="05743A1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1.2</w:t>
            </w:r>
          </w:p>
        </w:tc>
        <w:tc>
          <w:tcPr>
            <w:tcW w:w="568" w:type="dxa"/>
            <w:shd w:val="clear" w:color="auto" w:fill="auto"/>
            <w:vAlign w:val="center"/>
          </w:tcPr>
          <w:p w14:paraId="061F349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192</w:t>
            </w:r>
          </w:p>
        </w:tc>
        <w:tc>
          <w:tcPr>
            <w:tcW w:w="568" w:type="dxa"/>
            <w:shd w:val="clear" w:color="auto" w:fill="auto"/>
            <w:vAlign w:val="center"/>
          </w:tcPr>
          <w:p w14:paraId="2C3679F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1.6</w:t>
            </w:r>
          </w:p>
        </w:tc>
        <w:tc>
          <w:tcPr>
            <w:tcW w:w="568" w:type="dxa"/>
            <w:shd w:val="clear" w:color="auto" w:fill="auto"/>
            <w:vAlign w:val="center"/>
          </w:tcPr>
          <w:p w14:paraId="28CFE34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210</w:t>
            </w:r>
          </w:p>
        </w:tc>
        <w:tc>
          <w:tcPr>
            <w:tcW w:w="721" w:type="dxa"/>
            <w:shd w:val="clear" w:color="auto" w:fill="auto"/>
            <w:vAlign w:val="center"/>
          </w:tcPr>
          <w:p w14:paraId="077BA47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DN250</w:t>
            </w:r>
          </w:p>
        </w:tc>
        <w:tc>
          <w:tcPr>
            <w:tcW w:w="943" w:type="dxa"/>
            <w:shd w:val="clear" w:color="auto" w:fill="auto"/>
            <w:vAlign w:val="center"/>
          </w:tcPr>
          <w:p w14:paraId="1A737CB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20</w:t>
            </w:r>
            <w:r>
              <w:rPr>
                <w:rFonts w:hint="default" w:ascii="Times New Roman" w:hAnsi="Times New Roman" w:eastAsia="宋体" w:cs="Times New Roman"/>
                <w:color w:val="auto"/>
                <w:sz w:val="21"/>
                <w:szCs w:val="21"/>
                <w:highlight w:val="none"/>
                <w:vertAlign w:val="superscript"/>
                <w:lang w:bidi="ar"/>
              </w:rPr>
              <w:t>#</w:t>
            </w:r>
            <w:r>
              <w:rPr>
                <w:rFonts w:hint="default" w:ascii="Times New Roman" w:hAnsi="Times New Roman" w:eastAsia="宋体" w:cs="Times New Roman"/>
                <w:color w:val="auto"/>
                <w:sz w:val="21"/>
                <w:szCs w:val="21"/>
                <w:highlight w:val="none"/>
                <w:lang w:bidi="ar"/>
              </w:rPr>
              <w:t>碳钢</w:t>
            </w:r>
          </w:p>
        </w:tc>
        <w:tc>
          <w:tcPr>
            <w:tcW w:w="492" w:type="dxa"/>
            <w:shd w:val="clear" w:color="auto" w:fill="auto"/>
            <w:vAlign w:val="center"/>
          </w:tcPr>
          <w:p w14:paraId="7605772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绝热</w:t>
            </w:r>
          </w:p>
        </w:tc>
        <w:tc>
          <w:tcPr>
            <w:tcW w:w="798" w:type="dxa"/>
            <w:shd w:val="clear" w:color="auto" w:fill="auto"/>
            <w:vAlign w:val="center"/>
          </w:tcPr>
          <w:p w14:paraId="7808127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GC2</w:t>
            </w:r>
          </w:p>
        </w:tc>
        <w:tc>
          <w:tcPr>
            <w:tcW w:w="1350" w:type="dxa"/>
            <w:vAlign w:val="center"/>
          </w:tcPr>
          <w:p w14:paraId="4DAE3A7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磷酸厂</w:t>
            </w:r>
            <w:r>
              <w:rPr>
                <w:rFonts w:hint="default" w:ascii="Times New Roman" w:hAnsi="Times New Roman" w:eastAsia="宋体" w:cs="Times New Roman"/>
                <w:color w:val="auto"/>
                <w:sz w:val="21"/>
                <w:szCs w:val="21"/>
                <w:highlight w:val="none"/>
              </w:rPr>
              <w:t>合成氨装置西南侧蒸汽管网</w:t>
            </w:r>
            <w:r>
              <w:rPr>
                <w:rFonts w:hint="default" w:ascii="Times New Roman" w:hAnsi="Times New Roman" w:eastAsia="宋体" w:cs="Times New Roman"/>
                <w:color w:val="auto"/>
                <w:sz w:val="21"/>
                <w:szCs w:val="21"/>
                <w:highlight w:val="none"/>
                <w:lang w:bidi="ar"/>
              </w:rPr>
              <w:t>、祥丰石化厂内（D22轴南侧）</w:t>
            </w:r>
          </w:p>
        </w:tc>
        <w:tc>
          <w:tcPr>
            <w:tcW w:w="1351" w:type="dxa"/>
            <w:vAlign w:val="center"/>
          </w:tcPr>
          <w:p w14:paraId="3473599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经减温减压去各装置用户、瓮福祥丰氟化氢厂内</w:t>
            </w:r>
          </w:p>
          <w:p w14:paraId="35F4E83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p>
        </w:tc>
      </w:tr>
      <w:tr w14:paraId="64EE2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7" w:type="dxa"/>
            <w:shd w:val="clear" w:color="auto" w:fill="auto"/>
            <w:vAlign w:val="center"/>
          </w:tcPr>
          <w:p w14:paraId="696107A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7</w:t>
            </w:r>
          </w:p>
        </w:tc>
        <w:tc>
          <w:tcPr>
            <w:tcW w:w="568" w:type="dxa"/>
            <w:shd w:val="clear" w:color="auto" w:fill="auto"/>
            <w:vAlign w:val="center"/>
          </w:tcPr>
          <w:p w14:paraId="5AB6290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工艺水</w:t>
            </w:r>
          </w:p>
        </w:tc>
        <w:tc>
          <w:tcPr>
            <w:tcW w:w="721" w:type="dxa"/>
            <w:shd w:val="clear" w:color="auto" w:fill="auto"/>
            <w:vAlign w:val="center"/>
          </w:tcPr>
          <w:p w14:paraId="28B8FF7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180m</w:t>
            </w:r>
            <w:r>
              <w:rPr>
                <w:rFonts w:hint="default" w:ascii="Times New Roman" w:hAnsi="Times New Roman" w:eastAsia="宋体" w:cs="Times New Roman"/>
                <w:color w:val="auto"/>
                <w:sz w:val="21"/>
                <w:szCs w:val="21"/>
                <w:highlight w:val="none"/>
                <w:vertAlign w:val="superscript"/>
                <w:lang w:bidi="ar"/>
              </w:rPr>
              <w:t>3</w:t>
            </w:r>
            <w:r>
              <w:rPr>
                <w:rFonts w:hint="default" w:ascii="Times New Roman" w:hAnsi="Times New Roman" w:eastAsia="宋体" w:cs="Times New Roman"/>
                <w:color w:val="auto"/>
                <w:sz w:val="21"/>
                <w:szCs w:val="21"/>
                <w:highlight w:val="none"/>
                <w:lang w:bidi="ar"/>
              </w:rPr>
              <w:t>/h</w:t>
            </w:r>
          </w:p>
        </w:tc>
        <w:tc>
          <w:tcPr>
            <w:tcW w:w="645" w:type="dxa"/>
            <w:shd w:val="clear" w:color="auto" w:fill="auto"/>
            <w:vAlign w:val="center"/>
          </w:tcPr>
          <w:p w14:paraId="61F90B2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0.6</w:t>
            </w:r>
          </w:p>
        </w:tc>
        <w:tc>
          <w:tcPr>
            <w:tcW w:w="568" w:type="dxa"/>
            <w:shd w:val="clear" w:color="auto" w:fill="auto"/>
            <w:vAlign w:val="center"/>
          </w:tcPr>
          <w:p w14:paraId="25A14555">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常温</w:t>
            </w:r>
          </w:p>
        </w:tc>
        <w:tc>
          <w:tcPr>
            <w:tcW w:w="568" w:type="dxa"/>
            <w:shd w:val="clear" w:color="auto" w:fill="auto"/>
            <w:vAlign w:val="center"/>
          </w:tcPr>
          <w:p w14:paraId="411DF99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1.2</w:t>
            </w:r>
          </w:p>
        </w:tc>
        <w:tc>
          <w:tcPr>
            <w:tcW w:w="568" w:type="dxa"/>
            <w:shd w:val="clear" w:color="auto" w:fill="auto"/>
            <w:vAlign w:val="center"/>
          </w:tcPr>
          <w:p w14:paraId="4913749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60</w:t>
            </w:r>
          </w:p>
        </w:tc>
        <w:tc>
          <w:tcPr>
            <w:tcW w:w="721" w:type="dxa"/>
            <w:shd w:val="clear" w:color="auto" w:fill="auto"/>
            <w:vAlign w:val="center"/>
          </w:tcPr>
          <w:p w14:paraId="121ECBF5">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DN150</w:t>
            </w:r>
          </w:p>
        </w:tc>
        <w:tc>
          <w:tcPr>
            <w:tcW w:w="943" w:type="dxa"/>
            <w:shd w:val="clear" w:color="auto" w:fill="auto"/>
            <w:vAlign w:val="center"/>
          </w:tcPr>
          <w:p w14:paraId="2360870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20</w:t>
            </w:r>
            <w:r>
              <w:rPr>
                <w:rFonts w:hint="default" w:ascii="Times New Roman" w:hAnsi="Times New Roman" w:eastAsia="宋体" w:cs="Times New Roman"/>
                <w:color w:val="auto"/>
                <w:sz w:val="21"/>
                <w:szCs w:val="21"/>
                <w:highlight w:val="none"/>
                <w:vertAlign w:val="superscript"/>
                <w:lang w:bidi="ar"/>
              </w:rPr>
              <w:t>#</w:t>
            </w:r>
            <w:r>
              <w:rPr>
                <w:rFonts w:hint="default" w:ascii="Times New Roman" w:hAnsi="Times New Roman" w:eastAsia="宋体" w:cs="Times New Roman"/>
                <w:color w:val="auto"/>
                <w:sz w:val="21"/>
                <w:szCs w:val="21"/>
                <w:highlight w:val="none"/>
                <w:lang w:bidi="ar"/>
              </w:rPr>
              <w:t>碳钢</w:t>
            </w:r>
          </w:p>
        </w:tc>
        <w:tc>
          <w:tcPr>
            <w:tcW w:w="492" w:type="dxa"/>
            <w:shd w:val="clear" w:color="auto" w:fill="auto"/>
            <w:vAlign w:val="center"/>
          </w:tcPr>
          <w:p w14:paraId="3DA5AB3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798" w:type="dxa"/>
            <w:shd w:val="clear" w:color="auto" w:fill="auto"/>
            <w:vAlign w:val="center"/>
          </w:tcPr>
          <w:p w14:paraId="5CF7D02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1350" w:type="dxa"/>
            <w:vAlign w:val="center"/>
          </w:tcPr>
          <w:p w14:paraId="3B3BA82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磷酸厂合成氨装置东北侧管网、祥丰石化厂内（D59轴南侧）</w:t>
            </w:r>
          </w:p>
        </w:tc>
        <w:tc>
          <w:tcPr>
            <w:tcW w:w="1351" w:type="dxa"/>
            <w:vAlign w:val="center"/>
          </w:tcPr>
          <w:p w14:paraId="3A41697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去各装置用户、瓮福祥丰氟化氢厂内</w:t>
            </w:r>
          </w:p>
        </w:tc>
      </w:tr>
      <w:tr w14:paraId="43DE3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7" w:type="dxa"/>
            <w:shd w:val="clear" w:color="auto" w:fill="auto"/>
            <w:vAlign w:val="center"/>
          </w:tcPr>
          <w:p w14:paraId="3A26D5B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8</w:t>
            </w:r>
          </w:p>
        </w:tc>
        <w:tc>
          <w:tcPr>
            <w:tcW w:w="568" w:type="dxa"/>
            <w:shd w:val="clear" w:color="auto" w:fill="auto"/>
            <w:vAlign w:val="center"/>
          </w:tcPr>
          <w:p w14:paraId="7630C0D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生活水</w:t>
            </w:r>
          </w:p>
        </w:tc>
        <w:tc>
          <w:tcPr>
            <w:tcW w:w="721" w:type="dxa"/>
            <w:shd w:val="clear" w:color="auto" w:fill="auto"/>
            <w:vAlign w:val="center"/>
          </w:tcPr>
          <w:p w14:paraId="01EB415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10m</w:t>
            </w:r>
            <w:r>
              <w:rPr>
                <w:rFonts w:hint="default" w:ascii="Times New Roman" w:hAnsi="Times New Roman" w:eastAsia="宋体" w:cs="Times New Roman"/>
                <w:color w:val="auto"/>
                <w:sz w:val="21"/>
                <w:szCs w:val="21"/>
                <w:highlight w:val="none"/>
                <w:vertAlign w:val="superscript"/>
                <w:lang w:bidi="ar"/>
              </w:rPr>
              <w:t>3</w:t>
            </w:r>
            <w:r>
              <w:rPr>
                <w:rFonts w:hint="default" w:ascii="Times New Roman" w:hAnsi="Times New Roman" w:eastAsia="宋体" w:cs="Times New Roman"/>
                <w:color w:val="auto"/>
                <w:sz w:val="21"/>
                <w:szCs w:val="21"/>
                <w:highlight w:val="none"/>
                <w:lang w:bidi="ar"/>
              </w:rPr>
              <w:t>/h</w:t>
            </w:r>
          </w:p>
        </w:tc>
        <w:tc>
          <w:tcPr>
            <w:tcW w:w="645" w:type="dxa"/>
            <w:shd w:val="clear" w:color="auto" w:fill="auto"/>
            <w:vAlign w:val="center"/>
          </w:tcPr>
          <w:p w14:paraId="47DB6A8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0.3</w:t>
            </w:r>
          </w:p>
        </w:tc>
        <w:tc>
          <w:tcPr>
            <w:tcW w:w="568" w:type="dxa"/>
            <w:shd w:val="clear" w:color="auto" w:fill="auto"/>
            <w:vAlign w:val="center"/>
          </w:tcPr>
          <w:p w14:paraId="333DE2F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常温</w:t>
            </w:r>
          </w:p>
        </w:tc>
        <w:tc>
          <w:tcPr>
            <w:tcW w:w="568" w:type="dxa"/>
            <w:shd w:val="clear" w:color="auto" w:fill="auto"/>
            <w:vAlign w:val="center"/>
          </w:tcPr>
          <w:p w14:paraId="5A06DD7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0.6</w:t>
            </w:r>
          </w:p>
        </w:tc>
        <w:tc>
          <w:tcPr>
            <w:tcW w:w="568" w:type="dxa"/>
            <w:shd w:val="clear" w:color="auto" w:fill="auto"/>
            <w:vAlign w:val="center"/>
          </w:tcPr>
          <w:p w14:paraId="069F3F3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60</w:t>
            </w:r>
          </w:p>
        </w:tc>
        <w:tc>
          <w:tcPr>
            <w:tcW w:w="721" w:type="dxa"/>
            <w:shd w:val="clear" w:color="auto" w:fill="auto"/>
            <w:vAlign w:val="center"/>
          </w:tcPr>
          <w:p w14:paraId="595FE1A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DN80</w:t>
            </w:r>
          </w:p>
        </w:tc>
        <w:tc>
          <w:tcPr>
            <w:tcW w:w="943" w:type="dxa"/>
            <w:shd w:val="clear" w:color="auto" w:fill="auto"/>
            <w:vAlign w:val="center"/>
          </w:tcPr>
          <w:p w14:paraId="69153B2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不锈钢304</w:t>
            </w:r>
          </w:p>
        </w:tc>
        <w:tc>
          <w:tcPr>
            <w:tcW w:w="492" w:type="dxa"/>
            <w:shd w:val="clear" w:color="auto" w:fill="auto"/>
            <w:vAlign w:val="center"/>
          </w:tcPr>
          <w:p w14:paraId="4540262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798" w:type="dxa"/>
            <w:shd w:val="clear" w:color="auto" w:fill="auto"/>
            <w:vAlign w:val="center"/>
          </w:tcPr>
          <w:p w14:paraId="09B9E29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1350" w:type="dxa"/>
            <w:vAlign w:val="center"/>
          </w:tcPr>
          <w:p w14:paraId="58D81B5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磷酸厂</w:t>
            </w:r>
            <w:r>
              <w:rPr>
                <w:rFonts w:hint="default" w:ascii="Times New Roman" w:hAnsi="Times New Roman" w:eastAsia="宋体" w:cs="Times New Roman"/>
                <w:color w:val="auto"/>
                <w:sz w:val="21"/>
                <w:szCs w:val="21"/>
                <w:highlight w:val="none"/>
              </w:rPr>
              <w:t>仓库区北侧绿化带附近管网、园区3号路南</w:t>
            </w:r>
          </w:p>
        </w:tc>
        <w:tc>
          <w:tcPr>
            <w:tcW w:w="1351" w:type="dxa"/>
            <w:vAlign w:val="center"/>
          </w:tcPr>
          <w:p w14:paraId="65AE4D35">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去各装置用户、瓮福祥丰氟化氢厂内</w:t>
            </w:r>
          </w:p>
        </w:tc>
      </w:tr>
      <w:tr w14:paraId="13175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7" w:type="dxa"/>
            <w:shd w:val="clear" w:color="auto" w:fill="auto"/>
            <w:vAlign w:val="center"/>
          </w:tcPr>
          <w:p w14:paraId="32684EE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9</w:t>
            </w:r>
          </w:p>
        </w:tc>
        <w:tc>
          <w:tcPr>
            <w:tcW w:w="568" w:type="dxa"/>
            <w:shd w:val="clear" w:color="auto" w:fill="auto"/>
            <w:vAlign w:val="center"/>
          </w:tcPr>
          <w:p w14:paraId="18176215">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消防水</w:t>
            </w:r>
          </w:p>
        </w:tc>
        <w:tc>
          <w:tcPr>
            <w:tcW w:w="721" w:type="dxa"/>
            <w:shd w:val="clear" w:color="auto" w:fill="auto"/>
            <w:vAlign w:val="center"/>
          </w:tcPr>
          <w:p w14:paraId="527E848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645" w:type="dxa"/>
            <w:shd w:val="clear" w:color="auto" w:fill="auto"/>
            <w:vAlign w:val="center"/>
          </w:tcPr>
          <w:p w14:paraId="32AE03A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0.7</w:t>
            </w:r>
          </w:p>
        </w:tc>
        <w:tc>
          <w:tcPr>
            <w:tcW w:w="568" w:type="dxa"/>
            <w:shd w:val="clear" w:color="auto" w:fill="auto"/>
            <w:vAlign w:val="center"/>
          </w:tcPr>
          <w:p w14:paraId="1886D7E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30</w:t>
            </w:r>
          </w:p>
        </w:tc>
        <w:tc>
          <w:tcPr>
            <w:tcW w:w="568" w:type="dxa"/>
            <w:shd w:val="clear" w:color="auto" w:fill="auto"/>
            <w:vAlign w:val="center"/>
          </w:tcPr>
          <w:p w14:paraId="6900E90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1.5</w:t>
            </w:r>
          </w:p>
        </w:tc>
        <w:tc>
          <w:tcPr>
            <w:tcW w:w="568" w:type="dxa"/>
            <w:shd w:val="clear" w:color="auto" w:fill="auto"/>
            <w:vAlign w:val="center"/>
          </w:tcPr>
          <w:p w14:paraId="7578309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60</w:t>
            </w:r>
          </w:p>
        </w:tc>
        <w:tc>
          <w:tcPr>
            <w:tcW w:w="721" w:type="dxa"/>
            <w:shd w:val="clear" w:color="auto" w:fill="auto"/>
            <w:vAlign w:val="center"/>
          </w:tcPr>
          <w:p w14:paraId="19C2C74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DN300</w:t>
            </w:r>
          </w:p>
        </w:tc>
        <w:tc>
          <w:tcPr>
            <w:tcW w:w="943" w:type="dxa"/>
            <w:shd w:val="clear" w:color="auto" w:fill="auto"/>
            <w:vAlign w:val="center"/>
          </w:tcPr>
          <w:p w14:paraId="69E7BCD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20+GLAV</w:t>
            </w:r>
          </w:p>
        </w:tc>
        <w:tc>
          <w:tcPr>
            <w:tcW w:w="492" w:type="dxa"/>
            <w:shd w:val="clear" w:color="auto" w:fill="auto"/>
            <w:vAlign w:val="center"/>
          </w:tcPr>
          <w:p w14:paraId="0C829D5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798" w:type="dxa"/>
            <w:shd w:val="clear" w:color="auto" w:fill="auto"/>
            <w:vAlign w:val="center"/>
          </w:tcPr>
          <w:p w14:paraId="0293D50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1350" w:type="dxa"/>
            <w:vAlign w:val="center"/>
          </w:tcPr>
          <w:p w14:paraId="7BCE131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磷酸厂</w:t>
            </w:r>
            <w:r>
              <w:rPr>
                <w:rFonts w:hint="default" w:ascii="Times New Roman" w:hAnsi="Times New Roman" w:eastAsia="宋体" w:cs="Times New Roman"/>
                <w:color w:val="auto"/>
                <w:sz w:val="21"/>
                <w:szCs w:val="21"/>
                <w:highlight w:val="none"/>
              </w:rPr>
              <w:t>仓库区北侧绿化带附近管网、园区3号路南</w:t>
            </w:r>
          </w:p>
        </w:tc>
        <w:tc>
          <w:tcPr>
            <w:tcW w:w="1351" w:type="dxa"/>
            <w:vAlign w:val="center"/>
          </w:tcPr>
          <w:p w14:paraId="66612A4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AHF厂区北侧、瓮福祥丰氟化氢厂内</w:t>
            </w:r>
          </w:p>
        </w:tc>
      </w:tr>
      <w:tr w14:paraId="40922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7" w:type="dxa"/>
            <w:shd w:val="clear" w:color="auto" w:fill="auto"/>
            <w:vAlign w:val="center"/>
          </w:tcPr>
          <w:p w14:paraId="3F2F4FF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10</w:t>
            </w:r>
          </w:p>
        </w:tc>
        <w:tc>
          <w:tcPr>
            <w:tcW w:w="568" w:type="dxa"/>
            <w:shd w:val="clear" w:color="auto" w:fill="auto"/>
            <w:vAlign w:val="center"/>
          </w:tcPr>
          <w:p w14:paraId="4696298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消防水</w:t>
            </w:r>
          </w:p>
        </w:tc>
        <w:tc>
          <w:tcPr>
            <w:tcW w:w="721" w:type="dxa"/>
            <w:shd w:val="clear" w:color="auto" w:fill="auto"/>
            <w:vAlign w:val="center"/>
          </w:tcPr>
          <w:p w14:paraId="45F0D8B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645" w:type="dxa"/>
            <w:shd w:val="clear" w:color="auto" w:fill="auto"/>
            <w:vAlign w:val="center"/>
          </w:tcPr>
          <w:p w14:paraId="782068F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0.7</w:t>
            </w:r>
          </w:p>
        </w:tc>
        <w:tc>
          <w:tcPr>
            <w:tcW w:w="568" w:type="dxa"/>
            <w:shd w:val="clear" w:color="auto" w:fill="auto"/>
            <w:vAlign w:val="center"/>
          </w:tcPr>
          <w:p w14:paraId="02FEDC4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常温</w:t>
            </w:r>
          </w:p>
        </w:tc>
        <w:tc>
          <w:tcPr>
            <w:tcW w:w="568" w:type="dxa"/>
            <w:shd w:val="clear" w:color="auto" w:fill="auto"/>
            <w:vAlign w:val="center"/>
          </w:tcPr>
          <w:p w14:paraId="7B7D951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1.5</w:t>
            </w:r>
          </w:p>
        </w:tc>
        <w:tc>
          <w:tcPr>
            <w:tcW w:w="568" w:type="dxa"/>
            <w:shd w:val="clear" w:color="auto" w:fill="auto"/>
            <w:vAlign w:val="center"/>
          </w:tcPr>
          <w:p w14:paraId="6B10D03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80</w:t>
            </w:r>
          </w:p>
        </w:tc>
        <w:tc>
          <w:tcPr>
            <w:tcW w:w="721" w:type="dxa"/>
            <w:shd w:val="clear" w:color="auto" w:fill="auto"/>
            <w:vAlign w:val="center"/>
          </w:tcPr>
          <w:p w14:paraId="7965868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DN300</w:t>
            </w:r>
          </w:p>
        </w:tc>
        <w:tc>
          <w:tcPr>
            <w:tcW w:w="943" w:type="dxa"/>
            <w:shd w:val="clear" w:color="auto" w:fill="auto"/>
            <w:vAlign w:val="center"/>
          </w:tcPr>
          <w:p w14:paraId="1A6FF3A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20</w:t>
            </w:r>
            <w:r>
              <w:rPr>
                <w:rFonts w:hint="default" w:ascii="Times New Roman" w:hAnsi="Times New Roman" w:eastAsia="宋体" w:cs="Times New Roman"/>
                <w:color w:val="auto"/>
                <w:sz w:val="21"/>
                <w:szCs w:val="21"/>
                <w:highlight w:val="none"/>
                <w:vertAlign w:val="superscript"/>
                <w:lang w:bidi="ar"/>
              </w:rPr>
              <w:t>#</w:t>
            </w:r>
            <w:r>
              <w:rPr>
                <w:rFonts w:hint="default" w:ascii="Times New Roman" w:hAnsi="Times New Roman" w:eastAsia="宋体" w:cs="Times New Roman"/>
                <w:color w:val="auto"/>
                <w:sz w:val="21"/>
                <w:szCs w:val="21"/>
                <w:highlight w:val="none"/>
                <w:lang w:bidi="ar"/>
              </w:rPr>
              <w:t>碳钢</w:t>
            </w:r>
          </w:p>
        </w:tc>
        <w:tc>
          <w:tcPr>
            <w:tcW w:w="492" w:type="dxa"/>
            <w:shd w:val="clear" w:color="auto" w:fill="auto"/>
            <w:vAlign w:val="center"/>
          </w:tcPr>
          <w:p w14:paraId="294C664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798" w:type="dxa"/>
            <w:shd w:val="clear" w:color="auto" w:fill="auto"/>
            <w:vAlign w:val="center"/>
          </w:tcPr>
          <w:p w14:paraId="5756987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w:t>
            </w:r>
          </w:p>
        </w:tc>
        <w:tc>
          <w:tcPr>
            <w:tcW w:w="1350" w:type="dxa"/>
            <w:vAlign w:val="center"/>
          </w:tcPr>
          <w:p w14:paraId="013F627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磷酸厂氨罐区内部管网、祥丰石化厂内（E83轴西侧）</w:t>
            </w:r>
          </w:p>
        </w:tc>
        <w:tc>
          <w:tcPr>
            <w:tcW w:w="1351" w:type="dxa"/>
            <w:vAlign w:val="center"/>
          </w:tcPr>
          <w:p w14:paraId="56F9B9E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AHF厂区北侧、瓮福祥丰氟化氢厂内</w:t>
            </w:r>
          </w:p>
        </w:tc>
      </w:tr>
      <w:tr w14:paraId="300DE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7" w:type="dxa"/>
            <w:shd w:val="clear" w:color="auto" w:fill="auto"/>
            <w:vAlign w:val="center"/>
          </w:tcPr>
          <w:p w14:paraId="274815F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11</w:t>
            </w:r>
          </w:p>
        </w:tc>
        <w:tc>
          <w:tcPr>
            <w:tcW w:w="568" w:type="dxa"/>
            <w:shd w:val="clear" w:color="auto" w:fill="auto"/>
            <w:vAlign w:val="center"/>
          </w:tcPr>
          <w:p w14:paraId="41AE4BE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稀硫酸</w:t>
            </w:r>
          </w:p>
        </w:tc>
        <w:tc>
          <w:tcPr>
            <w:tcW w:w="721" w:type="dxa"/>
            <w:shd w:val="clear" w:color="auto" w:fill="auto"/>
            <w:vAlign w:val="center"/>
          </w:tcPr>
          <w:p w14:paraId="352CA69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117m</w:t>
            </w:r>
            <w:r>
              <w:rPr>
                <w:rFonts w:hint="default" w:ascii="Times New Roman" w:hAnsi="Times New Roman" w:eastAsia="宋体" w:cs="Times New Roman"/>
                <w:color w:val="auto"/>
                <w:sz w:val="21"/>
                <w:szCs w:val="21"/>
                <w:highlight w:val="none"/>
                <w:vertAlign w:val="superscript"/>
                <w:lang w:bidi="ar"/>
              </w:rPr>
              <w:t>3</w:t>
            </w:r>
            <w:r>
              <w:rPr>
                <w:rFonts w:hint="default" w:ascii="Times New Roman" w:hAnsi="Times New Roman" w:eastAsia="宋体" w:cs="Times New Roman"/>
                <w:color w:val="auto"/>
                <w:sz w:val="21"/>
                <w:szCs w:val="21"/>
                <w:highlight w:val="none"/>
                <w:lang w:bidi="ar"/>
              </w:rPr>
              <w:t>/h</w:t>
            </w:r>
          </w:p>
        </w:tc>
        <w:tc>
          <w:tcPr>
            <w:tcW w:w="645" w:type="dxa"/>
            <w:shd w:val="clear" w:color="auto" w:fill="auto"/>
            <w:vAlign w:val="center"/>
          </w:tcPr>
          <w:p w14:paraId="2E2E434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0.98</w:t>
            </w:r>
          </w:p>
        </w:tc>
        <w:tc>
          <w:tcPr>
            <w:tcW w:w="568" w:type="dxa"/>
            <w:shd w:val="clear" w:color="auto" w:fill="auto"/>
            <w:vAlign w:val="center"/>
          </w:tcPr>
          <w:p w14:paraId="60C8B10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50</w:t>
            </w:r>
          </w:p>
        </w:tc>
        <w:tc>
          <w:tcPr>
            <w:tcW w:w="568" w:type="dxa"/>
            <w:shd w:val="clear" w:color="auto" w:fill="auto"/>
            <w:vAlign w:val="center"/>
          </w:tcPr>
          <w:p w14:paraId="07BBB7A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1.35</w:t>
            </w:r>
          </w:p>
        </w:tc>
        <w:tc>
          <w:tcPr>
            <w:tcW w:w="568" w:type="dxa"/>
            <w:shd w:val="clear" w:color="auto" w:fill="auto"/>
            <w:vAlign w:val="center"/>
          </w:tcPr>
          <w:p w14:paraId="6E80F39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70</w:t>
            </w:r>
          </w:p>
        </w:tc>
        <w:tc>
          <w:tcPr>
            <w:tcW w:w="721" w:type="dxa"/>
            <w:shd w:val="clear" w:color="auto" w:fill="auto"/>
            <w:vAlign w:val="center"/>
          </w:tcPr>
          <w:p w14:paraId="21BEB71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DN200</w:t>
            </w:r>
          </w:p>
        </w:tc>
        <w:tc>
          <w:tcPr>
            <w:tcW w:w="943" w:type="dxa"/>
            <w:shd w:val="clear" w:color="auto" w:fill="auto"/>
            <w:vAlign w:val="center"/>
          </w:tcPr>
          <w:p w14:paraId="345A46C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钢骨架复合PE</w:t>
            </w:r>
          </w:p>
        </w:tc>
        <w:tc>
          <w:tcPr>
            <w:tcW w:w="492" w:type="dxa"/>
            <w:shd w:val="clear" w:color="auto" w:fill="auto"/>
            <w:vAlign w:val="center"/>
          </w:tcPr>
          <w:p w14:paraId="75B2248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w:t>
            </w:r>
          </w:p>
        </w:tc>
        <w:tc>
          <w:tcPr>
            <w:tcW w:w="798" w:type="dxa"/>
            <w:shd w:val="clear" w:color="auto" w:fill="auto"/>
            <w:vAlign w:val="center"/>
          </w:tcPr>
          <w:p w14:paraId="728AA85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GC2</w:t>
            </w:r>
          </w:p>
        </w:tc>
        <w:tc>
          <w:tcPr>
            <w:tcW w:w="1350" w:type="dxa"/>
            <w:vAlign w:val="center"/>
          </w:tcPr>
          <w:p w14:paraId="7687A22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稀硫酸输送泵（P-4041A/S）、瓮福祥丰氟化氢厂内</w:t>
            </w:r>
          </w:p>
        </w:tc>
        <w:tc>
          <w:tcPr>
            <w:tcW w:w="1351" w:type="dxa"/>
            <w:vAlign w:val="center"/>
          </w:tcPr>
          <w:p w14:paraId="5183148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磷酸厂萃取槽、祥丰金麦厂内（A01轴北侧）</w:t>
            </w:r>
          </w:p>
        </w:tc>
      </w:tr>
      <w:tr w14:paraId="02327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7" w:type="dxa"/>
            <w:shd w:val="clear" w:color="auto" w:fill="auto"/>
            <w:vAlign w:val="center"/>
          </w:tcPr>
          <w:p w14:paraId="19FFA73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12</w:t>
            </w:r>
          </w:p>
        </w:tc>
        <w:tc>
          <w:tcPr>
            <w:tcW w:w="568" w:type="dxa"/>
            <w:shd w:val="clear" w:color="auto" w:fill="auto"/>
            <w:vAlign w:val="center"/>
          </w:tcPr>
          <w:p w14:paraId="6881E2E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稀硫酸</w:t>
            </w:r>
          </w:p>
        </w:tc>
        <w:tc>
          <w:tcPr>
            <w:tcW w:w="721" w:type="dxa"/>
            <w:shd w:val="clear" w:color="auto" w:fill="auto"/>
            <w:vAlign w:val="center"/>
          </w:tcPr>
          <w:p w14:paraId="1C8C825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117m</w:t>
            </w:r>
            <w:r>
              <w:rPr>
                <w:rFonts w:hint="default" w:ascii="Times New Roman" w:hAnsi="Times New Roman" w:eastAsia="宋体" w:cs="Times New Roman"/>
                <w:color w:val="auto"/>
                <w:sz w:val="21"/>
                <w:szCs w:val="21"/>
                <w:highlight w:val="none"/>
                <w:vertAlign w:val="superscript"/>
                <w:lang w:bidi="ar"/>
              </w:rPr>
              <w:t>3</w:t>
            </w:r>
            <w:r>
              <w:rPr>
                <w:rFonts w:hint="default" w:ascii="Times New Roman" w:hAnsi="Times New Roman" w:eastAsia="宋体" w:cs="Times New Roman"/>
                <w:color w:val="auto"/>
                <w:sz w:val="21"/>
                <w:szCs w:val="21"/>
                <w:highlight w:val="none"/>
                <w:lang w:bidi="ar"/>
              </w:rPr>
              <w:t>/h</w:t>
            </w:r>
          </w:p>
        </w:tc>
        <w:tc>
          <w:tcPr>
            <w:tcW w:w="645" w:type="dxa"/>
            <w:shd w:val="clear" w:color="auto" w:fill="auto"/>
            <w:vAlign w:val="center"/>
          </w:tcPr>
          <w:p w14:paraId="179C766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0.98</w:t>
            </w:r>
          </w:p>
        </w:tc>
        <w:tc>
          <w:tcPr>
            <w:tcW w:w="568" w:type="dxa"/>
            <w:shd w:val="clear" w:color="auto" w:fill="auto"/>
            <w:vAlign w:val="center"/>
          </w:tcPr>
          <w:p w14:paraId="394CA40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50</w:t>
            </w:r>
          </w:p>
        </w:tc>
        <w:tc>
          <w:tcPr>
            <w:tcW w:w="568" w:type="dxa"/>
            <w:shd w:val="clear" w:color="auto" w:fill="auto"/>
            <w:vAlign w:val="center"/>
          </w:tcPr>
          <w:p w14:paraId="661722A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1.35</w:t>
            </w:r>
          </w:p>
        </w:tc>
        <w:tc>
          <w:tcPr>
            <w:tcW w:w="568" w:type="dxa"/>
            <w:shd w:val="clear" w:color="auto" w:fill="auto"/>
            <w:vAlign w:val="center"/>
          </w:tcPr>
          <w:p w14:paraId="43C2E62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70</w:t>
            </w:r>
          </w:p>
        </w:tc>
        <w:tc>
          <w:tcPr>
            <w:tcW w:w="721" w:type="dxa"/>
            <w:shd w:val="clear" w:color="auto" w:fill="auto"/>
            <w:vAlign w:val="center"/>
          </w:tcPr>
          <w:p w14:paraId="5FF964E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DN200</w:t>
            </w:r>
          </w:p>
        </w:tc>
        <w:tc>
          <w:tcPr>
            <w:tcW w:w="943" w:type="dxa"/>
            <w:shd w:val="clear" w:color="auto" w:fill="auto"/>
            <w:vAlign w:val="center"/>
          </w:tcPr>
          <w:p w14:paraId="1637E5D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钢骨架复合PE</w:t>
            </w:r>
          </w:p>
        </w:tc>
        <w:tc>
          <w:tcPr>
            <w:tcW w:w="492" w:type="dxa"/>
            <w:shd w:val="clear" w:color="auto" w:fill="auto"/>
            <w:vAlign w:val="center"/>
          </w:tcPr>
          <w:p w14:paraId="60CA085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w:t>
            </w:r>
          </w:p>
        </w:tc>
        <w:tc>
          <w:tcPr>
            <w:tcW w:w="798" w:type="dxa"/>
            <w:shd w:val="clear" w:color="auto" w:fill="auto"/>
            <w:vAlign w:val="center"/>
          </w:tcPr>
          <w:p w14:paraId="73AC3A8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GC2</w:t>
            </w:r>
          </w:p>
        </w:tc>
        <w:tc>
          <w:tcPr>
            <w:tcW w:w="1350" w:type="dxa"/>
            <w:vAlign w:val="center"/>
          </w:tcPr>
          <w:p w14:paraId="2BF3C1F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稀硫酸输送泵（P-4041A/S）、瓮福祥丰氟化氢厂内</w:t>
            </w:r>
          </w:p>
        </w:tc>
        <w:tc>
          <w:tcPr>
            <w:tcW w:w="1351" w:type="dxa"/>
            <w:vAlign w:val="center"/>
          </w:tcPr>
          <w:p w14:paraId="4E35AC2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磷酸厂萃取槽、祥丰金麦厂内（A01轴北侧）</w:t>
            </w:r>
          </w:p>
        </w:tc>
      </w:tr>
      <w:tr w14:paraId="09AEE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7" w:type="dxa"/>
            <w:shd w:val="clear" w:color="auto" w:fill="auto"/>
            <w:vAlign w:val="center"/>
          </w:tcPr>
          <w:p w14:paraId="19BCCD2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13</w:t>
            </w:r>
          </w:p>
        </w:tc>
        <w:tc>
          <w:tcPr>
            <w:tcW w:w="568" w:type="dxa"/>
            <w:shd w:val="clear" w:color="auto" w:fill="auto"/>
            <w:vAlign w:val="center"/>
          </w:tcPr>
          <w:p w14:paraId="5C27191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过滤机洗水</w:t>
            </w:r>
          </w:p>
        </w:tc>
        <w:tc>
          <w:tcPr>
            <w:tcW w:w="721" w:type="dxa"/>
            <w:shd w:val="clear" w:color="auto" w:fill="auto"/>
            <w:vAlign w:val="center"/>
          </w:tcPr>
          <w:p w14:paraId="14DBDD7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20m</w:t>
            </w:r>
            <w:r>
              <w:rPr>
                <w:rFonts w:hint="default" w:ascii="Times New Roman" w:hAnsi="Times New Roman" w:eastAsia="宋体" w:cs="Times New Roman"/>
                <w:color w:val="auto"/>
                <w:sz w:val="21"/>
                <w:szCs w:val="21"/>
                <w:highlight w:val="none"/>
                <w:vertAlign w:val="superscript"/>
                <w:lang w:bidi="ar"/>
              </w:rPr>
              <w:t>3</w:t>
            </w:r>
            <w:r>
              <w:rPr>
                <w:rFonts w:hint="default" w:ascii="Times New Roman" w:hAnsi="Times New Roman" w:eastAsia="宋体" w:cs="Times New Roman"/>
                <w:color w:val="auto"/>
                <w:sz w:val="21"/>
                <w:szCs w:val="21"/>
                <w:highlight w:val="none"/>
                <w:lang w:bidi="ar"/>
              </w:rPr>
              <w:t>/h</w:t>
            </w:r>
          </w:p>
        </w:tc>
        <w:tc>
          <w:tcPr>
            <w:tcW w:w="645" w:type="dxa"/>
            <w:shd w:val="clear" w:color="auto" w:fill="auto"/>
            <w:vAlign w:val="center"/>
          </w:tcPr>
          <w:p w14:paraId="08FD6F6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0.6</w:t>
            </w:r>
          </w:p>
        </w:tc>
        <w:tc>
          <w:tcPr>
            <w:tcW w:w="568" w:type="dxa"/>
            <w:shd w:val="clear" w:color="auto" w:fill="auto"/>
            <w:vAlign w:val="center"/>
          </w:tcPr>
          <w:p w14:paraId="16F03BB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41</w:t>
            </w:r>
          </w:p>
        </w:tc>
        <w:tc>
          <w:tcPr>
            <w:tcW w:w="568" w:type="dxa"/>
            <w:shd w:val="clear" w:color="auto" w:fill="auto"/>
            <w:vAlign w:val="center"/>
          </w:tcPr>
          <w:p w14:paraId="52C3E64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0.8</w:t>
            </w:r>
          </w:p>
        </w:tc>
        <w:tc>
          <w:tcPr>
            <w:tcW w:w="568" w:type="dxa"/>
            <w:shd w:val="clear" w:color="auto" w:fill="auto"/>
            <w:vAlign w:val="center"/>
          </w:tcPr>
          <w:p w14:paraId="4C67C5C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80</w:t>
            </w:r>
          </w:p>
        </w:tc>
        <w:tc>
          <w:tcPr>
            <w:tcW w:w="721" w:type="dxa"/>
            <w:shd w:val="clear" w:color="auto" w:fill="auto"/>
            <w:vAlign w:val="center"/>
          </w:tcPr>
          <w:p w14:paraId="37276EB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DN100</w:t>
            </w:r>
          </w:p>
        </w:tc>
        <w:tc>
          <w:tcPr>
            <w:tcW w:w="943" w:type="dxa"/>
            <w:shd w:val="clear" w:color="auto" w:fill="auto"/>
            <w:vAlign w:val="center"/>
          </w:tcPr>
          <w:p w14:paraId="0DE25A9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钢骨架复合PE</w:t>
            </w:r>
          </w:p>
        </w:tc>
        <w:tc>
          <w:tcPr>
            <w:tcW w:w="492" w:type="dxa"/>
            <w:shd w:val="clear" w:color="auto" w:fill="auto"/>
            <w:vAlign w:val="center"/>
          </w:tcPr>
          <w:p w14:paraId="013DF98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w:t>
            </w:r>
          </w:p>
        </w:tc>
        <w:tc>
          <w:tcPr>
            <w:tcW w:w="798" w:type="dxa"/>
            <w:shd w:val="clear" w:color="auto" w:fill="auto"/>
            <w:vAlign w:val="center"/>
          </w:tcPr>
          <w:p w14:paraId="68F276F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GC2</w:t>
            </w:r>
          </w:p>
        </w:tc>
        <w:tc>
          <w:tcPr>
            <w:tcW w:w="1350" w:type="dxa"/>
            <w:vAlign w:val="center"/>
          </w:tcPr>
          <w:p w14:paraId="6B4C71B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过滤机洗水回用输送泵（P-4264A/S）、瓮福祥丰氟化氢厂内</w:t>
            </w:r>
          </w:p>
        </w:tc>
        <w:tc>
          <w:tcPr>
            <w:tcW w:w="1351" w:type="dxa"/>
            <w:vAlign w:val="center"/>
          </w:tcPr>
          <w:p w14:paraId="09E8B305">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磷酸厂、祥丰金麦厂内（A01轴西侧）</w:t>
            </w:r>
          </w:p>
        </w:tc>
      </w:tr>
      <w:tr w14:paraId="271ED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7" w:type="dxa"/>
            <w:shd w:val="clear" w:color="auto" w:fill="auto"/>
            <w:vAlign w:val="center"/>
          </w:tcPr>
          <w:p w14:paraId="4398036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14</w:t>
            </w:r>
          </w:p>
        </w:tc>
        <w:tc>
          <w:tcPr>
            <w:tcW w:w="568" w:type="dxa"/>
            <w:shd w:val="clear" w:color="auto" w:fill="auto"/>
            <w:vAlign w:val="center"/>
          </w:tcPr>
          <w:p w14:paraId="32B25B7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渣浆水</w:t>
            </w:r>
          </w:p>
        </w:tc>
        <w:tc>
          <w:tcPr>
            <w:tcW w:w="721" w:type="dxa"/>
            <w:shd w:val="clear" w:color="auto" w:fill="auto"/>
            <w:vAlign w:val="center"/>
          </w:tcPr>
          <w:p w14:paraId="72ADE40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52m</w:t>
            </w:r>
            <w:r>
              <w:rPr>
                <w:rFonts w:hint="default" w:ascii="Times New Roman" w:hAnsi="Times New Roman" w:eastAsia="宋体" w:cs="Times New Roman"/>
                <w:color w:val="auto"/>
                <w:sz w:val="21"/>
                <w:szCs w:val="21"/>
                <w:highlight w:val="none"/>
                <w:vertAlign w:val="superscript"/>
                <w:lang w:bidi="ar"/>
              </w:rPr>
              <w:t>3</w:t>
            </w:r>
            <w:r>
              <w:rPr>
                <w:rFonts w:hint="default" w:ascii="Times New Roman" w:hAnsi="Times New Roman" w:eastAsia="宋体" w:cs="Times New Roman"/>
                <w:color w:val="auto"/>
                <w:sz w:val="21"/>
                <w:szCs w:val="21"/>
                <w:highlight w:val="none"/>
                <w:lang w:bidi="ar"/>
              </w:rPr>
              <w:t>/h</w:t>
            </w:r>
          </w:p>
        </w:tc>
        <w:tc>
          <w:tcPr>
            <w:tcW w:w="645" w:type="dxa"/>
            <w:shd w:val="clear" w:color="auto" w:fill="auto"/>
            <w:vAlign w:val="center"/>
          </w:tcPr>
          <w:p w14:paraId="7705A06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0.6</w:t>
            </w:r>
          </w:p>
        </w:tc>
        <w:tc>
          <w:tcPr>
            <w:tcW w:w="568" w:type="dxa"/>
            <w:shd w:val="clear" w:color="auto" w:fill="auto"/>
            <w:vAlign w:val="center"/>
          </w:tcPr>
          <w:p w14:paraId="40D018D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30</w:t>
            </w:r>
          </w:p>
        </w:tc>
        <w:tc>
          <w:tcPr>
            <w:tcW w:w="568" w:type="dxa"/>
            <w:shd w:val="clear" w:color="auto" w:fill="auto"/>
            <w:vAlign w:val="center"/>
          </w:tcPr>
          <w:p w14:paraId="2AC9312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0.8</w:t>
            </w:r>
          </w:p>
        </w:tc>
        <w:tc>
          <w:tcPr>
            <w:tcW w:w="568" w:type="dxa"/>
            <w:shd w:val="clear" w:color="auto" w:fill="auto"/>
            <w:vAlign w:val="center"/>
          </w:tcPr>
          <w:p w14:paraId="3E5F728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80</w:t>
            </w:r>
          </w:p>
        </w:tc>
        <w:tc>
          <w:tcPr>
            <w:tcW w:w="721" w:type="dxa"/>
            <w:shd w:val="clear" w:color="auto" w:fill="auto"/>
            <w:vAlign w:val="center"/>
          </w:tcPr>
          <w:p w14:paraId="552BF9C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DN150</w:t>
            </w:r>
          </w:p>
        </w:tc>
        <w:tc>
          <w:tcPr>
            <w:tcW w:w="943" w:type="dxa"/>
            <w:shd w:val="clear" w:color="auto" w:fill="auto"/>
            <w:vAlign w:val="center"/>
          </w:tcPr>
          <w:p w14:paraId="4B5F35A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钢骨架复合PE</w:t>
            </w:r>
          </w:p>
        </w:tc>
        <w:tc>
          <w:tcPr>
            <w:tcW w:w="492" w:type="dxa"/>
            <w:shd w:val="clear" w:color="auto" w:fill="auto"/>
            <w:vAlign w:val="center"/>
          </w:tcPr>
          <w:p w14:paraId="0E15D6F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w:t>
            </w:r>
          </w:p>
        </w:tc>
        <w:tc>
          <w:tcPr>
            <w:tcW w:w="798" w:type="dxa"/>
            <w:shd w:val="clear" w:color="auto" w:fill="auto"/>
            <w:vAlign w:val="center"/>
          </w:tcPr>
          <w:p w14:paraId="61A39CF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GC2</w:t>
            </w:r>
          </w:p>
        </w:tc>
        <w:tc>
          <w:tcPr>
            <w:tcW w:w="1350" w:type="dxa"/>
            <w:vAlign w:val="center"/>
          </w:tcPr>
          <w:p w14:paraId="7DFB9A3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二氧化硅再浆泵（P-4601A/S）、瓮福祥丰氟化氢厂内</w:t>
            </w:r>
          </w:p>
        </w:tc>
        <w:tc>
          <w:tcPr>
            <w:tcW w:w="1351" w:type="dxa"/>
            <w:vAlign w:val="center"/>
          </w:tcPr>
          <w:p w14:paraId="6A55DED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磷酸厂萃再浆槽、祥丰金麦厂内（A01轴西侧）</w:t>
            </w:r>
          </w:p>
          <w:p w14:paraId="71CE5DE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lang w:bidi="ar"/>
              </w:rPr>
            </w:pPr>
          </w:p>
        </w:tc>
      </w:tr>
    </w:tbl>
    <w:p w14:paraId="29082BF7">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rFonts w:hint="default" w:ascii="宋体" w:hAnsi="Times New Roman" w:eastAsia="宋体" w:cs="宋体"/>
          <w:color w:val="000000"/>
          <w:sz w:val="28"/>
          <w:szCs w:val="28"/>
          <w:lang w:bidi="ar"/>
        </w:rPr>
      </w:pPr>
      <w:r>
        <w:rPr>
          <w:rFonts w:hint="default" w:ascii="宋体" w:hAnsi="Times New Roman" w:eastAsia="宋体" w:cs="宋体"/>
          <w:color w:val="000000"/>
          <w:sz w:val="28"/>
          <w:szCs w:val="28"/>
          <w:lang w:bidi="ar"/>
        </w:rPr>
        <w:t>氟硅酸：常压通过泵输送过来，泵出口0.6—0.8MPa压力，进入原料管区为常压。</w:t>
      </w:r>
    </w:p>
    <w:p w14:paraId="668CC275">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rFonts w:hint="default" w:ascii="宋体" w:hAnsi="Times New Roman" w:eastAsia="宋体" w:cs="宋体"/>
          <w:color w:val="000000"/>
          <w:sz w:val="28"/>
          <w:szCs w:val="28"/>
          <w:lang w:bidi="ar"/>
        </w:rPr>
      </w:pPr>
      <w:r>
        <w:rPr>
          <w:rFonts w:hint="default" w:ascii="宋体" w:hAnsi="Times New Roman" w:eastAsia="宋体" w:cs="宋体"/>
          <w:color w:val="000000"/>
          <w:sz w:val="28"/>
          <w:szCs w:val="28"/>
          <w:lang w:bidi="ar"/>
        </w:rPr>
        <w:t>浓硫酸：常压通过泵输送过来，泵出口1.0—1.2MPa压力，进入原料管区为常压。</w:t>
      </w:r>
    </w:p>
    <w:p w14:paraId="19A975BB">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rFonts w:hint="default" w:ascii="宋体" w:hAnsi="Times New Roman" w:eastAsia="宋体" w:cs="宋体"/>
          <w:color w:val="000000"/>
          <w:sz w:val="28"/>
          <w:szCs w:val="28"/>
          <w:lang w:bidi="ar"/>
        </w:rPr>
      </w:pPr>
      <w:r>
        <w:rPr>
          <w:rFonts w:hint="default" w:ascii="宋体" w:hAnsi="Times New Roman" w:eastAsia="宋体" w:cs="宋体"/>
          <w:color w:val="000000"/>
          <w:sz w:val="28"/>
          <w:szCs w:val="28"/>
          <w:lang w:bidi="ar"/>
        </w:rPr>
        <w:t>再浆水：源头0.4—0.5MPa</w:t>
      </w:r>
      <w:r>
        <w:rPr>
          <w:rFonts w:hint="eastAsia" w:ascii="宋体" w:hAnsi="Times New Roman" w:eastAsia="宋体" w:cs="宋体"/>
          <w:color w:val="000000"/>
          <w:sz w:val="28"/>
          <w:szCs w:val="28"/>
          <w:lang w:eastAsia="zh-CN" w:bidi="ar"/>
        </w:rPr>
        <w:t>；</w:t>
      </w:r>
      <w:r>
        <w:rPr>
          <w:rFonts w:hint="default" w:ascii="宋体" w:hAnsi="Times New Roman" w:eastAsia="宋体" w:cs="宋体"/>
          <w:color w:val="000000"/>
          <w:sz w:val="28"/>
          <w:szCs w:val="28"/>
          <w:lang w:bidi="ar"/>
        </w:rPr>
        <w:t>蒸汽：源头1.0—1.2MPa，过来0.8—1.0MPa。</w:t>
      </w:r>
    </w:p>
    <w:p w14:paraId="616280C9">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rFonts w:hint="default" w:ascii="宋体" w:hAnsi="Times New Roman" w:eastAsia="宋体" w:cs="宋体"/>
          <w:color w:val="000000"/>
          <w:sz w:val="28"/>
          <w:szCs w:val="28"/>
          <w:lang w:bidi="ar"/>
        </w:rPr>
      </w:pPr>
      <w:r>
        <w:rPr>
          <w:rFonts w:hint="default" w:ascii="宋体" w:hAnsi="Times New Roman" w:eastAsia="宋体" w:cs="宋体"/>
          <w:color w:val="000000"/>
          <w:sz w:val="28"/>
          <w:szCs w:val="28"/>
          <w:lang w:bidi="ar"/>
        </w:rPr>
        <w:t>工艺水：0.3—0.4MPa的水压通过增压泵输送过来，泵出口1.0MPa压力 ，过来1.0MPa。</w:t>
      </w:r>
    </w:p>
    <w:p w14:paraId="53B39EBB">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rFonts w:hint="eastAsia" w:ascii="宋体" w:hAnsi="Times New Roman" w:eastAsia="宋体" w:cs="宋体"/>
          <w:color w:val="000000"/>
          <w:sz w:val="28"/>
          <w:szCs w:val="28"/>
          <w:lang w:eastAsia="zh-CN" w:bidi="ar"/>
        </w:rPr>
        <w:sectPr>
          <w:pgSz w:w="16838" w:h="11905" w:orient="landscape"/>
          <w:pgMar w:top="1417" w:right="1134" w:bottom="1134" w:left="1587" w:header="850" w:footer="680" w:gutter="0"/>
          <w:pgNumType w:fmt="decimal"/>
          <w:cols w:space="0" w:num="1"/>
          <w:rtlGutter w:val="0"/>
          <w:docGrid w:type="lines" w:linePitch="386" w:charSpace="0"/>
        </w:sectPr>
      </w:pPr>
      <w:r>
        <w:rPr>
          <w:rFonts w:hint="default" w:ascii="宋体" w:hAnsi="Times New Roman" w:eastAsia="宋体" w:cs="宋体"/>
          <w:color w:val="000000"/>
          <w:sz w:val="28"/>
          <w:szCs w:val="28"/>
          <w:lang w:bidi="ar"/>
        </w:rPr>
        <w:t>生活水：源头0.4—0.5MPa，过来0.3—0.4MPa</w:t>
      </w:r>
      <w:r>
        <w:rPr>
          <w:rFonts w:hint="eastAsia" w:ascii="宋体" w:hAnsi="Times New Roman" w:eastAsia="宋体" w:cs="宋体"/>
          <w:color w:val="000000"/>
          <w:sz w:val="28"/>
          <w:szCs w:val="28"/>
          <w:lang w:eastAsia="zh-CN" w:bidi="ar"/>
        </w:rPr>
        <w:t>；</w:t>
      </w:r>
      <w:r>
        <w:rPr>
          <w:rFonts w:hint="default" w:ascii="宋体" w:hAnsi="Times New Roman" w:eastAsia="宋体" w:cs="宋体"/>
          <w:color w:val="000000"/>
          <w:sz w:val="28"/>
          <w:szCs w:val="28"/>
          <w:lang w:bidi="ar"/>
        </w:rPr>
        <w:t>消防水：0.6—1.0MPa</w:t>
      </w:r>
      <w:r>
        <w:rPr>
          <w:rFonts w:hint="eastAsia" w:ascii="宋体" w:hAnsi="Times New Roman" w:eastAsia="宋体" w:cs="宋体"/>
          <w:color w:val="000000"/>
          <w:sz w:val="28"/>
          <w:szCs w:val="28"/>
          <w:lang w:eastAsia="zh-CN" w:bidi="ar"/>
        </w:rPr>
        <w:t>；</w:t>
      </w:r>
      <w:r>
        <w:rPr>
          <w:rFonts w:hint="default" w:ascii="宋体" w:hAnsi="Times New Roman" w:eastAsia="宋体" w:cs="宋体"/>
          <w:color w:val="000000"/>
          <w:sz w:val="28"/>
          <w:szCs w:val="28"/>
          <w:lang w:bidi="ar"/>
        </w:rPr>
        <w:t>稀硫酸：泵出口0.6—0.8MPa输送至祥丰金麦。过滤机洗水和渣浆水：泵出口0.5—0.6MPa输送至祥丰金麦</w:t>
      </w:r>
      <w:r>
        <w:rPr>
          <w:rFonts w:hint="eastAsia" w:ascii="宋体" w:hAnsi="Times New Roman" w:eastAsia="宋体" w:cs="宋体"/>
          <w:color w:val="000000"/>
          <w:sz w:val="28"/>
          <w:szCs w:val="28"/>
          <w:lang w:eastAsia="zh-CN" w:bidi="ar"/>
        </w:rPr>
        <w:t>。</w:t>
      </w:r>
    </w:p>
    <w:p w14:paraId="0A6C6C6C">
      <w:pPr>
        <w:pStyle w:val="5"/>
        <w:numPr>
          <w:ilvl w:val="2"/>
          <w:numId w:val="1"/>
        </w:numPr>
        <w:adjustRightInd w:val="0"/>
        <w:spacing w:before="120" w:after="120"/>
        <w:jc w:val="both"/>
        <w:rPr>
          <w:rFonts w:hint="default" w:ascii="宋体"/>
          <w:b/>
          <w:bCs/>
          <w:color w:val="auto"/>
          <w:sz w:val="32"/>
          <w:szCs w:val="32"/>
        </w:rPr>
      </w:pPr>
      <w:bookmarkStart w:id="143" w:name="_Toc20317"/>
      <w:r>
        <w:rPr>
          <w:rFonts w:hint="eastAsia" w:ascii="宋体"/>
          <w:b/>
          <w:bCs/>
          <w:color w:val="auto"/>
          <w:sz w:val="32"/>
          <w:szCs w:val="32"/>
          <w:lang w:val="en-US" w:eastAsia="zh-CN"/>
        </w:rPr>
        <w:t>项目建设历程</w:t>
      </w:r>
      <w:bookmarkEnd w:id="142"/>
      <w:bookmarkEnd w:id="143"/>
    </w:p>
    <w:p w14:paraId="425CE8E4">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color w:val="000000"/>
          <w:sz w:val="28"/>
          <w:szCs w:val="28"/>
        </w:rPr>
      </w:pPr>
      <w:r>
        <w:rPr>
          <w:color w:val="000000"/>
          <w:sz w:val="28"/>
          <w:szCs w:val="28"/>
          <w:lang w:bidi="ar"/>
        </w:rPr>
        <w:t>该项目建设历程分为立项及安全条件审查、设计、建设、竣工验收四个阶段，具体情况如下所示：</w:t>
      </w:r>
    </w:p>
    <w:p w14:paraId="7DAEB8CD">
      <w:pPr>
        <w:keepNext w:val="0"/>
        <w:keepLines w:val="0"/>
        <w:pageBreakBefore w:val="0"/>
        <w:widowControl w:val="0"/>
        <w:kinsoku/>
        <w:wordWrap/>
        <w:overflowPunct/>
        <w:topLinePunct w:val="0"/>
        <w:autoSpaceDE/>
        <w:autoSpaceDN/>
        <w:bidi w:val="0"/>
        <w:snapToGrid w:val="0"/>
        <w:spacing w:line="360" w:lineRule="auto"/>
        <w:ind w:firstLine="562" w:firstLineChars="200"/>
        <w:textAlignment w:val="auto"/>
        <w:rPr>
          <w:b/>
          <w:color w:val="000000"/>
          <w:sz w:val="28"/>
          <w:szCs w:val="28"/>
        </w:rPr>
      </w:pPr>
      <w:r>
        <w:rPr>
          <w:b/>
          <w:color w:val="000000"/>
          <w:sz w:val="28"/>
          <w:szCs w:val="28"/>
          <w:lang w:bidi="ar"/>
        </w:rPr>
        <w:t>1.项目立项及安全条件审查阶段</w:t>
      </w:r>
    </w:p>
    <w:p w14:paraId="7FC1DFA1">
      <w:pPr>
        <w:pStyle w:val="122"/>
        <w:keepNext w:val="0"/>
        <w:keepLines w:val="0"/>
        <w:pageBreakBefore w:val="0"/>
        <w:widowControl w:val="0"/>
        <w:numPr>
          <w:ilvl w:val="0"/>
          <w:numId w:val="14"/>
        </w:numPr>
        <w:kinsoku/>
        <w:wordWrap/>
        <w:overflowPunct/>
        <w:topLinePunct w:val="0"/>
        <w:autoSpaceDE/>
        <w:autoSpaceDN/>
        <w:bidi w:val="0"/>
        <w:snapToGrid w:val="0"/>
        <w:spacing w:line="360" w:lineRule="auto"/>
        <w:ind w:left="0" w:leftChars="0" w:firstLine="560" w:firstLineChars="200"/>
        <w:textAlignment w:val="auto"/>
        <w:rPr>
          <w:color w:val="auto"/>
        </w:rPr>
      </w:pPr>
      <w:r>
        <w:rPr>
          <w:rFonts w:hint="eastAsia"/>
          <w:color w:val="auto"/>
        </w:rPr>
        <w:t>华陆工程科技有限责任公司（化学工业部第六设计院）2023年</w:t>
      </w:r>
      <w:r>
        <w:rPr>
          <w:color w:val="auto"/>
        </w:rPr>
        <w:t>11</w:t>
      </w:r>
      <w:r>
        <w:rPr>
          <w:rFonts w:hint="eastAsia"/>
          <w:color w:val="auto"/>
        </w:rPr>
        <w:t>月完成《云南瓮福祥丰氟硅新材料有限公司3万吨/年无水氟化氢和2万吨/年电子级氢氟酸</w:t>
      </w:r>
      <w:bookmarkStart w:id="144" w:name="_Hlk154053584"/>
      <w:r>
        <w:rPr>
          <w:rFonts w:hint="eastAsia"/>
          <w:color w:val="auto"/>
        </w:rPr>
        <w:t>厂外公用工程管架建设项目</w:t>
      </w:r>
      <w:bookmarkEnd w:id="144"/>
      <w:r>
        <w:rPr>
          <w:rFonts w:hint="eastAsia"/>
          <w:color w:val="auto"/>
        </w:rPr>
        <w:t>可行性研究报告》（工程咨询造价资格证书等级：甲级，编号：</w:t>
      </w:r>
      <w:r>
        <w:rPr>
          <w:color w:val="auto"/>
        </w:rPr>
        <w:t>190161260398</w:t>
      </w:r>
      <w:r>
        <w:rPr>
          <w:rFonts w:hint="eastAsia"/>
          <w:color w:val="auto"/>
        </w:rPr>
        <w:t xml:space="preserve">）。 </w:t>
      </w:r>
    </w:p>
    <w:p w14:paraId="71E7606B">
      <w:pPr>
        <w:pStyle w:val="122"/>
        <w:keepNext w:val="0"/>
        <w:keepLines w:val="0"/>
        <w:pageBreakBefore w:val="0"/>
        <w:widowControl w:val="0"/>
        <w:numPr>
          <w:ilvl w:val="0"/>
          <w:numId w:val="14"/>
        </w:numPr>
        <w:kinsoku/>
        <w:wordWrap/>
        <w:overflowPunct/>
        <w:topLinePunct w:val="0"/>
        <w:autoSpaceDE/>
        <w:autoSpaceDN/>
        <w:bidi w:val="0"/>
        <w:adjustRightInd w:val="0"/>
        <w:snapToGrid w:val="0"/>
        <w:spacing w:line="360" w:lineRule="auto"/>
        <w:ind w:left="0" w:leftChars="0" w:firstLine="560" w:firstLineChars="200"/>
        <w:textAlignment w:val="auto"/>
        <w:rPr>
          <w:rFonts w:ascii="Times New Roman" w:cs="Times New Roman"/>
          <w:color w:val="auto"/>
        </w:rPr>
      </w:pPr>
      <w:r>
        <w:rPr>
          <w:rFonts w:hint="eastAsia" w:ascii="新宋体" w:hAnsi="新宋体" w:eastAsia="新宋体" w:cs="新宋体"/>
          <w:color w:val="auto"/>
          <w:szCs w:val="28"/>
        </w:rPr>
        <w:t>云南瓮福祥丰氟硅新材料有限公司</w:t>
      </w:r>
      <w:r>
        <w:rPr>
          <w:rFonts w:hint="eastAsia" w:ascii="新宋体" w:hAnsi="新宋体" w:eastAsia="新宋体" w:cs="新宋体"/>
          <w:color w:val="auto"/>
          <w:szCs w:val="28"/>
          <w:lang w:val="en-US" w:eastAsia="zh-CN"/>
        </w:rPr>
        <w:t>于</w:t>
      </w:r>
      <w:r>
        <w:rPr>
          <w:rFonts w:hint="eastAsia" w:ascii="新宋体" w:hAnsi="新宋体" w:eastAsia="新宋体" w:cs="新宋体"/>
          <w:color w:val="auto"/>
          <w:szCs w:val="28"/>
        </w:rPr>
        <w:t>2023年</w:t>
      </w:r>
      <w:r>
        <w:rPr>
          <w:rFonts w:ascii="新宋体" w:hAnsi="新宋体" w:eastAsia="新宋体" w:cs="新宋体"/>
          <w:color w:val="auto"/>
          <w:szCs w:val="28"/>
        </w:rPr>
        <w:t>11</w:t>
      </w:r>
      <w:r>
        <w:rPr>
          <w:rFonts w:hint="eastAsia" w:ascii="新宋体" w:hAnsi="新宋体" w:eastAsia="新宋体" w:cs="新宋体"/>
          <w:color w:val="auto"/>
          <w:szCs w:val="28"/>
        </w:rPr>
        <w:t>月</w:t>
      </w:r>
      <w:r>
        <w:rPr>
          <w:rFonts w:ascii="新宋体" w:hAnsi="新宋体" w:eastAsia="新宋体" w:cs="新宋体"/>
          <w:color w:val="auto"/>
          <w:szCs w:val="28"/>
        </w:rPr>
        <w:t>22</w:t>
      </w:r>
      <w:r>
        <w:rPr>
          <w:rFonts w:hint="eastAsia" w:ascii="新宋体" w:hAnsi="新宋体" w:eastAsia="新宋体" w:cs="新宋体"/>
          <w:color w:val="auto"/>
          <w:szCs w:val="28"/>
        </w:rPr>
        <w:t>日</w:t>
      </w:r>
      <w:r>
        <w:rPr>
          <w:rFonts w:hint="eastAsia" w:ascii="Times New Roman" w:cs="Times New Roman"/>
          <w:color w:val="auto"/>
        </w:rPr>
        <w:t>取得安宁市</w:t>
      </w:r>
      <w:r>
        <w:rPr>
          <w:rFonts w:ascii="Times New Roman" w:cs="Times New Roman"/>
          <w:color w:val="auto"/>
        </w:rPr>
        <w:t>发展和改革局关于</w:t>
      </w:r>
      <w:r>
        <w:rPr>
          <w:rFonts w:hint="eastAsia" w:ascii="Times New Roman" w:cs="Times New Roman"/>
          <w:color w:val="auto"/>
        </w:rPr>
        <w:t>3</w:t>
      </w:r>
      <w:r>
        <w:rPr>
          <w:rFonts w:hint="eastAsia"/>
          <w:color w:val="auto"/>
        </w:rPr>
        <w:t>万吨/年无水氟化氢和2万吨/年电子级氢氟酸厂外公用工程管架建设项目</w:t>
      </w:r>
      <w:r>
        <w:rPr>
          <w:rFonts w:ascii="Times New Roman" w:cs="Times New Roman"/>
          <w:color w:val="auto"/>
        </w:rPr>
        <w:t>的</w:t>
      </w:r>
      <w:r>
        <w:rPr>
          <w:rFonts w:hint="eastAsia" w:ascii="Times New Roman" w:cs="Times New Roman"/>
          <w:color w:val="auto"/>
        </w:rPr>
        <w:t>《云南省固定资产</w:t>
      </w:r>
      <w:r>
        <w:rPr>
          <w:rFonts w:ascii="Times New Roman" w:cs="Times New Roman"/>
          <w:color w:val="auto"/>
        </w:rPr>
        <w:t>投资</w:t>
      </w:r>
      <w:r>
        <w:rPr>
          <w:rFonts w:hint="eastAsia" w:ascii="Times New Roman" w:cs="Times New Roman"/>
          <w:color w:val="auto"/>
        </w:rPr>
        <w:t>项目</w:t>
      </w:r>
      <w:r>
        <w:rPr>
          <w:rFonts w:ascii="Times New Roman" w:cs="Times New Roman"/>
          <w:color w:val="auto"/>
        </w:rPr>
        <w:t>备案证</w:t>
      </w:r>
      <w:r>
        <w:rPr>
          <w:rFonts w:hint="eastAsia" w:ascii="Times New Roman" w:cs="Times New Roman"/>
          <w:color w:val="auto"/>
        </w:rPr>
        <w:t>》</w:t>
      </w:r>
      <w:r>
        <w:rPr>
          <w:rFonts w:ascii="Times New Roman" w:cs="Times New Roman"/>
          <w:color w:val="auto"/>
        </w:rPr>
        <w:t>，</w:t>
      </w:r>
      <w:r>
        <w:rPr>
          <w:rFonts w:hint="eastAsia" w:ascii="Times New Roman" w:cs="Times New Roman"/>
          <w:color w:val="auto"/>
        </w:rPr>
        <w:t>备案号</w:t>
      </w:r>
      <w:r>
        <w:rPr>
          <w:rFonts w:ascii="Times New Roman" w:cs="Times New Roman"/>
          <w:color w:val="auto"/>
        </w:rPr>
        <w:t>（项目代码）</w:t>
      </w:r>
      <w:r>
        <w:rPr>
          <w:rFonts w:hint="eastAsia"/>
          <w:color w:val="auto"/>
        </w:rPr>
        <w:t>23</w:t>
      </w:r>
      <w:r>
        <w:rPr>
          <w:color w:val="auto"/>
        </w:rPr>
        <w:t>11</w:t>
      </w:r>
      <w:r>
        <w:rPr>
          <w:rFonts w:hint="eastAsia"/>
          <w:color w:val="auto"/>
        </w:rPr>
        <w:t>-530181-04-01-</w:t>
      </w:r>
      <w:r>
        <w:rPr>
          <w:color w:val="auto"/>
        </w:rPr>
        <w:t>896081</w:t>
      </w:r>
      <w:r>
        <w:rPr>
          <w:rFonts w:ascii="Times New Roman" w:cs="Times New Roman"/>
          <w:color w:val="auto"/>
        </w:rPr>
        <w:t>。</w:t>
      </w:r>
    </w:p>
    <w:p w14:paraId="413A493E">
      <w:pPr>
        <w:pStyle w:val="122"/>
        <w:keepNext w:val="0"/>
        <w:keepLines w:val="0"/>
        <w:pageBreakBefore w:val="0"/>
        <w:widowControl w:val="0"/>
        <w:numPr>
          <w:ilvl w:val="0"/>
          <w:numId w:val="14"/>
        </w:numPr>
        <w:kinsoku/>
        <w:wordWrap/>
        <w:overflowPunct/>
        <w:topLinePunct w:val="0"/>
        <w:autoSpaceDE/>
        <w:autoSpaceDN/>
        <w:bidi w:val="0"/>
        <w:adjustRightInd w:val="0"/>
        <w:snapToGrid w:val="0"/>
        <w:spacing w:line="360" w:lineRule="auto"/>
        <w:ind w:left="0" w:leftChars="0" w:firstLine="560" w:firstLineChars="200"/>
        <w:textAlignment w:val="auto"/>
        <w:rPr>
          <w:rFonts w:hint="default" w:ascii="新宋体" w:hAnsi="新宋体" w:eastAsia="新宋体" w:cs="新宋体"/>
          <w:color w:val="auto"/>
          <w:szCs w:val="28"/>
          <w:lang w:val="en-US" w:eastAsia="zh-CN"/>
        </w:rPr>
      </w:pPr>
      <w:r>
        <w:rPr>
          <w:rFonts w:hint="eastAsia" w:ascii="新宋体" w:hAnsi="新宋体" w:eastAsia="新宋体" w:cs="新宋体"/>
          <w:color w:val="auto"/>
          <w:szCs w:val="28"/>
        </w:rPr>
        <w:t>云南瓮福祥丰氟硅新材料有限公司</w:t>
      </w:r>
      <w:r>
        <w:rPr>
          <w:rFonts w:hint="eastAsia" w:ascii="新宋体" w:hAnsi="新宋体" w:eastAsia="新宋体" w:cs="新宋体"/>
          <w:color w:val="auto"/>
          <w:szCs w:val="28"/>
          <w:lang w:val="en-US" w:eastAsia="zh-CN"/>
        </w:rPr>
        <w:t>于2024年4月18日取得云南省林业和草原局出具的</w:t>
      </w:r>
      <w:r>
        <w:rPr>
          <w:rFonts w:hint="eastAsia" w:ascii="Times New Roman" w:cs="Times New Roman"/>
          <w:color w:val="auto"/>
        </w:rPr>
        <w:t>3</w:t>
      </w:r>
      <w:r>
        <w:rPr>
          <w:rFonts w:hint="eastAsia"/>
          <w:color w:val="auto"/>
        </w:rPr>
        <w:t>万吨/年无水氟化氢和2万吨/年电子级氢氟酸厂外公用工程管架建设项目</w:t>
      </w:r>
      <w:r>
        <w:rPr>
          <w:rFonts w:hint="eastAsia"/>
          <w:color w:val="auto"/>
          <w:lang w:val="en-US" w:eastAsia="zh-CN"/>
        </w:rPr>
        <w:t>使用林地审核同意书</w:t>
      </w:r>
      <w:r>
        <w:rPr>
          <w:rFonts w:hint="eastAsia" w:ascii="新宋体" w:hAnsi="新宋体" w:eastAsia="新宋体" w:cs="新宋体"/>
          <w:color w:val="auto"/>
          <w:szCs w:val="28"/>
          <w:lang w:val="en-US" w:eastAsia="zh-CN"/>
        </w:rPr>
        <w:t>，云林许准（昆）[2024]76号。</w:t>
      </w:r>
    </w:p>
    <w:p w14:paraId="7C9D5F65">
      <w:pPr>
        <w:pStyle w:val="122"/>
        <w:keepNext w:val="0"/>
        <w:keepLines w:val="0"/>
        <w:pageBreakBefore w:val="0"/>
        <w:widowControl w:val="0"/>
        <w:numPr>
          <w:ilvl w:val="0"/>
          <w:numId w:val="14"/>
        </w:numPr>
        <w:kinsoku/>
        <w:wordWrap/>
        <w:overflowPunct/>
        <w:topLinePunct w:val="0"/>
        <w:autoSpaceDE/>
        <w:autoSpaceDN/>
        <w:bidi w:val="0"/>
        <w:adjustRightInd w:val="0"/>
        <w:snapToGrid w:val="0"/>
        <w:spacing w:line="360" w:lineRule="auto"/>
        <w:ind w:left="0" w:leftChars="0" w:firstLine="560" w:firstLineChars="200"/>
        <w:textAlignment w:val="auto"/>
        <w:rPr>
          <w:rFonts w:hint="eastAsia" w:ascii="新宋体" w:hAnsi="新宋体" w:eastAsia="新宋体" w:cs="新宋体"/>
          <w:color w:val="auto"/>
          <w:szCs w:val="28"/>
          <w:lang w:eastAsia="zh-CN"/>
        </w:rPr>
      </w:pPr>
      <w:r>
        <w:rPr>
          <w:rFonts w:hint="eastAsia" w:ascii="新宋体" w:hAnsi="新宋体" w:eastAsia="新宋体" w:cs="新宋体"/>
          <w:color w:val="auto"/>
          <w:szCs w:val="28"/>
        </w:rPr>
        <w:t>昆明名基岩土工程勘测有限公司2024年6月编制了《云南瓮福祥丰氟硅新材料有限公司3万吨AHF及2万吨电子氢氟酸项目外管廊项目岩土工程勘察报告》（详细勘察阶段）（勘察资质等级：乙级，资质证书编号：B253012456）</w:t>
      </w:r>
      <w:r>
        <w:rPr>
          <w:rFonts w:hint="eastAsia" w:ascii="新宋体" w:hAnsi="新宋体" w:eastAsia="新宋体" w:cs="新宋体"/>
          <w:color w:val="auto"/>
          <w:szCs w:val="28"/>
          <w:lang w:eastAsia="zh-CN"/>
        </w:rPr>
        <w:t>。</w:t>
      </w:r>
    </w:p>
    <w:p w14:paraId="7E4C9AEE">
      <w:pPr>
        <w:pStyle w:val="122"/>
        <w:keepNext w:val="0"/>
        <w:keepLines w:val="0"/>
        <w:pageBreakBefore w:val="0"/>
        <w:widowControl w:val="0"/>
        <w:numPr>
          <w:ilvl w:val="0"/>
          <w:numId w:val="14"/>
        </w:numPr>
        <w:kinsoku/>
        <w:wordWrap/>
        <w:overflowPunct/>
        <w:topLinePunct w:val="0"/>
        <w:autoSpaceDE/>
        <w:autoSpaceDN/>
        <w:bidi w:val="0"/>
        <w:adjustRightInd w:val="0"/>
        <w:snapToGrid w:val="0"/>
        <w:spacing w:line="360" w:lineRule="auto"/>
        <w:ind w:left="0" w:leftChars="0" w:firstLine="560" w:firstLineChars="200"/>
        <w:textAlignment w:val="auto"/>
        <w:rPr>
          <w:rFonts w:hint="eastAsia" w:ascii="新宋体" w:hAnsi="新宋体" w:eastAsia="新宋体" w:cs="新宋体"/>
          <w:color w:val="auto"/>
          <w:szCs w:val="28"/>
        </w:rPr>
      </w:pPr>
      <w:r>
        <w:rPr>
          <w:rFonts w:hint="eastAsia" w:ascii="新宋体" w:hAnsi="新宋体" w:eastAsia="新宋体" w:cs="新宋体"/>
          <w:color w:val="auto"/>
          <w:szCs w:val="28"/>
        </w:rPr>
        <w:t>云南瓮福祥丰氟硅新材料有限公司</w:t>
      </w:r>
      <w:r>
        <w:rPr>
          <w:rFonts w:hint="eastAsia" w:ascii="新宋体" w:hAnsi="新宋体" w:eastAsia="新宋体" w:cs="新宋体"/>
          <w:color w:val="auto"/>
          <w:szCs w:val="28"/>
          <w:lang w:val="en-US" w:eastAsia="zh-CN"/>
        </w:rPr>
        <w:t>于2024年7月8日取得云南安宁产业园区管理委员会自然资源与规划局出具的关于</w:t>
      </w:r>
      <w:r>
        <w:rPr>
          <w:rFonts w:hint="eastAsia" w:ascii="新宋体" w:hAnsi="新宋体" w:eastAsia="新宋体" w:cs="新宋体"/>
          <w:color w:val="auto"/>
          <w:szCs w:val="28"/>
        </w:rPr>
        <w:t>3万吨/年无水氟化氢和2万吨/年电子级氢氟酸厂外公用工程管架建设项目</w:t>
      </w:r>
      <w:r>
        <w:rPr>
          <w:rFonts w:hint="eastAsia" w:ascii="新宋体" w:hAnsi="新宋体" w:eastAsia="新宋体" w:cs="新宋体"/>
          <w:color w:val="auto"/>
          <w:szCs w:val="28"/>
          <w:lang w:val="en-US" w:eastAsia="zh-CN"/>
        </w:rPr>
        <w:t>的选址情况说明</w:t>
      </w:r>
      <w:r>
        <w:rPr>
          <w:rFonts w:hint="eastAsia" w:ascii="新宋体" w:hAnsi="新宋体" w:eastAsia="新宋体" w:cs="新宋体"/>
          <w:color w:val="auto"/>
          <w:szCs w:val="28"/>
        </w:rPr>
        <w:t>。</w:t>
      </w:r>
    </w:p>
    <w:p w14:paraId="663C5A79">
      <w:pPr>
        <w:pStyle w:val="122"/>
        <w:keepNext w:val="0"/>
        <w:keepLines w:val="0"/>
        <w:pageBreakBefore w:val="0"/>
        <w:widowControl w:val="0"/>
        <w:numPr>
          <w:ilvl w:val="0"/>
          <w:numId w:val="14"/>
        </w:numPr>
        <w:kinsoku/>
        <w:wordWrap/>
        <w:overflowPunct/>
        <w:topLinePunct w:val="0"/>
        <w:autoSpaceDE/>
        <w:autoSpaceDN/>
        <w:bidi w:val="0"/>
        <w:adjustRightInd w:val="0"/>
        <w:snapToGrid w:val="0"/>
        <w:spacing w:line="360" w:lineRule="auto"/>
        <w:ind w:left="0" w:leftChars="0" w:firstLine="560" w:firstLineChars="200"/>
        <w:textAlignment w:val="auto"/>
        <w:rPr>
          <w:rFonts w:hint="eastAsia" w:ascii="新宋体" w:hAnsi="新宋体" w:eastAsia="新宋体" w:cs="新宋体"/>
          <w:color w:val="auto"/>
          <w:szCs w:val="28"/>
        </w:rPr>
      </w:pPr>
      <w:r>
        <w:rPr>
          <w:rFonts w:hint="eastAsia" w:ascii="新宋体" w:hAnsi="新宋体" w:eastAsia="新宋体" w:cs="新宋体"/>
          <w:color w:val="auto"/>
          <w:szCs w:val="28"/>
        </w:rPr>
        <w:t>于202</w:t>
      </w:r>
      <w:r>
        <w:rPr>
          <w:rFonts w:hint="eastAsia" w:ascii="新宋体" w:hAnsi="新宋体" w:eastAsia="新宋体" w:cs="新宋体"/>
          <w:color w:val="auto"/>
          <w:szCs w:val="28"/>
          <w:lang w:val="en-US" w:eastAsia="zh-CN"/>
        </w:rPr>
        <w:t>4</w:t>
      </w:r>
      <w:r>
        <w:rPr>
          <w:rFonts w:hint="eastAsia" w:ascii="新宋体" w:hAnsi="新宋体" w:eastAsia="新宋体" w:cs="新宋体"/>
          <w:color w:val="auto"/>
          <w:szCs w:val="28"/>
        </w:rPr>
        <w:t>年</w:t>
      </w:r>
      <w:r>
        <w:rPr>
          <w:rFonts w:hint="eastAsia" w:ascii="新宋体" w:hAnsi="新宋体" w:eastAsia="新宋体" w:cs="新宋体"/>
          <w:color w:val="auto"/>
          <w:szCs w:val="28"/>
          <w:lang w:val="en-US" w:eastAsia="zh-CN"/>
        </w:rPr>
        <w:t>8</w:t>
      </w:r>
      <w:r>
        <w:rPr>
          <w:rFonts w:hint="eastAsia" w:ascii="新宋体" w:hAnsi="新宋体" w:eastAsia="新宋体" w:cs="新宋体"/>
          <w:color w:val="auto"/>
          <w:szCs w:val="28"/>
        </w:rPr>
        <w:t>月由云南恒然安全技术有限公司编制了《云南瓮福祥丰氟硅新材料有限公司3万吨/年无水氟化氢和2万吨/年电子级氢氟酸厂外公用工程管架建设项目安全预评价</w:t>
      </w:r>
      <w:r>
        <w:rPr>
          <w:rFonts w:hint="eastAsia" w:ascii="新宋体" w:hAnsi="新宋体" w:eastAsia="新宋体" w:cs="新宋体"/>
          <w:color w:val="auto"/>
          <w:szCs w:val="28"/>
          <w:lang w:val="zh-CN"/>
        </w:rPr>
        <w:t>报告》</w:t>
      </w:r>
      <w:r>
        <w:rPr>
          <w:rFonts w:hint="eastAsia" w:ascii="新宋体" w:hAnsi="新宋体" w:eastAsia="新宋体" w:cs="新宋体"/>
          <w:color w:val="auto"/>
          <w:szCs w:val="28"/>
        </w:rPr>
        <w:t>，通过安全条件审查并于202</w:t>
      </w:r>
      <w:r>
        <w:rPr>
          <w:rFonts w:hint="eastAsia" w:ascii="新宋体" w:hAnsi="新宋体" w:eastAsia="新宋体" w:cs="新宋体"/>
          <w:color w:val="auto"/>
          <w:szCs w:val="28"/>
          <w:lang w:val="en-US" w:eastAsia="zh-CN"/>
        </w:rPr>
        <w:t>4</w:t>
      </w:r>
      <w:r>
        <w:rPr>
          <w:rFonts w:hint="eastAsia" w:ascii="新宋体" w:hAnsi="新宋体" w:eastAsia="新宋体" w:cs="新宋体"/>
          <w:color w:val="auto"/>
          <w:szCs w:val="28"/>
        </w:rPr>
        <w:t>年</w:t>
      </w:r>
      <w:r>
        <w:rPr>
          <w:rFonts w:hint="eastAsia" w:ascii="新宋体" w:hAnsi="新宋体" w:eastAsia="新宋体" w:cs="新宋体"/>
          <w:color w:val="auto"/>
          <w:szCs w:val="28"/>
          <w:lang w:val="en-US" w:eastAsia="zh-CN"/>
        </w:rPr>
        <w:t>8</w:t>
      </w:r>
      <w:r>
        <w:rPr>
          <w:rFonts w:hint="eastAsia" w:ascii="新宋体" w:hAnsi="新宋体" w:eastAsia="新宋体" w:cs="新宋体"/>
          <w:color w:val="auto"/>
          <w:szCs w:val="28"/>
        </w:rPr>
        <w:t>月</w:t>
      </w:r>
      <w:r>
        <w:rPr>
          <w:rFonts w:hint="eastAsia" w:ascii="新宋体" w:hAnsi="新宋体" w:eastAsia="新宋体" w:cs="新宋体"/>
          <w:color w:val="auto"/>
          <w:szCs w:val="28"/>
          <w:lang w:val="en-US" w:eastAsia="zh-CN"/>
        </w:rPr>
        <w:t>09</w:t>
      </w:r>
      <w:r>
        <w:rPr>
          <w:rFonts w:hint="eastAsia" w:ascii="新宋体" w:hAnsi="新宋体" w:eastAsia="新宋体" w:cs="新宋体"/>
          <w:color w:val="auto"/>
          <w:szCs w:val="28"/>
        </w:rPr>
        <w:t>日取得昆明市应急管理局出具的《危险化学品建设项目安全条件审查意见书》（昆应急危化项目安条审字[202</w:t>
      </w:r>
      <w:r>
        <w:rPr>
          <w:rFonts w:hint="eastAsia" w:ascii="新宋体" w:hAnsi="新宋体" w:eastAsia="新宋体" w:cs="新宋体"/>
          <w:color w:val="auto"/>
          <w:szCs w:val="28"/>
          <w:lang w:val="en-US" w:eastAsia="zh-CN"/>
        </w:rPr>
        <w:t>4</w:t>
      </w:r>
      <w:r>
        <w:rPr>
          <w:rFonts w:hint="eastAsia" w:ascii="新宋体" w:hAnsi="新宋体" w:eastAsia="新宋体" w:cs="新宋体"/>
          <w:color w:val="auto"/>
          <w:szCs w:val="28"/>
        </w:rPr>
        <w:t>]</w:t>
      </w:r>
      <w:r>
        <w:rPr>
          <w:rFonts w:hint="eastAsia" w:ascii="新宋体" w:hAnsi="新宋体" w:eastAsia="新宋体" w:cs="新宋体"/>
          <w:color w:val="auto"/>
          <w:szCs w:val="28"/>
          <w:lang w:val="en-US" w:eastAsia="zh-CN"/>
        </w:rPr>
        <w:t>4</w:t>
      </w:r>
      <w:r>
        <w:rPr>
          <w:rFonts w:hint="eastAsia" w:ascii="新宋体" w:hAnsi="新宋体" w:eastAsia="新宋体" w:cs="新宋体"/>
          <w:color w:val="auto"/>
          <w:szCs w:val="28"/>
        </w:rPr>
        <w:t>号）。</w:t>
      </w:r>
    </w:p>
    <w:p w14:paraId="714557AE">
      <w:pPr>
        <w:keepNext w:val="0"/>
        <w:keepLines w:val="0"/>
        <w:pageBreakBefore w:val="0"/>
        <w:widowControl w:val="0"/>
        <w:kinsoku/>
        <w:wordWrap/>
        <w:overflowPunct/>
        <w:topLinePunct w:val="0"/>
        <w:autoSpaceDE/>
        <w:autoSpaceDN/>
        <w:bidi w:val="0"/>
        <w:snapToGrid w:val="0"/>
        <w:spacing w:line="360" w:lineRule="auto"/>
        <w:ind w:firstLine="562" w:firstLineChars="200"/>
        <w:textAlignment w:val="auto"/>
        <w:rPr>
          <w:b/>
          <w:color w:val="000000"/>
          <w:sz w:val="28"/>
          <w:szCs w:val="28"/>
        </w:rPr>
      </w:pPr>
      <w:r>
        <w:rPr>
          <w:b/>
          <w:color w:val="000000"/>
          <w:sz w:val="28"/>
          <w:szCs w:val="28"/>
          <w:lang w:bidi="ar"/>
        </w:rPr>
        <w:t>2.设计阶段</w:t>
      </w:r>
    </w:p>
    <w:p w14:paraId="15E808E7">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rFonts w:hint="eastAsia"/>
          <w:snapToGrid w:val="0"/>
          <w:color w:val="000000"/>
          <w:kern w:val="0"/>
          <w:sz w:val="28"/>
          <w:szCs w:val="28"/>
          <w:lang w:bidi="ar"/>
        </w:rPr>
      </w:pPr>
      <w:r>
        <w:rPr>
          <w:rFonts w:hint="eastAsia"/>
          <w:snapToGrid w:val="0"/>
          <w:color w:val="000000"/>
          <w:sz w:val="28"/>
          <w:szCs w:val="28"/>
        </w:rPr>
        <w:t>该项目工程总承包单位为华陆工程科技有限责任公司，</w:t>
      </w:r>
      <w:r>
        <w:rPr>
          <w:snapToGrid w:val="0"/>
          <w:color w:val="000000"/>
          <w:kern w:val="0"/>
          <w:sz w:val="28"/>
          <w:szCs w:val="28"/>
          <w:lang w:bidi="ar"/>
        </w:rPr>
        <w:t>于</w:t>
      </w:r>
      <w:r>
        <w:rPr>
          <w:color w:val="000000"/>
          <w:sz w:val="28"/>
          <w:szCs w:val="28"/>
          <w:lang w:bidi="ar"/>
        </w:rPr>
        <w:t>20</w:t>
      </w:r>
      <w:r>
        <w:rPr>
          <w:rFonts w:hint="eastAsia"/>
          <w:color w:val="000000"/>
          <w:sz w:val="28"/>
          <w:szCs w:val="28"/>
          <w:lang w:bidi="ar"/>
        </w:rPr>
        <w:t>24</w:t>
      </w:r>
      <w:r>
        <w:rPr>
          <w:color w:val="000000"/>
          <w:sz w:val="28"/>
          <w:szCs w:val="28"/>
          <w:lang w:bidi="ar"/>
        </w:rPr>
        <w:t>年</w:t>
      </w:r>
      <w:r>
        <w:rPr>
          <w:rFonts w:hint="eastAsia"/>
          <w:color w:val="000000"/>
          <w:sz w:val="28"/>
          <w:szCs w:val="28"/>
          <w:lang w:val="en-US" w:eastAsia="zh-CN" w:bidi="ar"/>
        </w:rPr>
        <w:t>10</w:t>
      </w:r>
      <w:r>
        <w:rPr>
          <w:color w:val="000000"/>
          <w:sz w:val="28"/>
          <w:szCs w:val="28"/>
          <w:lang w:bidi="ar"/>
        </w:rPr>
        <w:t>月</w:t>
      </w:r>
      <w:r>
        <w:rPr>
          <w:rFonts w:hint="eastAsia"/>
          <w:snapToGrid w:val="0"/>
          <w:color w:val="000000"/>
          <w:kern w:val="0"/>
          <w:sz w:val="28"/>
          <w:szCs w:val="28"/>
          <w:lang w:bidi="ar"/>
        </w:rPr>
        <w:t>由</w:t>
      </w:r>
      <w:r>
        <w:rPr>
          <w:rFonts w:hint="eastAsia"/>
          <w:snapToGrid w:val="0"/>
          <w:color w:val="000000"/>
          <w:sz w:val="28"/>
          <w:szCs w:val="28"/>
        </w:rPr>
        <w:t>华陆工程科技有限责任公司</w:t>
      </w:r>
      <w:r>
        <w:rPr>
          <w:snapToGrid w:val="0"/>
          <w:color w:val="000000"/>
          <w:kern w:val="0"/>
          <w:sz w:val="28"/>
          <w:szCs w:val="28"/>
          <w:lang w:bidi="ar"/>
        </w:rPr>
        <w:t>编制了《</w:t>
      </w:r>
      <w:r>
        <w:rPr>
          <w:rFonts w:hint="eastAsia"/>
          <w:snapToGrid w:val="0"/>
          <w:color w:val="000000"/>
          <w:sz w:val="28"/>
          <w:szCs w:val="28"/>
        </w:rPr>
        <w:t>云南瓮福祥丰氟硅新材料有限公司3万吨/年无水氟化氢和2万吨/年电子级氢氟酸</w:t>
      </w:r>
      <w:r>
        <w:rPr>
          <w:rFonts w:hint="eastAsia" w:ascii="新宋体" w:hAnsi="新宋体" w:eastAsia="新宋体" w:cs="新宋体"/>
          <w:color w:val="auto"/>
          <w:szCs w:val="28"/>
        </w:rPr>
        <w:t>厂外公用工程管架建设</w:t>
      </w:r>
      <w:r>
        <w:rPr>
          <w:rFonts w:hint="eastAsia"/>
          <w:snapToGrid w:val="0"/>
          <w:color w:val="000000"/>
          <w:sz w:val="28"/>
          <w:szCs w:val="28"/>
        </w:rPr>
        <w:t>项目</w:t>
      </w:r>
      <w:r>
        <w:rPr>
          <w:snapToGrid w:val="0"/>
          <w:color w:val="000000"/>
          <w:sz w:val="28"/>
          <w:szCs w:val="28"/>
        </w:rPr>
        <w:t>安全设施设计专篇</w:t>
      </w:r>
      <w:r>
        <w:rPr>
          <w:snapToGrid w:val="0"/>
          <w:color w:val="000000"/>
          <w:kern w:val="0"/>
          <w:sz w:val="28"/>
          <w:szCs w:val="28"/>
          <w:lang w:bidi="ar"/>
        </w:rPr>
        <w:t>》</w:t>
      </w:r>
      <w:r>
        <w:rPr>
          <w:rFonts w:hint="eastAsia"/>
          <w:snapToGrid w:val="0"/>
          <w:color w:val="000000"/>
          <w:kern w:val="0"/>
          <w:sz w:val="28"/>
          <w:szCs w:val="28"/>
          <w:lang w:bidi="ar"/>
        </w:rPr>
        <w:t>，</w:t>
      </w:r>
      <w:r>
        <w:rPr>
          <w:snapToGrid w:val="0"/>
          <w:color w:val="000000"/>
          <w:kern w:val="0"/>
          <w:sz w:val="28"/>
          <w:szCs w:val="28"/>
          <w:lang w:bidi="ar"/>
        </w:rPr>
        <w:t>并经</w:t>
      </w:r>
      <w:r>
        <w:rPr>
          <w:rFonts w:hint="eastAsia"/>
          <w:snapToGrid w:val="0"/>
          <w:color w:val="000000"/>
          <w:kern w:val="0"/>
          <w:sz w:val="28"/>
          <w:szCs w:val="28"/>
          <w:lang w:bidi="ar"/>
        </w:rPr>
        <w:t>昆明市应急管理局组织专家审查通过，于2024年</w:t>
      </w:r>
      <w:r>
        <w:rPr>
          <w:rFonts w:hint="eastAsia"/>
          <w:snapToGrid w:val="0"/>
          <w:color w:val="000000"/>
          <w:kern w:val="0"/>
          <w:sz w:val="28"/>
          <w:szCs w:val="28"/>
          <w:lang w:val="en-US" w:eastAsia="zh-CN" w:bidi="ar"/>
        </w:rPr>
        <w:t>11</w:t>
      </w:r>
      <w:r>
        <w:rPr>
          <w:rFonts w:hint="eastAsia"/>
          <w:snapToGrid w:val="0"/>
          <w:color w:val="000000"/>
          <w:kern w:val="0"/>
          <w:sz w:val="28"/>
          <w:szCs w:val="28"/>
          <w:lang w:bidi="ar"/>
        </w:rPr>
        <w:t>月</w:t>
      </w:r>
      <w:r>
        <w:rPr>
          <w:rFonts w:hint="eastAsia"/>
          <w:snapToGrid w:val="0"/>
          <w:color w:val="000000"/>
          <w:kern w:val="0"/>
          <w:sz w:val="28"/>
          <w:szCs w:val="28"/>
          <w:lang w:val="en-US" w:eastAsia="zh-CN" w:bidi="ar"/>
        </w:rPr>
        <w:t>04</w:t>
      </w:r>
      <w:r>
        <w:rPr>
          <w:rFonts w:hint="eastAsia"/>
          <w:snapToGrid w:val="0"/>
          <w:color w:val="000000"/>
          <w:kern w:val="0"/>
          <w:sz w:val="28"/>
          <w:szCs w:val="28"/>
          <w:lang w:bidi="ar"/>
        </w:rPr>
        <w:t>日取得昆明市应急管理局出具的《危险化学品建设项目安全设施设计审查意见书》（昆危化项目安设审字[2024]0</w:t>
      </w:r>
      <w:r>
        <w:rPr>
          <w:rFonts w:hint="eastAsia"/>
          <w:snapToGrid w:val="0"/>
          <w:color w:val="000000"/>
          <w:kern w:val="0"/>
          <w:sz w:val="28"/>
          <w:szCs w:val="28"/>
          <w:lang w:val="en-US" w:eastAsia="zh-CN" w:bidi="ar"/>
        </w:rPr>
        <w:t>9</w:t>
      </w:r>
      <w:r>
        <w:rPr>
          <w:rFonts w:hint="eastAsia"/>
          <w:snapToGrid w:val="0"/>
          <w:color w:val="000000"/>
          <w:kern w:val="0"/>
          <w:sz w:val="28"/>
          <w:szCs w:val="28"/>
          <w:lang w:bidi="ar"/>
        </w:rPr>
        <w:t>号）。</w:t>
      </w:r>
    </w:p>
    <w:p w14:paraId="79654E30">
      <w:pPr>
        <w:keepNext w:val="0"/>
        <w:keepLines w:val="0"/>
        <w:pageBreakBefore w:val="0"/>
        <w:widowControl w:val="0"/>
        <w:kinsoku/>
        <w:wordWrap/>
        <w:overflowPunct/>
        <w:topLinePunct w:val="0"/>
        <w:autoSpaceDE/>
        <w:autoSpaceDN/>
        <w:bidi w:val="0"/>
        <w:snapToGrid w:val="0"/>
        <w:spacing w:line="360" w:lineRule="auto"/>
        <w:ind w:firstLine="562" w:firstLineChars="200"/>
        <w:textAlignment w:val="auto"/>
        <w:rPr>
          <w:b/>
          <w:color w:val="000000"/>
          <w:sz w:val="28"/>
          <w:szCs w:val="28"/>
        </w:rPr>
      </w:pPr>
      <w:r>
        <w:rPr>
          <w:b/>
          <w:color w:val="000000"/>
          <w:sz w:val="28"/>
          <w:szCs w:val="28"/>
          <w:lang w:bidi="ar"/>
        </w:rPr>
        <w:t>3.建设阶段</w:t>
      </w:r>
    </w:p>
    <w:p w14:paraId="61C79A58">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color w:val="000000"/>
          <w:sz w:val="28"/>
          <w:szCs w:val="28"/>
        </w:rPr>
      </w:pPr>
      <w:r>
        <w:rPr>
          <w:color w:val="000000"/>
          <w:sz w:val="28"/>
          <w:szCs w:val="28"/>
        </w:rPr>
        <w:t>该</w:t>
      </w:r>
      <w:r>
        <w:rPr>
          <w:snapToGrid w:val="0"/>
          <w:color w:val="000000"/>
          <w:sz w:val="28"/>
          <w:szCs w:val="28"/>
        </w:rPr>
        <w:t>项目土建工程</w:t>
      </w:r>
      <w:r>
        <w:rPr>
          <w:rFonts w:hint="eastAsia"/>
          <w:snapToGrid w:val="0"/>
          <w:color w:val="000000"/>
          <w:sz w:val="28"/>
          <w:szCs w:val="28"/>
        </w:rPr>
        <w:t>由贵州聚志建筑工程有限公司施工</w:t>
      </w:r>
      <w:r>
        <w:rPr>
          <w:snapToGrid w:val="0"/>
          <w:color w:val="000000"/>
          <w:sz w:val="28"/>
          <w:szCs w:val="28"/>
        </w:rPr>
        <w:t>，</w:t>
      </w:r>
      <w:r>
        <w:rPr>
          <w:rFonts w:hint="eastAsia"/>
          <w:color w:val="000000"/>
          <w:sz w:val="28"/>
          <w:szCs w:val="28"/>
        </w:rPr>
        <w:t>设备和管线由中国化学工程第十四建设有限公司进行安装</w:t>
      </w:r>
      <w:r>
        <w:rPr>
          <w:color w:val="000000"/>
          <w:sz w:val="28"/>
          <w:szCs w:val="28"/>
        </w:rPr>
        <w:t>，由</w:t>
      </w:r>
      <w:r>
        <w:rPr>
          <w:rFonts w:hint="eastAsia"/>
          <w:color w:val="000000"/>
          <w:sz w:val="28"/>
          <w:szCs w:val="28"/>
        </w:rPr>
        <w:t>云南协和工业建设监理有限公司全过程监理</w:t>
      </w:r>
      <w:r>
        <w:rPr>
          <w:rFonts w:hint="eastAsia"/>
          <w:color w:val="000000"/>
          <w:sz w:val="28"/>
          <w:szCs w:val="28"/>
          <w:lang w:bidi="ar"/>
        </w:rPr>
        <w:t>。</w:t>
      </w:r>
    </w:p>
    <w:p w14:paraId="2E76CEA8">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color w:val="000000"/>
          <w:sz w:val="28"/>
          <w:szCs w:val="28"/>
        </w:rPr>
      </w:pPr>
      <w:r>
        <w:rPr>
          <w:color w:val="000000"/>
          <w:sz w:val="28"/>
          <w:szCs w:val="28"/>
          <w:lang w:bidi="ar"/>
        </w:rPr>
        <w:t>各相关单位的情况详见本报告“2.3.</w:t>
      </w:r>
      <w:r>
        <w:rPr>
          <w:rFonts w:hint="eastAsia"/>
          <w:color w:val="000000"/>
          <w:sz w:val="28"/>
          <w:szCs w:val="28"/>
          <w:lang w:val="en-US" w:eastAsia="zh-CN" w:bidi="ar"/>
        </w:rPr>
        <w:t>3</w:t>
      </w:r>
      <w:r>
        <w:rPr>
          <w:color w:val="000000"/>
          <w:sz w:val="28"/>
          <w:szCs w:val="28"/>
          <w:lang w:bidi="ar"/>
        </w:rPr>
        <w:t>项目涉及单位情况”。</w:t>
      </w:r>
    </w:p>
    <w:p w14:paraId="574CF1A9">
      <w:pPr>
        <w:keepNext w:val="0"/>
        <w:keepLines w:val="0"/>
        <w:pageBreakBefore w:val="0"/>
        <w:widowControl w:val="0"/>
        <w:kinsoku/>
        <w:wordWrap/>
        <w:overflowPunct/>
        <w:topLinePunct w:val="0"/>
        <w:autoSpaceDE/>
        <w:autoSpaceDN/>
        <w:bidi w:val="0"/>
        <w:snapToGrid w:val="0"/>
        <w:spacing w:line="360" w:lineRule="auto"/>
        <w:ind w:firstLine="562" w:firstLineChars="200"/>
        <w:textAlignment w:val="auto"/>
        <w:rPr>
          <w:b/>
          <w:color w:val="000000"/>
          <w:sz w:val="28"/>
          <w:szCs w:val="28"/>
        </w:rPr>
      </w:pPr>
      <w:r>
        <w:rPr>
          <w:b/>
          <w:color w:val="000000"/>
          <w:sz w:val="28"/>
          <w:szCs w:val="28"/>
          <w:lang w:bidi="ar"/>
        </w:rPr>
        <w:t>4.竣工验收阶段</w:t>
      </w:r>
    </w:p>
    <w:p w14:paraId="20670DC5">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color w:val="000000"/>
          <w:sz w:val="28"/>
          <w:szCs w:val="28"/>
          <w:lang w:bidi="ar"/>
        </w:rPr>
      </w:pPr>
      <w:r>
        <w:rPr>
          <w:rFonts w:hint="eastAsia" w:hAnsi="宋体"/>
          <w:color w:val="auto"/>
          <w:szCs w:val="24"/>
        </w:rPr>
        <w:t>本项目为3</w:t>
      </w:r>
      <w:r>
        <w:rPr>
          <w:rFonts w:hAnsi="宋体"/>
          <w:color w:val="auto"/>
          <w:szCs w:val="24"/>
        </w:rPr>
        <w:t>万吨/年</w:t>
      </w:r>
      <w:r>
        <w:rPr>
          <w:rFonts w:hint="eastAsia" w:hAnsi="宋体"/>
          <w:color w:val="auto"/>
          <w:szCs w:val="24"/>
        </w:rPr>
        <w:t>无水</w:t>
      </w:r>
      <w:r>
        <w:rPr>
          <w:rFonts w:hAnsi="宋体"/>
          <w:color w:val="auto"/>
          <w:szCs w:val="24"/>
        </w:rPr>
        <w:t>氟化氢</w:t>
      </w:r>
      <w:r>
        <w:rPr>
          <w:rFonts w:hint="eastAsia" w:hAnsi="宋体"/>
          <w:color w:val="auto"/>
          <w:szCs w:val="24"/>
        </w:rPr>
        <w:t>和2</w:t>
      </w:r>
      <w:r>
        <w:rPr>
          <w:rFonts w:hAnsi="宋体"/>
          <w:color w:val="auto"/>
          <w:szCs w:val="24"/>
        </w:rPr>
        <w:t>万吨/年</w:t>
      </w:r>
      <w:r>
        <w:rPr>
          <w:rFonts w:hint="eastAsia" w:hAnsi="宋体"/>
          <w:color w:val="auto"/>
          <w:szCs w:val="24"/>
        </w:rPr>
        <w:t>电子氢氟酸装置配套厂外公用工程管架建设项目</w:t>
      </w:r>
      <w:r>
        <w:rPr>
          <w:rFonts w:hint="eastAsia" w:hAnsi="宋体"/>
          <w:color w:val="auto"/>
          <w:szCs w:val="24"/>
          <w:lang w:eastAsia="zh-CN"/>
        </w:rPr>
        <w:t>，</w:t>
      </w:r>
      <w:r>
        <w:rPr>
          <w:rFonts w:hint="eastAsia" w:hAnsi="宋体"/>
          <w:color w:val="auto"/>
          <w:szCs w:val="24"/>
          <w:lang w:val="en-US" w:eastAsia="zh-CN"/>
        </w:rPr>
        <w:t>全厂的</w:t>
      </w:r>
      <w:r>
        <w:rPr>
          <w:color w:val="000000"/>
          <w:sz w:val="28"/>
          <w:szCs w:val="28"/>
          <w:lang w:bidi="ar"/>
        </w:rPr>
        <w:t>项目于202</w:t>
      </w:r>
      <w:r>
        <w:rPr>
          <w:rFonts w:hint="eastAsia"/>
          <w:color w:val="000000"/>
          <w:sz w:val="28"/>
          <w:szCs w:val="28"/>
          <w:lang w:bidi="ar"/>
        </w:rPr>
        <w:t>4</w:t>
      </w:r>
      <w:r>
        <w:rPr>
          <w:color w:val="000000"/>
          <w:sz w:val="28"/>
          <w:szCs w:val="28"/>
          <w:lang w:bidi="ar"/>
        </w:rPr>
        <w:t>年</w:t>
      </w:r>
      <w:r>
        <w:rPr>
          <w:rFonts w:hint="eastAsia"/>
          <w:color w:val="000000"/>
          <w:sz w:val="28"/>
          <w:szCs w:val="28"/>
          <w:lang w:bidi="ar"/>
        </w:rPr>
        <w:t>10</w:t>
      </w:r>
      <w:r>
        <w:rPr>
          <w:color w:val="000000"/>
          <w:sz w:val="28"/>
          <w:szCs w:val="28"/>
          <w:lang w:bidi="ar"/>
        </w:rPr>
        <w:t>月竣工，</w:t>
      </w:r>
      <w:r>
        <w:rPr>
          <w:rFonts w:hint="eastAsia"/>
          <w:color w:val="000000"/>
          <w:sz w:val="28"/>
          <w:szCs w:val="28"/>
          <w:lang w:bidi="ar"/>
        </w:rPr>
        <w:t>各施工单位</w:t>
      </w:r>
      <w:r>
        <w:rPr>
          <w:color w:val="000000"/>
          <w:sz w:val="28"/>
          <w:szCs w:val="28"/>
          <w:lang w:bidi="ar"/>
        </w:rPr>
        <w:t>出具了</w:t>
      </w:r>
      <w:r>
        <w:rPr>
          <w:rFonts w:hint="eastAsia"/>
          <w:color w:val="000000"/>
          <w:sz w:val="28"/>
          <w:szCs w:val="28"/>
          <w:lang w:eastAsia="zh-CN" w:bidi="ar"/>
        </w:rPr>
        <w:t>《化学工业工程建设交工技术文件》</w:t>
      </w:r>
      <w:r>
        <w:rPr>
          <w:rFonts w:hint="eastAsia"/>
          <w:color w:val="000000"/>
          <w:sz w:val="28"/>
          <w:szCs w:val="28"/>
          <w:lang w:bidi="ar"/>
        </w:rPr>
        <w:t>、《安全设施施工情况报告》等相应的</w:t>
      </w:r>
      <w:r>
        <w:rPr>
          <w:color w:val="000000"/>
          <w:sz w:val="28"/>
          <w:szCs w:val="28"/>
          <w:lang w:bidi="ar"/>
        </w:rPr>
        <w:t>工程竣工资料</w:t>
      </w:r>
      <w:r>
        <w:rPr>
          <w:rFonts w:hint="eastAsia"/>
          <w:color w:val="000000"/>
          <w:sz w:val="28"/>
          <w:szCs w:val="28"/>
          <w:lang w:bidi="ar"/>
        </w:rPr>
        <w:t>；</w:t>
      </w:r>
      <w:r>
        <w:rPr>
          <w:color w:val="000000"/>
          <w:sz w:val="28"/>
          <w:szCs w:val="28"/>
          <w:lang w:bidi="ar"/>
        </w:rPr>
        <w:t>由</w:t>
      </w:r>
      <w:r>
        <w:rPr>
          <w:rFonts w:hint="eastAsia"/>
          <w:color w:val="000000"/>
          <w:sz w:val="28"/>
          <w:szCs w:val="28"/>
          <w:lang w:bidi="ar"/>
        </w:rPr>
        <w:t>监理单位</w:t>
      </w:r>
      <w:r>
        <w:rPr>
          <w:color w:val="000000"/>
          <w:sz w:val="28"/>
          <w:szCs w:val="28"/>
          <w:lang w:bidi="ar"/>
        </w:rPr>
        <w:t>出具了《安全设施</w:t>
      </w:r>
      <w:r>
        <w:rPr>
          <w:rFonts w:hint="eastAsia"/>
          <w:color w:val="000000"/>
          <w:sz w:val="28"/>
          <w:szCs w:val="28"/>
          <w:lang w:bidi="ar"/>
        </w:rPr>
        <w:t>施工</w:t>
      </w:r>
      <w:r>
        <w:rPr>
          <w:color w:val="000000"/>
          <w:sz w:val="28"/>
          <w:szCs w:val="28"/>
          <w:lang w:bidi="ar"/>
        </w:rPr>
        <w:t>监理</w:t>
      </w:r>
      <w:r>
        <w:rPr>
          <w:rFonts w:hint="eastAsia"/>
          <w:color w:val="000000"/>
          <w:sz w:val="28"/>
          <w:szCs w:val="28"/>
          <w:lang w:bidi="ar"/>
        </w:rPr>
        <w:t>情况</w:t>
      </w:r>
      <w:r>
        <w:rPr>
          <w:color w:val="000000"/>
          <w:sz w:val="28"/>
          <w:szCs w:val="28"/>
          <w:lang w:bidi="ar"/>
        </w:rPr>
        <w:t>报告》</w:t>
      </w:r>
      <w:r>
        <w:rPr>
          <w:rFonts w:hint="eastAsia"/>
          <w:color w:val="000000"/>
          <w:sz w:val="28"/>
          <w:szCs w:val="28"/>
          <w:lang w:bidi="ar"/>
        </w:rPr>
        <w:t>；建设单位、勘察单位、设计单位、监理单位、施工单位共同出具了《竣工验收意见》</w:t>
      </w:r>
      <w:r>
        <w:rPr>
          <w:color w:val="000000"/>
          <w:sz w:val="28"/>
          <w:szCs w:val="28"/>
          <w:lang w:bidi="ar"/>
        </w:rPr>
        <w:t>。</w:t>
      </w:r>
    </w:p>
    <w:p w14:paraId="4ACCED2F">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color w:val="000000"/>
          <w:sz w:val="28"/>
          <w:szCs w:val="28"/>
        </w:rPr>
      </w:pPr>
      <w:r>
        <w:rPr>
          <w:snapToGrid w:val="0"/>
          <w:color w:val="000000"/>
          <w:kern w:val="0"/>
          <w:sz w:val="28"/>
          <w:szCs w:val="28"/>
          <w:lang w:bidi="ar"/>
        </w:rPr>
        <w:t>该公司</w:t>
      </w:r>
      <w:r>
        <w:rPr>
          <w:color w:val="000000"/>
          <w:sz w:val="28"/>
          <w:szCs w:val="28"/>
          <w:lang w:bidi="ar"/>
        </w:rPr>
        <w:t>组织相关人员</w:t>
      </w:r>
      <w:r>
        <w:rPr>
          <w:rFonts w:hint="eastAsia"/>
          <w:color w:val="000000"/>
          <w:sz w:val="28"/>
          <w:szCs w:val="28"/>
          <w:lang w:bidi="ar"/>
        </w:rPr>
        <w:t>于2024年10月</w:t>
      </w:r>
      <w:r>
        <w:rPr>
          <w:color w:val="000000"/>
          <w:sz w:val="28"/>
          <w:szCs w:val="28"/>
          <w:lang w:bidi="ar"/>
        </w:rPr>
        <w:t>编制了</w:t>
      </w:r>
      <w:r>
        <w:rPr>
          <w:snapToGrid w:val="0"/>
          <w:color w:val="000000"/>
          <w:sz w:val="28"/>
          <w:szCs w:val="28"/>
        </w:rPr>
        <w:t>《</w:t>
      </w:r>
      <w:r>
        <w:rPr>
          <w:rFonts w:hint="eastAsia"/>
          <w:snapToGrid w:val="0"/>
          <w:color w:val="000000"/>
          <w:sz w:val="28"/>
          <w:szCs w:val="28"/>
        </w:rPr>
        <w:t>云南瓮福祥丰氟硅新材料有限公司3万吨/年无水氟化氢和2万吨/年电子级氢氟酸项目化工投料试车方案</w:t>
      </w:r>
      <w:r>
        <w:rPr>
          <w:snapToGrid w:val="0"/>
          <w:color w:val="000000"/>
          <w:sz w:val="28"/>
          <w:szCs w:val="28"/>
        </w:rPr>
        <w:t>》</w:t>
      </w:r>
      <w:r>
        <w:rPr>
          <w:rFonts w:hint="eastAsia"/>
          <w:snapToGrid w:val="0"/>
          <w:color w:val="000000"/>
          <w:sz w:val="28"/>
          <w:szCs w:val="28"/>
          <w:lang w:eastAsia="zh-CN"/>
        </w:rPr>
        <w:t>（</w:t>
      </w:r>
      <w:r>
        <w:rPr>
          <w:rFonts w:hint="eastAsia"/>
          <w:snapToGrid w:val="0"/>
          <w:color w:val="000000"/>
          <w:sz w:val="28"/>
          <w:szCs w:val="28"/>
          <w:lang w:val="en-US" w:eastAsia="zh-CN"/>
        </w:rPr>
        <w:t>含厂区外管廊）</w:t>
      </w:r>
      <w:r>
        <w:rPr>
          <w:color w:val="000000"/>
          <w:sz w:val="28"/>
          <w:szCs w:val="28"/>
          <w:lang w:bidi="ar"/>
        </w:rPr>
        <w:t>，</w:t>
      </w:r>
      <w:r>
        <w:rPr>
          <w:rFonts w:hint="eastAsia"/>
          <w:color w:val="000000"/>
          <w:sz w:val="28"/>
          <w:szCs w:val="28"/>
          <w:lang w:bidi="ar"/>
        </w:rPr>
        <w:t>通过专家</w:t>
      </w:r>
      <w:r>
        <w:rPr>
          <w:color w:val="000000"/>
          <w:sz w:val="28"/>
          <w:szCs w:val="28"/>
          <w:lang w:bidi="ar"/>
        </w:rPr>
        <w:t>审查</w:t>
      </w:r>
      <w:r>
        <w:rPr>
          <w:rFonts w:hint="eastAsia"/>
          <w:color w:val="000000"/>
          <w:sz w:val="28"/>
          <w:szCs w:val="28"/>
          <w:lang w:bidi="ar"/>
        </w:rPr>
        <w:t>，并报安宁市应急管理局备案，取得《危险化学品建设项目试生产（使用）方案备案告知书》（安应急危化项目备字[2024]012号）</w:t>
      </w:r>
      <w:r>
        <w:rPr>
          <w:rFonts w:hint="eastAsia"/>
          <w:color w:val="000000"/>
          <w:sz w:val="28"/>
          <w:szCs w:val="28"/>
          <w:lang w:eastAsia="zh-CN" w:bidi="ar"/>
        </w:rPr>
        <w:t>。</w:t>
      </w:r>
      <w:r>
        <w:rPr>
          <w:rFonts w:hint="eastAsia"/>
          <w:snapToGrid w:val="0"/>
          <w:color w:val="000000"/>
          <w:kern w:val="0"/>
          <w:sz w:val="28"/>
          <w:szCs w:val="28"/>
          <w:lang w:val="en-US" w:eastAsia="zh-CN" w:bidi="ar"/>
        </w:rPr>
        <w:t>无水氟化氢装置2024年10月25日开始试生产，电子级氢氟酸装置2024年11月15日开始试生产，</w:t>
      </w:r>
      <w:r>
        <w:rPr>
          <w:rFonts w:hint="eastAsia"/>
        </w:rPr>
        <w:t>本项目为云南瓮福祥丰氟硅新材料有限公司3万吨/年无水氟化氢和2万吨/年电子级氢氟酸项目配套的厂外公用工程管道设施</w:t>
      </w:r>
      <w:r>
        <w:rPr>
          <w:rFonts w:hint="eastAsia"/>
          <w:lang w:val="en-US" w:eastAsia="zh-CN"/>
        </w:rPr>
        <w:t>配套主项目同步试生产，项目外管廊于2024年10月24日完成所有管线的打压试漏及吹扫工作，于10月25日正式投入使用，化工投料试车时间自2024年10月26日16：00起。</w:t>
      </w:r>
      <w:r>
        <w:rPr>
          <w:color w:val="000000"/>
          <w:sz w:val="28"/>
          <w:szCs w:val="28"/>
          <w:lang w:bidi="ar"/>
        </w:rPr>
        <w:t>试</w:t>
      </w:r>
      <w:r>
        <w:rPr>
          <w:rFonts w:hint="eastAsia"/>
          <w:color w:val="000000"/>
          <w:sz w:val="28"/>
          <w:szCs w:val="28"/>
          <w:lang w:bidi="ar"/>
        </w:rPr>
        <w:t>生产</w:t>
      </w:r>
      <w:r>
        <w:rPr>
          <w:color w:val="000000"/>
          <w:sz w:val="28"/>
          <w:szCs w:val="28"/>
          <w:lang w:bidi="ar"/>
        </w:rPr>
        <w:t>过程中，</w:t>
      </w:r>
      <w:r>
        <w:rPr>
          <w:snapToGrid w:val="0"/>
          <w:color w:val="000000"/>
          <w:kern w:val="0"/>
          <w:sz w:val="28"/>
          <w:szCs w:val="28"/>
          <w:lang w:bidi="ar"/>
        </w:rPr>
        <w:t>进一步对项目涉及的安全设施进行了排查和完善，</w:t>
      </w:r>
      <w:r>
        <w:rPr>
          <w:rFonts w:hint="eastAsia"/>
          <w:snapToGrid w:val="0"/>
          <w:color w:val="000000"/>
          <w:kern w:val="0"/>
          <w:sz w:val="28"/>
          <w:szCs w:val="28"/>
          <w:lang w:bidi="ar"/>
        </w:rPr>
        <w:t>试</w:t>
      </w:r>
      <w:r>
        <w:rPr>
          <w:rFonts w:hint="eastAsia"/>
          <w:color w:val="000000"/>
          <w:sz w:val="28"/>
          <w:szCs w:val="28"/>
          <w:lang w:bidi="ar"/>
        </w:rPr>
        <w:t>生产</w:t>
      </w:r>
      <w:r>
        <w:rPr>
          <w:color w:val="000000"/>
          <w:sz w:val="28"/>
          <w:szCs w:val="28"/>
          <w:lang w:bidi="ar"/>
        </w:rPr>
        <w:t>正常后编制了</w:t>
      </w:r>
      <w:r>
        <w:rPr>
          <w:rFonts w:hint="eastAsia"/>
          <w:color w:val="000000"/>
          <w:sz w:val="28"/>
          <w:szCs w:val="28"/>
          <w:lang w:bidi="ar"/>
        </w:rPr>
        <w:t>《</w:t>
      </w:r>
      <w:r>
        <w:rPr>
          <w:rFonts w:hint="eastAsia"/>
          <w:snapToGrid w:val="0"/>
          <w:color w:val="000000"/>
          <w:kern w:val="0"/>
          <w:sz w:val="28"/>
          <w:szCs w:val="28"/>
          <w:lang w:bidi="ar"/>
        </w:rPr>
        <w:t>云南瓮福祥丰氟硅新材料有限公司</w:t>
      </w:r>
      <w:r>
        <w:rPr>
          <w:rFonts w:hint="eastAsia"/>
          <w:color w:val="000000"/>
          <w:sz w:val="28"/>
          <w:szCs w:val="28"/>
        </w:rPr>
        <w:t>3万吨/年无水氟化氢和2万吨/年电子级氢氟酸项目试生产总结报告</w:t>
      </w:r>
      <w:r>
        <w:rPr>
          <w:rFonts w:hint="eastAsia"/>
          <w:color w:val="000000"/>
          <w:sz w:val="28"/>
          <w:szCs w:val="28"/>
          <w:lang w:bidi="ar"/>
        </w:rPr>
        <w:t>》</w:t>
      </w:r>
      <w:r>
        <w:rPr>
          <w:rFonts w:hint="eastAsia"/>
          <w:snapToGrid w:val="0"/>
          <w:color w:val="000000"/>
          <w:sz w:val="28"/>
          <w:szCs w:val="28"/>
          <w:lang w:eastAsia="zh-CN"/>
        </w:rPr>
        <w:t>（</w:t>
      </w:r>
      <w:r>
        <w:rPr>
          <w:rFonts w:hint="eastAsia"/>
          <w:snapToGrid w:val="0"/>
          <w:color w:val="000000"/>
          <w:sz w:val="28"/>
          <w:szCs w:val="28"/>
          <w:lang w:val="en-US" w:eastAsia="zh-CN"/>
        </w:rPr>
        <w:t>含厂区外管廊）</w:t>
      </w:r>
      <w:r>
        <w:rPr>
          <w:color w:val="000000"/>
          <w:sz w:val="28"/>
          <w:szCs w:val="28"/>
          <w:lang w:bidi="ar"/>
        </w:rPr>
        <w:t>。</w:t>
      </w:r>
    </w:p>
    <w:p w14:paraId="19EA22C8">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color w:val="000000"/>
          <w:sz w:val="28"/>
          <w:szCs w:val="28"/>
        </w:rPr>
      </w:pPr>
      <w:r>
        <w:rPr>
          <w:color w:val="000000"/>
          <w:sz w:val="28"/>
          <w:szCs w:val="28"/>
          <w:lang w:bidi="ar"/>
        </w:rPr>
        <w:t>上述相关资料情况见报告附件“</w:t>
      </w:r>
      <w:r>
        <w:rPr>
          <w:rFonts w:hint="eastAsia"/>
          <w:color w:val="000000"/>
          <w:sz w:val="28"/>
          <w:szCs w:val="28"/>
          <w:lang w:bidi="ar"/>
        </w:rPr>
        <w:t>附件资料</w:t>
      </w:r>
      <w:r>
        <w:rPr>
          <w:color w:val="000000"/>
          <w:sz w:val="28"/>
          <w:szCs w:val="28"/>
          <w:lang w:bidi="ar"/>
        </w:rPr>
        <w:t>”。</w:t>
      </w:r>
    </w:p>
    <w:p w14:paraId="63260D7B">
      <w:pPr>
        <w:pStyle w:val="5"/>
        <w:numPr>
          <w:ilvl w:val="2"/>
          <w:numId w:val="1"/>
        </w:numPr>
        <w:adjustRightInd w:val="0"/>
        <w:spacing w:before="120" w:after="120"/>
        <w:jc w:val="both"/>
        <w:rPr>
          <w:rFonts w:hint="default" w:ascii="宋体"/>
          <w:b/>
          <w:bCs/>
          <w:color w:val="auto"/>
          <w:sz w:val="32"/>
          <w:szCs w:val="32"/>
        </w:rPr>
      </w:pPr>
      <w:bookmarkStart w:id="145" w:name="_Toc4319"/>
      <w:r>
        <w:rPr>
          <w:rFonts w:hint="default" w:ascii="Times New Roman" w:hAnsi="Times New Roman" w:eastAsia="黑体"/>
          <w:snapToGrid w:val="0"/>
          <w:color w:val="000000"/>
          <w:kern w:val="0"/>
          <w:sz w:val="32"/>
        </w:rPr>
        <w:t>项目涉及单位情况</w:t>
      </w:r>
      <w:bookmarkEnd w:id="145"/>
    </w:p>
    <w:p w14:paraId="4EC1FF45">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color w:val="000000"/>
          <w:sz w:val="28"/>
          <w:szCs w:val="28"/>
        </w:rPr>
      </w:pPr>
      <w:r>
        <w:rPr>
          <w:color w:val="000000"/>
          <w:sz w:val="28"/>
          <w:szCs w:val="28"/>
          <w:lang w:bidi="ar"/>
        </w:rPr>
        <w:t>该项目在建设过程中涉及的设计、施工、监理等单位情况如下表所示。</w:t>
      </w:r>
    </w:p>
    <w:p w14:paraId="247AFCC4">
      <w:pPr>
        <w:spacing w:line="500" w:lineRule="exact"/>
        <w:ind w:firstLine="482" w:firstLineChars="200"/>
        <w:jc w:val="center"/>
        <w:rPr>
          <w:b/>
          <w:bCs/>
          <w:color w:val="000000"/>
          <w:sz w:val="24"/>
        </w:rPr>
      </w:pPr>
      <w:r>
        <w:rPr>
          <w:b/>
          <w:bCs/>
          <w:color w:val="000000"/>
          <w:sz w:val="24"/>
          <w:lang w:val="zh-CN" w:bidi="ar"/>
        </w:rPr>
        <w:t>表2</w:t>
      </w:r>
      <w:r>
        <w:rPr>
          <w:rFonts w:hint="eastAsia"/>
          <w:b/>
          <w:bCs/>
          <w:color w:val="000000"/>
          <w:sz w:val="24"/>
          <w:lang w:val="en-US" w:eastAsia="zh-CN" w:bidi="ar"/>
        </w:rPr>
        <w:t>.2</w:t>
      </w:r>
      <w:r>
        <w:rPr>
          <w:b/>
          <w:bCs/>
          <w:color w:val="000000"/>
          <w:sz w:val="24"/>
          <w:lang w:val="zh-CN" w:bidi="ar"/>
        </w:rPr>
        <w:t>-</w:t>
      </w:r>
      <w:r>
        <w:rPr>
          <w:rFonts w:hint="eastAsia"/>
          <w:b/>
          <w:bCs/>
          <w:color w:val="000000"/>
          <w:sz w:val="24"/>
          <w:lang w:val="en-US" w:eastAsia="zh-CN" w:bidi="ar"/>
        </w:rPr>
        <w:t>4</w:t>
      </w:r>
      <w:r>
        <w:rPr>
          <w:b/>
          <w:bCs/>
          <w:color w:val="000000"/>
          <w:sz w:val="24"/>
          <w:lang w:val="zh-CN" w:bidi="ar"/>
        </w:rPr>
        <w:t xml:space="preserve"> 该项目</w:t>
      </w:r>
      <w:r>
        <w:rPr>
          <w:b/>
          <w:bCs/>
          <w:color w:val="000000"/>
          <w:sz w:val="24"/>
          <w:lang w:bidi="ar"/>
        </w:rPr>
        <w:t>建设涉及的设计、施工、监理等单位情况表</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8"/>
        <w:gridCol w:w="1901"/>
        <w:gridCol w:w="1759"/>
        <w:gridCol w:w="3062"/>
        <w:gridCol w:w="910"/>
      </w:tblGrid>
      <w:tr w14:paraId="19331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768" w:type="dxa"/>
            <w:tcBorders>
              <w:top w:val="single" w:color="auto" w:sz="4" w:space="0"/>
              <w:left w:val="single" w:color="auto" w:sz="4" w:space="0"/>
              <w:bottom w:val="single" w:color="auto" w:sz="4" w:space="0"/>
              <w:right w:val="single" w:color="auto" w:sz="4" w:space="0"/>
            </w:tcBorders>
            <w:noWrap w:val="0"/>
            <w:vAlign w:val="center"/>
          </w:tcPr>
          <w:p w14:paraId="069701FE">
            <w:pPr>
              <w:keepNext w:val="0"/>
              <w:keepLines w:val="0"/>
              <w:pageBreakBefore w:val="0"/>
              <w:widowControl w:val="0"/>
              <w:kinsoku/>
              <w:wordWrap/>
              <w:overflowPunct/>
              <w:topLinePunct w:val="0"/>
              <w:autoSpaceDE/>
              <w:autoSpaceDN/>
              <w:bidi w:val="0"/>
              <w:adjustRightInd/>
              <w:snapToGrid w:val="0"/>
              <w:spacing w:line="240" w:lineRule="auto"/>
              <w:jc w:val="center"/>
              <w:textAlignment w:val="baseline"/>
              <w:rPr>
                <w:b/>
                <w:bCs/>
                <w:color w:val="000000"/>
                <w:sz w:val="21"/>
                <w:szCs w:val="21"/>
              </w:rPr>
            </w:pPr>
            <w:bookmarkStart w:id="146" w:name="_Hlk497767357"/>
            <w:r>
              <w:rPr>
                <w:b/>
                <w:bCs/>
                <w:color w:val="000000"/>
                <w:sz w:val="21"/>
                <w:szCs w:val="21"/>
              </w:rPr>
              <w:t>相关单位</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67E9BD15">
            <w:pPr>
              <w:keepNext w:val="0"/>
              <w:keepLines w:val="0"/>
              <w:pageBreakBefore w:val="0"/>
              <w:widowControl w:val="0"/>
              <w:kinsoku/>
              <w:wordWrap/>
              <w:overflowPunct/>
              <w:topLinePunct w:val="0"/>
              <w:autoSpaceDE/>
              <w:autoSpaceDN/>
              <w:bidi w:val="0"/>
              <w:adjustRightInd/>
              <w:snapToGrid w:val="0"/>
              <w:spacing w:line="240" w:lineRule="auto"/>
              <w:jc w:val="center"/>
              <w:textAlignment w:val="baseline"/>
              <w:rPr>
                <w:b/>
                <w:bCs/>
                <w:color w:val="000000"/>
                <w:sz w:val="21"/>
                <w:szCs w:val="21"/>
              </w:rPr>
            </w:pPr>
            <w:r>
              <w:rPr>
                <w:b/>
                <w:bCs/>
                <w:color w:val="000000"/>
                <w:sz w:val="21"/>
                <w:szCs w:val="21"/>
              </w:rPr>
              <w:t>涉及单位名称</w:t>
            </w:r>
          </w:p>
        </w:tc>
        <w:tc>
          <w:tcPr>
            <w:tcW w:w="1759" w:type="dxa"/>
            <w:tcBorders>
              <w:top w:val="single" w:color="auto" w:sz="4" w:space="0"/>
              <w:left w:val="single" w:color="auto" w:sz="4" w:space="0"/>
              <w:bottom w:val="single" w:color="auto" w:sz="4" w:space="0"/>
              <w:right w:val="single" w:color="auto" w:sz="4" w:space="0"/>
            </w:tcBorders>
            <w:noWrap w:val="0"/>
            <w:vAlign w:val="center"/>
          </w:tcPr>
          <w:p w14:paraId="4C3863C5">
            <w:pPr>
              <w:keepNext w:val="0"/>
              <w:keepLines w:val="0"/>
              <w:pageBreakBefore w:val="0"/>
              <w:widowControl w:val="0"/>
              <w:kinsoku/>
              <w:wordWrap/>
              <w:overflowPunct/>
              <w:topLinePunct w:val="0"/>
              <w:autoSpaceDE/>
              <w:autoSpaceDN/>
              <w:bidi w:val="0"/>
              <w:adjustRightInd/>
              <w:snapToGrid w:val="0"/>
              <w:spacing w:line="240" w:lineRule="auto"/>
              <w:jc w:val="center"/>
              <w:textAlignment w:val="baseline"/>
              <w:rPr>
                <w:b/>
                <w:bCs/>
                <w:color w:val="000000"/>
                <w:sz w:val="21"/>
                <w:szCs w:val="21"/>
              </w:rPr>
            </w:pPr>
            <w:r>
              <w:rPr>
                <w:b/>
                <w:bCs/>
                <w:color w:val="000000"/>
                <w:sz w:val="21"/>
                <w:szCs w:val="21"/>
              </w:rPr>
              <w:t>证书编号</w:t>
            </w:r>
          </w:p>
        </w:tc>
        <w:tc>
          <w:tcPr>
            <w:tcW w:w="3062" w:type="dxa"/>
            <w:tcBorders>
              <w:top w:val="single" w:color="auto" w:sz="4" w:space="0"/>
              <w:left w:val="single" w:color="auto" w:sz="4" w:space="0"/>
              <w:bottom w:val="single" w:color="auto" w:sz="4" w:space="0"/>
              <w:right w:val="single" w:color="auto" w:sz="4" w:space="0"/>
            </w:tcBorders>
            <w:noWrap w:val="0"/>
            <w:vAlign w:val="center"/>
          </w:tcPr>
          <w:p w14:paraId="17E3F00A">
            <w:pPr>
              <w:keepNext w:val="0"/>
              <w:keepLines w:val="0"/>
              <w:pageBreakBefore w:val="0"/>
              <w:widowControl w:val="0"/>
              <w:kinsoku/>
              <w:wordWrap/>
              <w:overflowPunct/>
              <w:topLinePunct w:val="0"/>
              <w:autoSpaceDE/>
              <w:autoSpaceDN/>
              <w:bidi w:val="0"/>
              <w:adjustRightInd/>
              <w:snapToGrid w:val="0"/>
              <w:spacing w:line="240" w:lineRule="auto"/>
              <w:jc w:val="center"/>
              <w:textAlignment w:val="baseline"/>
              <w:rPr>
                <w:b/>
                <w:bCs/>
                <w:color w:val="000000"/>
                <w:sz w:val="21"/>
                <w:szCs w:val="21"/>
              </w:rPr>
            </w:pPr>
            <w:r>
              <w:rPr>
                <w:b/>
                <w:bCs/>
                <w:color w:val="000000"/>
                <w:sz w:val="21"/>
                <w:szCs w:val="21"/>
              </w:rPr>
              <w:t>资质范围</w:t>
            </w:r>
          </w:p>
        </w:tc>
        <w:tc>
          <w:tcPr>
            <w:tcW w:w="910" w:type="dxa"/>
            <w:tcBorders>
              <w:top w:val="single" w:color="auto" w:sz="4" w:space="0"/>
              <w:left w:val="single" w:color="auto" w:sz="4" w:space="0"/>
              <w:bottom w:val="single" w:color="auto" w:sz="4" w:space="0"/>
              <w:right w:val="single" w:color="auto" w:sz="4" w:space="0"/>
            </w:tcBorders>
            <w:noWrap w:val="0"/>
            <w:vAlign w:val="top"/>
          </w:tcPr>
          <w:p w14:paraId="79E4B76B">
            <w:pPr>
              <w:keepNext w:val="0"/>
              <w:keepLines w:val="0"/>
              <w:pageBreakBefore w:val="0"/>
              <w:widowControl w:val="0"/>
              <w:kinsoku/>
              <w:wordWrap/>
              <w:overflowPunct/>
              <w:topLinePunct w:val="0"/>
              <w:autoSpaceDE/>
              <w:autoSpaceDN/>
              <w:bidi w:val="0"/>
              <w:adjustRightInd/>
              <w:snapToGrid w:val="0"/>
              <w:spacing w:line="240" w:lineRule="auto"/>
              <w:jc w:val="center"/>
              <w:textAlignment w:val="baseline"/>
              <w:rPr>
                <w:b/>
                <w:bCs/>
                <w:color w:val="000000"/>
                <w:sz w:val="21"/>
                <w:szCs w:val="21"/>
              </w:rPr>
            </w:pPr>
            <w:r>
              <w:rPr>
                <w:rFonts w:hint="eastAsia"/>
                <w:b/>
                <w:bCs/>
                <w:color w:val="000000"/>
                <w:sz w:val="21"/>
                <w:szCs w:val="21"/>
              </w:rPr>
              <w:t>有效期</w:t>
            </w:r>
          </w:p>
        </w:tc>
      </w:tr>
      <w:tr w14:paraId="704E9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8" w:type="dxa"/>
            <w:tcBorders>
              <w:top w:val="single" w:color="auto" w:sz="4" w:space="0"/>
              <w:left w:val="single" w:color="auto" w:sz="4" w:space="0"/>
              <w:bottom w:val="single" w:color="auto" w:sz="4" w:space="0"/>
              <w:right w:val="single" w:color="auto" w:sz="4" w:space="0"/>
            </w:tcBorders>
            <w:noWrap w:val="0"/>
            <w:vAlign w:val="center"/>
          </w:tcPr>
          <w:p w14:paraId="5FAFCE3F">
            <w:pPr>
              <w:keepNext w:val="0"/>
              <w:keepLines w:val="0"/>
              <w:pageBreakBefore w:val="0"/>
              <w:widowControl w:val="0"/>
              <w:kinsoku/>
              <w:wordWrap/>
              <w:overflowPunct/>
              <w:topLinePunct w:val="0"/>
              <w:autoSpaceDE/>
              <w:autoSpaceDN/>
              <w:bidi w:val="0"/>
              <w:adjustRightInd/>
              <w:snapToGrid w:val="0"/>
              <w:spacing w:line="240" w:lineRule="auto"/>
              <w:jc w:val="center"/>
              <w:textAlignment w:val="baseline"/>
              <w:rPr>
                <w:rFonts w:hint="eastAsia" w:ascii="宋体" w:hAnsi="Times New Roman" w:eastAsia="宋体" w:cs="宋体"/>
                <w:color w:val="000000"/>
                <w:sz w:val="21"/>
                <w:szCs w:val="21"/>
                <w:lang w:val="en-US" w:eastAsia="zh-CN"/>
              </w:rPr>
            </w:pPr>
            <w:r>
              <w:rPr>
                <w:rFonts w:hint="eastAsia" w:ascii="宋体" w:hAnsi="Times New Roman" w:eastAsia="宋体" w:cs="宋体"/>
                <w:color w:val="000000"/>
                <w:sz w:val="21"/>
                <w:szCs w:val="21"/>
              </w:rPr>
              <w:t>可行性研究报告编制单位</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4967F526">
            <w:pPr>
              <w:keepNext w:val="0"/>
              <w:keepLines w:val="0"/>
              <w:pageBreakBefore w:val="0"/>
              <w:widowControl w:val="0"/>
              <w:kinsoku/>
              <w:wordWrap/>
              <w:overflowPunct/>
              <w:topLinePunct w:val="0"/>
              <w:autoSpaceDE/>
              <w:autoSpaceDN/>
              <w:bidi w:val="0"/>
              <w:adjustRightInd/>
              <w:snapToGrid w:val="0"/>
              <w:spacing w:line="240" w:lineRule="auto"/>
              <w:jc w:val="center"/>
              <w:textAlignment w:val="baseline"/>
              <w:rPr>
                <w:rFonts w:hint="eastAsia" w:ascii="宋体" w:hAnsi="Times New Roman" w:eastAsia="宋体" w:cs="宋体"/>
                <w:color w:val="000000"/>
                <w:sz w:val="21"/>
                <w:szCs w:val="21"/>
                <w:lang w:eastAsia="zh-CN"/>
              </w:rPr>
            </w:pPr>
            <w:r>
              <w:rPr>
                <w:rFonts w:hint="eastAsia" w:ascii="宋体" w:hAnsi="Times New Roman" w:eastAsia="宋体" w:cs="宋体"/>
                <w:color w:val="000000"/>
                <w:sz w:val="21"/>
                <w:szCs w:val="21"/>
              </w:rPr>
              <w:t>华陆工程科技有限责任公司</w:t>
            </w:r>
          </w:p>
        </w:tc>
        <w:tc>
          <w:tcPr>
            <w:tcW w:w="1759" w:type="dxa"/>
            <w:tcBorders>
              <w:top w:val="single" w:color="auto" w:sz="4" w:space="0"/>
              <w:left w:val="single" w:color="auto" w:sz="4" w:space="0"/>
              <w:bottom w:val="single" w:color="auto" w:sz="4" w:space="0"/>
              <w:right w:val="single" w:color="auto" w:sz="4" w:space="0"/>
            </w:tcBorders>
            <w:noWrap w:val="0"/>
            <w:vAlign w:val="center"/>
          </w:tcPr>
          <w:p w14:paraId="0A6F16B5">
            <w:pPr>
              <w:keepNext w:val="0"/>
              <w:keepLines w:val="0"/>
              <w:pageBreakBefore w:val="0"/>
              <w:widowControl w:val="0"/>
              <w:kinsoku/>
              <w:wordWrap/>
              <w:overflowPunct/>
              <w:topLinePunct w:val="0"/>
              <w:autoSpaceDE/>
              <w:autoSpaceDN/>
              <w:bidi w:val="0"/>
              <w:adjustRightInd/>
              <w:snapToGrid w:val="0"/>
              <w:spacing w:line="240" w:lineRule="auto"/>
              <w:jc w:val="center"/>
              <w:textAlignment w:val="baseline"/>
              <w:rPr>
                <w:rFonts w:hint="eastAsia" w:ascii="宋体" w:hAnsi="Times New Roman" w:eastAsia="宋体" w:cs="宋体"/>
                <w:color w:val="000000"/>
                <w:sz w:val="21"/>
                <w:szCs w:val="21"/>
              </w:rPr>
            </w:pPr>
            <w:r>
              <w:rPr>
                <w:color w:val="000000"/>
                <w:sz w:val="21"/>
                <w:szCs w:val="21"/>
              </w:rPr>
              <w:t>A</w:t>
            </w:r>
            <w:r>
              <w:rPr>
                <w:rFonts w:hint="eastAsia"/>
                <w:color w:val="000000"/>
                <w:sz w:val="21"/>
                <w:szCs w:val="21"/>
              </w:rPr>
              <w:t>161001356</w:t>
            </w:r>
          </w:p>
        </w:tc>
        <w:tc>
          <w:tcPr>
            <w:tcW w:w="3062" w:type="dxa"/>
            <w:tcBorders>
              <w:top w:val="single" w:color="auto" w:sz="4" w:space="0"/>
              <w:left w:val="single" w:color="auto" w:sz="4" w:space="0"/>
              <w:bottom w:val="single" w:color="auto" w:sz="4" w:space="0"/>
              <w:right w:val="single" w:color="auto" w:sz="4" w:space="0"/>
            </w:tcBorders>
            <w:noWrap w:val="0"/>
            <w:vAlign w:val="center"/>
          </w:tcPr>
          <w:p w14:paraId="667364A0">
            <w:pPr>
              <w:keepNext w:val="0"/>
              <w:keepLines w:val="0"/>
              <w:pageBreakBefore w:val="0"/>
              <w:widowControl w:val="0"/>
              <w:kinsoku/>
              <w:wordWrap/>
              <w:overflowPunct/>
              <w:topLinePunct w:val="0"/>
              <w:autoSpaceDE/>
              <w:autoSpaceDN/>
              <w:bidi w:val="0"/>
              <w:adjustRightInd/>
              <w:snapToGrid w:val="0"/>
              <w:spacing w:line="240" w:lineRule="auto"/>
              <w:textAlignment w:val="baseline"/>
              <w:rPr>
                <w:rFonts w:hint="eastAsia" w:ascii="宋体" w:hAnsi="Times New Roman" w:eastAsia="宋体" w:cs="宋体"/>
                <w:color w:val="000000"/>
                <w:sz w:val="21"/>
                <w:szCs w:val="21"/>
              </w:rPr>
            </w:pPr>
            <w:r>
              <w:rPr>
                <w:rFonts w:hint="eastAsia"/>
                <w:color w:val="000000"/>
                <w:sz w:val="21"/>
                <w:szCs w:val="21"/>
              </w:rPr>
              <w:t>工程设计综合资质甲级</w:t>
            </w:r>
          </w:p>
        </w:tc>
        <w:tc>
          <w:tcPr>
            <w:tcW w:w="910" w:type="dxa"/>
            <w:tcBorders>
              <w:top w:val="single" w:color="auto" w:sz="4" w:space="0"/>
              <w:left w:val="single" w:color="auto" w:sz="4" w:space="0"/>
              <w:bottom w:val="single" w:color="auto" w:sz="4" w:space="0"/>
              <w:right w:val="single" w:color="auto" w:sz="4" w:space="0"/>
            </w:tcBorders>
            <w:noWrap w:val="0"/>
            <w:vAlign w:val="center"/>
          </w:tcPr>
          <w:p w14:paraId="7F773D13">
            <w:pPr>
              <w:keepNext w:val="0"/>
              <w:keepLines w:val="0"/>
              <w:pageBreakBefore w:val="0"/>
              <w:widowControl w:val="0"/>
              <w:kinsoku/>
              <w:wordWrap/>
              <w:overflowPunct/>
              <w:topLinePunct w:val="0"/>
              <w:autoSpaceDE/>
              <w:autoSpaceDN/>
              <w:bidi w:val="0"/>
              <w:adjustRightInd/>
              <w:snapToGrid w:val="0"/>
              <w:spacing w:line="240" w:lineRule="auto"/>
              <w:textAlignment w:val="baseline"/>
              <w:rPr>
                <w:rFonts w:hint="eastAsia"/>
                <w:color w:val="000000"/>
                <w:sz w:val="21"/>
                <w:szCs w:val="21"/>
              </w:rPr>
            </w:pPr>
            <w:r>
              <w:rPr>
                <w:rFonts w:hint="eastAsia"/>
                <w:color w:val="000000"/>
                <w:sz w:val="21"/>
                <w:szCs w:val="21"/>
              </w:rPr>
              <w:t>承担项目期间资质有效</w:t>
            </w:r>
          </w:p>
        </w:tc>
      </w:tr>
      <w:tr w14:paraId="0E407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8" w:type="dxa"/>
            <w:tcBorders>
              <w:top w:val="single" w:color="auto" w:sz="4" w:space="0"/>
              <w:left w:val="single" w:color="auto" w:sz="4" w:space="0"/>
              <w:bottom w:val="single" w:color="auto" w:sz="4" w:space="0"/>
              <w:right w:val="single" w:color="auto" w:sz="4" w:space="0"/>
            </w:tcBorders>
            <w:noWrap w:val="0"/>
            <w:vAlign w:val="center"/>
          </w:tcPr>
          <w:p w14:paraId="59172A95">
            <w:pPr>
              <w:keepNext w:val="0"/>
              <w:keepLines w:val="0"/>
              <w:pageBreakBefore w:val="0"/>
              <w:widowControl w:val="0"/>
              <w:kinsoku/>
              <w:wordWrap/>
              <w:overflowPunct/>
              <w:topLinePunct w:val="0"/>
              <w:autoSpaceDE/>
              <w:autoSpaceDN/>
              <w:bidi w:val="0"/>
              <w:adjustRightInd/>
              <w:snapToGrid w:val="0"/>
              <w:spacing w:line="240" w:lineRule="auto"/>
              <w:jc w:val="center"/>
              <w:textAlignment w:val="baseline"/>
              <w:rPr>
                <w:rFonts w:ascii="宋体" w:hAnsi="Times New Roman" w:eastAsia="宋体" w:cs="宋体"/>
                <w:color w:val="000000"/>
                <w:sz w:val="21"/>
                <w:szCs w:val="21"/>
              </w:rPr>
            </w:pPr>
            <w:r>
              <w:rPr>
                <w:rFonts w:ascii="宋体" w:hAnsi="Times New Roman" w:eastAsia="宋体" w:cs="宋体"/>
                <w:color w:val="000000"/>
                <w:sz w:val="21"/>
                <w:szCs w:val="21"/>
              </w:rPr>
              <w:t>岩土工程详细勘察单位</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6B3AF72B">
            <w:pPr>
              <w:keepNext w:val="0"/>
              <w:keepLines w:val="0"/>
              <w:pageBreakBefore w:val="0"/>
              <w:widowControl w:val="0"/>
              <w:kinsoku/>
              <w:wordWrap/>
              <w:overflowPunct/>
              <w:topLinePunct w:val="0"/>
              <w:autoSpaceDE/>
              <w:autoSpaceDN/>
              <w:bidi w:val="0"/>
              <w:adjustRightInd/>
              <w:snapToGrid w:val="0"/>
              <w:spacing w:line="240" w:lineRule="auto"/>
              <w:textAlignment w:val="baseline"/>
              <w:rPr>
                <w:rFonts w:hint="eastAsia" w:ascii="宋体" w:hAnsi="Times New Roman" w:eastAsia="宋体" w:cs="宋体"/>
                <w:color w:val="000000"/>
                <w:sz w:val="21"/>
                <w:szCs w:val="21"/>
                <w:lang w:eastAsia="zh-CN"/>
              </w:rPr>
            </w:pPr>
            <w:r>
              <w:rPr>
                <w:rFonts w:hint="eastAsia" w:ascii="宋体" w:hAnsi="Times New Roman" w:eastAsia="宋体" w:cs="宋体"/>
                <w:color w:val="000000"/>
                <w:sz w:val="21"/>
                <w:szCs w:val="21"/>
                <w:lang w:eastAsia="zh-CN"/>
              </w:rPr>
              <w:t>昆明名基岩土工程勘测有限公司</w:t>
            </w:r>
          </w:p>
        </w:tc>
        <w:tc>
          <w:tcPr>
            <w:tcW w:w="1759" w:type="dxa"/>
            <w:tcBorders>
              <w:top w:val="single" w:color="auto" w:sz="4" w:space="0"/>
              <w:left w:val="single" w:color="auto" w:sz="4" w:space="0"/>
              <w:bottom w:val="single" w:color="auto" w:sz="4" w:space="0"/>
              <w:right w:val="single" w:color="auto" w:sz="4" w:space="0"/>
            </w:tcBorders>
            <w:noWrap w:val="0"/>
            <w:vAlign w:val="center"/>
          </w:tcPr>
          <w:p w14:paraId="5881E7CC">
            <w:pPr>
              <w:keepNext w:val="0"/>
              <w:keepLines w:val="0"/>
              <w:pageBreakBefore w:val="0"/>
              <w:widowControl w:val="0"/>
              <w:kinsoku/>
              <w:wordWrap/>
              <w:overflowPunct/>
              <w:topLinePunct w:val="0"/>
              <w:autoSpaceDE/>
              <w:autoSpaceDN/>
              <w:bidi w:val="0"/>
              <w:adjustRightInd/>
              <w:snapToGrid w:val="0"/>
              <w:spacing w:line="240" w:lineRule="auto"/>
              <w:textAlignment w:val="baseline"/>
              <w:rPr>
                <w:rFonts w:ascii="宋体" w:hAnsi="Times New Roman" w:eastAsia="宋体" w:cs="宋体"/>
                <w:color w:val="000000"/>
                <w:sz w:val="21"/>
                <w:szCs w:val="21"/>
              </w:rPr>
            </w:pPr>
            <w:r>
              <w:rPr>
                <w:rFonts w:hint="eastAsia" w:ascii="宋体" w:hAnsi="Times New Roman" w:eastAsia="宋体" w:cs="宋体"/>
                <w:color w:val="000000"/>
                <w:sz w:val="21"/>
                <w:szCs w:val="21"/>
              </w:rPr>
              <w:t>B253012456</w:t>
            </w:r>
          </w:p>
        </w:tc>
        <w:tc>
          <w:tcPr>
            <w:tcW w:w="3062" w:type="dxa"/>
            <w:tcBorders>
              <w:top w:val="single" w:color="auto" w:sz="4" w:space="0"/>
              <w:left w:val="single" w:color="auto" w:sz="4" w:space="0"/>
              <w:bottom w:val="single" w:color="auto" w:sz="4" w:space="0"/>
              <w:right w:val="single" w:color="auto" w:sz="4" w:space="0"/>
            </w:tcBorders>
            <w:noWrap w:val="0"/>
            <w:vAlign w:val="center"/>
          </w:tcPr>
          <w:p w14:paraId="05BDE331">
            <w:pPr>
              <w:keepNext w:val="0"/>
              <w:keepLines w:val="0"/>
              <w:pageBreakBefore w:val="0"/>
              <w:widowControl w:val="0"/>
              <w:kinsoku/>
              <w:wordWrap/>
              <w:overflowPunct/>
              <w:topLinePunct w:val="0"/>
              <w:autoSpaceDE/>
              <w:autoSpaceDN/>
              <w:bidi w:val="0"/>
              <w:adjustRightInd/>
              <w:snapToGrid w:val="0"/>
              <w:spacing w:line="240" w:lineRule="auto"/>
              <w:textAlignment w:val="baseline"/>
              <w:rPr>
                <w:rFonts w:hint="eastAsia"/>
                <w:color w:val="000000"/>
                <w:sz w:val="21"/>
                <w:szCs w:val="21"/>
              </w:rPr>
            </w:pPr>
            <w:r>
              <w:rPr>
                <w:color w:val="000000"/>
                <w:sz w:val="21"/>
                <w:szCs w:val="21"/>
              </w:rPr>
              <w:t>工程勘察专业类（岩土工程（</w:t>
            </w:r>
            <w:r>
              <w:rPr>
                <w:rFonts w:hint="eastAsia"/>
                <w:color w:val="000000"/>
                <w:sz w:val="21"/>
                <w:szCs w:val="21"/>
              </w:rPr>
              <w:t>勘察</w:t>
            </w:r>
            <w:r>
              <w:rPr>
                <w:color w:val="000000"/>
                <w:sz w:val="21"/>
                <w:szCs w:val="21"/>
              </w:rPr>
              <w:t>））</w:t>
            </w:r>
            <w:r>
              <w:rPr>
                <w:rFonts w:hint="eastAsia"/>
                <w:color w:val="000000"/>
                <w:sz w:val="21"/>
                <w:szCs w:val="21"/>
                <w:lang w:val="en-US" w:eastAsia="zh-CN"/>
              </w:rPr>
              <w:t>乙</w:t>
            </w:r>
            <w:r>
              <w:rPr>
                <w:color w:val="000000"/>
                <w:sz w:val="21"/>
                <w:szCs w:val="21"/>
              </w:rPr>
              <w:t>级</w:t>
            </w:r>
          </w:p>
        </w:tc>
        <w:tc>
          <w:tcPr>
            <w:tcW w:w="910" w:type="dxa"/>
            <w:tcBorders>
              <w:top w:val="single" w:color="auto" w:sz="4" w:space="0"/>
              <w:left w:val="single" w:color="auto" w:sz="4" w:space="0"/>
              <w:bottom w:val="single" w:color="auto" w:sz="4" w:space="0"/>
              <w:right w:val="single" w:color="auto" w:sz="4" w:space="0"/>
            </w:tcBorders>
            <w:noWrap w:val="0"/>
            <w:vAlign w:val="center"/>
          </w:tcPr>
          <w:p w14:paraId="2B582964">
            <w:pPr>
              <w:keepNext w:val="0"/>
              <w:keepLines w:val="0"/>
              <w:pageBreakBefore w:val="0"/>
              <w:widowControl w:val="0"/>
              <w:kinsoku/>
              <w:wordWrap/>
              <w:overflowPunct/>
              <w:topLinePunct w:val="0"/>
              <w:autoSpaceDE/>
              <w:autoSpaceDN/>
              <w:bidi w:val="0"/>
              <w:adjustRightInd/>
              <w:snapToGrid w:val="0"/>
              <w:spacing w:line="240" w:lineRule="auto"/>
              <w:textAlignment w:val="baseline"/>
              <w:rPr>
                <w:rFonts w:hint="eastAsia"/>
                <w:color w:val="000000"/>
                <w:sz w:val="21"/>
                <w:szCs w:val="21"/>
              </w:rPr>
            </w:pPr>
            <w:r>
              <w:rPr>
                <w:rFonts w:hint="eastAsia"/>
                <w:color w:val="000000"/>
                <w:sz w:val="21"/>
                <w:szCs w:val="21"/>
              </w:rPr>
              <w:t>承担项目期间资质有效</w:t>
            </w:r>
          </w:p>
        </w:tc>
      </w:tr>
      <w:tr w14:paraId="15F92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8" w:type="dxa"/>
            <w:tcBorders>
              <w:top w:val="single" w:color="auto" w:sz="4" w:space="0"/>
              <w:left w:val="single" w:color="auto" w:sz="4" w:space="0"/>
              <w:bottom w:val="single" w:color="auto" w:sz="4" w:space="0"/>
              <w:right w:val="single" w:color="auto" w:sz="4" w:space="0"/>
            </w:tcBorders>
            <w:noWrap w:val="0"/>
            <w:vAlign w:val="center"/>
          </w:tcPr>
          <w:p w14:paraId="5DB80519">
            <w:pPr>
              <w:keepNext w:val="0"/>
              <w:keepLines w:val="0"/>
              <w:pageBreakBefore w:val="0"/>
              <w:widowControl w:val="0"/>
              <w:kinsoku/>
              <w:wordWrap/>
              <w:overflowPunct/>
              <w:topLinePunct w:val="0"/>
              <w:autoSpaceDE/>
              <w:autoSpaceDN/>
              <w:bidi w:val="0"/>
              <w:adjustRightInd/>
              <w:snapToGrid w:val="0"/>
              <w:spacing w:line="240" w:lineRule="auto"/>
              <w:jc w:val="center"/>
              <w:textAlignment w:val="baseline"/>
              <w:rPr>
                <w:color w:val="000000"/>
                <w:sz w:val="21"/>
                <w:szCs w:val="21"/>
              </w:rPr>
            </w:pPr>
            <w:r>
              <w:rPr>
                <w:color w:val="000000"/>
                <w:sz w:val="21"/>
                <w:szCs w:val="21"/>
              </w:rPr>
              <w:t>安全预评价报告编制单位</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29F67A2F">
            <w:pPr>
              <w:keepNext w:val="0"/>
              <w:keepLines w:val="0"/>
              <w:pageBreakBefore w:val="0"/>
              <w:widowControl w:val="0"/>
              <w:kinsoku/>
              <w:wordWrap/>
              <w:overflowPunct/>
              <w:topLinePunct w:val="0"/>
              <w:autoSpaceDE/>
              <w:autoSpaceDN/>
              <w:bidi w:val="0"/>
              <w:adjustRightInd/>
              <w:snapToGrid w:val="0"/>
              <w:spacing w:line="240" w:lineRule="auto"/>
              <w:textAlignment w:val="baseline"/>
              <w:rPr>
                <w:color w:val="000000"/>
                <w:sz w:val="21"/>
                <w:szCs w:val="21"/>
              </w:rPr>
            </w:pPr>
            <w:r>
              <w:rPr>
                <w:rFonts w:hint="eastAsia"/>
                <w:color w:val="000000"/>
                <w:sz w:val="21"/>
                <w:szCs w:val="21"/>
              </w:rPr>
              <w:t>云南恒然安全技术有限公司</w:t>
            </w:r>
          </w:p>
        </w:tc>
        <w:tc>
          <w:tcPr>
            <w:tcW w:w="1759" w:type="dxa"/>
            <w:tcBorders>
              <w:top w:val="single" w:color="auto" w:sz="4" w:space="0"/>
              <w:left w:val="single" w:color="auto" w:sz="4" w:space="0"/>
              <w:bottom w:val="single" w:color="auto" w:sz="4" w:space="0"/>
              <w:right w:val="single" w:color="auto" w:sz="4" w:space="0"/>
            </w:tcBorders>
            <w:noWrap w:val="0"/>
            <w:vAlign w:val="center"/>
          </w:tcPr>
          <w:p w14:paraId="2E68814D">
            <w:pPr>
              <w:keepNext w:val="0"/>
              <w:keepLines w:val="0"/>
              <w:pageBreakBefore w:val="0"/>
              <w:widowControl w:val="0"/>
              <w:kinsoku/>
              <w:wordWrap/>
              <w:overflowPunct/>
              <w:topLinePunct w:val="0"/>
              <w:autoSpaceDE/>
              <w:autoSpaceDN/>
              <w:bidi w:val="0"/>
              <w:adjustRightInd/>
              <w:snapToGrid w:val="0"/>
              <w:spacing w:line="240" w:lineRule="auto"/>
              <w:jc w:val="center"/>
              <w:textAlignment w:val="baseline"/>
              <w:rPr>
                <w:color w:val="000000"/>
                <w:sz w:val="21"/>
                <w:szCs w:val="21"/>
              </w:rPr>
            </w:pPr>
            <w:r>
              <w:rPr>
                <w:rFonts w:hint="eastAsia"/>
                <w:color w:val="000000"/>
                <w:sz w:val="21"/>
                <w:szCs w:val="21"/>
              </w:rPr>
              <w:t>APJ-（云）-008</w:t>
            </w:r>
          </w:p>
        </w:tc>
        <w:tc>
          <w:tcPr>
            <w:tcW w:w="3062" w:type="dxa"/>
            <w:tcBorders>
              <w:top w:val="single" w:color="auto" w:sz="4" w:space="0"/>
              <w:left w:val="single" w:color="auto" w:sz="4" w:space="0"/>
              <w:bottom w:val="single" w:color="auto" w:sz="4" w:space="0"/>
              <w:right w:val="single" w:color="auto" w:sz="4" w:space="0"/>
            </w:tcBorders>
            <w:noWrap w:val="0"/>
            <w:vAlign w:val="center"/>
          </w:tcPr>
          <w:p w14:paraId="70604D4F">
            <w:pPr>
              <w:keepNext w:val="0"/>
              <w:keepLines w:val="0"/>
              <w:pageBreakBefore w:val="0"/>
              <w:widowControl w:val="0"/>
              <w:kinsoku/>
              <w:wordWrap/>
              <w:overflowPunct/>
              <w:topLinePunct w:val="0"/>
              <w:autoSpaceDE/>
              <w:autoSpaceDN/>
              <w:bidi w:val="0"/>
              <w:adjustRightInd/>
              <w:snapToGrid w:val="0"/>
              <w:spacing w:line="240" w:lineRule="auto"/>
              <w:textAlignment w:val="baseline"/>
              <w:rPr>
                <w:color w:val="000000"/>
                <w:sz w:val="21"/>
                <w:szCs w:val="21"/>
              </w:rPr>
            </w:pPr>
            <w:r>
              <w:rPr>
                <w:color w:val="000000"/>
                <w:sz w:val="21"/>
                <w:szCs w:val="21"/>
              </w:rPr>
              <w:t>金属</w:t>
            </w:r>
            <w:r>
              <w:rPr>
                <w:rFonts w:hint="eastAsia"/>
                <w:color w:val="000000"/>
                <w:sz w:val="21"/>
                <w:szCs w:val="21"/>
              </w:rPr>
              <w:t>、</w:t>
            </w:r>
            <w:r>
              <w:rPr>
                <w:color w:val="000000"/>
                <w:sz w:val="21"/>
                <w:szCs w:val="21"/>
              </w:rPr>
              <w:t>非金属矿</w:t>
            </w:r>
            <w:r>
              <w:rPr>
                <w:rFonts w:hint="eastAsia"/>
                <w:color w:val="000000"/>
                <w:sz w:val="21"/>
                <w:szCs w:val="21"/>
              </w:rPr>
              <w:t>及</w:t>
            </w:r>
            <w:r>
              <w:rPr>
                <w:color w:val="000000"/>
                <w:sz w:val="21"/>
                <w:szCs w:val="21"/>
              </w:rPr>
              <w:t>其他矿采选业；陆上油气</w:t>
            </w:r>
            <w:r>
              <w:rPr>
                <w:rFonts w:hint="eastAsia"/>
                <w:color w:val="000000"/>
                <w:sz w:val="21"/>
                <w:szCs w:val="21"/>
              </w:rPr>
              <w:t>管道运输</w:t>
            </w:r>
            <w:r>
              <w:rPr>
                <w:color w:val="000000"/>
                <w:sz w:val="21"/>
                <w:szCs w:val="21"/>
              </w:rPr>
              <w:t>业；石油加工业，化学原料、化学品及医药制造业；金属冶炼*****</w:t>
            </w:r>
          </w:p>
        </w:tc>
        <w:tc>
          <w:tcPr>
            <w:tcW w:w="910" w:type="dxa"/>
            <w:tcBorders>
              <w:top w:val="single" w:color="auto" w:sz="4" w:space="0"/>
              <w:left w:val="single" w:color="auto" w:sz="4" w:space="0"/>
              <w:bottom w:val="single" w:color="auto" w:sz="4" w:space="0"/>
              <w:right w:val="single" w:color="auto" w:sz="4" w:space="0"/>
            </w:tcBorders>
            <w:noWrap w:val="0"/>
            <w:vAlign w:val="center"/>
          </w:tcPr>
          <w:p w14:paraId="2525CB18">
            <w:pPr>
              <w:keepNext w:val="0"/>
              <w:keepLines w:val="0"/>
              <w:pageBreakBefore w:val="0"/>
              <w:widowControl w:val="0"/>
              <w:kinsoku/>
              <w:wordWrap/>
              <w:overflowPunct/>
              <w:topLinePunct w:val="0"/>
              <w:autoSpaceDE/>
              <w:autoSpaceDN/>
              <w:bidi w:val="0"/>
              <w:adjustRightInd/>
              <w:snapToGrid w:val="0"/>
              <w:spacing w:line="240" w:lineRule="auto"/>
              <w:textAlignment w:val="baseline"/>
              <w:rPr>
                <w:color w:val="000000"/>
                <w:sz w:val="21"/>
                <w:szCs w:val="21"/>
              </w:rPr>
            </w:pPr>
            <w:r>
              <w:rPr>
                <w:rFonts w:hint="eastAsia"/>
                <w:color w:val="000000"/>
                <w:sz w:val="21"/>
                <w:szCs w:val="21"/>
              </w:rPr>
              <w:t>承担项目期间资质有效</w:t>
            </w:r>
          </w:p>
        </w:tc>
      </w:tr>
      <w:tr w14:paraId="496ED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8" w:type="dxa"/>
            <w:tcBorders>
              <w:top w:val="single" w:color="auto" w:sz="4" w:space="0"/>
              <w:left w:val="single" w:color="auto" w:sz="4" w:space="0"/>
              <w:right w:val="single" w:color="auto" w:sz="4" w:space="0"/>
            </w:tcBorders>
            <w:noWrap w:val="0"/>
            <w:vAlign w:val="center"/>
          </w:tcPr>
          <w:p w14:paraId="4AF5EAAA">
            <w:pPr>
              <w:keepNext w:val="0"/>
              <w:keepLines w:val="0"/>
              <w:pageBreakBefore w:val="0"/>
              <w:widowControl w:val="0"/>
              <w:kinsoku/>
              <w:wordWrap/>
              <w:overflowPunct/>
              <w:topLinePunct w:val="0"/>
              <w:autoSpaceDE/>
              <w:autoSpaceDN/>
              <w:bidi w:val="0"/>
              <w:adjustRightInd/>
              <w:snapToGrid w:val="0"/>
              <w:spacing w:line="240" w:lineRule="auto"/>
              <w:jc w:val="center"/>
              <w:textAlignment w:val="baseline"/>
              <w:rPr>
                <w:color w:val="000000"/>
                <w:sz w:val="21"/>
                <w:szCs w:val="21"/>
              </w:rPr>
            </w:pPr>
            <w:r>
              <w:rPr>
                <w:rFonts w:hint="eastAsia"/>
                <w:color w:val="000000"/>
                <w:sz w:val="21"/>
                <w:szCs w:val="21"/>
              </w:rPr>
              <w:t>安全设施设计专篇编制</w:t>
            </w:r>
            <w:r>
              <w:rPr>
                <w:color w:val="000000"/>
                <w:sz w:val="21"/>
                <w:szCs w:val="21"/>
              </w:rPr>
              <w:t>单位</w:t>
            </w:r>
          </w:p>
        </w:tc>
        <w:tc>
          <w:tcPr>
            <w:tcW w:w="1901" w:type="dxa"/>
            <w:tcBorders>
              <w:top w:val="single" w:color="auto" w:sz="4" w:space="0"/>
              <w:left w:val="single" w:color="auto" w:sz="4" w:space="0"/>
              <w:right w:val="single" w:color="auto" w:sz="4" w:space="0"/>
            </w:tcBorders>
            <w:noWrap w:val="0"/>
            <w:vAlign w:val="center"/>
          </w:tcPr>
          <w:p w14:paraId="3C592876">
            <w:pPr>
              <w:keepNext w:val="0"/>
              <w:keepLines w:val="0"/>
              <w:pageBreakBefore w:val="0"/>
              <w:widowControl w:val="0"/>
              <w:kinsoku/>
              <w:wordWrap/>
              <w:overflowPunct/>
              <w:topLinePunct w:val="0"/>
              <w:autoSpaceDE/>
              <w:autoSpaceDN/>
              <w:bidi w:val="0"/>
              <w:adjustRightInd/>
              <w:snapToGrid w:val="0"/>
              <w:spacing w:line="240" w:lineRule="auto"/>
              <w:textAlignment w:val="baseline"/>
              <w:rPr>
                <w:rFonts w:hint="eastAsia"/>
                <w:color w:val="000000"/>
                <w:sz w:val="21"/>
                <w:szCs w:val="21"/>
              </w:rPr>
            </w:pPr>
            <w:r>
              <w:rPr>
                <w:rFonts w:hint="eastAsia"/>
                <w:color w:val="000000"/>
                <w:sz w:val="21"/>
                <w:szCs w:val="21"/>
              </w:rPr>
              <w:t>华陆工程科技有限责任公司</w:t>
            </w:r>
          </w:p>
        </w:tc>
        <w:tc>
          <w:tcPr>
            <w:tcW w:w="1759" w:type="dxa"/>
            <w:tcBorders>
              <w:top w:val="single" w:color="auto" w:sz="4" w:space="0"/>
              <w:left w:val="single" w:color="auto" w:sz="4" w:space="0"/>
              <w:right w:val="single" w:color="auto" w:sz="4" w:space="0"/>
            </w:tcBorders>
            <w:noWrap w:val="0"/>
            <w:vAlign w:val="center"/>
          </w:tcPr>
          <w:p w14:paraId="24949027">
            <w:pPr>
              <w:keepNext w:val="0"/>
              <w:keepLines w:val="0"/>
              <w:pageBreakBefore w:val="0"/>
              <w:widowControl w:val="0"/>
              <w:kinsoku/>
              <w:wordWrap/>
              <w:overflowPunct/>
              <w:topLinePunct w:val="0"/>
              <w:autoSpaceDE/>
              <w:autoSpaceDN/>
              <w:bidi w:val="0"/>
              <w:adjustRightInd/>
              <w:snapToGrid w:val="0"/>
              <w:spacing w:line="240" w:lineRule="auto"/>
              <w:jc w:val="center"/>
              <w:textAlignment w:val="baseline"/>
              <w:rPr>
                <w:color w:val="000000"/>
                <w:sz w:val="21"/>
                <w:szCs w:val="21"/>
              </w:rPr>
            </w:pPr>
            <w:r>
              <w:rPr>
                <w:color w:val="000000"/>
                <w:sz w:val="21"/>
                <w:szCs w:val="21"/>
              </w:rPr>
              <w:t>A</w:t>
            </w:r>
            <w:r>
              <w:rPr>
                <w:rFonts w:hint="eastAsia"/>
                <w:color w:val="000000"/>
                <w:sz w:val="21"/>
                <w:szCs w:val="21"/>
              </w:rPr>
              <w:t>161001356</w:t>
            </w:r>
          </w:p>
        </w:tc>
        <w:tc>
          <w:tcPr>
            <w:tcW w:w="3062" w:type="dxa"/>
            <w:tcBorders>
              <w:top w:val="single" w:color="auto" w:sz="4" w:space="0"/>
              <w:left w:val="single" w:color="auto" w:sz="4" w:space="0"/>
              <w:right w:val="single" w:color="auto" w:sz="4" w:space="0"/>
            </w:tcBorders>
            <w:noWrap w:val="0"/>
            <w:vAlign w:val="center"/>
          </w:tcPr>
          <w:p w14:paraId="32E6FF3A">
            <w:pPr>
              <w:keepNext w:val="0"/>
              <w:keepLines w:val="0"/>
              <w:pageBreakBefore w:val="0"/>
              <w:widowControl w:val="0"/>
              <w:kinsoku/>
              <w:wordWrap/>
              <w:overflowPunct/>
              <w:topLinePunct w:val="0"/>
              <w:autoSpaceDE/>
              <w:autoSpaceDN/>
              <w:bidi w:val="0"/>
              <w:adjustRightInd/>
              <w:snapToGrid w:val="0"/>
              <w:spacing w:line="240" w:lineRule="auto"/>
              <w:textAlignment w:val="baseline"/>
              <w:rPr>
                <w:rFonts w:hint="eastAsia"/>
                <w:color w:val="000000"/>
                <w:sz w:val="21"/>
                <w:szCs w:val="21"/>
              </w:rPr>
            </w:pPr>
            <w:r>
              <w:rPr>
                <w:rFonts w:hint="eastAsia"/>
                <w:color w:val="000000"/>
                <w:sz w:val="21"/>
                <w:szCs w:val="21"/>
              </w:rPr>
              <w:t>工程设计综合资质甲级</w:t>
            </w:r>
          </w:p>
        </w:tc>
        <w:tc>
          <w:tcPr>
            <w:tcW w:w="910" w:type="dxa"/>
            <w:tcBorders>
              <w:top w:val="single" w:color="auto" w:sz="4" w:space="0"/>
              <w:left w:val="single" w:color="auto" w:sz="4" w:space="0"/>
              <w:right w:val="single" w:color="auto" w:sz="4" w:space="0"/>
            </w:tcBorders>
            <w:noWrap w:val="0"/>
            <w:vAlign w:val="center"/>
          </w:tcPr>
          <w:p w14:paraId="7C7F9D04">
            <w:pPr>
              <w:keepNext w:val="0"/>
              <w:keepLines w:val="0"/>
              <w:pageBreakBefore w:val="0"/>
              <w:widowControl w:val="0"/>
              <w:kinsoku/>
              <w:wordWrap/>
              <w:overflowPunct/>
              <w:topLinePunct w:val="0"/>
              <w:autoSpaceDE/>
              <w:autoSpaceDN/>
              <w:bidi w:val="0"/>
              <w:adjustRightInd/>
              <w:snapToGrid w:val="0"/>
              <w:spacing w:line="240" w:lineRule="auto"/>
              <w:textAlignment w:val="baseline"/>
              <w:rPr>
                <w:color w:val="000000"/>
                <w:sz w:val="21"/>
                <w:szCs w:val="21"/>
              </w:rPr>
            </w:pPr>
            <w:r>
              <w:rPr>
                <w:rFonts w:hint="eastAsia"/>
                <w:color w:val="000000"/>
                <w:sz w:val="21"/>
                <w:szCs w:val="21"/>
              </w:rPr>
              <w:t>承担项目期间资质有效</w:t>
            </w:r>
          </w:p>
        </w:tc>
      </w:tr>
      <w:tr w14:paraId="481A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8" w:type="dxa"/>
            <w:vMerge w:val="restart"/>
            <w:tcBorders>
              <w:top w:val="single" w:color="auto" w:sz="4" w:space="0"/>
              <w:left w:val="single" w:color="auto" w:sz="4" w:space="0"/>
              <w:right w:val="single" w:color="auto" w:sz="4" w:space="0"/>
            </w:tcBorders>
            <w:noWrap w:val="0"/>
            <w:vAlign w:val="center"/>
          </w:tcPr>
          <w:p w14:paraId="293D1538">
            <w:pPr>
              <w:keepNext w:val="0"/>
              <w:keepLines w:val="0"/>
              <w:pageBreakBefore w:val="0"/>
              <w:widowControl w:val="0"/>
              <w:kinsoku/>
              <w:wordWrap/>
              <w:overflowPunct/>
              <w:topLinePunct w:val="0"/>
              <w:autoSpaceDE/>
              <w:autoSpaceDN/>
              <w:bidi w:val="0"/>
              <w:adjustRightInd/>
              <w:snapToGrid w:val="0"/>
              <w:spacing w:line="240" w:lineRule="auto"/>
              <w:jc w:val="center"/>
              <w:textAlignment w:val="baseline"/>
              <w:rPr>
                <w:rFonts w:hint="eastAsia"/>
                <w:color w:val="000000"/>
                <w:sz w:val="21"/>
                <w:szCs w:val="21"/>
              </w:rPr>
            </w:pPr>
            <w:r>
              <w:rPr>
                <w:color w:val="000000"/>
                <w:sz w:val="21"/>
                <w:szCs w:val="21"/>
              </w:rPr>
              <w:t>施工单位</w:t>
            </w:r>
          </w:p>
        </w:tc>
        <w:tc>
          <w:tcPr>
            <w:tcW w:w="1901" w:type="dxa"/>
            <w:tcBorders>
              <w:top w:val="single" w:color="auto" w:sz="4" w:space="0"/>
              <w:left w:val="single" w:color="auto" w:sz="4" w:space="0"/>
              <w:right w:val="single" w:color="auto" w:sz="4" w:space="0"/>
            </w:tcBorders>
            <w:noWrap w:val="0"/>
            <w:vAlign w:val="center"/>
          </w:tcPr>
          <w:p w14:paraId="4A120399">
            <w:pPr>
              <w:keepNext w:val="0"/>
              <w:keepLines w:val="0"/>
              <w:pageBreakBefore w:val="0"/>
              <w:widowControl w:val="0"/>
              <w:kinsoku/>
              <w:wordWrap/>
              <w:overflowPunct/>
              <w:topLinePunct w:val="0"/>
              <w:autoSpaceDE/>
              <w:autoSpaceDN/>
              <w:bidi w:val="0"/>
              <w:adjustRightInd/>
              <w:snapToGrid w:val="0"/>
              <w:spacing w:line="240" w:lineRule="auto"/>
              <w:textAlignment w:val="baseline"/>
              <w:rPr>
                <w:color w:val="000000"/>
                <w:sz w:val="21"/>
                <w:szCs w:val="21"/>
              </w:rPr>
            </w:pPr>
            <w:r>
              <w:rPr>
                <w:rFonts w:hint="eastAsia"/>
                <w:color w:val="000000"/>
                <w:sz w:val="21"/>
                <w:szCs w:val="21"/>
              </w:rPr>
              <w:t>贵州聚志建筑工程有限公司（土建工程）</w:t>
            </w: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63D1BA5">
            <w:pPr>
              <w:keepNext w:val="0"/>
              <w:keepLines w:val="0"/>
              <w:pageBreakBefore w:val="0"/>
              <w:widowControl w:val="0"/>
              <w:kinsoku/>
              <w:wordWrap/>
              <w:overflowPunct/>
              <w:topLinePunct w:val="0"/>
              <w:autoSpaceDE/>
              <w:autoSpaceDN/>
              <w:bidi w:val="0"/>
              <w:adjustRightInd/>
              <w:snapToGrid w:val="0"/>
              <w:spacing w:line="240" w:lineRule="auto"/>
              <w:jc w:val="center"/>
              <w:textAlignment w:val="baseline"/>
              <w:rPr>
                <w:color w:val="000000"/>
                <w:sz w:val="21"/>
                <w:szCs w:val="21"/>
              </w:rPr>
            </w:pPr>
            <w:r>
              <w:rPr>
                <w:color w:val="000000"/>
                <w:sz w:val="21"/>
                <w:szCs w:val="21"/>
              </w:rPr>
              <w:t>D</w:t>
            </w:r>
            <w:r>
              <w:rPr>
                <w:rFonts w:hint="eastAsia"/>
                <w:color w:val="000000"/>
                <w:sz w:val="21"/>
                <w:szCs w:val="21"/>
              </w:rPr>
              <w:t>252075507</w:t>
            </w:r>
          </w:p>
        </w:tc>
        <w:tc>
          <w:tcPr>
            <w:tcW w:w="3062" w:type="dxa"/>
            <w:tcBorders>
              <w:top w:val="single" w:color="auto" w:sz="4" w:space="0"/>
              <w:left w:val="single" w:color="auto" w:sz="4" w:space="0"/>
              <w:bottom w:val="single" w:color="auto" w:sz="4" w:space="0"/>
              <w:right w:val="single" w:color="auto" w:sz="4" w:space="0"/>
            </w:tcBorders>
            <w:noWrap w:val="0"/>
            <w:vAlign w:val="center"/>
          </w:tcPr>
          <w:p w14:paraId="1A1E7CD2">
            <w:pPr>
              <w:keepNext w:val="0"/>
              <w:keepLines w:val="0"/>
              <w:pageBreakBefore w:val="0"/>
              <w:widowControl w:val="0"/>
              <w:kinsoku/>
              <w:wordWrap/>
              <w:overflowPunct/>
              <w:topLinePunct w:val="0"/>
              <w:autoSpaceDE/>
              <w:autoSpaceDN/>
              <w:bidi w:val="0"/>
              <w:adjustRightInd/>
              <w:snapToGrid w:val="0"/>
              <w:spacing w:line="240" w:lineRule="auto"/>
              <w:textAlignment w:val="baseline"/>
              <w:rPr>
                <w:rFonts w:hint="eastAsia"/>
                <w:color w:val="000000"/>
                <w:sz w:val="21"/>
                <w:szCs w:val="21"/>
              </w:rPr>
            </w:pPr>
            <w:r>
              <w:rPr>
                <w:rFonts w:hint="eastAsia"/>
                <w:color w:val="000000"/>
                <w:sz w:val="21"/>
                <w:szCs w:val="21"/>
              </w:rPr>
              <w:t>建筑工程施工总承包贰级</w:t>
            </w:r>
          </w:p>
          <w:p w14:paraId="2E54F24B">
            <w:pPr>
              <w:keepNext w:val="0"/>
              <w:keepLines w:val="0"/>
              <w:pageBreakBefore w:val="0"/>
              <w:widowControl w:val="0"/>
              <w:kinsoku/>
              <w:wordWrap/>
              <w:overflowPunct/>
              <w:topLinePunct w:val="0"/>
              <w:autoSpaceDE/>
              <w:autoSpaceDN/>
              <w:bidi w:val="0"/>
              <w:adjustRightInd/>
              <w:snapToGrid w:val="0"/>
              <w:spacing w:line="240" w:lineRule="auto"/>
              <w:textAlignment w:val="baseline"/>
              <w:rPr>
                <w:rFonts w:hint="eastAsia"/>
                <w:color w:val="000000"/>
                <w:sz w:val="21"/>
                <w:szCs w:val="21"/>
              </w:rPr>
            </w:pPr>
            <w:r>
              <w:rPr>
                <w:rFonts w:hint="eastAsia"/>
                <w:color w:val="000000"/>
                <w:sz w:val="21"/>
                <w:szCs w:val="21"/>
              </w:rPr>
              <w:t>市政公用工程施工总承包贰级</w:t>
            </w:r>
          </w:p>
          <w:p w14:paraId="5A18D804">
            <w:pPr>
              <w:keepNext w:val="0"/>
              <w:keepLines w:val="0"/>
              <w:pageBreakBefore w:val="0"/>
              <w:widowControl w:val="0"/>
              <w:kinsoku/>
              <w:wordWrap/>
              <w:overflowPunct/>
              <w:topLinePunct w:val="0"/>
              <w:autoSpaceDE/>
              <w:autoSpaceDN/>
              <w:bidi w:val="0"/>
              <w:adjustRightInd/>
              <w:snapToGrid w:val="0"/>
              <w:spacing w:line="240" w:lineRule="auto"/>
              <w:textAlignment w:val="baseline"/>
              <w:rPr>
                <w:rFonts w:hint="eastAsia"/>
                <w:color w:val="000000"/>
                <w:sz w:val="21"/>
                <w:szCs w:val="21"/>
              </w:rPr>
            </w:pPr>
            <w:r>
              <w:rPr>
                <w:rFonts w:hint="eastAsia"/>
                <w:color w:val="000000"/>
                <w:sz w:val="21"/>
                <w:szCs w:val="21"/>
              </w:rPr>
              <w:t>地基基础工程专业承包贰级</w:t>
            </w:r>
          </w:p>
          <w:p w14:paraId="51FD000C">
            <w:pPr>
              <w:keepNext w:val="0"/>
              <w:keepLines w:val="0"/>
              <w:pageBreakBefore w:val="0"/>
              <w:widowControl w:val="0"/>
              <w:kinsoku/>
              <w:wordWrap/>
              <w:overflowPunct/>
              <w:topLinePunct w:val="0"/>
              <w:autoSpaceDE/>
              <w:autoSpaceDN/>
              <w:bidi w:val="0"/>
              <w:adjustRightInd/>
              <w:snapToGrid w:val="0"/>
              <w:spacing w:line="240" w:lineRule="auto"/>
              <w:textAlignment w:val="baseline"/>
              <w:rPr>
                <w:rFonts w:hint="eastAsia"/>
                <w:color w:val="000000"/>
                <w:sz w:val="21"/>
                <w:szCs w:val="21"/>
              </w:rPr>
            </w:pPr>
            <w:r>
              <w:rPr>
                <w:rFonts w:hint="eastAsia"/>
                <w:color w:val="000000"/>
                <w:sz w:val="21"/>
                <w:szCs w:val="21"/>
              </w:rPr>
              <w:t>钢结构工程专业承包贰级</w:t>
            </w:r>
          </w:p>
          <w:p w14:paraId="144497F9">
            <w:pPr>
              <w:keepNext w:val="0"/>
              <w:keepLines w:val="0"/>
              <w:pageBreakBefore w:val="0"/>
              <w:widowControl w:val="0"/>
              <w:kinsoku/>
              <w:wordWrap/>
              <w:overflowPunct/>
              <w:topLinePunct w:val="0"/>
              <w:autoSpaceDE/>
              <w:autoSpaceDN/>
              <w:bidi w:val="0"/>
              <w:adjustRightInd/>
              <w:snapToGrid w:val="0"/>
              <w:spacing w:line="240" w:lineRule="auto"/>
              <w:textAlignment w:val="baseline"/>
              <w:rPr>
                <w:rFonts w:hint="eastAsia"/>
                <w:color w:val="000000"/>
                <w:sz w:val="21"/>
                <w:szCs w:val="21"/>
              </w:rPr>
            </w:pPr>
            <w:r>
              <w:rPr>
                <w:rFonts w:hint="eastAsia"/>
                <w:color w:val="000000"/>
                <w:sz w:val="21"/>
                <w:szCs w:val="21"/>
              </w:rPr>
              <w:t>建筑装修装饰工程专业承包贰级</w:t>
            </w:r>
          </w:p>
          <w:p w14:paraId="0CC632FC">
            <w:pPr>
              <w:keepNext w:val="0"/>
              <w:keepLines w:val="0"/>
              <w:pageBreakBefore w:val="0"/>
              <w:widowControl w:val="0"/>
              <w:kinsoku/>
              <w:wordWrap/>
              <w:overflowPunct/>
              <w:topLinePunct w:val="0"/>
              <w:autoSpaceDE/>
              <w:autoSpaceDN/>
              <w:bidi w:val="0"/>
              <w:adjustRightInd/>
              <w:snapToGrid w:val="0"/>
              <w:spacing w:line="240" w:lineRule="auto"/>
              <w:textAlignment w:val="baseline"/>
              <w:rPr>
                <w:rFonts w:hint="eastAsia"/>
                <w:color w:val="000000"/>
                <w:sz w:val="21"/>
                <w:szCs w:val="21"/>
              </w:rPr>
            </w:pPr>
            <w:r>
              <w:rPr>
                <w:rFonts w:hint="eastAsia"/>
                <w:color w:val="000000"/>
                <w:sz w:val="21"/>
                <w:szCs w:val="21"/>
              </w:rPr>
              <w:t>建筑幕墙工程专业承包贰级</w:t>
            </w:r>
          </w:p>
          <w:p w14:paraId="05431211">
            <w:pPr>
              <w:keepNext w:val="0"/>
              <w:keepLines w:val="0"/>
              <w:pageBreakBefore w:val="0"/>
              <w:widowControl w:val="0"/>
              <w:kinsoku/>
              <w:wordWrap/>
              <w:overflowPunct/>
              <w:topLinePunct w:val="0"/>
              <w:autoSpaceDE/>
              <w:autoSpaceDN/>
              <w:bidi w:val="0"/>
              <w:adjustRightInd/>
              <w:snapToGrid w:val="0"/>
              <w:spacing w:line="240" w:lineRule="auto"/>
              <w:textAlignment w:val="baseline"/>
              <w:rPr>
                <w:rFonts w:hint="eastAsia"/>
                <w:color w:val="000000"/>
                <w:sz w:val="21"/>
                <w:szCs w:val="21"/>
              </w:rPr>
            </w:pPr>
            <w:r>
              <w:rPr>
                <w:rFonts w:hint="eastAsia"/>
                <w:color w:val="000000"/>
                <w:sz w:val="21"/>
                <w:szCs w:val="21"/>
              </w:rPr>
              <w:t>古建筑工程专业承包贰级</w:t>
            </w:r>
          </w:p>
          <w:p w14:paraId="63484382">
            <w:pPr>
              <w:keepNext w:val="0"/>
              <w:keepLines w:val="0"/>
              <w:pageBreakBefore w:val="0"/>
              <w:widowControl w:val="0"/>
              <w:kinsoku/>
              <w:wordWrap/>
              <w:overflowPunct/>
              <w:topLinePunct w:val="0"/>
              <w:autoSpaceDE/>
              <w:autoSpaceDN/>
              <w:bidi w:val="0"/>
              <w:adjustRightInd/>
              <w:snapToGrid w:val="0"/>
              <w:spacing w:line="240" w:lineRule="auto"/>
              <w:textAlignment w:val="baseline"/>
              <w:rPr>
                <w:rFonts w:hint="eastAsia"/>
                <w:color w:val="000000"/>
                <w:sz w:val="21"/>
                <w:szCs w:val="21"/>
              </w:rPr>
            </w:pPr>
            <w:r>
              <w:rPr>
                <w:rFonts w:hint="eastAsia"/>
                <w:color w:val="000000"/>
                <w:sz w:val="21"/>
                <w:szCs w:val="21"/>
              </w:rPr>
              <w:t>城市及道路照明工程专业承包贰级</w:t>
            </w:r>
          </w:p>
          <w:p w14:paraId="7D8590C1">
            <w:pPr>
              <w:keepNext w:val="0"/>
              <w:keepLines w:val="0"/>
              <w:pageBreakBefore w:val="0"/>
              <w:widowControl w:val="0"/>
              <w:kinsoku/>
              <w:wordWrap/>
              <w:overflowPunct/>
              <w:topLinePunct w:val="0"/>
              <w:autoSpaceDE/>
              <w:autoSpaceDN/>
              <w:bidi w:val="0"/>
              <w:adjustRightInd/>
              <w:snapToGrid w:val="0"/>
              <w:spacing w:line="240" w:lineRule="auto"/>
              <w:textAlignment w:val="baseline"/>
              <w:rPr>
                <w:color w:val="000000"/>
                <w:sz w:val="21"/>
                <w:szCs w:val="21"/>
              </w:rPr>
            </w:pPr>
            <w:r>
              <w:rPr>
                <w:rFonts w:hint="eastAsia"/>
                <w:color w:val="000000"/>
                <w:sz w:val="21"/>
                <w:szCs w:val="21"/>
              </w:rPr>
              <w:t>环保工程专业承包贰级</w:t>
            </w:r>
          </w:p>
        </w:tc>
        <w:tc>
          <w:tcPr>
            <w:tcW w:w="910" w:type="dxa"/>
            <w:tcBorders>
              <w:top w:val="single" w:color="auto" w:sz="4" w:space="0"/>
              <w:left w:val="single" w:color="auto" w:sz="4" w:space="0"/>
              <w:right w:val="single" w:color="auto" w:sz="4" w:space="0"/>
            </w:tcBorders>
            <w:noWrap w:val="0"/>
            <w:vAlign w:val="center"/>
          </w:tcPr>
          <w:p w14:paraId="1497EAAA">
            <w:pPr>
              <w:keepNext w:val="0"/>
              <w:keepLines w:val="0"/>
              <w:pageBreakBefore w:val="0"/>
              <w:widowControl w:val="0"/>
              <w:kinsoku/>
              <w:wordWrap/>
              <w:overflowPunct/>
              <w:topLinePunct w:val="0"/>
              <w:autoSpaceDE/>
              <w:autoSpaceDN/>
              <w:bidi w:val="0"/>
              <w:adjustRightInd/>
              <w:snapToGrid w:val="0"/>
              <w:spacing w:line="240" w:lineRule="auto"/>
              <w:textAlignment w:val="baseline"/>
              <w:rPr>
                <w:color w:val="000000"/>
                <w:sz w:val="21"/>
                <w:szCs w:val="21"/>
              </w:rPr>
            </w:pPr>
            <w:r>
              <w:rPr>
                <w:rFonts w:hint="eastAsia"/>
                <w:color w:val="000000"/>
                <w:sz w:val="21"/>
                <w:szCs w:val="21"/>
              </w:rPr>
              <w:t>承担项目期间资质有效</w:t>
            </w:r>
          </w:p>
        </w:tc>
      </w:tr>
      <w:tr w14:paraId="6FB60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8" w:type="dxa"/>
            <w:vMerge w:val="continue"/>
            <w:tcBorders>
              <w:left w:val="single" w:color="auto" w:sz="4" w:space="0"/>
              <w:right w:val="single" w:color="auto" w:sz="4" w:space="0"/>
            </w:tcBorders>
            <w:noWrap w:val="0"/>
            <w:vAlign w:val="center"/>
          </w:tcPr>
          <w:p w14:paraId="4223C480">
            <w:pPr>
              <w:keepNext w:val="0"/>
              <w:keepLines w:val="0"/>
              <w:pageBreakBefore w:val="0"/>
              <w:widowControl w:val="0"/>
              <w:kinsoku/>
              <w:wordWrap/>
              <w:overflowPunct/>
              <w:topLinePunct w:val="0"/>
              <w:autoSpaceDE/>
              <w:autoSpaceDN/>
              <w:bidi w:val="0"/>
              <w:adjustRightInd/>
              <w:snapToGrid w:val="0"/>
              <w:spacing w:line="240" w:lineRule="auto"/>
              <w:jc w:val="center"/>
              <w:textAlignment w:val="baseline"/>
              <w:rPr>
                <w:color w:val="000000"/>
                <w:sz w:val="21"/>
                <w:szCs w:val="21"/>
              </w:rPr>
            </w:pPr>
          </w:p>
        </w:tc>
        <w:tc>
          <w:tcPr>
            <w:tcW w:w="1901" w:type="dxa"/>
            <w:vMerge w:val="restart"/>
            <w:tcBorders>
              <w:top w:val="single" w:color="auto" w:sz="4" w:space="0"/>
              <w:left w:val="single" w:color="auto" w:sz="4" w:space="0"/>
              <w:right w:val="single" w:color="auto" w:sz="4" w:space="0"/>
            </w:tcBorders>
            <w:noWrap w:val="0"/>
            <w:vAlign w:val="center"/>
          </w:tcPr>
          <w:p w14:paraId="6C632EB2">
            <w:pPr>
              <w:keepNext w:val="0"/>
              <w:keepLines w:val="0"/>
              <w:pageBreakBefore w:val="0"/>
              <w:widowControl w:val="0"/>
              <w:kinsoku/>
              <w:wordWrap/>
              <w:overflowPunct/>
              <w:topLinePunct w:val="0"/>
              <w:autoSpaceDE/>
              <w:autoSpaceDN/>
              <w:bidi w:val="0"/>
              <w:adjustRightInd/>
              <w:snapToGrid w:val="0"/>
              <w:spacing w:line="240" w:lineRule="auto"/>
              <w:textAlignment w:val="baseline"/>
              <w:rPr>
                <w:color w:val="000000"/>
                <w:sz w:val="21"/>
                <w:szCs w:val="21"/>
              </w:rPr>
            </w:pPr>
            <w:r>
              <w:rPr>
                <w:rFonts w:hint="eastAsia"/>
                <w:color w:val="000000"/>
                <w:sz w:val="21"/>
                <w:szCs w:val="21"/>
              </w:rPr>
              <w:t>中国化学工程第十四建设有限公司（设备、管道、电仪安装）</w:t>
            </w:r>
          </w:p>
        </w:tc>
        <w:tc>
          <w:tcPr>
            <w:tcW w:w="1759" w:type="dxa"/>
            <w:tcBorders>
              <w:top w:val="single" w:color="auto" w:sz="4" w:space="0"/>
              <w:left w:val="single" w:color="auto" w:sz="4" w:space="0"/>
              <w:bottom w:val="single" w:color="auto" w:sz="4" w:space="0"/>
              <w:right w:val="single" w:color="auto" w:sz="4" w:space="0"/>
            </w:tcBorders>
            <w:noWrap w:val="0"/>
            <w:vAlign w:val="center"/>
          </w:tcPr>
          <w:p w14:paraId="038D0F16">
            <w:pPr>
              <w:keepNext w:val="0"/>
              <w:keepLines w:val="0"/>
              <w:pageBreakBefore w:val="0"/>
              <w:widowControl w:val="0"/>
              <w:kinsoku/>
              <w:wordWrap/>
              <w:overflowPunct/>
              <w:topLinePunct w:val="0"/>
              <w:autoSpaceDE/>
              <w:autoSpaceDN/>
              <w:bidi w:val="0"/>
              <w:adjustRightInd/>
              <w:snapToGrid w:val="0"/>
              <w:spacing w:line="240" w:lineRule="auto"/>
              <w:jc w:val="center"/>
              <w:textAlignment w:val="baseline"/>
              <w:rPr>
                <w:color w:val="000000"/>
                <w:sz w:val="21"/>
                <w:szCs w:val="21"/>
              </w:rPr>
            </w:pPr>
            <w:r>
              <w:rPr>
                <w:rFonts w:hint="eastAsia"/>
                <w:color w:val="000000"/>
                <w:sz w:val="21"/>
                <w:szCs w:val="21"/>
              </w:rPr>
              <w:t>D132018432</w:t>
            </w:r>
          </w:p>
        </w:tc>
        <w:tc>
          <w:tcPr>
            <w:tcW w:w="3062" w:type="dxa"/>
            <w:tcBorders>
              <w:top w:val="single" w:color="auto" w:sz="4" w:space="0"/>
              <w:left w:val="single" w:color="auto" w:sz="4" w:space="0"/>
              <w:bottom w:val="single" w:color="auto" w:sz="4" w:space="0"/>
              <w:right w:val="single" w:color="auto" w:sz="4" w:space="0"/>
            </w:tcBorders>
            <w:noWrap w:val="0"/>
            <w:vAlign w:val="center"/>
          </w:tcPr>
          <w:p w14:paraId="56A07888">
            <w:pPr>
              <w:keepNext w:val="0"/>
              <w:keepLines w:val="0"/>
              <w:pageBreakBefore w:val="0"/>
              <w:widowControl w:val="0"/>
              <w:kinsoku/>
              <w:wordWrap/>
              <w:overflowPunct/>
              <w:topLinePunct w:val="0"/>
              <w:autoSpaceDE/>
              <w:autoSpaceDN/>
              <w:bidi w:val="0"/>
              <w:adjustRightInd/>
              <w:snapToGrid w:val="0"/>
              <w:spacing w:line="240" w:lineRule="auto"/>
              <w:textAlignment w:val="baseline"/>
              <w:rPr>
                <w:rFonts w:hint="eastAsia"/>
                <w:color w:val="000000"/>
                <w:sz w:val="21"/>
                <w:szCs w:val="21"/>
              </w:rPr>
            </w:pPr>
            <w:r>
              <w:rPr>
                <w:rFonts w:hint="eastAsia"/>
                <w:color w:val="000000"/>
                <w:sz w:val="21"/>
                <w:szCs w:val="21"/>
              </w:rPr>
              <w:t>石油化工工程施工总承包特级</w:t>
            </w:r>
          </w:p>
          <w:p w14:paraId="404FEE8A">
            <w:pPr>
              <w:keepNext w:val="0"/>
              <w:keepLines w:val="0"/>
              <w:pageBreakBefore w:val="0"/>
              <w:widowControl w:val="0"/>
              <w:kinsoku/>
              <w:wordWrap/>
              <w:overflowPunct/>
              <w:topLinePunct w:val="0"/>
              <w:autoSpaceDE/>
              <w:autoSpaceDN/>
              <w:bidi w:val="0"/>
              <w:adjustRightInd/>
              <w:snapToGrid w:val="0"/>
              <w:spacing w:line="240" w:lineRule="auto"/>
              <w:textAlignment w:val="baseline"/>
              <w:rPr>
                <w:rFonts w:hint="eastAsia"/>
                <w:color w:val="000000"/>
                <w:sz w:val="21"/>
                <w:szCs w:val="21"/>
              </w:rPr>
            </w:pPr>
            <w:r>
              <w:rPr>
                <w:rFonts w:hint="eastAsia"/>
                <w:color w:val="000000"/>
                <w:sz w:val="21"/>
                <w:szCs w:val="21"/>
              </w:rPr>
              <w:t>建筑工程施工总承包壹级</w:t>
            </w:r>
          </w:p>
          <w:p w14:paraId="5F08DDFF">
            <w:pPr>
              <w:keepNext w:val="0"/>
              <w:keepLines w:val="0"/>
              <w:pageBreakBefore w:val="0"/>
              <w:widowControl w:val="0"/>
              <w:kinsoku/>
              <w:wordWrap/>
              <w:overflowPunct/>
              <w:topLinePunct w:val="0"/>
              <w:autoSpaceDE/>
              <w:autoSpaceDN/>
              <w:bidi w:val="0"/>
              <w:adjustRightInd/>
              <w:snapToGrid w:val="0"/>
              <w:spacing w:line="240" w:lineRule="auto"/>
              <w:textAlignment w:val="baseline"/>
              <w:rPr>
                <w:rFonts w:hint="eastAsia"/>
                <w:color w:val="000000"/>
                <w:sz w:val="21"/>
                <w:szCs w:val="21"/>
              </w:rPr>
            </w:pPr>
            <w:r>
              <w:rPr>
                <w:rFonts w:hint="eastAsia"/>
                <w:color w:val="000000"/>
                <w:sz w:val="21"/>
                <w:szCs w:val="21"/>
              </w:rPr>
              <w:t>市政公用工程施工总承包壹级</w:t>
            </w:r>
          </w:p>
          <w:p w14:paraId="340E6891">
            <w:pPr>
              <w:keepNext w:val="0"/>
              <w:keepLines w:val="0"/>
              <w:pageBreakBefore w:val="0"/>
              <w:widowControl w:val="0"/>
              <w:kinsoku/>
              <w:wordWrap/>
              <w:overflowPunct/>
              <w:topLinePunct w:val="0"/>
              <w:autoSpaceDE/>
              <w:autoSpaceDN/>
              <w:bidi w:val="0"/>
              <w:adjustRightInd/>
              <w:snapToGrid w:val="0"/>
              <w:spacing w:line="240" w:lineRule="auto"/>
              <w:textAlignment w:val="baseline"/>
              <w:rPr>
                <w:rFonts w:hint="eastAsia"/>
                <w:color w:val="000000"/>
                <w:sz w:val="21"/>
                <w:szCs w:val="21"/>
              </w:rPr>
            </w:pPr>
            <w:r>
              <w:rPr>
                <w:rFonts w:hint="eastAsia"/>
                <w:color w:val="000000"/>
                <w:sz w:val="21"/>
                <w:szCs w:val="21"/>
              </w:rPr>
              <w:t>机电工程施工总承包壹级</w:t>
            </w:r>
          </w:p>
        </w:tc>
        <w:tc>
          <w:tcPr>
            <w:tcW w:w="910" w:type="dxa"/>
            <w:vMerge w:val="restart"/>
            <w:tcBorders>
              <w:top w:val="single" w:color="auto" w:sz="4" w:space="0"/>
              <w:left w:val="single" w:color="auto" w:sz="4" w:space="0"/>
              <w:right w:val="single" w:color="auto" w:sz="4" w:space="0"/>
            </w:tcBorders>
            <w:noWrap w:val="0"/>
            <w:vAlign w:val="center"/>
          </w:tcPr>
          <w:p w14:paraId="3E1D60B8">
            <w:pPr>
              <w:keepNext w:val="0"/>
              <w:keepLines w:val="0"/>
              <w:pageBreakBefore w:val="0"/>
              <w:widowControl w:val="0"/>
              <w:kinsoku/>
              <w:wordWrap/>
              <w:overflowPunct/>
              <w:topLinePunct w:val="0"/>
              <w:autoSpaceDE/>
              <w:autoSpaceDN/>
              <w:bidi w:val="0"/>
              <w:adjustRightInd/>
              <w:snapToGrid w:val="0"/>
              <w:spacing w:line="240" w:lineRule="auto"/>
              <w:textAlignment w:val="baseline"/>
              <w:rPr>
                <w:rFonts w:hint="eastAsia"/>
                <w:color w:val="000000"/>
                <w:sz w:val="21"/>
                <w:szCs w:val="21"/>
              </w:rPr>
            </w:pPr>
            <w:r>
              <w:rPr>
                <w:rFonts w:hint="eastAsia"/>
                <w:color w:val="000000"/>
                <w:sz w:val="21"/>
                <w:szCs w:val="21"/>
              </w:rPr>
              <w:t>承担项目期间资质有效</w:t>
            </w:r>
          </w:p>
        </w:tc>
      </w:tr>
      <w:tr w14:paraId="5BAF9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8" w:type="dxa"/>
            <w:vMerge w:val="continue"/>
            <w:tcBorders>
              <w:left w:val="single" w:color="auto" w:sz="4" w:space="0"/>
              <w:right w:val="single" w:color="auto" w:sz="4" w:space="0"/>
            </w:tcBorders>
            <w:noWrap w:val="0"/>
            <w:vAlign w:val="center"/>
          </w:tcPr>
          <w:p w14:paraId="3A8C909E">
            <w:pPr>
              <w:keepNext w:val="0"/>
              <w:keepLines w:val="0"/>
              <w:pageBreakBefore w:val="0"/>
              <w:widowControl w:val="0"/>
              <w:kinsoku/>
              <w:wordWrap/>
              <w:overflowPunct/>
              <w:topLinePunct w:val="0"/>
              <w:autoSpaceDE/>
              <w:autoSpaceDN/>
              <w:bidi w:val="0"/>
              <w:adjustRightInd/>
              <w:snapToGrid w:val="0"/>
              <w:spacing w:line="240" w:lineRule="auto"/>
              <w:jc w:val="center"/>
              <w:textAlignment w:val="baseline"/>
              <w:rPr>
                <w:color w:val="000000"/>
                <w:sz w:val="21"/>
                <w:szCs w:val="21"/>
              </w:rPr>
            </w:pPr>
          </w:p>
        </w:tc>
        <w:tc>
          <w:tcPr>
            <w:tcW w:w="1901" w:type="dxa"/>
            <w:vMerge w:val="continue"/>
            <w:tcBorders>
              <w:left w:val="single" w:color="auto" w:sz="4" w:space="0"/>
              <w:right w:val="single" w:color="auto" w:sz="4" w:space="0"/>
            </w:tcBorders>
            <w:noWrap w:val="0"/>
            <w:vAlign w:val="center"/>
          </w:tcPr>
          <w:p w14:paraId="5A77E27C">
            <w:pPr>
              <w:keepNext w:val="0"/>
              <w:keepLines w:val="0"/>
              <w:pageBreakBefore w:val="0"/>
              <w:widowControl w:val="0"/>
              <w:kinsoku/>
              <w:wordWrap/>
              <w:overflowPunct/>
              <w:topLinePunct w:val="0"/>
              <w:autoSpaceDE/>
              <w:autoSpaceDN/>
              <w:bidi w:val="0"/>
              <w:adjustRightInd/>
              <w:snapToGrid w:val="0"/>
              <w:spacing w:line="240" w:lineRule="auto"/>
              <w:textAlignment w:val="baseline"/>
              <w:rPr>
                <w:rFonts w:hint="eastAsia"/>
                <w:color w:val="000000"/>
                <w:sz w:val="21"/>
                <w:szCs w:val="21"/>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09A86AFB">
            <w:pPr>
              <w:keepNext w:val="0"/>
              <w:keepLines w:val="0"/>
              <w:pageBreakBefore w:val="0"/>
              <w:widowControl w:val="0"/>
              <w:kinsoku/>
              <w:wordWrap/>
              <w:overflowPunct/>
              <w:topLinePunct w:val="0"/>
              <w:autoSpaceDE/>
              <w:autoSpaceDN/>
              <w:bidi w:val="0"/>
              <w:adjustRightInd/>
              <w:snapToGrid w:val="0"/>
              <w:spacing w:line="240" w:lineRule="auto"/>
              <w:jc w:val="center"/>
              <w:textAlignment w:val="baseline"/>
              <w:rPr>
                <w:color w:val="000000"/>
                <w:sz w:val="21"/>
                <w:szCs w:val="21"/>
              </w:rPr>
            </w:pPr>
            <w:r>
              <w:rPr>
                <w:rFonts w:hint="eastAsia"/>
                <w:color w:val="000000"/>
                <w:sz w:val="21"/>
                <w:szCs w:val="21"/>
              </w:rPr>
              <w:t>TS2210299-2026</w:t>
            </w:r>
          </w:p>
        </w:tc>
        <w:tc>
          <w:tcPr>
            <w:tcW w:w="3062" w:type="dxa"/>
            <w:tcBorders>
              <w:top w:val="single" w:color="auto" w:sz="4" w:space="0"/>
              <w:left w:val="single" w:color="auto" w:sz="4" w:space="0"/>
              <w:bottom w:val="single" w:color="auto" w:sz="4" w:space="0"/>
              <w:right w:val="single" w:color="auto" w:sz="4" w:space="0"/>
            </w:tcBorders>
            <w:noWrap w:val="0"/>
            <w:vAlign w:val="center"/>
          </w:tcPr>
          <w:p w14:paraId="7380B95F">
            <w:pPr>
              <w:keepNext w:val="0"/>
              <w:keepLines w:val="0"/>
              <w:pageBreakBefore w:val="0"/>
              <w:widowControl w:val="0"/>
              <w:kinsoku/>
              <w:wordWrap/>
              <w:overflowPunct/>
              <w:topLinePunct w:val="0"/>
              <w:autoSpaceDE/>
              <w:autoSpaceDN/>
              <w:bidi w:val="0"/>
              <w:adjustRightInd/>
              <w:snapToGrid w:val="0"/>
              <w:spacing w:line="240" w:lineRule="auto"/>
              <w:textAlignment w:val="baseline"/>
              <w:rPr>
                <w:color w:val="000000"/>
                <w:sz w:val="21"/>
                <w:szCs w:val="21"/>
              </w:rPr>
            </w:pPr>
            <w:r>
              <w:rPr>
                <w:rFonts w:hint="eastAsia"/>
                <w:color w:val="000000"/>
                <w:sz w:val="21"/>
                <w:szCs w:val="21"/>
              </w:rPr>
              <w:t>压力容器制造：其他高压容器（A2）；球罐（A3）</w:t>
            </w:r>
          </w:p>
        </w:tc>
        <w:tc>
          <w:tcPr>
            <w:tcW w:w="910" w:type="dxa"/>
            <w:vMerge w:val="continue"/>
            <w:tcBorders>
              <w:left w:val="single" w:color="auto" w:sz="4" w:space="0"/>
              <w:right w:val="single" w:color="auto" w:sz="4" w:space="0"/>
            </w:tcBorders>
            <w:noWrap w:val="0"/>
            <w:vAlign w:val="center"/>
          </w:tcPr>
          <w:p w14:paraId="58473B5C">
            <w:pPr>
              <w:keepNext w:val="0"/>
              <w:keepLines w:val="0"/>
              <w:pageBreakBefore w:val="0"/>
              <w:widowControl w:val="0"/>
              <w:kinsoku/>
              <w:wordWrap/>
              <w:overflowPunct/>
              <w:topLinePunct w:val="0"/>
              <w:autoSpaceDE/>
              <w:autoSpaceDN/>
              <w:bidi w:val="0"/>
              <w:adjustRightInd/>
              <w:snapToGrid w:val="0"/>
              <w:spacing w:line="240" w:lineRule="auto"/>
              <w:textAlignment w:val="baseline"/>
              <w:rPr>
                <w:rFonts w:hint="eastAsia"/>
                <w:color w:val="000000"/>
                <w:sz w:val="21"/>
                <w:szCs w:val="21"/>
              </w:rPr>
            </w:pPr>
          </w:p>
        </w:tc>
      </w:tr>
      <w:tr w14:paraId="51129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8" w:type="dxa"/>
            <w:vMerge w:val="continue"/>
            <w:tcBorders>
              <w:left w:val="single" w:color="auto" w:sz="4" w:space="0"/>
              <w:right w:val="single" w:color="auto" w:sz="4" w:space="0"/>
            </w:tcBorders>
            <w:noWrap w:val="0"/>
            <w:vAlign w:val="center"/>
          </w:tcPr>
          <w:p w14:paraId="4D8D57BF">
            <w:pPr>
              <w:keepNext w:val="0"/>
              <w:keepLines w:val="0"/>
              <w:pageBreakBefore w:val="0"/>
              <w:widowControl w:val="0"/>
              <w:kinsoku/>
              <w:wordWrap/>
              <w:overflowPunct/>
              <w:topLinePunct w:val="0"/>
              <w:autoSpaceDE/>
              <w:autoSpaceDN/>
              <w:bidi w:val="0"/>
              <w:adjustRightInd/>
              <w:snapToGrid w:val="0"/>
              <w:spacing w:line="240" w:lineRule="auto"/>
              <w:jc w:val="center"/>
              <w:textAlignment w:val="baseline"/>
              <w:rPr>
                <w:color w:val="000000"/>
                <w:sz w:val="21"/>
                <w:szCs w:val="21"/>
              </w:rPr>
            </w:pPr>
          </w:p>
        </w:tc>
        <w:tc>
          <w:tcPr>
            <w:tcW w:w="1901" w:type="dxa"/>
            <w:vMerge w:val="continue"/>
            <w:tcBorders>
              <w:left w:val="single" w:color="auto" w:sz="4" w:space="0"/>
              <w:bottom w:val="single" w:color="auto" w:sz="4" w:space="0"/>
              <w:right w:val="single" w:color="auto" w:sz="4" w:space="0"/>
            </w:tcBorders>
            <w:noWrap w:val="0"/>
            <w:vAlign w:val="center"/>
          </w:tcPr>
          <w:p w14:paraId="05F81E20">
            <w:pPr>
              <w:keepNext w:val="0"/>
              <w:keepLines w:val="0"/>
              <w:pageBreakBefore w:val="0"/>
              <w:widowControl w:val="0"/>
              <w:kinsoku/>
              <w:wordWrap/>
              <w:overflowPunct/>
              <w:topLinePunct w:val="0"/>
              <w:autoSpaceDE/>
              <w:autoSpaceDN/>
              <w:bidi w:val="0"/>
              <w:adjustRightInd/>
              <w:snapToGrid w:val="0"/>
              <w:spacing w:line="240" w:lineRule="auto"/>
              <w:textAlignment w:val="baseline"/>
              <w:rPr>
                <w:color w:val="000000"/>
                <w:sz w:val="21"/>
                <w:szCs w:val="21"/>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235C5B86">
            <w:pPr>
              <w:keepNext w:val="0"/>
              <w:keepLines w:val="0"/>
              <w:pageBreakBefore w:val="0"/>
              <w:widowControl w:val="0"/>
              <w:kinsoku/>
              <w:wordWrap/>
              <w:overflowPunct/>
              <w:topLinePunct w:val="0"/>
              <w:autoSpaceDE/>
              <w:autoSpaceDN/>
              <w:bidi w:val="0"/>
              <w:adjustRightInd/>
              <w:snapToGrid w:val="0"/>
              <w:spacing w:line="240" w:lineRule="auto"/>
              <w:jc w:val="center"/>
              <w:textAlignment w:val="baseline"/>
              <w:rPr>
                <w:rFonts w:hint="eastAsia"/>
                <w:color w:val="000000"/>
                <w:sz w:val="21"/>
                <w:szCs w:val="21"/>
              </w:rPr>
            </w:pPr>
            <w:r>
              <w:rPr>
                <w:rFonts w:hint="eastAsia"/>
                <w:color w:val="000000"/>
                <w:sz w:val="21"/>
                <w:szCs w:val="21"/>
              </w:rPr>
              <w:t>TS832B40-2027</w:t>
            </w:r>
          </w:p>
        </w:tc>
        <w:tc>
          <w:tcPr>
            <w:tcW w:w="3062" w:type="dxa"/>
            <w:tcBorders>
              <w:top w:val="single" w:color="auto" w:sz="4" w:space="0"/>
              <w:left w:val="single" w:color="auto" w:sz="4" w:space="0"/>
              <w:bottom w:val="single" w:color="auto" w:sz="4" w:space="0"/>
              <w:right w:val="single" w:color="auto" w:sz="4" w:space="0"/>
            </w:tcBorders>
            <w:noWrap w:val="0"/>
            <w:vAlign w:val="center"/>
          </w:tcPr>
          <w:p w14:paraId="51306B48">
            <w:pPr>
              <w:keepNext w:val="0"/>
              <w:keepLines w:val="0"/>
              <w:pageBreakBefore w:val="0"/>
              <w:widowControl w:val="0"/>
              <w:kinsoku/>
              <w:wordWrap/>
              <w:overflowPunct/>
              <w:topLinePunct w:val="0"/>
              <w:autoSpaceDE/>
              <w:autoSpaceDN/>
              <w:bidi w:val="0"/>
              <w:adjustRightInd/>
              <w:snapToGrid w:val="0"/>
              <w:spacing w:line="240" w:lineRule="auto"/>
              <w:textAlignment w:val="baseline"/>
              <w:rPr>
                <w:color w:val="000000"/>
                <w:sz w:val="21"/>
                <w:szCs w:val="21"/>
              </w:rPr>
            </w:pPr>
            <w:r>
              <w:rPr>
                <w:rFonts w:hint="eastAsia"/>
                <w:color w:val="000000"/>
                <w:sz w:val="21"/>
                <w:szCs w:val="21"/>
              </w:rPr>
              <w:t>承压类特种设备安装、修理、改造：长输管道安装（GA2）；公用管道安装（GB1/GB2）；工业管道安装（GC1/GCD）</w:t>
            </w:r>
          </w:p>
        </w:tc>
        <w:tc>
          <w:tcPr>
            <w:tcW w:w="910" w:type="dxa"/>
            <w:vMerge w:val="continue"/>
            <w:tcBorders>
              <w:left w:val="single" w:color="auto" w:sz="4" w:space="0"/>
              <w:right w:val="single" w:color="auto" w:sz="4" w:space="0"/>
            </w:tcBorders>
            <w:noWrap w:val="0"/>
            <w:vAlign w:val="center"/>
          </w:tcPr>
          <w:p w14:paraId="7AA82EFC">
            <w:pPr>
              <w:keepNext w:val="0"/>
              <w:keepLines w:val="0"/>
              <w:pageBreakBefore w:val="0"/>
              <w:widowControl w:val="0"/>
              <w:kinsoku/>
              <w:wordWrap/>
              <w:overflowPunct/>
              <w:topLinePunct w:val="0"/>
              <w:autoSpaceDE/>
              <w:autoSpaceDN/>
              <w:bidi w:val="0"/>
              <w:adjustRightInd/>
              <w:snapToGrid w:val="0"/>
              <w:spacing w:line="240" w:lineRule="auto"/>
              <w:textAlignment w:val="baseline"/>
              <w:rPr>
                <w:rFonts w:hint="eastAsia"/>
                <w:color w:val="000000"/>
                <w:sz w:val="21"/>
                <w:szCs w:val="21"/>
              </w:rPr>
            </w:pPr>
          </w:p>
        </w:tc>
      </w:tr>
      <w:tr w14:paraId="1423C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68" w:type="dxa"/>
            <w:tcBorders>
              <w:top w:val="single" w:color="auto" w:sz="4" w:space="0"/>
              <w:left w:val="single" w:color="auto" w:sz="4" w:space="0"/>
              <w:right w:val="single" w:color="auto" w:sz="4" w:space="0"/>
            </w:tcBorders>
            <w:noWrap w:val="0"/>
            <w:vAlign w:val="center"/>
          </w:tcPr>
          <w:p w14:paraId="2973A6F2">
            <w:pPr>
              <w:keepNext w:val="0"/>
              <w:keepLines w:val="0"/>
              <w:pageBreakBefore w:val="0"/>
              <w:widowControl w:val="0"/>
              <w:kinsoku/>
              <w:wordWrap/>
              <w:overflowPunct/>
              <w:topLinePunct w:val="0"/>
              <w:autoSpaceDE/>
              <w:autoSpaceDN/>
              <w:bidi w:val="0"/>
              <w:adjustRightInd/>
              <w:snapToGrid w:val="0"/>
              <w:spacing w:line="240" w:lineRule="auto"/>
              <w:jc w:val="center"/>
              <w:textAlignment w:val="baseline"/>
              <w:rPr>
                <w:color w:val="000000"/>
                <w:sz w:val="21"/>
                <w:szCs w:val="21"/>
              </w:rPr>
            </w:pPr>
            <w:r>
              <w:rPr>
                <w:color w:val="000000"/>
                <w:sz w:val="21"/>
                <w:szCs w:val="21"/>
              </w:rPr>
              <w:t>监理单位</w:t>
            </w:r>
          </w:p>
        </w:tc>
        <w:tc>
          <w:tcPr>
            <w:tcW w:w="1901" w:type="dxa"/>
            <w:tcBorders>
              <w:top w:val="single" w:color="auto" w:sz="4" w:space="0"/>
              <w:left w:val="single" w:color="auto" w:sz="4" w:space="0"/>
              <w:right w:val="single" w:color="auto" w:sz="4" w:space="0"/>
            </w:tcBorders>
            <w:noWrap w:val="0"/>
            <w:vAlign w:val="center"/>
          </w:tcPr>
          <w:p w14:paraId="1C808E28">
            <w:pPr>
              <w:keepNext w:val="0"/>
              <w:keepLines w:val="0"/>
              <w:pageBreakBefore w:val="0"/>
              <w:widowControl w:val="0"/>
              <w:kinsoku/>
              <w:wordWrap/>
              <w:overflowPunct/>
              <w:topLinePunct w:val="0"/>
              <w:autoSpaceDE/>
              <w:autoSpaceDN/>
              <w:bidi w:val="0"/>
              <w:adjustRightInd/>
              <w:snapToGrid w:val="0"/>
              <w:spacing w:line="240" w:lineRule="auto"/>
              <w:textAlignment w:val="baseline"/>
              <w:rPr>
                <w:color w:val="000000"/>
                <w:sz w:val="21"/>
                <w:szCs w:val="21"/>
              </w:rPr>
            </w:pPr>
            <w:r>
              <w:rPr>
                <w:rFonts w:hint="eastAsia"/>
                <w:color w:val="000000"/>
                <w:sz w:val="21"/>
                <w:szCs w:val="21"/>
              </w:rPr>
              <w:t>云南协和工业建设监理有限公司</w:t>
            </w:r>
          </w:p>
        </w:tc>
        <w:tc>
          <w:tcPr>
            <w:tcW w:w="1759" w:type="dxa"/>
            <w:tcBorders>
              <w:top w:val="single" w:color="auto" w:sz="4" w:space="0"/>
              <w:left w:val="single" w:color="auto" w:sz="4" w:space="0"/>
              <w:bottom w:val="single" w:color="auto" w:sz="4" w:space="0"/>
              <w:right w:val="single" w:color="auto" w:sz="4" w:space="0"/>
            </w:tcBorders>
            <w:noWrap w:val="0"/>
            <w:vAlign w:val="center"/>
          </w:tcPr>
          <w:p w14:paraId="3CF2B61C">
            <w:pPr>
              <w:keepNext w:val="0"/>
              <w:keepLines w:val="0"/>
              <w:pageBreakBefore w:val="0"/>
              <w:widowControl w:val="0"/>
              <w:kinsoku/>
              <w:wordWrap/>
              <w:overflowPunct/>
              <w:topLinePunct w:val="0"/>
              <w:autoSpaceDE/>
              <w:autoSpaceDN/>
              <w:bidi w:val="0"/>
              <w:adjustRightInd/>
              <w:snapToGrid w:val="0"/>
              <w:spacing w:line="240" w:lineRule="auto"/>
              <w:jc w:val="center"/>
              <w:textAlignment w:val="baseline"/>
              <w:rPr>
                <w:rFonts w:hint="eastAsia"/>
                <w:color w:val="000000"/>
                <w:sz w:val="21"/>
                <w:szCs w:val="21"/>
              </w:rPr>
            </w:pPr>
            <w:r>
              <w:rPr>
                <w:color w:val="000000"/>
                <w:sz w:val="21"/>
                <w:szCs w:val="21"/>
              </w:rPr>
              <w:t>E</w:t>
            </w:r>
            <w:r>
              <w:rPr>
                <w:rFonts w:hint="eastAsia"/>
                <w:color w:val="000000"/>
                <w:sz w:val="21"/>
                <w:szCs w:val="21"/>
              </w:rPr>
              <w:t>153003819-4/4</w:t>
            </w:r>
          </w:p>
        </w:tc>
        <w:tc>
          <w:tcPr>
            <w:tcW w:w="3062" w:type="dxa"/>
            <w:tcBorders>
              <w:top w:val="single" w:color="auto" w:sz="4" w:space="0"/>
              <w:left w:val="single" w:color="auto" w:sz="4" w:space="0"/>
              <w:bottom w:val="single" w:color="auto" w:sz="4" w:space="0"/>
              <w:right w:val="single" w:color="auto" w:sz="4" w:space="0"/>
            </w:tcBorders>
            <w:noWrap w:val="0"/>
            <w:vAlign w:val="center"/>
          </w:tcPr>
          <w:p w14:paraId="502C4172">
            <w:pPr>
              <w:keepNext w:val="0"/>
              <w:keepLines w:val="0"/>
              <w:pageBreakBefore w:val="0"/>
              <w:widowControl w:val="0"/>
              <w:kinsoku/>
              <w:wordWrap/>
              <w:overflowPunct/>
              <w:topLinePunct w:val="0"/>
              <w:autoSpaceDE/>
              <w:autoSpaceDN/>
              <w:bidi w:val="0"/>
              <w:adjustRightInd/>
              <w:snapToGrid w:val="0"/>
              <w:spacing w:line="240" w:lineRule="auto"/>
              <w:textAlignment w:val="baseline"/>
              <w:rPr>
                <w:rFonts w:hint="eastAsia"/>
                <w:color w:val="000000"/>
                <w:sz w:val="21"/>
                <w:szCs w:val="21"/>
              </w:rPr>
            </w:pPr>
            <w:r>
              <w:rPr>
                <w:rFonts w:hint="eastAsia"/>
                <w:color w:val="000000"/>
                <w:sz w:val="21"/>
                <w:szCs w:val="21"/>
              </w:rPr>
              <w:t>化工石油工程监理甲级</w:t>
            </w:r>
          </w:p>
        </w:tc>
        <w:tc>
          <w:tcPr>
            <w:tcW w:w="910" w:type="dxa"/>
            <w:tcBorders>
              <w:top w:val="single" w:color="auto" w:sz="4" w:space="0"/>
              <w:left w:val="single" w:color="auto" w:sz="4" w:space="0"/>
              <w:right w:val="single" w:color="auto" w:sz="4" w:space="0"/>
            </w:tcBorders>
            <w:noWrap w:val="0"/>
            <w:vAlign w:val="center"/>
          </w:tcPr>
          <w:p w14:paraId="4C44AF9F">
            <w:pPr>
              <w:keepNext w:val="0"/>
              <w:keepLines w:val="0"/>
              <w:pageBreakBefore w:val="0"/>
              <w:widowControl w:val="0"/>
              <w:kinsoku/>
              <w:wordWrap/>
              <w:overflowPunct/>
              <w:topLinePunct w:val="0"/>
              <w:autoSpaceDE/>
              <w:autoSpaceDN/>
              <w:bidi w:val="0"/>
              <w:adjustRightInd/>
              <w:snapToGrid w:val="0"/>
              <w:spacing w:line="240" w:lineRule="auto"/>
              <w:textAlignment w:val="baseline"/>
              <w:rPr>
                <w:color w:val="000000"/>
                <w:sz w:val="21"/>
                <w:szCs w:val="21"/>
              </w:rPr>
            </w:pPr>
            <w:r>
              <w:rPr>
                <w:rFonts w:hint="eastAsia"/>
                <w:color w:val="000000"/>
                <w:sz w:val="21"/>
                <w:szCs w:val="21"/>
              </w:rPr>
              <w:t>承担项目期间资质有效</w:t>
            </w:r>
          </w:p>
        </w:tc>
      </w:tr>
      <w:bookmarkEnd w:id="146"/>
    </w:tbl>
    <w:p w14:paraId="72E91FE7">
      <w:pPr>
        <w:pStyle w:val="5"/>
        <w:numPr>
          <w:ilvl w:val="2"/>
          <w:numId w:val="1"/>
        </w:numPr>
        <w:adjustRightInd w:val="0"/>
        <w:spacing w:before="120" w:after="120"/>
        <w:jc w:val="both"/>
        <w:rPr>
          <w:rFonts w:hint="default" w:ascii="Times New Roman" w:hAnsi="Times New Roman" w:eastAsia="黑体" w:cs="Times New Roman"/>
          <w:snapToGrid w:val="0"/>
          <w:color w:val="000000"/>
          <w:kern w:val="0"/>
          <w:sz w:val="32"/>
        </w:rPr>
      </w:pPr>
      <w:bookmarkStart w:id="147" w:name="_Toc16189"/>
      <w:bookmarkStart w:id="148" w:name="_Toc16774"/>
      <w:r>
        <w:rPr>
          <w:rFonts w:hint="default" w:ascii="Times New Roman" w:hAnsi="Times New Roman" w:eastAsia="黑体" w:cs="Times New Roman"/>
          <w:snapToGrid w:val="0"/>
          <w:color w:val="000000"/>
          <w:kern w:val="0"/>
          <w:sz w:val="32"/>
        </w:rPr>
        <w:t>建设项目采用的主要技术、工艺和国内外同类建设项目水平对比情况</w:t>
      </w:r>
      <w:bookmarkEnd w:id="147"/>
      <w:bookmarkEnd w:id="148"/>
    </w:p>
    <w:p w14:paraId="05A1F8B2">
      <w:pPr>
        <w:ind w:firstLine="560"/>
        <w:rPr>
          <w:rFonts w:hint="eastAsia" w:ascii="新宋体" w:hAnsi="新宋体" w:eastAsia="新宋体" w:cs="新宋体"/>
          <w:color w:val="auto"/>
          <w:sz w:val="28"/>
          <w:szCs w:val="28"/>
          <w:lang w:val="en-US" w:eastAsia="zh-CN" w:bidi="ar-SA"/>
        </w:rPr>
      </w:pPr>
      <w:r>
        <w:rPr>
          <w:rFonts w:hint="eastAsia" w:ascii="新宋体" w:hAnsi="新宋体" w:eastAsia="新宋体" w:cs="新宋体"/>
          <w:color w:val="auto"/>
          <w:sz w:val="28"/>
          <w:szCs w:val="28"/>
          <w:lang w:val="en-US" w:eastAsia="zh-CN" w:bidi="ar-SA"/>
        </w:rPr>
        <w:t>本项目为厂外公用工程管架建设项目，不涉及生产装置和储存设施，不涉及工艺反应。本项目物料输送采用加压方式输送，脱盐水、工艺水、生活水、消防水及饱和蒸汽原有管网带压，不需要设置输送泵。属于工业上常用的输送技术，技术安全可靠。</w:t>
      </w:r>
    </w:p>
    <w:p w14:paraId="6B28D645">
      <w:pPr>
        <w:pStyle w:val="5"/>
        <w:numPr>
          <w:ilvl w:val="2"/>
          <w:numId w:val="1"/>
        </w:numPr>
        <w:adjustRightInd w:val="0"/>
        <w:spacing w:before="120" w:after="120"/>
        <w:jc w:val="both"/>
        <w:rPr>
          <w:rFonts w:hint="default" w:ascii="Times New Roman" w:hAnsi="Times New Roman" w:eastAsia="黑体" w:cs="Times New Roman"/>
          <w:snapToGrid w:val="0"/>
          <w:color w:val="000000"/>
          <w:kern w:val="0"/>
          <w:sz w:val="32"/>
        </w:rPr>
      </w:pPr>
      <w:bookmarkStart w:id="149" w:name="_Toc18149"/>
      <w:bookmarkStart w:id="150" w:name="_Toc5553"/>
      <w:r>
        <w:rPr>
          <w:rFonts w:hint="default" w:ascii="Times New Roman" w:hAnsi="Times New Roman" w:eastAsia="黑体" w:cs="Times New Roman"/>
          <w:snapToGrid w:val="0"/>
          <w:color w:val="000000"/>
          <w:kern w:val="0"/>
          <w:sz w:val="32"/>
        </w:rPr>
        <w:t>建设项目地理位置、用地面积和生产、储存规模</w:t>
      </w:r>
      <w:bookmarkEnd w:id="149"/>
      <w:bookmarkEnd w:id="150"/>
    </w:p>
    <w:p w14:paraId="2CB2812D">
      <w:pPr>
        <w:pStyle w:val="6"/>
        <w:keepNext/>
        <w:keepLines w:val="0"/>
        <w:pageBreakBefore w:val="0"/>
        <w:widowControl w:val="0"/>
        <w:numPr>
          <w:ilvl w:val="3"/>
          <w:numId w:val="1"/>
        </w:numPr>
        <w:kinsoku/>
        <w:wordWrap/>
        <w:overflowPunct/>
        <w:topLinePunct w:val="0"/>
        <w:autoSpaceDE/>
        <w:autoSpaceDN/>
        <w:bidi w:val="0"/>
        <w:adjustRightInd/>
        <w:snapToGrid w:val="0"/>
        <w:ind w:left="0" w:firstLine="0"/>
        <w:textAlignment w:val="auto"/>
        <w:rPr>
          <w:rFonts w:hint="default" w:ascii="宋体" w:hAnsi="Times New Roman" w:cs="宋体"/>
          <w:color w:val="auto"/>
        </w:rPr>
      </w:pPr>
      <w:bookmarkStart w:id="151" w:name="_Toc317840941"/>
      <w:bookmarkStart w:id="152" w:name="_Toc323036353"/>
      <w:bookmarkStart w:id="153" w:name="_Toc18509522"/>
      <w:bookmarkStart w:id="154" w:name="_Toc47119871"/>
      <w:bookmarkStart w:id="155" w:name="_Toc336009616"/>
      <w:bookmarkStart w:id="156" w:name="_Toc47119729"/>
      <w:r>
        <w:rPr>
          <w:rFonts w:hint="eastAsia" w:ascii="宋体" w:hAnsi="Times New Roman" w:cs="宋体"/>
          <w:color w:val="auto"/>
        </w:rPr>
        <w:t>地理位置</w:t>
      </w:r>
      <w:bookmarkEnd w:id="151"/>
      <w:bookmarkEnd w:id="152"/>
      <w:bookmarkEnd w:id="153"/>
      <w:bookmarkEnd w:id="154"/>
      <w:bookmarkEnd w:id="155"/>
      <w:bookmarkEnd w:id="156"/>
      <w:r>
        <w:rPr>
          <w:rFonts w:hint="eastAsia" w:ascii="宋体" w:hAnsi="Times New Roman" w:cs="宋体"/>
          <w:color w:val="auto"/>
          <w:lang w:val="en-US" w:eastAsia="zh-CN"/>
        </w:rPr>
        <w:t>及交通条件</w:t>
      </w:r>
    </w:p>
    <w:p w14:paraId="6B785BB2">
      <w:pPr>
        <w:pStyle w:val="122"/>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Ansi="宋体"/>
          <w:color w:val="auto"/>
          <w:szCs w:val="28"/>
        </w:rPr>
      </w:pPr>
      <w:r>
        <w:rPr>
          <w:rFonts w:hint="eastAsia" w:ascii="新宋体" w:hAnsi="新宋体" w:eastAsia="新宋体" w:cs="新宋体"/>
          <w:color w:val="auto"/>
          <w:szCs w:val="28"/>
        </w:rPr>
        <w:t>云南瓮福祥丰氟硅新材料有限公司3万吨/年氟化氢生产装置和2万吨/年电子级氢氟酸厂外公用工程管架建设项目位于云南省安宁市禄脿镇，东接草铺街道办事处青龙哨，北与青龙街道办事处花箐村相连，西连禄丰县土官镇，南至易门县六街镇，与禄丰、易门两县交界。项目用地东距安宁市约22.5km，距省会昆明市约57 km。</w:t>
      </w:r>
      <w:r>
        <w:rPr>
          <w:rFonts w:hint="eastAsia" w:hAnsi="宋体"/>
          <w:color w:val="auto"/>
          <w:szCs w:val="28"/>
        </w:rPr>
        <w:t>项目外管廊起点为</w:t>
      </w:r>
      <w:r>
        <w:rPr>
          <w:rFonts w:hint="eastAsia"/>
          <w:color w:val="auto"/>
        </w:rPr>
        <w:t>云南瓮福祥丰氟硅新材料有限公司AHF厂区外管廊交接点，终点为云南祥丰金麦化工有限公司磷酸装置区原有管廊。外管廊南面为云南祥丰石化有限公司和云南祥丰化肥有限公司，北面为山林。</w:t>
      </w:r>
      <w:r>
        <w:rPr>
          <w:rFonts w:hint="eastAsia" w:ascii="新宋体" w:hAnsi="新宋体" w:eastAsia="新宋体" w:cs="新宋体"/>
          <w:color w:val="auto"/>
          <w:szCs w:val="28"/>
        </w:rPr>
        <w:t>项目厂址地理位置为东经102°18′45.03″，北纬24°58′44.99″</w:t>
      </w:r>
      <w:r>
        <w:rPr>
          <w:rFonts w:hint="eastAsia" w:hAnsi="宋体"/>
          <w:color w:val="auto"/>
          <w:szCs w:val="28"/>
        </w:rPr>
        <w:t>，厂址东面为园区规划道路，厂区入口与规划道路相衔接，交通便利。该项目地理位置见下图：</w:t>
      </w:r>
    </w:p>
    <w:p w14:paraId="5CB9D976">
      <w:pPr>
        <w:pStyle w:val="122"/>
        <w:adjustRightInd w:val="0"/>
        <w:ind w:firstLine="0"/>
        <w:rPr>
          <w:rFonts w:hAnsi="宋体"/>
          <w:color w:val="auto"/>
          <w:szCs w:val="28"/>
        </w:rPr>
      </w:pPr>
      <w:r>
        <w:rPr>
          <w:color w:val="auto"/>
        </w:rPr>
        <mc:AlternateContent>
          <mc:Choice Requires="wps">
            <w:drawing>
              <wp:anchor distT="0" distB="0" distL="114300" distR="114300" simplePos="0" relativeHeight="251659264" behindDoc="0" locked="0" layoutInCell="1" allowOverlap="1">
                <wp:simplePos x="0" y="0"/>
                <wp:positionH relativeFrom="column">
                  <wp:posOffset>3139440</wp:posOffset>
                </wp:positionH>
                <wp:positionV relativeFrom="paragraph">
                  <wp:posOffset>2186305</wp:posOffset>
                </wp:positionV>
                <wp:extent cx="914400" cy="313055"/>
                <wp:effectExtent l="209550" t="0" r="19050" b="29845"/>
                <wp:wrapNone/>
                <wp:docPr id="14" name="矩形标注 14"/>
                <wp:cNvGraphicFramePr/>
                <a:graphic xmlns:a="http://schemas.openxmlformats.org/drawingml/2006/main">
                  <a:graphicData uri="http://schemas.microsoft.com/office/word/2010/wordprocessingShape">
                    <wps:wsp>
                      <wps:cNvSpPr/>
                      <wps:spPr>
                        <a:xfrm>
                          <a:off x="0" y="0"/>
                          <a:ext cx="914400" cy="313225"/>
                        </a:xfrm>
                        <a:prstGeom prst="wedgeRectCallout">
                          <a:avLst>
                            <a:gd name="adj1" fmla="val -71755"/>
                            <a:gd name="adj2" fmla="val 5262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8A8B9C">
                            <w:pPr>
                              <w:jc w:val="center"/>
                              <w:rPr>
                                <w:color w:val="FF0000"/>
                              </w:rPr>
                            </w:pPr>
                            <w:r>
                              <w:rPr>
                                <w:rFonts w:hint="eastAsia"/>
                                <w:color w:val="FF0000"/>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47.2pt;margin-top:172.15pt;height:24.65pt;width:72pt;z-index:251659264;v-text-anchor:middle;mso-width-relative:page;mso-height-relative:page;" filled="f" stroked="t" coordsize="21600,21600" o:gfxdata="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eN1Xh9gAAAALAQAADwAAAAAAAAABACAAAAAiAAAAZHJzL2Rvd25yZXYueG1sUEsBAhQAFAAA&#10;AAgAh07iQFiCmzeaAgAAJAUAAA4AAAAAAAAAAQAgAAAAJwEAAGRycy9lMm9Eb2MueG1sUEsFBgAA&#10;AAAGAAYAWQEAADMGAAAAAA==&#10;" adj="-4699,22166">
                <v:fill on="f" focussize="0,0"/>
                <v:stroke weight="2pt" color="#FF0000 [3204]" joinstyle="round"/>
                <v:imagedata o:title=""/>
                <o:lock v:ext="edit" aspectratio="f"/>
                <v:textbox>
                  <w:txbxContent>
                    <w:p w14:paraId="7F8A8B9C">
                      <w:pPr>
                        <w:jc w:val="center"/>
                        <w:rPr>
                          <w:color w:val="FF0000"/>
                        </w:rPr>
                      </w:pPr>
                      <w:r>
                        <w:rPr>
                          <w:rFonts w:hint="eastAsia"/>
                          <w:color w:val="FF0000"/>
                        </w:rPr>
                        <w:t>本项目</w:t>
                      </w:r>
                    </w:p>
                  </w:txbxContent>
                </v:textbox>
              </v:shape>
            </w:pict>
          </mc:Fallback>
        </mc:AlternateContent>
      </w:r>
      <w:r>
        <w:rPr>
          <w:color w:val="auto"/>
        </w:rPr>
        <w:drawing>
          <wp:inline distT="0" distB="0" distL="0" distR="0">
            <wp:extent cx="5831840" cy="5064760"/>
            <wp:effectExtent l="0" t="0" r="0" b="2540"/>
            <wp:docPr id="17281519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151953" name="图片 1"/>
                    <pic:cNvPicPr>
                      <a:picLocks noChangeAspect="1"/>
                    </pic:cNvPicPr>
                  </pic:nvPicPr>
                  <pic:blipFill>
                    <a:blip r:embed="rId19"/>
                    <a:stretch>
                      <a:fillRect/>
                    </a:stretch>
                  </pic:blipFill>
                  <pic:spPr>
                    <a:xfrm>
                      <a:off x="0" y="0"/>
                      <a:ext cx="5831840" cy="5064760"/>
                    </a:xfrm>
                    <a:prstGeom prst="rect">
                      <a:avLst/>
                    </a:prstGeom>
                  </pic:spPr>
                </pic:pic>
              </a:graphicData>
            </a:graphic>
          </wp:inline>
        </w:drawing>
      </w:r>
    </w:p>
    <w:p w14:paraId="08001ED5">
      <w:pPr>
        <w:pStyle w:val="122"/>
        <w:jc w:val="center"/>
        <w:rPr>
          <w:bCs/>
          <w:color w:val="auto"/>
          <w:sz w:val="21"/>
        </w:rPr>
      </w:pPr>
      <w:r>
        <w:rPr>
          <w:rFonts w:hint="eastAsia"/>
          <w:bCs/>
          <w:color w:val="auto"/>
          <w:sz w:val="21"/>
        </w:rPr>
        <w:t>图2</w:t>
      </w:r>
      <w:r>
        <w:rPr>
          <w:rFonts w:hint="eastAsia"/>
          <w:bCs/>
          <w:color w:val="auto"/>
          <w:sz w:val="21"/>
          <w:lang w:val="en-US" w:eastAsia="zh-CN"/>
        </w:rPr>
        <w:t>.2</w:t>
      </w:r>
      <w:r>
        <w:rPr>
          <w:rFonts w:hint="eastAsia"/>
          <w:bCs/>
          <w:color w:val="auto"/>
          <w:sz w:val="21"/>
        </w:rPr>
        <w:t>-1项目地理位置图</w:t>
      </w:r>
    </w:p>
    <w:p w14:paraId="7B724218">
      <w:pPr>
        <w:pStyle w:val="6"/>
        <w:keepNext/>
        <w:keepLines w:val="0"/>
        <w:pageBreakBefore w:val="0"/>
        <w:widowControl w:val="0"/>
        <w:numPr>
          <w:ilvl w:val="3"/>
          <w:numId w:val="1"/>
        </w:numPr>
        <w:kinsoku/>
        <w:wordWrap/>
        <w:overflowPunct/>
        <w:topLinePunct w:val="0"/>
        <w:autoSpaceDE/>
        <w:autoSpaceDN/>
        <w:bidi w:val="0"/>
        <w:adjustRightInd/>
        <w:snapToGrid w:val="0"/>
        <w:ind w:left="0" w:firstLine="0"/>
        <w:textAlignment w:val="auto"/>
        <w:rPr>
          <w:rFonts w:hint="default" w:ascii="宋体" w:hAnsi="Times New Roman" w:cs="宋体"/>
          <w:color w:val="auto"/>
        </w:rPr>
      </w:pPr>
      <w:r>
        <w:rPr>
          <w:rFonts w:hint="eastAsia" w:ascii="宋体" w:hAnsi="Times New Roman" w:cs="宋体"/>
          <w:color w:val="auto"/>
          <w:lang w:val="en-US" w:eastAsia="zh-CN"/>
        </w:rPr>
        <w:t>自然条件</w:t>
      </w:r>
    </w:p>
    <w:p w14:paraId="4F17EBB3">
      <w:pPr>
        <w:numPr>
          <w:ilvl w:val="0"/>
          <w:numId w:val="0"/>
        </w:numPr>
        <w:rPr>
          <w:rFonts w:hint="eastAsia"/>
          <w:color w:val="auto"/>
          <w:shd w:val="clear" w:color="auto" w:fill="FFFFFF"/>
          <w:lang w:val="en-US" w:eastAsia="zh-CN"/>
        </w:rPr>
      </w:pPr>
      <w:bookmarkStart w:id="157" w:name="_Hlk66266304"/>
      <w:r>
        <w:rPr>
          <w:rFonts w:hint="eastAsia"/>
          <w:color w:val="auto"/>
          <w:shd w:val="clear" w:color="auto" w:fill="FFFFFF"/>
          <w:lang w:val="en-US" w:eastAsia="zh-CN"/>
        </w:rPr>
        <w:t>一、气象条件</w:t>
      </w:r>
    </w:p>
    <w:p w14:paraId="079A1223">
      <w:pPr>
        <w:keepNext w:val="0"/>
        <w:keepLines w:val="0"/>
        <w:pageBreakBefore w:val="0"/>
        <w:widowControl w:val="0"/>
        <w:numPr>
          <w:ilvl w:val="0"/>
          <w:numId w:val="0"/>
        </w:numPr>
        <w:kinsoku/>
        <w:wordWrap/>
        <w:overflowPunct/>
        <w:topLinePunct w:val="0"/>
        <w:autoSpaceDE/>
        <w:autoSpaceDN/>
        <w:bidi w:val="0"/>
        <w:adjustRightInd/>
        <w:snapToGrid w:val="0"/>
        <w:ind w:firstLine="560" w:firstLineChars="200"/>
        <w:textAlignment w:val="auto"/>
        <w:rPr>
          <w:rFonts w:hint="eastAsia"/>
          <w:color w:val="auto"/>
          <w:shd w:val="clear" w:color="auto" w:fill="FFFFFF"/>
        </w:rPr>
      </w:pPr>
      <w:r>
        <w:rPr>
          <w:rFonts w:hint="eastAsia"/>
          <w:color w:val="auto"/>
          <w:shd w:val="clear" w:color="auto" w:fill="FFFFFF"/>
        </w:rPr>
        <w:t>安宁地区属于云贵高原中部，属中北亚热带低纬度高海拔地区的高原季风气候区，平均海拔1800m，具有冬暖夏凉，四季如春的特征。最热月为7月，夏季平均气温20.0℃，最冷月为 1 月，冬季平均气温 7.2℃，极端最高气温 38.7℃，极端最低气温-7.2℃，多年平均气温14.7℃。干球温度为21℃，湿球温度为31℃；无霜期平均日数为232d。年平均最大相对湿度82.0%，年平均最小相对湿度47.0%，年平均相对湿度72.0%；区内干、雨季分明，降水主要集中于雨季(每年5～10月份)，约占全年降水量的80％，多年平均降水量为876.48mm，最大年降水量为1122.90mm(1971年)，最小年降水量为657.30mm(1975年)，日最大降水量为120.40mm(1979年8月15日)。多年平均蒸发量为2195.38mm。年主导风向为西南风(WS)，频率约12.5%；春季(2-4月)风速最大，平均3.0m/s，秋季(8-10月)风速较小，平均小于2.0m/s；冬季东风较强，冬季最大风速17.0m/s，平均风速为2.0～3.5m/s，多年平均风速2.23m/s；该区静风频率较高，约为37%。冬春季雾日较多,年均出现日数约77d。日照2047.5h，本区为多雷区，年平均雷电日70d。具有干湿分明，雨量集中，雨热同季，年温差小，日温差大及十里不同天等气候特征。</w:t>
      </w:r>
      <w:bookmarkEnd w:id="157"/>
    </w:p>
    <w:p w14:paraId="2A16D6E9">
      <w:pPr>
        <w:pStyle w:val="79"/>
        <w:numPr>
          <w:ilvl w:val="0"/>
          <w:numId w:val="15"/>
        </w:numPr>
        <w:rPr>
          <w:rFonts w:hint="eastAsia"/>
          <w:color w:val="auto"/>
          <w:shd w:val="clear" w:color="auto" w:fill="FFFFFF"/>
          <w:lang w:val="en-US" w:eastAsia="zh-CN"/>
        </w:rPr>
      </w:pPr>
      <w:r>
        <w:rPr>
          <w:rFonts w:hint="eastAsia"/>
          <w:color w:val="auto"/>
          <w:shd w:val="clear" w:color="auto" w:fill="FFFFFF"/>
          <w:lang w:val="en-US" w:eastAsia="zh-CN"/>
        </w:rPr>
        <w:t>水文、地质条件</w:t>
      </w:r>
    </w:p>
    <w:p w14:paraId="65A09E94">
      <w:pPr>
        <w:ind w:firstLine="560" w:firstLineChars="200"/>
        <w:rPr>
          <w:rFonts w:hAnsi="宋体" w:cs="Courier New"/>
          <w:color w:val="auto"/>
          <w:szCs w:val="21"/>
        </w:rPr>
      </w:pPr>
      <w:r>
        <w:rPr>
          <w:rFonts w:hint="eastAsia" w:hAnsi="宋体" w:cs="Courier New"/>
          <w:color w:val="auto"/>
          <w:szCs w:val="21"/>
        </w:rPr>
        <w:t>根据《云南瓮福祥丰氟硅新材料有限公司3万吨AHF及2万吨电子氢氟酸项目外管廊项目岩土工程勘察报告》（详细勘察阶段），</w:t>
      </w:r>
      <w:r>
        <w:rPr>
          <w:rFonts w:hint="eastAsia" w:hAnsi="宋体" w:cs="Courier New"/>
          <w:color w:val="auto"/>
          <w:szCs w:val="21"/>
          <w:lang w:val="en-US" w:eastAsia="zh-CN"/>
        </w:rPr>
        <w:t>项目</w:t>
      </w:r>
      <w:r>
        <w:rPr>
          <w:rFonts w:hint="eastAsia"/>
          <w:snapToGrid w:val="0"/>
          <w:color w:val="000000"/>
          <w:sz w:val="28"/>
          <w:szCs w:val="28"/>
        </w:rPr>
        <w:t>所在地水文、地质条件</w:t>
      </w:r>
      <w:r>
        <w:rPr>
          <w:rFonts w:hint="eastAsia" w:hAnsi="宋体" w:cs="Courier New"/>
          <w:color w:val="auto"/>
          <w:szCs w:val="21"/>
        </w:rPr>
        <w:t>如下：</w:t>
      </w:r>
    </w:p>
    <w:p w14:paraId="2F3D1391">
      <w:pPr>
        <w:numPr>
          <w:ilvl w:val="0"/>
          <w:numId w:val="16"/>
        </w:numPr>
        <w:ind w:firstLine="560" w:firstLineChars="200"/>
        <w:rPr>
          <w:rFonts w:hint="eastAsia" w:hAnsi="宋体"/>
          <w:color w:val="auto"/>
          <w:lang w:val="en-US" w:eastAsia="zh-CN"/>
        </w:rPr>
      </w:pPr>
      <w:r>
        <w:rPr>
          <w:rFonts w:hint="eastAsia" w:hAnsi="宋体"/>
          <w:color w:val="auto"/>
          <w:lang w:val="en-US" w:eastAsia="zh-CN"/>
        </w:rPr>
        <w:t>水文条件：</w:t>
      </w:r>
    </w:p>
    <w:p w14:paraId="269485C1">
      <w:pPr>
        <w:ind w:firstLine="560" w:firstLineChars="200"/>
        <w:rPr>
          <w:rFonts w:hint="eastAsia" w:ascii="宋体" w:hAnsi="宋体" w:eastAsia="宋体" w:cs="Courier New"/>
          <w:color w:val="auto"/>
          <w:szCs w:val="21"/>
        </w:rPr>
      </w:pPr>
      <w:r>
        <w:rPr>
          <w:rFonts w:hint="eastAsia" w:ascii="宋体" w:hAnsi="宋体" w:eastAsia="宋体" w:cs="Courier New"/>
          <w:color w:val="auto"/>
          <w:szCs w:val="21"/>
        </w:rPr>
        <w:t>场地及附近未发现有地表水体分布，场地地表水主要为大气降水，地表水不发育，地表水受大气降雨补给，根据地势由高</w:t>
      </w:r>
      <w:r>
        <w:rPr>
          <w:rFonts w:hint="eastAsia" w:ascii="宋体" w:hAnsi="宋体" w:eastAsia="宋体" w:cs="Courier New"/>
          <w:color w:val="auto"/>
          <w:szCs w:val="21"/>
          <w:lang w:val="en-US" w:eastAsia="zh-CN"/>
        </w:rPr>
        <w:t>处</w:t>
      </w:r>
      <w:r>
        <w:rPr>
          <w:rFonts w:hint="eastAsia" w:ascii="宋体" w:hAnsi="宋体" w:eastAsia="宋体" w:cs="Courier New"/>
          <w:color w:val="auto"/>
          <w:szCs w:val="21"/>
        </w:rPr>
        <w:t>向低处汇聚，总体由北向南排泄，最终排泄于市政排水系统</w:t>
      </w:r>
    </w:p>
    <w:p w14:paraId="1F5A26AC">
      <w:pPr>
        <w:ind w:firstLine="560" w:firstLineChars="200"/>
        <w:rPr>
          <w:rFonts w:hint="eastAsia" w:ascii="宋体" w:hAnsi="宋体" w:eastAsia="宋体" w:cs="Courier New"/>
          <w:color w:val="auto"/>
          <w:szCs w:val="21"/>
        </w:rPr>
      </w:pPr>
      <w:r>
        <w:rPr>
          <w:rFonts w:hint="eastAsia" w:ascii="宋体" w:hAnsi="宋体" w:eastAsia="宋体" w:cs="Courier New"/>
          <w:color w:val="auto"/>
          <w:szCs w:val="21"/>
        </w:rPr>
        <w:t>根据现场钻探揭露，场区地基土层中第①层素填土、第④层强风化粉砂质泥岩属孔隙性透水层，第②层粉质黏土及第③层全风化粉砂质泥岩为相对隔水层。场地在钻探过程中勘探深度范围未发现地下水，场地属干燥场地，场地后期施工可不考虑地下水影响。但场地在雨季，在降雨后地基土存在上层滞水，上层滞水受大气降水补给，季节性强，由北向南、由东向西顺地势排泄到市政排水系统。</w:t>
      </w:r>
    </w:p>
    <w:p w14:paraId="48A1AAC0">
      <w:pPr>
        <w:numPr>
          <w:ilvl w:val="0"/>
          <w:numId w:val="16"/>
        </w:numPr>
        <w:ind w:left="0" w:leftChars="0" w:firstLine="560" w:firstLineChars="200"/>
        <w:rPr>
          <w:rFonts w:hint="eastAsia" w:hAnsi="宋体"/>
          <w:bCs/>
          <w:color w:val="auto"/>
          <w:lang w:val="en-US" w:eastAsia="zh-CN"/>
        </w:rPr>
      </w:pPr>
      <w:r>
        <w:rPr>
          <w:rFonts w:hint="eastAsia" w:hAnsi="宋体"/>
          <w:bCs/>
          <w:color w:val="auto"/>
          <w:lang w:val="en-US" w:eastAsia="zh-CN"/>
        </w:rPr>
        <w:t>地质条件</w:t>
      </w:r>
    </w:p>
    <w:p w14:paraId="7389FD58">
      <w:pPr>
        <w:numPr>
          <w:ilvl w:val="0"/>
          <w:numId w:val="0"/>
        </w:numPr>
        <w:ind w:leftChars="200"/>
        <w:rPr>
          <w:rFonts w:hint="default" w:hAnsi="宋体"/>
          <w:bCs/>
          <w:color w:val="auto"/>
          <w:lang w:val="en-US" w:eastAsia="zh-CN"/>
        </w:rPr>
      </w:pPr>
      <w:r>
        <w:rPr>
          <w:rFonts w:hint="eastAsia" w:hAnsi="宋体"/>
          <w:bCs/>
          <w:color w:val="auto"/>
          <w:lang w:val="en-US" w:eastAsia="zh-CN"/>
        </w:rPr>
        <w:t>1、结论</w:t>
      </w:r>
    </w:p>
    <w:p w14:paraId="43663B98">
      <w:pPr>
        <w:ind w:firstLine="560" w:firstLineChars="200"/>
        <w:rPr>
          <w:rFonts w:hAnsi="宋体"/>
          <w:color w:val="auto"/>
        </w:rPr>
      </w:pPr>
      <w:r>
        <w:rPr>
          <w:rFonts w:hint="eastAsia" w:hAnsi="宋体"/>
          <w:color w:val="auto"/>
        </w:rPr>
        <w:t>1）场地属构造剥蚀中山山地地貌单元，场地 20m 深度范围内无液化土，场地A、B、C 段管廊架属对建筑抗震的一般地段，D、E、F段管廊架属对建筑抗震的不利地段，场地及周边整体处于缓坡地带，勘察过程中未发现滑坡、泥石流、地面沉降等不良地质作用，场地未发现埋藏的河道、沟滨、墓穴、防空洞等对工程不利的埋藏物，建议对场地西侧填方边坡进行永久性支护，确保场地整体稳定后，适宜建筑。</w:t>
      </w:r>
    </w:p>
    <w:p w14:paraId="396D0FA7">
      <w:pPr>
        <w:ind w:firstLine="560" w:firstLineChars="200"/>
        <w:rPr>
          <w:rFonts w:hAnsi="宋体"/>
          <w:color w:val="auto"/>
        </w:rPr>
      </w:pPr>
      <w:r>
        <w:rPr>
          <w:rFonts w:hint="eastAsia" w:hAnsi="宋体"/>
          <w:color w:val="auto"/>
        </w:rPr>
        <w:t>2）根据现场勘探及地表调查表明：在场地及周边未发现滑坡、危岩、崩塌、泥石流、采空区、地面沉降等不良地质作用，场地未发现地质灾害分布。</w:t>
      </w:r>
    </w:p>
    <w:p w14:paraId="2BCE7E10">
      <w:pPr>
        <w:ind w:firstLine="560" w:firstLineChars="200"/>
        <w:rPr>
          <w:rFonts w:hAnsi="宋体"/>
          <w:color w:val="auto"/>
        </w:rPr>
      </w:pPr>
      <w:r>
        <w:rPr>
          <w:rFonts w:hint="eastAsia" w:hAnsi="宋体"/>
          <w:color w:val="auto"/>
        </w:rPr>
        <w:t>3）在勘察深度范围内场地地基土层主要为第四系人工填土(Q</w:t>
      </w:r>
      <w:r>
        <w:rPr>
          <w:rFonts w:hint="eastAsia" w:hAnsi="宋体"/>
          <w:color w:val="auto"/>
          <w:vertAlign w:val="subscript"/>
        </w:rPr>
        <w:t>4</w:t>
      </w:r>
      <w:r>
        <w:rPr>
          <w:rFonts w:hint="eastAsia" w:hAnsi="宋体"/>
          <w:color w:val="auto"/>
          <w:vertAlign w:val="superscript"/>
        </w:rPr>
        <w:t>ml</w:t>
      </w:r>
      <w:r>
        <w:rPr>
          <w:rFonts w:hint="eastAsia" w:hAnsi="宋体"/>
          <w:color w:val="auto"/>
        </w:rPr>
        <w:t>)素填土，向下为残坡积（Q</w:t>
      </w:r>
      <w:r>
        <w:rPr>
          <w:rFonts w:hint="eastAsia" w:hAnsi="宋体"/>
          <w:color w:val="auto"/>
          <w:vertAlign w:val="subscript"/>
        </w:rPr>
        <w:t>4</w:t>
      </w:r>
      <w:r>
        <w:rPr>
          <w:rFonts w:hint="eastAsia" w:hAnsi="宋体"/>
          <w:color w:val="auto"/>
          <w:vertAlign w:val="superscript"/>
        </w:rPr>
        <w:t>dl+el</w:t>
      </w:r>
      <w:r>
        <w:rPr>
          <w:rFonts w:hint="eastAsia" w:hAnsi="宋体"/>
          <w:color w:val="auto"/>
        </w:rPr>
        <w:t>）粉质黏土、褐煤（P1d），下伏地基土为昆阳群美党组（Pt</w:t>
      </w:r>
      <w:r>
        <w:rPr>
          <w:rFonts w:hint="eastAsia" w:hAnsi="宋体"/>
          <w:color w:val="auto"/>
          <w:vertAlign w:val="subscript"/>
        </w:rPr>
        <w:t>1</w:t>
      </w:r>
      <w:r>
        <w:rPr>
          <w:rFonts w:hint="eastAsia" w:hAnsi="宋体"/>
          <w:color w:val="auto"/>
        </w:rPr>
        <w:t>m）全～中风化粉砂质泥岩。</w:t>
      </w:r>
    </w:p>
    <w:p w14:paraId="50BCD154">
      <w:pPr>
        <w:ind w:firstLine="560" w:firstLineChars="200"/>
        <w:rPr>
          <w:rFonts w:hAnsi="宋体"/>
          <w:color w:val="auto"/>
        </w:rPr>
      </w:pPr>
      <w:r>
        <w:rPr>
          <w:rFonts w:hint="eastAsia" w:hAnsi="宋体"/>
          <w:color w:val="auto"/>
        </w:rPr>
        <w:t>4）场地属不均匀地基，设计时应适当加强基础和上部结构设计的刚度。并做好建筑施工期及后期的沉降变形观测、监测，发现异常情况，及时采取补救处理措施。</w:t>
      </w:r>
    </w:p>
    <w:p w14:paraId="21AEFA8F">
      <w:pPr>
        <w:ind w:firstLine="560" w:firstLineChars="200"/>
        <w:rPr>
          <w:rFonts w:hAnsi="宋体"/>
          <w:color w:val="auto"/>
        </w:rPr>
      </w:pPr>
      <w:r>
        <w:rPr>
          <w:rFonts w:hint="eastAsia" w:hAnsi="宋体"/>
          <w:color w:val="auto"/>
        </w:rPr>
        <w:t>5）根据钻探揭露及实地调查结果表明，场地分布的特殊性岩土为填土及风化岩，设计需考虑特殊性岩土对场地影响。</w:t>
      </w:r>
    </w:p>
    <w:p w14:paraId="1CC2304A">
      <w:pPr>
        <w:ind w:firstLine="560" w:firstLineChars="200"/>
        <w:rPr>
          <w:rFonts w:hAnsi="宋体"/>
          <w:color w:val="auto"/>
        </w:rPr>
      </w:pPr>
      <w:r>
        <w:rPr>
          <w:rFonts w:hint="eastAsia" w:hAnsi="宋体"/>
          <w:color w:val="auto"/>
        </w:rPr>
        <w:t>6）场地地基土对混凝土结构及混凝土结构中钢筋具微腐蚀性，土对钢结构具有微腐蚀性，设计时应按现行国家标准《工业建筑防腐蚀设计规范》（GB50046-2018）的规定采取相应的防护措施。</w:t>
      </w:r>
    </w:p>
    <w:p w14:paraId="6EEEEC47">
      <w:pPr>
        <w:ind w:firstLine="560" w:firstLineChars="200"/>
        <w:rPr>
          <w:rFonts w:hAnsi="宋体"/>
          <w:color w:val="auto"/>
        </w:rPr>
      </w:pPr>
      <w:r>
        <w:rPr>
          <w:rFonts w:hint="eastAsia" w:hAnsi="宋体"/>
          <w:color w:val="auto"/>
        </w:rPr>
        <w:t>7）场地覆盖层深度范围以中软场地土为主，综合判定场地建筑场地类别为Ⅱ类；场地属对建筑抗震的不利地段；根据《建筑抗震设计规范》（GB50011-2010)（2016 年版）附录 A.0.25 及根据《中国地震动参数区划图》（GB18306--2015），本场地属安宁市禄脿街道，其Ⅱ类场地基本地震动峰值加速度值为0.15g，反应谱特征周期Tg=0.45s，地震烈度为Ⅷ度。</w:t>
      </w:r>
    </w:p>
    <w:p w14:paraId="6E17BEF5">
      <w:pPr>
        <w:ind w:firstLine="560" w:firstLineChars="200"/>
        <w:rPr>
          <w:rFonts w:hAnsi="宋体"/>
          <w:color w:val="auto"/>
        </w:rPr>
      </w:pPr>
      <w:r>
        <w:rPr>
          <w:rFonts w:hint="eastAsia" w:hAnsi="宋体"/>
          <w:color w:val="auto"/>
        </w:rPr>
        <w:t>8）场地勘探深度范围内未发现液化土，场地可不考虑液化土影响。场地需考虑①层素填土的软土震陷问题。</w:t>
      </w:r>
    </w:p>
    <w:p w14:paraId="129F59E3">
      <w:pPr>
        <w:ind w:firstLine="560" w:firstLineChars="200"/>
        <w:rPr>
          <w:rFonts w:hAnsi="宋体"/>
          <w:color w:val="auto"/>
        </w:rPr>
      </w:pPr>
      <w:r>
        <w:rPr>
          <w:rFonts w:hint="eastAsia" w:hAnsi="宋体"/>
          <w:color w:val="auto"/>
        </w:rPr>
        <w:t>9）场地周围10km范围内无全新世活动断裂及发震断裂通过，可不考虑近场影响。</w:t>
      </w:r>
    </w:p>
    <w:p w14:paraId="7D13C0DB">
      <w:pPr>
        <w:ind w:firstLine="560" w:firstLineChars="200"/>
        <w:rPr>
          <w:rFonts w:hAnsi="宋体"/>
          <w:color w:val="auto"/>
        </w:rPr>
      </w:pPr>
      <w:r>
        <w:rPr>
          <w:rFonts w:hint="eastAsia" w:hAnsi="宋体"/>
          <w:color w:val="auto"/>
        </w:rPr>
        <w:t>10）场地氡浓度测试指标均小于20000 Bq/m</w:t>
      </w:r>
      <w:r>
        <w:rPr>
          <w:rFonts w:hint="eastAsia" w:hAnsi="宋体"/>
          <w:color w:val="auto"/>
          <w:vertAlign w:val="superscript"/>
        </w:rPr>
        <w:t>3</w:t>
      </w:r>
      <w:r>
        <w:rPr>
          <w:rFonts w:hint="eastAsia" w:hAnsi="宋体"/>
          <w:color w:val="auto"/>
        </w:rPr>
        <w:t>，可不采取防氡工程措施。</w:t>
      </w:r>
    </w:p>
    <w:p w14:paraId="7623A915">
      <w:pPr>
        <w:ind w:firstLine="560" w:firstLineChars="200"/>
        <w:rPr>
          <w:rFonts w:hAnsi="宋体"/>
          <w:color w:val="auto"/>
        </w:rPr>
      </w:pPr>
      <w:r>
        <w:rPr>
          <w:rFonts w:hint="eastAsia" w:hAnsi="宋体"/>
          <w:color w:val="auto"/>
        </w:rPr>
        <w:t>2、建议</w:t>
      </w:r>
    </w:p>
    <w:p w14:paraId="5A4FFD70">
      <w:pPr>
        <w:ind w:firstLine="560" w:firstLineChars="200"/>
        <w:rPr>
          <w:rFonts w:hAnsi="宋体"/>
          <w:color w:val="auto"/>
        </w:rPr>
      </w:pPr>
      <w:r>
        <w:rPr>
          <w:rFonts w:hAnsi="宋体"/>
          <w:color w:val="auto"/>
        </w:rPr>
        <w:t>1</w:t>
      </w:r>
      <w:r>
        <w:rPr>
          <w:rFonts w:hint="eastAsia" w:hAnsi="宋体"/>
          <w:color w:val="auto"/>
        </w:rPr>
        <w:t>）</w:t>
      </w:r>
      <w:r>
        <w:rPr>
          <w:rFonts w:hAnsi="宋体"/>
          <w:color w:val="auto"/>
        </w:rPr>
        <w:t>据该场地岩土工程特征，结合基础选型的安全、经济、可行性原则，经综合分析对比，对该工程基础选型、持力层选择、地基处理建议如下：</w:t>
      </w:r>
    </w:p>
    <w:p w14:paraId="036C504D">
      <w:pPr>
        <w:ind w:firstLine="560" w:firstLineChars="200"/>
        <w:rPr>
          <w:rFonts w:hAnsi="宋体"/>
          <w:color w:val="auto"/>
        </w:rPr>
      </w:pPr>
      <w:r>
        <w:rPr>
          <w:rFonts w:hint="eastAsia" w:hAnsi="宋体"/>
          <w:color w:val="auto"/>
        </w:rPr>
        <w:t>（1）</w:t>
      </w:r>
      <w:r>
        <w:rPr>
          <w:rFonts w:hAnsi="宋体"/>
          <w:color w:val="auto"/>
        </w:rPr>
        <w:t>浅基础建议</w:t>
      </w:r>
    </w:p>
    <w:p w14:paraId="7CC2A223">
      <w:pPr>
        <w:ind w:firstLine="560" w:firstLineChars="200"/>
        <w:rPr>
          <w:rFonts w:hAnsi="宋体"/>
          <w:color w:val="auto"/>
        </w:rPr>
      </w:pPr>
      <w:r>
        <w:rPr>
          <w:rFonts w:hAnsi="宋体"/>
          <w:color w:val="auto"/>
        </w:rPr>
        <w:t>场地范围内分布的②层粉质黏土、③层全风化粉砂质泥岩、④层强风化粉砂质泥岩力学强度较好，层厚较厚，可作为基础持力层使用，管廊架基础形式可选择独立基础。</w:t>
      </w:r>
    </w:p>
    <w:p w14:paraId="3F35B89A">
      <w:pPr>
        <w:ind w:firstLine="560" w:firstLineChars="200"/>
        <w:rPr>
          <w:rFonts w:hAnsi="宋体"/>
          <w:color w:val="auto"/>
        </w:rPr>
      </w:pPr>
      <w:r>
        <w:rPr>
          <w:rFonts w:hAnsi="宋体"/>
          <w:color w:val="auto"/>
        </w:rPr>
        <w:t>地基处理建议：</w:t>
      </w:r>
    </w:p>
    <w:p w14:paraId="0783988A">
      <w:pPr>
        <w:ind w:firstLine="560" w:firstLineChars="200"/>
        <w:rPr>
          <w:rFonts w:hAnsi="宋体"/>
          <w:color w:val="auto"/>
        </w:rPr>
      </w:pPr>
      <w:r>
        <w:rPr>
          <w:rFonts w:hAnsi="宋体"/>
          <w:color w:val="auto"/>
        </w:rPr>
        <w:t>①、基础施工时应及时掌握气温、雨雪、汛情等预报，做好防范工作，若采用浅基础方案：基槽开挖达到设计的基础持力层深度时应通知勘察、设计单位验槽，并尽快浇注混凝土垫层，减少坑底暴露时间，减轻对坑底土体的扰动。若在雨季施工，应在基坑周边设置地表水截流沟和防渗保护层，防止施工用水、雨水（地表水）等渗入、浸泡。</w:t>
      </w:r>
    </w:p>
    <w:p w14:paraId="730A9DA2">
      <w:pPr>
        <w:ind w:firstLine="560" w:firstLineChars="200"/>
        <w:rPr>
          <w:rFonts w:hAnsi="宋体"/>
          <w:color w:val="auto"/>
        </w:rPr>
      </w:pPr>
      <w:r>
        <w:rPr>
          <w:rFonts w:hAnsi="宋体"/>
          <w:color w:val="auto"/>
        </w:rPr>
        <w:t>②、场地回填填料应采用级配砂石料或碎石土料，回填层应采用机械分层碾压，分层厚度不应大于300mm，压实系数λc不小于0.94，施工过程中填料的含水量和最大干密度应满足《建筑地基处理技术规范》（JGJ79-2012）的相关要求。</w:t>
      </w:r>
    </w:p>
    <w:p w14:paraId="14F5365E">
      <w:pPr>
        <w:ind w:firstLine="560" w:firstLineChars="200"/>
        <w:rPr>
          <w:rFonts w:hAnsi="宋体"/>
          <w:color w:val="auto"/>
        </w:rPr>
      </w:pPr>
      <w:r>
        <w:rPr>
          <w:rFonts w:hAnsi="宋体"/>
          <w:color w:val="auto"/>
        </w:rPr>
        <w:t>③、场地第②层、③层、④层的力学强度存在一定差异性，当同一段管廊架基础置于不同持力层上时，建议基底采用一定厚度及强度的褥垫层进行地基处理，以防工程产生不均匀沉降。砂石垫层的施工及检测须按国家现行有关规范要求进行。</w:t>
      </w:r>
    </w:p>
    <w:p w14:paraId="63E2B9D2">
      <w:pPr>
        <w:ind w:firstLine="560" w:firstLineChars="200"/>
        <w:rPr>
          <w:rFonts w:hAnsi="宋体"/>
          <w:color w:val="auto"/>
        </w:rPr>
      </w:pPr>
      <w:r>
        <w:rPr>
          <w:rFonts w:hAnsi="宋体"/>
          <w:color w:val="auto"/>
        </w:rPr>
        <w:t>④、场地属山顶缓坡地段，场地起伏较大，局部建筑物基础地势较低一侧需采用换填地基调节至基底标高，换填地基需加强防水和加固防护措施，尤其砂石换填地基，受雨水下渗后砂石细颗粒会随地势低一侧和雨水流走，从而导致换填层遭受破坏，影响建筑物不均匀沉降。</w:t>
      </w:r>
    </w:p>
    <w:p w14:paraId="7224BDBB">
      <w:pPr>
        <w:ind w:firstLine="560" w:firstLineChars="200"/>
        <w:rPr>
          <w:rFonts w:hAnsi="宋体"/>
          <w:color w:val="auto"/>
        </w:rPr>
      </w:pPr>
      <w:r>
        <w:rPr>
          <w:rFonts w:hAnsi="宋体"/>
          <w:color w:val="auto"/>
        </w:rPr>
        <w:t>⑥、施工弃土应相对集中堆放，并采取相应的防护措施，与周边环境相协调，严禁随意处理。</w:t>
      </w:r>
    </w:p>
    <w:p w14:paraId="513A82AC">
      <w:pPr>
        <w:ind w:firstLine="560" w:firstLineChars="200"/>
        <w:rPr>
          <w:rFonts w:hAnsi="宋体"/>
          <w:color w:val="auto"/>
        </w:rPr>
      </w:pPr>
      <w:r>
        <w:rPr>
          <w:rFonts w:hAnsi="宋体"/>
          <w:color w:val="auto"/>
        </w:rPr>
        <w:t>⑦、场地原为坡地，现状场地已经过人工场平，整体平坦开阔，E段局部西侧为人工填土边坡，距离西侧人工填土边坡的建筑物基础埋深及位置需满足坡顶建筑物与坡顶的安全距离要求。</w:t>
      </w:r>
    </w:p>
    <w:p w14:paraId="520CF5EA">
      <w:pPr>
        <w:ind w:firstLine="560" w:firstLineChars="200"/>
        <w:rPr>
          <w:rFonts w:hAnsi="宋体"/>
          <w:color w:val="auto"/>
        </w:rPr>
      </w:pPr>
      <w:r>
        <w:rPr>
          <w:rFonts w:hAnsi="宋体"/>
          <w:color w:val="auto"/>
        </w:rPr>
        <w:t>（2）深基础建议</w:t>
      </w:r>
    </w:p>
    <w:p w14:paraId="463913E4">
      <w:pPr>
        <w:ind w:firstLine="560" w:firstLineChars="200"/>
        <w:rPr>
          <w:rFonts w:hAnsi="宋体"/>
          <w:color w:val="auto"/>
        </w:rPr>
      </w:pPr>
      <w:r>
        <w:rPr>
          <w:rFonts w:ascii="Calibri" w:hAnsi="Calibri" w:cs="Calibri"/>
          <w:color w:val="auto"/>
        </w:rPr>
        <w:t>①</w:t>
      </w:r>
      <w:r>
        <w:rPr>
          <w:rFonts w:hAnsi="宋体"/>
          <w:color w:val="auto"/>
        </w:rPr>
        <w:t>根据建筑物的工程特点、场地地基岩土特征、周边环境及周边建筑经验，C段管廊架填土较厚地段均可选用微型桩基础型式，建议选用微型灌注桩基础型式，桩端持力层可根据设计桩长确定，可采用第②层粉质黏土作桩端持力层。</w:t>
      </w:r>
    </w:p>
    <w:p w14:paraId="061F58A5">
      <w:pPr>
        <w:ind w:firstLine="560" w:firstLineChars="200"/>
        <w:rPr>
          <w:rFonts w:hAnsi="宋体"/>
          <w:color w:val="auto"/>
        </w:rPr>
      </w:pPr>
      <w:r>
        <w:rPr>
          <w:rFonts w:ascii="Calibri" w:hAnsi="Calibri" w:cs="Calibri"/>
          <w:color w:val="auto"/>
        </w:rPr>
        <w:t>②</w:t>
      </w:r>
      <w:r>
        <w:rPr>
          <w:rFonts w:hAnsi="宋体"/>
          <w:color w:val="auto"/>
        </w:rPr>
        <w:t>场地属坡地建筑，桩基础的设计应满足《建筑桩基技术规范》（JGJ94-2008）第 3.4.5 条的规定。</w:t>
      </w:r>
    </w:p>
    <w:p w14:paraId="654C1370">
      <w:pPr>
        <w:ind w:firstLine="560" w:firstLineChars="200"/>
        <w:rPr>
          <w:rFonts w:hAnsi="宋体"/>
          <w:color w:val="auto"/>
        </w:rPr>
      </w:pPr>
      <w:r>
        <w:rPr>
          <w:rFonts w:ascii="Calibri" w:hAnsi="Calibri" w:cs="Calibri"/>
          <w:color w:val="auto"/>
        </w:rPr>
        <w:t>③</w:t>
      </w:r>
      <w:r>
        <w:rPr>
          <w:rFonts w:hAnsi="宋体"/>
          <w:color w:val="auto"/>
        </w:rPr>
        <w:t>桩基础施工注意事项</w:t>
      </w:r>
    </w:p>
    <w:p w14:paraId="26BCE9C3">
      <w:pPr>
        <w:ind w:firstLine="560" w:firstLineChars="200"/>
        <w:rPr>
          <w:rFonts w:hAnsi="宋体"/>
          <w:color w:val="auto"/>
        </w:rPr>
      </w:pPr>
      <w:r>
        <w:rPr>
          <w:rFonts w:hAnsi="宋体"/>
          <w:color w:val="auto"/>
        </w:rPr>
        <w:t>a、本工程采用微型灌注桩基础时，施工时存在沉渣问题，设计及施工时应充分考虑孔底沉渣对单桩竖向承载力的影响，需严格按照规范对桩底沉渣进行控制。</w:t>
      </w:r>
    </w:p>
    <w:p w14:paraId="3707591D">
      <w:pPr>
        <w:ind w:firstLine="560" w:firstLineChars="200"/>
        <w:rPr>
          <w:rFonts w:hAnsi="宋体"/>
          <w:color w:val="auto"/>
        </w:rPr>
      </w:pPr>
      <w:r>
        <w:rPr>
          <w:rFonts w:hAnsi="宋体"/>
          <w:color w:val="auto"/>
        </w:rPr>
        <w:t>b、微型灌注桩基础施工无振动，无挤土效应，对周边环境影响不大，但对施工中多造成外溢的泥浆须经沉淀后外运至当地主管部门指点的地点排放，否则会对周边环境造成影响。</w:t>
      </w:r>
    </w:p>
    <w:p w14:paraId="47A4186C">
      <w:pPr>
        <w:ind w:firstLine="560" w:firstLineChars="200"/>
        <w:rPr>
          <w:rFonts w:hAnsi="宋体"/>
          <w:color w:val="auto"/>
        </w:rPr>
      </w:pPr>
      <w:r>
        <w:rPr>
          <w:rFonts w:hint="eastAsia" w:hAnsi="宋体"/>
          <w:color w:val="auto"/>
        </w:rPr>
        <w:t>2）</w:t>
      </w:r>
      <w:r>
        <w:rPr>
          <w:rFonts w:hAnsi="宋体"/>
          <w:color w:val="auto"/>
        </w:rPr>
        <w:t>场地钻探深度范围未揭露稳定的地下水位，场地基坑开挖主要考虑地表水对施工的影响。基坑开挖建议采用截水明排对基坑地表水进行控制，建议在基坑顶部设置截水沟，防止地表水汇入基坑，在基坑周边修建排水沟，角点设置集水井，可将渗入基坑的上层滞水通过排水沟流通在集水井汇聚，最终采用抽排水设备将地下水抽排出场外。</w:t>
      </w:r>
    </w:p>
    <w:p w14:paraId="6B15DB6C">
      <w:pPr>
        <w:ind w:firstLine="560" w:firstLineChars="200"/>
        <w:rPr>
          <w:rFonts w:hAnsi="宋体"/>
          <w:color w:val="auto"/>
        </w:rPr>
      </w:pPr>
      <w:r>
        <w:rPr>
          <w:rFonts w:hint="eastAsia" w:hAnsi="宋体"/>
          <w:color w:val="auto"/>
        </w:rPr>
        <w:t>3）</w:t>
      </w:r>
      <w:r>
        <w:rPr>
          <w:rFonts w:hAnsi="宋体"/>
          <w:color w:val="auto"/>
        </w:rPr>
        <w:t>根据《危险性较大的分部分项工程安全管理规定》〔住建部 37号令〕，场地危险性较大的分部分项工程或超过一定规模危险性较大的分部分项工程有E段局部西侧填方边坡工程；应根据规定编制专项施工方案，必要时进行专家论证方案可行性。</w:t>
      </w:r>
    </w:p>
    <w:p w14:paraId="11749A6C">
      <w:pPr>
        <w:ind w:firstLine="560" w:firstLineChars="200"/>
        <w:rPr>
          <w:rFonts w:hAnsi="宋体"/>
          <w:color w:val="auto"/>
        </w:rPr>
      </w:pPr>
      <w:r>
        <w:rPr>
          <w:rFonts w:hAnsi="宋体"/>
          <w:color w:val="auto"/>
        </w:rPr>
        <w:t>4</w:t>
      </w:r>
      <w:r>
        <w:rPr>
          <w:rFonts w:hint="eastAsia" w:hAnsi="宋体"/>
          <w:color w:val="auto"/>
        </w:rPr>
        <w:t>）</w:t>
      </w:r>
      <w:r>
        <w:rPr>
          <w:rFonts w:hAnsi="宋体"/>
          <w:color w:val="auto"/>
        </w:rPr>
        <w:t>建议基础施工完毕后及时埋设沉降观测点，进行沉降变形观测。</w:t>
      </w:r>
    </w:p>
    <w:p w14:paraId="41E7C9E2">
      <w:pPr>
        <w:ind w:firstLine="560" w:firstLineChars="200"/>
        <w:rPr>
          <w:rFonts w:hAnsi="宋体"/>
          <w:color w:val="auto"/>
        </w:rPr>
      </w:pPr>
      <w:r>
        <w:rPr>
          <w:rFonts w:hAnsi="宋体"/>
          <w:color w:val="auto"/>
        </w:rPr>
        <w:t>5</w:t>
      </w:r>
      <w:r>
        <w:rPr>
          <w:rFonts w:hint="eastAsia" w:hAnsi="宋体"/>
          <w:color w:val="auto"/>
        </w:rPr>
        <w:t>）</w:t>
      </w:r>
      <w:r>
        <w:rPr>
          <w:rFonts w:hAnsi="宋体"/>
          <w:color w:val="auto"/>
        </w:rPr>
        <w:t>若后续设计中筑物平面位置发生变化，勘察成果不能满足施工图设计要求时，应进行补充勘察或施工勘察。</w:t>
      </w:r>
    </w:p>
    <w:p w14:paraId="45CA2626">
      <w:pPr>
        <w:ind w:firstLine="560" w:firstLineChars="200"/>
        <w:rPr>
          <w:rFonts w:hint="eastAsia" w:hAnsi="宋体"/>
          <w:color w:val="auto"/>
        </w:rPr>
      </w:pPr>
      <w:r>
        <w:rPr>
          <w:rFonts w:hAnsi="宋体"/>
          <w:color w:val="auto"/>
        </w:rPr>
        <w:t>6</w:t>
      </w:r>
      <w:r>
        <w:rPr>
          <w:rFonts w:hint="eastAsia" w:hAnsi="宋体"/>
          <w:color w:val="auto"/>
        </w:rPr>
        <w:t>）</w:t>
      </w:r>
      <w:r>
        <w:rPr>
          <w:rFonts w:hAnsi="宋体"/>
          <w:color w:val="auto"/>
        </w:rPr>
        <w:t>根据钻孔揭露地层情况，综合现场原位测试试验成果及室内土工试验成果，结合地区经验，各土层主要物理力学指标和承载力特征值建议见地基岩土设计参数综合取值成果表</w:t>
      </w:r>
      <w:r>
        <w:rPr>
          <w:rFonts w:hint="eastAsia" w:hAnsi="宋体"/>
          <w:color w:val="auto"/>
        </w:rPr>
        <w:t>。</w:t>
      </w:r>
    </w:p>
    <w:p w14:paraId="507503ED">
      <w:pPr>
        <w:pStyle w:val="6"/>
        <w:keepNext/>
        <w:keepLines w:val="0"/>
        <w:pageBreakBefore w:val="0"/>
        <w:widowControl w:val="0"/>
        <w:numPr>
          <w:ilvl w:val="3"/>
          <w:numId w:val="1"/>
        </w:numPr>
        <w:kinsoku/>
        <w:wordWrap/>
        <w:overflowPunct/>
        <w:topLinePunct w:val="0"/>
        <w:autoSpaceDE/>
        <w:autoSpaceDN/>
        <w:bidi w:val="0"/>
        <w:adjustRightInd/>
        <w:snapToGrid w:val="0"/>
        <w:ind w:left="0" w:firstLine="0"/>
        <w:textAlignment w:val="auto"/>
        <w:rPr>
          <w:rFonts w:hint="default" w:ascii="宋体" w:hAnsi="Times New Roman" w:cs="宋体"/>
          <w:color w:val="auto"/>
        </w:rPr>
      </w:pPr>
      <w:r>
        <w:rPr>
          <w:rFonts w:hint="eastAsia" w:ascii="宋体" w:hAnsi="Times New Roman" w:cs="宋体"/>
          <w:color w:val="auto"/>
          <w:lang w:val="en-US" w:eastAsia="zh-CN"/>
        </w:rPr>
        <w:t>建设项目用地面积</w:t>
      </w:r>
    </w:p>
    <w:p w14:paraId="5B18506B">
      <w:pPr>
        <w:ind w:firstLine="480"/>
        <w:rPr>
          <w:rFonts w:hint="eastAsia" w:cs="宋体" w:asciiTheme="minorEastAsia" w:hAnsiTheme="minorEastAsia" w:eastAsiaTheme="minorEastAsia"/>
          <w:bCs/>
          <w:color w:val="auto"/>
          <w:szCs w:val="28"/>
        </w:rPr>
      </w:pPr>
      <w:r>
        <w:rPr>
          <w:rFonts w:hint="eastAsia" w:cs="宋体" w:asciiTheme="minorEastAsia" w:hAnsiTheme="minorEastAsia" w:eastAsiaTheme="minorEastAsia"/>
          <w:bCs/>
          <w:color w:val="auto"/>
          <w:szCs w:val="28"/>
        </w:rPr>
        <w:t>本管架建设项目占用昆明市安宁市禄滕街道办事处安丰营村民委员会集体林地2.0054公顷。其中：用材林林地 1.9756公项，其他林地0.0298公顷。</w:t>
      </w:r>
    </w:p>
    <w:p w14:paraId="500B7D76">
      <w:pPr>
        <w:pStyle w:val="6"/>
        <w:keepNext/>
        <w:keepLines w:val="0"/>
        <w:pageBreakBefore w:val="0"/>
        <w:widowControl w:val="0"/>
        <w:numPr>
          <w:ilvl w:val="3"/>
          <w:numId w:val="1"/>
        </w:numPr>
        <w:kinsoku/>
        <w:wordWrap/>
        <w:overflowPunct/>
        <w:topLinePunct w:val="0"/>
        <w:autoSpaceDE/>
        <w:autoSpaceDN/>
        <w:bidi w:val="0"/>
        <w:adjustRightInd/>
        <w:snapToGrid w:val="0"/>
        <w:ind w:left="0" w:firstLine="0"/>
        <w:textAlignment w:val="auto"/>
        <w:rPr>
          <w:rFonts w:hint="default" w:ascii="宋体" w:hAnsi="Times New Roman" w:cs="宋体"/>
          <w:color w:val="auto"/>
        </w:rPr>
      </w:pPr>
      <w:r>
        <w:rPr>
          <w:rFonts w:hint="eastAsia" w:ascii="宋体" w:hAnsi="Times New Roman" w:cs="宋体"/>
          <w:color w:val="auto"/>
          <w:lang w:val="en-US" w:eastAsia="zh-CN"/>
        </w:rPr>
        <w:t>建设项目生产规模</w:t>
      </w:r>
    </w:p>
    <w:p w14:paraId="6DD56F71">
      <w:pPr>
        <w:ind w:firstLine="560"/>
        <w:rPr>
          <w:rFonts w:hint="eastAsia" w:cs="宋体" w:asciiTheme="minorEastAsia" w:hAnsiTheme="minorEastAsia" w:eastAsiaTheme="minorEastAsia"/>
          <w:bCs/>
          <w:color w:val="auto"/>
          <w:szCs w:val="28"/>
        </w:rPr>
      </w:pPr>
      <w:r>
        <w:rPr>
          <w:rFonts w:hint="eastAsia" w:cs="宋体" w:asciiTheme="minorEastAsia" w:hAnsiTheme="minorEastAsia" w:eastAsiaTheme="minorEastAsia"/>
          <w:bCs/>
          <w:color w:val="auto"/>
          <w:szCs w:val="28"/>
        </w:rPr>
        <w:t>本项目为云南瓮福祥丰氟硅新材料有限公司3万吨/年无水氟化氢和2万吨/年电子级氢氟酸厂外公用工程管架建设项目，项目本身不涉产品。</w:t>
      </w:r>
    </w:p>
    <w:p w14:paraId="154CAFBE">
      <w:pPr>
        <w:ind w:firstLine="560"/>
        <w:rPr>
          <w:rFonts w:hint="eastAsia" w:cs="宋体" w:asciiTheme="minorEastAsia" w:hAnsiTheme="minorEastAsia" w:eastAsiaTheme="minorEastAsia"/>
          <w:bCs/>
          <w:color w:val="auto"/>
          <w:szCs w:val="28"/>
        </w:rPr>
      </w:pPr>
      <w:r>
        <w:rPr>
          <w:rFonts w:hint="eastAsia" w:cs="宋体" w:asciiTheme="minorEastAsia" w:hAnsiTheme="minorEastAsia" w:eastAsiaTheme="minorEastAsia"/>
          <w:bCs/>
          <w:color w:val="auto"/>
          <w:szCs w:val="28"/>
        </w:rPr>
        <w:t>外管廊主要输送介质包含中压蒸汽（1根）、生活水（1根）、工艺水（1根）、脱盐水（1根）、消防水（2根）、氟硅酸（2根）、浓硫酸（1根）、再浆水（1根）、稀硫酸（2根）、渣浆水（1根）、过滤机洗水（1根）等。</w:t>
      </w:r>
    </w:p>
    <w:p w14:paraId="33F56868">
      <w:pPr>
        <w:pStyle w:val="6"/>
        <w:keepNext/>
        <w:keepLines w:val="0"/>
        <w:pageBreakBefore w:val="0"/>
        <w:widowControl w:val="0"/>
        <w:numPr>
          <w:ilvl w:val="3"/>
          <w:numId w:val="1"/>
        </w:numPr>
        <w:kinsoku/>
        <w:wordWrap/>
        <w:overflowPunct/>
        <w:topLinePunct w:val="0"/>
        <w:autoSpaceDE/>
        <w:autoSpaceDN/>
        <w:bidi w:val="0"/>
        <w:adjustRightInd/>
        <w:snapToGrid w:val="0"/>
        <w:ind w:left="0" w:firstLine="0"/>
        <w:textAlignment w:val="auto"/>
        <w:rPr>
          <w:rFonts w:hint="eastAsia" w:ascii="宋体" w:hAnsi="Times New Roman" w:cs="宋体"/>
          <w:color w:val="auto"/>
          <w:lang w:val="en-US" w:eastAsia="zh-CN"/>
        </w:rPr>
      </w:pPr>
      <w:r>
        <w:rPr>
          <w:rFonts w:hint="eastAsia" w:ascii="宋体" w:hAnsi="Times New Roman" w:cs="宋体"/>
          <w:color w:val="auto"/>
          <w:lang w:val="en-US" w:eastAsia="zh-CN"/>
        </w:rPr>
        <w:t>项目周边</w:t>
      </w:r>
      <w:bookmarkStart w:id="158" w:name="_Hlk155174669"/>
      <w:r>
        <w:rPr>
          <w:rFonts w:hint="eastAsia" w:ascii="宋体" w:hAnsi="Times New Roman" w:cs="宋体"/>
          <w:color w:val="auto"/>
          <w:lang w:val="en-US" w:eastAsia="zh-CN"/>
        </w:rPr>
        <w:t>环境</w:t>
      </w:r>
    </w:p>
    <w:bookmarkEnd w:id="158"/>
    <w:p w14:paraId="720FB703">
      <w:pPr>
        <w:ind w:firstLine="560"/>
      </w:pPr>
      <w:r>
        <w:rPr>
          <w:rFonts w:hint="eastAsia"/>
        </w:rPr>
        <w:t>云南瓮福祥丰氟硅新材料有限公司3万吨/年无水氟化氢和2万吨/年电子级氢氟酸厂外公用工程外管廊用地主要为林地，地势高差较大，管廊从云南瓮福祥丰氟硅新材料有限公司厂区向北出厂区用地红线，跨安丰营片区1号次干道东延长线，爬升进入林地范围，向北、向西绕行云南祥丰石化有限公司北侧林地，由西侧进入云南祥丰石化有限公司厂区内，再向南进入云南祥丰金麦化工有限公司磷酸装置区，接磷酸装置原有管廊。</w:t>
      </w:r>
    </w:p>
    <w:p w14:paraId="6C2B89D8">
      <w:pPr>
        <w:ind w:firstLine="560"/>
        <w:rPr>
          <w:rFonts w:cs="宋体"/>
        </w:rPr>
      </w:pPr>
      <w:r>
        <w:rPr>
          <w:rFonts w:hint="eastAsia"/>
        </w:rPr>
        <w:t>本项目管廊沿途上空有4条架空电力线跨越，分别为10KV环保科技线（带绝缘层）跨越管廊E209-E212段，110KV权祥弘线跨越管廊F01-F03段，220KV双狮肥线跨越管廊E80-E90段，10KV氨站线（带绝缘层）跨越管廊D11-D25段；本项目管廊沿途跨越2组外管廊，管廊E209-E212段跨越云南祥丰金麦化工有限公司渣浆水管廊（包括1根DN500渣浆水管、1根DN500渣浆水回水管和1根DN150工艺水管），管廊D01-D10段跨越云南祥丰石化有限公司公用工程管廊（包括1根DN300消防水管和1根已停用的DN300循环水管）；本项目管廊沿途4处跨越道路，分别为管廊F03-F05段跨越安丰营片区1号次干道东延长线，管廊A01-A03段、A17-A20段、B42-B44段分别跨越云南祥丰金麦化工有限公司厂区内部道路。管廊没有穿越河流、铁路，附近无学校。</w:t>
      </w:r>
    </w:p>
    <w:p w14:paraId="1CCE7868">
      <w:pPr>
        <w:ind w:firstLine="482" w:firstLineChars="200"/>
        <w:jc w:val="center"/>
        <w:rPr>
          <w:rFonts w:hAnsi="宋体"/>
          <w:b/>
          <w:bCs w:val="0"/>
          <w:color w:val="auto"/>
          <w:sz w:val="24"/>
          <w:szCs w:val="24"/>
        </w:rPr>
      </w:pPr>
      <w:r>
        <w:rPr>
          <w:rFonts w:hint="eastAsia" w:hAnsi="宋体"/>
          <w:b/>
          <w:bCs w:val="0"/>
          <w:color w:val="auto"/>
          <w:sz w:val="24"/>
          <w:szCs w:val="24"/>
        </w:rPr>
        <w:t>表 2</w:t>
      </w:r>
      <w:r>
        <w:rPr>
          <w:rFonts w:hint="eastAsia" w:hAnsi="宋体"/>
          <w:b/>
          <w:bCs w:val="0"/>
          <w:color w:val="auto"/>
          <w:sz w:val="24"/>
          <w:szCs w:val="24"/>
          <w:lang w:val="en-US" w:eastAsia="zh-CN"/>
        </w:rPr>
        <w:t>.2</w:t>
      </w:r>
      <w:r>
        <w:rPr>
          <w:rFonts w:hAnsi="宋体"/>
          <w:b/>
          <w:bCs w:val="0"/>
          <w:color w:val="auto"/>
          <w:sz w:val="24"/>
          <w:szCs w:val="24"/>
        </w:rPr>
        <w:noBreakHyphen/>
      </w:r>
      <w:r>
        <w:rPr>
          <w:rFonts w:hint="eastAsia" w:hAnsi="宋体"/>
          <w:b/>
          <w:bCs w:val="0"/>
          <w:color w:val="auto"/>
          <w:sz w:val="24"/>
          <w:szCs w:val="24"/>
          <w:lang w:val="en-US" w:eastAsia="zh-CN"/>
        </w:rPr>
        <w:t>5</w:t>
      </w:r>
      <w:r>
        <w:rPr>
          <w:rFonts w:hAnsi="宋体"/>
          <w:b/>
          <w:bCs w:val="0"/>
          <w:color w:val="auto"/>
          <w:sz w:val="24"/>
          <w:szCs w:val="24"/>
        </w:rPr>
        <w:t xml:space="preserve">  </w:t>
      </w:r>
      <w:r>
        <w:rPr>
          <w:rFonts w:hint="eastAsia" w:hAnsi="宋体"/>
          <w:b/>
          <w:bCs w:val="0"/>
          <w:color w:val="auto"/>
          <w:sz w:val="24"/>
          <w:szCs w:val="24"/>
        </w:rPr>
        <w:t>管廊与周边环境情况一览表</w:t>
      </w:r>
    </w:p>
    <w:tbl>
      <w:tblPr>
        <w:tblStyle w:val="81"/>
        <w:tblW w:w="915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3"/>
        <w:gridCol w:w="3619"/>
        <w:gridCol w:w="1565"/>
        <w:gridCol w:w="2369"/>
        <w:gridCol w:w="927"/>
      </w:tblGrid>
      <w:tr w14:paraId="0F457A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673" w:type="dxa"/>
            <w:vAlign w:val="center"/>
          </w:tcPr>
          <w:p w14:paraId="2F2BCE49">
            <w:pPr>
              <w:spacing w:line="240" w:lineRule="auto"/>
              <w:jc w:val="center"/>
              <w:rPr>
                <w:rFonts w:hAnsi="Calibri"/>
                <w:b/>
                <w:bCs/>
                <w:color w:val="auto"/>
                <w:sz w:val="21"/>
                <w:szCs w:val="21"/>
              </w:rPr>
            </w:pPr>
            <w:r>
              <w:rPr>
                <w:rFonts w:hint="eastAsia" w:hAnsi="Calibri"/>
                <w:b/>
                <w:bCs/>
                <w:color w:val="auto"/>
                <w:sz w:val="21"/>
                <w:szCs w:val="21"/>
              </w:rPr>
              <w:t>序号</w:t>
            </w:r>
          </w:p>
        </w:tc>
        <w:tc>
          <w:tcPr>
            <w:tcW w:w="3619" w:type="dxa"/>
            <w:vAlign w:val="center"/>
          </w:tcPr>
          <w:p w14:paraId="2009C311">
            <w:pPr>
              <w:spacing w:line="240" w:lineRule="auto"/>
              <w:jc w:val="center"/>
              <w:rPr>
                <w:rFonts w:hAnsi="Calibri"/>
                <w:b/>
                <w:bCs/>
                <w:color w:val="auto"/>
                <w:sz w:val="21"/>
                <w:szCs w:val="21"/>
              </w:rPr>
            </w:pPr>
            <w:r>
              <w:rPr>
                <w:rFonts w:hint="eastAsia" w:hAnsi="Calibri"/>
                <w:b/>
                <w:bCs/>
                <w:color w:val="auto"/>
                <w:sz w:val="21"/>
                <w:szCs w:val="21"/>
              </w:rPr>
              <w:t>周边环境名称</w:t>
            </w:r>
          </w:p>
        </w:tc>
        <w:tc>
          <w:tcPr>
            <w:tcW w:w="1565" w:type="dxa"/>
            <w:vAlign w:val="center"/>
          </w:tcPr>
          <w:p w14:paraId="7B1E81A6">
            <w:pPr>
              <w:spacing w:line="240" w:lineRule="auto"/>
              <w:jc w:val="center"/>
              <w:rPr>
                <w:rFonts w:hAnsi="Calibri"/>
                <w:b/>
                <w:bCs/>
                <w:color w:val="auto"/>
                <w:sz w:val="21"/>
                <w:szCs w:val="21"/>
              </w:rPr>
            </w:pPr>
            <w:r>
              <w:rPr>
                <w:rFonts w:hint="eastAsia" w:hAnsi="Calibri"/>
                <w:b/>
                <w:bCs/>
                <w:color w:val="auto"/>
                <w:sz w:val="21"/>
                <w:szCs w:val="21"/>
              </w:rPr>
              <w:t>相对管廊方位</w:t>
            </w:r>
          </w:p>
        </w:tc>
        <w:tc>
          <w:tcPr>
            <w:tcW w:w="2369" w:type="dxa"/>
            <w:vAlign w:val="center"/>
          </w:tcPr>
          <w:p w14:paraId="45026B74">
            <w:pPr>
              <w:spacing w:line="240" w:lineRule="auto"/>
              <w:jc w:val="center"/>
              <w:rPr>
                <w:rFonts w:hAnsi="Calibri"/>
                <w:b/>
                <w:bCs/>
                <w:color w:val="auto"/>
                <w:sz w:val="21"/>
                <w:szCs w:val="21"/>
              </w:rPr>
            </w:pPr>
            <w:r>
              <w:rPr>
                <w:rFonts w:hint="eastAsia" w:hAnsi="Calibri"/>
                <w:b/>
                <w:bCs/>
                <w:color w:val="auto"/>
                <w:sz w:val="21"/>
                <w:szCs w:val="21"/>
              </w:rPr>
              <w:t>距离管廊最近距离（</w:t>
            </w:r>
            <w:r>
              <w:rPr>
                <w:rFonts w:hAnsi="Calibri"/>
                <w:b/>
                <w:bCs/>
                <w:color w:val="auto"/>
                <w:sz w:val="21"/>
                <w:szCs w:val="21"/>
              </w:rPr>
              <w:t>m</w:t>
            </w:r>
            <w:r>
              <w:rPr>
                <w:rFonts w:hint="eastAsia" w:hAnsi="Calibri"/>
                <w:b/>
                <w:bCs/>
                <w:color w:val="auto"/>
                <w:sz w:val="21"/>
                <w:szCs w:val="21"/>
              </w:rPr>
              <w:t>）</w:t>
            </w:r>
          </w:p>
        </w:tc>
        <w:tc>
          <w:tcPr>
            <w:tcW w:w="927" w:type="dxa"/>
            <w:vAlign w:val="center"/>
          </w:tcPr>
          <w:p w14:paraId="307667E9">
            <w:pPr>
              <w:spacing w:line="260" w:lineRule="exact"/>
              <w:jc w:val="center"/>
              <w:rPr>
                <w:rFonts w:hAnsi="Calibri"/>
                <w:color w:val="auto"/>
                <w:sz w:val="21"/>
                <w:szCs w:val="21"/>
              </w:rPr>
            </w:pPr>
            <w:r>
              <w:rPr>
                <w:rFonts w:hAnsi="Calibri"/>
                <w:b/>
                <w:bCs/>
                <w:color w:val="auto"/>
                <w:sz w:val="21"/>
                <w:szCs w:val="21"/>
              </w:rPr>
              <w:t>备注</w:t>
            </w:r>
          </w:p>
        </w:tc>
      </w:tr>
      <w:tr w14:paraId="5FF98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673" w:type="dxa"/>
            <w:vAlign w:val="center"/>
          </w:tcPr>
          <w:p w14:paraId="62B2C8B6">
            <w:pPr>
              <w:spacing w:line="240" w:lineRule="auto"/>
              <w:jc w:val="center"/>
              <w:rPr>
                <w:rFonts w:hAnsi="Calibri"/>
                <w:color w:val="auto"/>
                <w:sz w:val="21"/>
                <w:szCs w:val="21"/>
              </w:rPr>
            </w:pPr>
            <w:r>
              <w:rPr>
                <w:rFonts w:hint="eastAsia" w:hAnsi="Calibri"/>
                <w:color w:val="auto"/>
                <w:sz w:val="21"/>
                <w:szCs w:val="21"/>
              </w:rPr>
              <w:t>1</w:t>
            </w:r>
          </w:p>
        </w:tc>
        <w:tc>
          <w:tcPr>
            <w:tcW w:w="3619" w:type="dxa"/>
            <w:vAlign w:val="center"/>
          </w:tcPr>
          <w:p w14:paraId="3977D373">
            <w:pPr>
              <w:spacing w:line="240" w:lineRule="auto"/>
              <w:jc w:val="center"/>
              <w:rPr>
                <w:rFonts w:hAnsi="Calibri"/>
                <w:color w:val="auto"/>
                <w:sz w:val="21"/>
                <w:szCs w:val="21"/>
              </w:rPr>
            </w:pPr>
            <w:r>
              <w:rPr>
                <w:rFonts w:hint="eastAsia" w:hAnsi="Calibri"/>
                <w:color w:val="auto"/>
                <w:sz w:val="21"/>
                <w:szCs w:val="21"/>
              </w:rPr>
              <w:t>云南祥丰石化有限公司液氨球罐</w:t>
            </w:r>
          </w:p>
        </w:tc>
        <w:tc>
          <w:tcPr>
            <w:tcW w:w="1565" w:type="dxa"/>
            <w:vAlign w:val="center"/>
          </w:tcPr>
          <w:p w14:paraId="1456F727">
            <w:pPr>
              <w:spacing w:line="240" w:lineRule="auto"/>
              <w:jc w:val="center"/>
              <w:rPr>
                <w:rFonts w:hAnsi="Calibri"/>
                <w:color w:val="auto"/>
                <w:sz w:val="21"/>
                <w:szCs w:val="21"/>
              </w:rPr>
            </w:pPr>
            <w:r>
              <w:rPr>
                <w:rFonts w:hint="eastAsia" w:hAnsi="Calibri"/>
                <w:color w:val="auto"/>
                <w:sz w:val="21"/>
                <w:szCs w:val="21"/>
              </w:rPr>
              <w:t>西南</w:t>
            </w:r>
          </w:p>
        </w:tc>
        <w:tc>
          <w:tcPr>
            <w:tcW w:w="2369" w:type="dxa"/>
            <w:vAlign w:val="center"/>
          </w:tcPr>
          <w:p w14:paraId="4FE4E69A">
            <w:pPr>
              <w:spacing w:line="240" w:lineRule="auto"/>
              <w:jc w:val="center"/>
              <w:rPr>
                <w:rFonts w:hAnsi="Calibri"/>
                <w:color w:val="auto"/>
                <w:sz w:val="21"/>
                <w:szCs w:val="21"/>
              </w:rPr>
            </w:pPr>
            <w:r>
              <w:rPr>
                <w:rFonts w:hAnsi="Calibri"/>
                <w:color w:val="auto"/>
                <w:sz w:val="21"/>
                <w:szCs w:val="21"/>
              </w:rPr>
              <w:t>62</w:t>
            </w:r>
          </w:p>
        </w:tc>
        <w:tc>
          <w:tcPr>
            <w:tcW w:w="927" w:type="dxa"/>
            <w:vAlign w:val="center"/>
          </w:tcPr>
          <w:p w14:paraId="65DF753F">
            <w:pPr>
              <w:spacing w:line="240" w:lineRule="auto"/>
              <w:jc w:val="center"/>
              <w:rPr>
                <w:rFonts w:hAnsi="Calibri"/>
                <w:color w:val="auto"/>
                <w:sz w:val="21"/>
                <w:szCs w:val="21"/>
              </w:rPr>
            </w:pPr>
          </w:p>
        </w:tc>
      </w:tr>
      <w:tr w14:paraId="05B98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673" w:type="dxa"/>
            <w:vAlign w:val="center"/>
          </w:tcPr>
          <w:p w14:paraId="0D0690ED">
            <w:pPr>
              <w:spacing w:line="240" w:lineRule="auto"/>
              <w:jc w:val="center"/>
              <w:rPr>
                <w:rFonts w:hAnsi="Calibri"/>
                <w:color w:val="auto"/>
                <w:sz w:val="21"/>
                <w:szCs w:val="21"/>
              </w:rPr>
            </w:pPr>
            <w:r>
              <w:rPr>
                <w:rFonts w:hint="eastAsia" w:hAnsi="Calibri"/>
                <w:color w:val="auto"/>
                <w:sz w:val="21"/>
                <w:szCs w:val="21"/>
              </w:rPr>
              <w:t>2</w:t>
            </w:r>
          </w:p>
        </w:tc>
        <w:tc>
          <w:tcPr>
            <w:tcW w:w="3619" w:type="dxa"/>
            <w:vAlign w:val="center"/>
          </w:tcPr>
          <w:p w14:paraId="0F1444BD">
            <w:pPr>
              <w:spacing w:line="240" w:lineRule="auto"/>
              <w:jc w:val="center"/>
              <w:rPr>
                <w:rFonts w:hAnsi="Calibri"/>
                <w:color w:val="auto"/>
                <w:sz w:val="21"/>
                <w:szCs w:val="21"/>
              </w:rPr>
            </w:pPr>
            <w:r>
              <w:rPr>
                <w:rFonts w:hint="eastAsia" w:hAnsi="Calibri"/>
                <w:color w:val="auto"/>
                <w:sz w:val="21"/>
                <w:szCs w:val="21"/>
              </w:rPr>
              <w:t>云南祥丰石化有限公司氨站管廊</w:t>
            </w:r>
          </w:p>
        </w:tc>
        <w:tc>
          <w:tcPr>
            <w:tcW w:w="1565" w:type="dxa"/>
            <w:vAlign w:val="center"/>
          </w:tcPr>
          <w:p w14:paraId="0A976297">
            <w:pPr>
              <w:spacing w:line="240" w:lineRule="auto"/>
              <w:jc w:val="center"/>
              <w:rPr>
                <w:rFonts w:hAnsi="Calibri"/>
                <w:color w:val="auto"/>
                <w:sz w:val="21"/>
                <w:szCs w:val="21"/>
              </w:rPr>
            </w:pPr>
            <w:r>
              <w:rPr>
                <w:rFonts w:hint="eastAsia" w:hAnsi="Calibri"/>
                <w:color w:val="auto"/>
                <w:sz w:val="21"/>
                <w:szCs w:val="21"/>
              </w:rPr>
              <w:t>西南</w:t>
            </w:r>
          </w:p>
        </w:tc>
        <w:tc>
          <w:tcPr>
            <w:tcW w:w="2369" w:type="dxa"/>
            <w:vAlign w:val="center"/>
          </w:tcPr>
          <w:p w14:paraId="3A4E19A2">
            <w:pPr>
              <w:spacing w:line="240" w:lineRule="auto"/>
              <w:jc w:val="center"/>
              <w:rPr>
                <w:rFonts w:hAnsi="Calibri"/>
                <w:color w:val="auto"/>
                <w:sz w:val="21"/>
                <w:szCs w:val="21"/>
              </w:rPr>
            </w:pPr>
            <w:r>
              <w:rPr>
                <w:rFonts w:hAnsi="Calibri"/>
                <w:color w:val="auto"/>
                <w:sz w:val="21"/>
                <w:szCs w:val="21"/>
              </w:rPr>
              <w:t>8</w:t>
            </w:r>
          </w:p>
        </w:tc>
        <w:tc>
          <w:tcPr>
            <w:tcW w:w="927" w:type="dxa"/>
            <w:vAlign w:val="center"/>
          </w:tcPr>
          <w:p w14:paraId="30FDF741">
            <w:pPr>
              <w:spacing w:line="240" w:lineRule="auto"/>
              <w:jc w:val="center"/>
              <w:rPr>
                <w:rFonts w:hAnsi="Calibri"/>
                <w:color w:val="auto"/>
                <w:sz w:val="21"/>
                <w:szCs w:val="21"/>
              </w:rPr>
            </w:pPr>
          </w:p>
        </w:tc>
      </w:tr>
      <w:tr w14:paraId="5F90C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673" w:type="dxa"/>
            <w:vAlign w:val="center"/>
          </w:tcPr>
          <w:p w14:paraId="450F3524">
            <w:pPr>
              <w:spacing w:line="240" w:lineRule="auto"/>
              <w:jc w:val="center"/>
              <w:rPr>
                <w:rFonts w:hAnsi="Calibri"/>
                <w:color w:val="auto"/>
                <w:sz w:val="21"/>
                <w:szCs w:val="21"/>
              </w:rPr>
            </w:pPr>
            <w:r>
              <w:rPr>
                <w:rFonts w:hint="eastAsia" w:hAnsi="Calibri"/>
                <w:color w:val="auto"/>
                <w:sz w:val="21"/>
                <w:szCs w:val="21"/>
              </w:rPr>
              <w:t>3</w:t>
            </w:r>
          </w:p>
        </w:tc>
        <w:tc>
          <w:tcPr>
            <w:tcW w:w="3619" w:type="dxa"/>
            <w:vAlign w:val="center"/>
          </w:tcPr>
          <w:p w14:paraId="1BC3B648">
            <w:pPr>
              <w:spacing w:line="240" w:lineRule="auto"/>
              <w:jc w:val="center"/>
              <w:rPr>
                <w:rFonts w:hAnsi="Calibri"/>
                <w:color w:val="auto"/>
                <w:sz w:val="21"/>
                <w:szCs w:val="21"/>
              </w:rPr>
            </w:pPr>
            <w:r>
              <w:rPr>
                <w:rFonts w:hint="eastAsia" w:hAnsi="Calibri"/>
                <w:color w:val="auto"/>
                <w:sz w:val="21"/>
                <w:szCs w:val="21"/>
              </w:rPr>
              <w:t>云南祥丰石化有限公司公用工程管廊</w:t>
            </w:r>
          </w:p>
        </w:tc>
        <w:tc>
          <w:tcPr>
            <w:tcW w:w="1565" w:type="dxa"/>
            <w:vAlign w:val="center"/>
          </w:tcPr>
          <w:p w14:paraId="0541C224">
            <w:pPr>
              <w:spacing w:line="240" w:lineRule="auto"/>
              <w:jc w:val="center"/>
              <w:rPr>
                <w:rFonts w:hAnsi="Calibri"/>
                <w:color w:val="auto"/>
                <w:sz w:val="21"/>
                <w:szCs w:val="21"/>
              </w:rPr>
            </w:pPr>
            <w:r>
              <w:rPr>
                <w:rFonts w:hint="eastAsia" w:hAnsi="Calibri"/>
                <w:color w:val="auto"/>
                <w:sz w:val="21"/>
                <w:szCs w:val="21"/>
              </w:rPr>
              <w:t>东</w:t>
            </w:r>
          </w:p>
        </w:tc>
        <w:tc>
          <w:tcPr>
            <w:tcW w:w="2369" w:type="dxa"/>
            <w:vAlign w:val="center"/>
          </w:tcPr>
          <w:p w14:paraId="0455F5BB">
            <w:pPr>
              <w:spacing w:line="240" w:lineRule="auto"/>
              <w:jc w:val="center"/>
              <w:rPr>
                <w:rFonts w:hAnsi="Calibri"/>
                <w:color w:val="auto"/>
                <w:sz w:val="21"/>
                <w:szCs w:val="21"/>
              </w:rPr>
            </w:pPr>
            <w:r>
              <w:rPr>
                <w:rFonts w:hint="eastAsia" w:hAnsi="Calibri"/>
                <w:color w:val="auto"/>
                <w:sz w:val="21"/>
                <w:szCs w:val="21"/>
              </w:rPr>
              <w:t>2</w:t>
            </w:r>
            <w:r>
              <w:rPr>
                <w:rFonts w:hAnsi="Calibri"/>
                <w:color w:val="auto"/>
                <w:sz w:val="21"/>
                <w:szCs w:val="21"/>
              </w:rPr>
              <w:t>.8</w:t>
            </w:r>
          </w:p>
        </w:tc>
        <w:tc>
          <w:tcPr>
            <w:tcW w:w="927" w:type="dxa"/>
            <w:vAlign w:val="center"/>
          </w:tcPr>
          <w:p w14:paraId="15B21FDD">
            <w:pPr>
              <w:spacing w:line="240" w:lineRule="auto"/>
              <w:jc w:val="center"/>
              <w:rPr>
                <w:rFonts w:hAnsi="Calibri"/>
                <w:color w:val="auto"/>
                <w:sz w:val="21"/>
                <w:szCs w:val="21"/>
              </w:rPr>
            </w:pPr>
          </w:p>
        </w:tc>
      </w:tr>
    </w:tbl>
    <w:p w14:paraId="79112E7A">
      <w:pPr>
        <w:pStyle w:val="5"/>
        <w:numPr>
          <w:ilvl w:val="2"/>
          <w:numId w:val="1"/>
        </w:numPr>
        <w:adjustRightInd w:val="0"/>
        <w:spacing w:before="120" w:after="120"/>
        <w:jc w:val="both"/>
        <w:rPr>
          <w:rFonts w:hint="eastAsia" w:ascii="Times New Roman" w:hAnsi="Times New Roman" w:eastAsia="黑体" w:cs="Times New Roman"/>
          <w:snapToGrid w:val="0"/>
          <w:color w:val="000000"/>
          <w:kern w:val="0"/>
          <w:sz w:val="32"/>
        </w:rPr>
      </w:pPr>
      <w:bookmarkStart w:id="159" w:name="_Toc30035"/>
      <w:r>
        <w:rPr>
          <w:rFonts w:hint="default" w:ascii="Times New Roman" w:hAnsi="Times New Roman" w:eastAsia="黑体" w:cs="Times New Roman"/>
          <w:snapToGrid w:val="0"/>
          <w:color w:val="000000"/>
          <w:kern w:val="0"/>
          <w:sz w:val="32"/>
        </w:rPr>
        <w:t>建设项目涉及的主要原辅料、产品</w:t>
      </w:r>
      <w:bookmarkEnd w:id="159"/>
    </w:p>
    <w:p w14:paraId="01575164">
      <w:pPr>
        <w:ind w:firstLine="480"/>
        <w:rPr>
          <w:rFonts w:hint="eastAsia" w:cs="宋体" w:asciiTheme="minorEastAsia" w:hAnsiTheme="minorEastAsia" w:eastAsiaTheme="minorEastAsia"/>
          <w:bCs/>
          <w:color w:val="auto"/>
          <w:szCs w:val="28"/>
          <w:highlight w:val="none"/>
        </w:rPr>
      </w:pPr>
      <w:r>
        <w:rPr>
          <w:rFonts w:hint="eastAsia" w:cs="宋体" w:asciiTheme="minorEastAsia" w:hAnsiTheme="minorEastAsia" w:eastAsiaTheme="minorEastAsia"/>
          <w:bCs/>
          <w:color w:val="auto"/>
          <w:szCs w:val="28"/>
          <w:highlight w:val="none"/>
        </w:rPr>
        <w:t>本项目本身不涉及原辅材料和产品。外管廊主要输送介质包含中压蒸汽（1根）、生活水（1根）、工艺水（1根）、脱盐水（1根）、消防水（2根）、氟硅酸（2根）、浓硫酸（1根）、再浆水（1根）、稀硫酸（2根）、渣浆水（1根）、过滤机洗水（1根）等。</w:t>
      </w:r>
    </w:p>
    <w:p w14:paraId="30D0F913">
      <w:pPr>
        <w:ind w:firstLine="480"/>
        <w:rPr>
          <w:rFonts w:hint="eastAsia" w:cs="宋体" w:asciiTheme="minorEastAsia" w:hAnsiTheme="minorEastAsia" w:eastAsiaTheme="minorEastAsia"/>
          <w:bCs/>
          <w:color w:val="auto"/>
          <w:szCs w:val="28"/>
          <w:highlight w:val="none"/>
        </w:rPr>
      </w:pPr>
      <w:r>
        <w:rPr>
          <w:rFonts w:hint="eastAsia" w:cs="宋体" w:asciiTheme="minorEastAsia" w:hAnsiTheme="minorEastAsia" w:eastAsiaTheme="minorEastAsia"/>
          <w:bCs/>
          <w:color w:val="auto"/>
          <w:szCs w:val="28"/>
          <w:highlight w:val="none"/>
        </w:rPr>
        <w:t>相关输送规模详见下表：</w:t>
      </w:r>
    </w:p>
    <w:p w14:paraId="45992BBD">
      <w:pPr>
        <w:ind w:firstLine="482" w:firstLineChars="200"/>
        <w:jc w:val="center"/>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lang w:val="en-US" w:eastAsia="zh-CN"/>
        </w:rPr>
        <w:t>表2.2-6</w:t>
      </w:r>
      <w:r>
        <w:rPr>
          <w:rFonts w:hint="eastAsia" w:ascii="宋体" w:hAnsi="宋体" w:eastAsia="宋体" w:cs="宋体"/>
          <w:b/>
          <w:bCs w:val="0"/>
          <w:color w:val="auto"/>
          <w:sz w:val="24"/>
          <w:szCs w:val="24"/>
        </w:rPr>
        <w:t>输送量统计表</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2098"/>
        <w:gridCol w:w="2146"/>
        <w:gridCol w:w="2032"/>
        <w:gridCol w:w="2032"/>
      </w:tblGrid>
      <w:tr w14:paraId="19A2F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14:paraId="6CAF7A4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rPr>
            </w:pPr>
            <w:r>
              <w:rPr>
                <w:rFonts w:hint="eastAsia"/>
                <w:highlight w:val="none"/>
                <w:lang w:bidi="ar"/>
              </w:rPr>
              <w:t>序号</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5306B93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rPr>
            </w:pPr>
            <w:r>
              <w:rPr>
                <w:rFonts w:hint="eastAsia"/>
                <w:highlight w:val="none"/>
                <w:lang w:bidi="ar"/>
              </w:rPr>
              <w:t>输送物料名称</w:t>
            </w:r>
          </w:p>
        </w:tc>
        <w:tc>
          <w:tcPr>
            <w:tcW w:w="2094" w:type="dxa"/>
            <w:tcBorders>
              <w:top w:val="single" w:color="auto" w:sz="4" w:space="0"/>
              <w:left w:val="single" w:color="auto" w:sz="4" w:space="0"/>
              <w:bottom w:val="single" w:color="auto" w:sz="4" w:space="0"/>
              <w:right w:val="single" w:color="auto" w:sz="4" w:space="0"/>
            </w:tcBorders>
            <w:shd w:val="clear" w:color="auto" w:fill="auto"/>
            <w:vAlign w:val="center"/>
          </w:tcPr>
          <w:p w14:paraId="6B94845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rPr>
            </w:pPr>
            <w:r>
              <w:rPr>
                <w:rFonts w:hint="eastAsia"/>
                <w:highlight w:val="none"/>
                <w:lang w:bidi="ar"/>
              </w:rPr>
              <w:t>输送量</w:t>
            </w:r>
          </w:p>
        </w:tc>
        <w:tc>
          <w:tcPr>
            <w:tcW w:w="1983" w:type="dxa"/>
            <w:tcBorders>
              <w:top w:val="single" w:color="auto" w:sz="4" w:space="0"/>
              <w:left w:val="single" w:color="auto" w:sz="4" w:space="0"/>
              <w:bottom w:val="single" w:color="auto" w:sz="4" w:space="0"/>
              <w:right w:val="single" w:color="auto" w:sz="4" w:space="0"/>
            </w:tcBorders>
            <w:vAlign w:val="center"/>
          </w:tcPr>
          <w:p w14:paraId="3B47DB7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lang w:bidi="ar"/>
              </w:rPr>
            </w:pPr>
            <w:r>
              <w:rPr>
                <w:rFonts w:hint="eastAsia"/>
                <w:highlight w:val="none"/>
                <w:lang w:bidi="ar"/>
              </w:rPr>
              <w:t>设计流量</w:t>
            </w:r>
          </w:p>
        </w:tc>
        <w:tc>
          <w:tcPr>
            <w:tcW w:w="1983" w:type="dxa"/>
            <w:tcBorders>
              <w:top w:val="single" w:color="auto" w:sz="4" w:space="0"/>
              <w:left w:val="single" w:color="auto" w:sz="4" w:space="0"/>
              <w:bottom w:val="single" w:color="auto" w:sz="4" w:space="0"/>
              <w:right w:val="single" w:color="auto" w:sz="4" w:space="0"/>
            </w:tcBorders>
            <w:vAlign w:val="center"/>
          </w:tcPr>
          <w:p w14:paraId="39A6714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lang w:bidi="ar"/>
              </w:rPr>
            </w:pPr>
            <w:r>
              <w:rPr>
                <w:rFonts w:hint="eastAsia"/>
                <w:highlight w:val="none"/>
                <w:lang w:bidi="ar"/>
              </w:rPr>
              <w:t>管道长度（m）</w:t>
            </w:r>
          </w:p>
        </w:tc>
      </w:tr>
      <w:tr w14:paraId="4DA66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14:paraId="5FB607D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rPr>
            </w:pPr>
            <w:r>
              <w:rPr>
                <w:rFonts w:hint="eastAsia"/>
                <w:highlight w:val="none"/>
                <w:lang w:bidi="ar"/>
              </w:rPr>
              <w:t>1</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44B8D2D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lang w:bidi="ar"/>
              </w:rPr>
            </w:pPr>
            <w:r>
              <w:rPr>
                <w:rFonts w:hint="eastAsia"/>
                <w:highlight w:val="none"/>
                <w:lang w:bidi="ar"/>
              </w:rPr>
              <w:t>氟硅酸</w:t>
            </w:r>
          </w:p>
          <w:p w14:paraId="79C450A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rPr>
            </w:pPr>
            <w:r>
              <w:rPr>
                <w:rFonts w:hint="eastAsia"/>
                <w:highlight w:val="none"/>
              </w:rPr>
              <w:t>（浓度 18%wt）</w:t>
            </w:r>
          </w:p>
        </w:tc>
        <w:tc>
          <w:tcPr>
            <w:tcW w:w="2094" w:type="dxa"/>
            <w:tcBorders>
              <w:top w:val="single" w:color="auto" w:sz="4" w:space="0"/>
              <w:left w:val="single" w:color="auto" w:sz="4" w:space="0"/>
              <w:bottom w:val="single" w:color="auto" w:sz="4" w:space="0"/>
              <w:right w:val="single" w:color="auto" w:sz="4" w:space="0"/>
            </w:tcBorders>
            <w:shd w:val="clear" w:color="auto" w:fill="auto"/>
            <w:vAlign w:val="center"/>
          </w:tcPr>
          <w:p w14:paraId="310F71E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rPr>
            </w:pPr>
            <w:r>
              <w:rPr>
                <w:rFonts w:hint="eastAsia"/>
                <w:highlight w:val="none"/>
                <w:lang w:bidi="ar"/>
              </w:rPr>
              <w:t>28m</w:t>
            </w:r>
            <w:r>
              <w:rPr>
                <w:rFonts w:hint="eastAsia"/>
                <w:highlight w:val="none"/>
                <w:vertAlign w:val="superscript"/>
                <w:lang w:bidi="ar"/>
              </w:rPr>
              <w:t>3</w:t>
            </w:r>
            <w:r>
              <w:rPr>
                <w:rFonts w:hint="eastAsia"/>
                <w:highlight w:val="none"/>
                <w:lang w:bidi="ar"/>
              </w:rPr>
              <w:t>/h</w:t>
            </w:r>
          </w:p>
        </w:tc>
        <w:tc>
          <w:tcPr>
            <w:tcW w:w="1983" w:type="dxa"/>
            <w:tcBorders>
              <w:top w:val="single" w:color="auto" w:sz="4" w:space="0"/>
              <w:left w:val="single" w:color="auto" w:sz="4" w:space="0"/>
              <w:bottom w:val="single" w:color="auto" w:sz="4" w:space="0"/>
              <w:right w:val="single" w:color="auto" w:sz="4" w:space="0"/>
            </w:tcBorders>
            <w:vAlign w:val="center"/>
          </w:tcPr>
          <w:p w14:paraId="1C79D52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rPr>
            </w:pPr>
            <w:r>
              <w:rPr>
                <w:rFonts w:hint="eastAsia"/>
                <w:highlight w:val="none"/>
                <w:lang w:bidi="ar"/>
              </w:rPr>
              <w:t>50m</w:t>
            </w:r>
            <w:r>
              <w:rPr>
                <w:rFonts w:hint="eastAsia"/>
                <w:highlight w:val="none"/>
                <w:vertAlign w:val="superscript"/>
                <w:lang w:bidi="ar"/>
              </w:rPr>
              <w:t>3</w:t>
            </w:r>
            <w:r>
              <w:rPr>
                <w:rFonts w:hint="eastAsia"/>
                <w:highlight w:val="none"/>
                <w:lang w:bidi="ar"/>
              </w:rPr>
              <w:t>/h</w:t>
            </w:r>
          </w:p>
        </w:tc>
        <w:tc>
          <w:tcPr>
            <w:tcW w:w="1983" w:type="dxa"/>
            <w:tcBorders>
              <w:top w:val="single" w:color="auto" w:sz="4" w:space="0"/>
              <w:left w:val="single" w:color="auto" w:sz="4" w:space="0"/>
              <w:bottom w:val="single" w:color="auto" w:sz="4" w:space="0"/>
              <w:right w:val="single" w:color="auto" w:sz="4" w:space="0"/>
            </w:tcBorders>
            <w:vAlign w:val="center"/>
          </w:tcPr>
          <w:p w14:paraId="49253A2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lang w:bidi="ar"/>
              </w:rPr>
            </w:pPr>
            <w:r>
              <w:rPr>
                <w:rFonts w:hint="eastAsia"/>
                <w:highlight w:val="none"/>
                <w:lang w:bidi="ar"/>
              </w:rPr>
              <w:t>约3</w:t>
            </w:r>
            <w:r>
              <w:rPr>
                <w:highlight w:val="none"/>
                <w:lang w:bidi="ar"/>
              </w:rPr>
              <w:t>000</w:t>
            </w:r>
            <w:r>
              <w:rPr>
                <w:rFonts w:hint="eastAsia"/>
                <w:highlight w:val="none"/>
                <w:lang w:bidi="ar"/>
              </w:rPr>
              <w:t>x</w:t>
            </w:r>
            <w:r>
              <w:rPr>
                <w:highlight w:val="none"/>
                <w:lang w:bidi="ar"/>
              </w:rPr>
              <w:t>2</w:t>
            </w:r>
          </w:p>
        </w:tc>
      </w:tr>
      <w:tr w14:paraId="0AA1B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14:paraId="1AB0E2B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rPr>
            </w:pPr>
            <w:r>
              <w:rPr>
                <w:highlight w:val="none"/>
                <w:lang w:bidi="ar"/>
              </w:rPr>
              <w:t>2</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4D3594A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lang w:bidi="ar"/>
              </w:rPr>
            </w:pPr>
            <w:r>
              <w:rPr>
                <w:rFonts w:hint="eastAsia"/>
                <w:highlight w:val="none"/>
                <w:lang w:bidi="ar"/>
              </w:rPr>
              <w:t>浓硫酸</w:t>
            </w:r>
          </w:p>
          <w:p w14:paraId="643F69E5">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rPr>
            </w:pPr>
            <w:r>
              <w:rPr>
                <w:rFonts w:hint="eastAsia"/>
                <w:highlight w:val="none"/>
              </w:rPr>
              <w:t>（浓度98%</w:t>
            </w:r>
            <w:r>
              <w:rPr>
                <w:highlight w:val="none"/>
              </w:rPr>
              <w:t xml:space="preserve"> wt</w:t>
            </w:r>
            <w:r>
              <w:rPr>
                <w:rFonts w:hint="eastAsia"/>
                <w:highlight w:val="none"/>
              </w:rPr>
              <w:t>）</w:t>
            </w:r>
          </w:p>
        </w:tc>
        <w:tc>
          <w:tcPr>
            <w:tcW w:w="2094" w:type="dxa"/>
            <w:tcBorders>
              <w:top w:val="single" w:color="auto" w:sz="4" w:space="0"/>
              <w:left w:val="single" w:color="auto" w:sz="4" w:space="0"/>
              <w:bottom w:val="single" w:color="auto" w:sz="4" w:space="0"/>
              <w:right w:val="single" w:color="auto" w:sz="4" w:space="0"/>
            </w:tcBorders>
            <w:shd w:val="clear" w:color="auto" w:fill="auto"/>
            <w:vAlign w:val="center"/>
          </w:tcPr>
          <w:p w14:paraId="7D8D4C2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rPr>
            </w:pPr>
            <w:r>
              <w:rPr>
                <w:rFonts w:hint="eastAsia"/>
                <w:highlight w:val="none"/>
                <w:lang w:bidi="ar"/>
              </w:rPr>
              <w:t>67m</w:t>
            </w:r>
            <w:r>
              <w:rPr>
                <w:rFonts w:hint="eastAsia"/>
                <w:highlight w:val="none"/>
                <w:vertAlign w:val="superscript"/>
                <w:lang w:bidi="ar"/>
              </w:rPr>
              <w:t>3</w:t>
            </w:r>
            <w:r>
              <w:rPr>
                <w:rFonts w:hint="eastAsia"/>
                <w:highlight w:val="none"/>
                <w:lang w:bidi="ar"/>
              </w:rPr>
              <w:t>/h</w:t>
            </w:r>
          </w:p>
        </w:tc>
        <w:tc>
          <w:tcPr>
            <w:tcW w:w="1983" w:type="dxa"/>
            <w:tcBorders>
              <w:top w:val="single" w:color="auto" w:sz="4" w:space="0"/>
              <w:left w:val="single" w:color="auto" w:sz="4" w:space="0"/>
              <w:bottom w:val="single" w:color="auto" w:sz="4" w:space="0"/>
              <w:right w:val="single" w:color="auto" w:sz="4" w:space="0"/>
            </w:tcBorders>
            <w:vAlign w:val="center"/>
          </w:tcPr>
          <w:p w14:paraId="6B6ADC0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rPr>
            </w:pPr>
            <w:r>
              <w:rPr>
                <w:rFonts w:hint="eastAsia"/>
                <w:highlight w:val="none"/>
                <w:lang w:bidi="ar"/>
              </w:rPr>
              <w:t>100m</w:t>
            </w:r>
            <w:r>
              <w:rPr>
                <w:rFonts w:hint="eastAsia"/>
                <w:highlight w:val="none"/>
                <w:vertAlign w:val="superscript"/>
                <w:lang w:bidi="ar"/>
              </w:rPr>
              <w:t>3</w:t>
            </w:r>
            <w:r>
              <w:rPr>
                <w:rFonts w:hint="eastAsia"/>
                <w:highlight w:val="none"/>
                <w:lang w:bidi="ar"/>
              </w:rPr>
              <w:t>/h</w:t>
            </w:r>
          </w:p>
        </w:tc>
        <w:tc>
          <w:tcPr>
            <w:tcW w:w="1983" w:type="dxa"/>
            <w:tcBorders>
              <w:top w:val="single" w:color="auto" w:sz="4" w:space="0"/>
              <w:left w:val="single" w:color="auto" w:sz="4" w:space="0"/>
              <w:bottom w:val="single" w:color="auto" w:sz="4" w:space="0"/>
              <w:right w:val="single" w:color="auto" w:sz="4" w:space="0"/>
            </w:tcBorders>
            <w:vAlign w:val="center"/>
          </w:tcPr>
          <w:p w14:paraId="622EC57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lang w:bidi="ar"/>
              </w:rPr>
            </w:pPr>
            <w:r>
              <w:rPr>
                <w:rFonts w:hint="eastAsia"/>
                <w:highlight w:val="none"/>
                <w:lang w:bidi="ar"/>
              </w:rPr>
              <w:t>约3000</w:t>
            </w:r>
          </w:p>
        </w:tc>
      </w:tr>
      <w:tr w14:paraId="77988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14:paraId="20F1BD1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rPr>
            </w:pPr>
            <w:r>
              <w:rPr>
                <w:highlight w:val="none"/>
                <w:lang w:bidi="ar"/>
              </w:rPr>
              <w:t>3</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306CFFD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rPr>
            </w:pPr>
            <w:r>
              <w:rPr>
                <w:rFonts w:hint="eastAsia"/>
                <w:highlight w:val="none"/>
                <w:lang w:bidi="ar"/>
              </w:rPr>
              <w:t>再浆水</w:t>
            </w:r>
          </w:p>
        </w:tc>
        <w:tc>
          <w:tcPr>
            <w:tcW w:w="2094" w:type="dxa"/>
            <w:tcBorders>
              <w:top w:val="single" w:color="auto" w:sz="4" w:space="0"/>
              <w:left w:val="single" w:color="auto" w:sz="4" w:space="0"/>
              <w:bottom w:val="single" w:color="auto" w:sz="4" w:space="0"/>
              <w:right w:val="single" w:color="auto" w:sz="4" w:space="0"/>
            </w:tcBorders>
            <w:shd w:val="clear" w:color="auto" w:fill="auto"/>
            <w:vAlign w:val="center"/>
          </w:tcPr>
          <w:p w14:paraId="43472DB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rPr>
            </w:pPr>
            <w:r>
              <w:rPr>
                <w:rFonts w:hint="eastAsia"/>
                <w:highlight w:val="none"/>
                <w:lang w:bidi="ar"/>
              </w:rPr>
              <w:t>10m</w:t>
            </w:r>
            <w:r>
              <w:rPr>
                <w:rFonts w:hint="eastAsia"/>
                <w:highlight w:val="none"/>
                <w:vertAlign w:val="superscript"/>
                <w:lang w:bidi="ar"/>
              </w:rPr>
              <w:t>3</w:t>
            </w:r>
            <w:r>
              <w:rPr>
                <w:rFonts w:hint="eastAsia"/>
                <w:highlight w:val="none"/>
                <w:lang w:bidi="ar"/>
              </w:rPr>
              <w:t>/h</w:t>
            </w:r>
          </w:p>
        </w:tc>
        <w:tc>
          <w:tcPr>
            <w:tcW w:w="1983" w:type="dxa"/>
            <w:tcBorders>
              <w:top w:val="single" w:color="auto" w:sz="4" w:space="0"/>
              <w:left w:val="single" w:color="auto" w:sz="4" w:space="0"/>
              <w:bottom w:val="single" w:color="auto" w:sz="4" w:space="0"/>
              <w:right w:val="single" w:color="auto" w:sz="4" w:space="0"/>
            </w:tcBorders>
            <w:vAlign w:val="center"/>
          </w:tcPr>
          <w:p w14:paraId="0ADA272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rPr>
            </w:pPr>
            <w:r>
              <w:rPr>
                <w:rFonts w:hint="eastAsia"/>
                <w:highlight w:val="none"/>
                <w:lang w:bidi="ar"/>
              </w:rPr>
              <w:t>31m</w:t>
            </w:r>
            <w:r>
              <w:rPr>
                <w:rFonts w:hint="eastAsia"/>
                <w:highlight w:val="none"/>
                <w:vertAlign w:val="superscript"/>
                <w:lang w:bidi="ar"/>
              </w:rPr>
              <w:t>3</w:t>
            </w:r>
            <w:r>
              <w:rPr>
                <w:rFonts w:hint="eastAsia"/>
                <w:highlight w:val="none"/>
                <w:lang w:bidi="ar"/>
              </w:rPr>
              <w:t>/h</w:t>
            </w:r>
          </w:p>
        </w:tc>
        <w:tc>
          <w:tcPr>
            <w:tcW w:w="1983" w:type="dxa"/>
            <w:tcBorders>
              <w:top w:val="single" w:color="auto" w:sz="4" w:space="0"/>
              <w:left w:val="single" w:color="auto" w:sz="4" w:space="0"/>
              <w:bottom w:val="single" w:color="auto" w:sz="4" w:space="0"/>
              <w:right w:val="single" w:color="auto" w:sz="4" w:space="0"/>
            </w:tcBorders>
            <w:vAlign w:val="center"/>
          </w:tcPr>
          <w:p w14:paraId="2A39943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lang w:bidi="ar"/>
              </w:rPr>
            </w:pPr>
            <w:r>
              <w:rPr>
                <w:rFonts w:hint="eastAsia"/>
                <w:highlight w:val="none"/>
                <w:lang w:bidi="ar"/>
              </w:rPr>
              <w:t>约2200</w:t>
            </w:r>
          </w:p>
        </w:tc>
      </w:tr>
      <w:tr w14:paraId="76280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14:paraId="61BAF81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rPr>
            </w:pPr>
            <w:r>
              <w:rPr>
                <w:rFonts w:hint="eastAsia"/>
                <w:highlight w:val="none"/>
                <w:lang w:bidi="ar"/>
              </w:rPr>
              <w:t>4</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695C7EE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rPr>
            </w:pPr>
            <w:r>
              <w:rPr>
                <w:rFonts w:hint="eastAsia"/>
                <w:highlight w:val="none"/>
                <w:lang w:bidi="ar"/>
              </w:rPr>
              <w:t>脱盐水</w:t>
            </w:r>
          </w:p>
        </w:tc>
        <w:tc>
          <w:tcPr>
            <w:tcW w:w="2094" w:type="dxa"/>
            <w:tcBorders>
              <w:top w:val="single" w:color="auto" w:sz="4" w:space="0"/>
              <w:left w:val="single" w:color="auto" w:sz="4" w:space="0"/>
              <w:bottom w:val="single" w:color="auto" w:sz="4" w:space="0"/>
              <w:right w:val="single" w:color="auto" w:sz="4" w:space="0"/>
            </w:tcBorders>
            <w:shd w:val="clear" w:color="auto" w:fill="auto"/>
            <w:vAlign w:val="center"/>
          </w:tcPr>
          <w:p w14:paraId="116B2CB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rPr>
            </w:pPr>
            <w:r>
              <w:rPr>
                <w:rFonts w:hint="eastAsia"/>
                <w:highlight w:val="none"/>
                <w:lang w:bidi="ar"/>
              </w:rPr>
              <w:t>0.3t/h</w:t>
            </w:r>
          </w:p>
        </w:tc>
        <w:tc>
          <w:tcPr>
            <w:tcW w:w="1983" w:type="dxa"/>
            <w:tcBorders>
              <w:top w:val="single" w:color="auto" w:sz="4" w:space="0"/>
              <w:left w:val="single" w:color="auto" w:sz="4" w:space="0"/>
              <w:bottom w:val="single" w:color="auto" w:sz="4" w:space="0"/>
              <w:right w:val="single" w:color="auto" w:sz="4" w:space="0"/>
            </w:tcBorders>
            <w:vAlign w:val="center"/>
          </w:tcPr>
          <w:p w14:paraId="1A0F777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rPr>
            </w:pPr>
            <w:r>
              <w:rPr>
                <w:rFonts w:hint="eastAsia"/>
                <w:highlight w:val="none"/>
                <w:lang w:bidi="ar"/>
              </w:rPr>
              <w:t>2t/h</w:t>
            </w:r>
          </w:p>
        </w:tc>
        <w:tc>
          <w:tcPr>
            <w:tcW w:w="1983" w:type="dxa"/>
            <w:tcBorders>
              <w:top w:val="single" w:color="auto" w:sz="4" w:space="0"/>
              <w:left w:val="single" w:color="auto" w:sz="4" w:space="0"/>
              <w:bottom w:val="single" w:color="auto" w:sz="4" w:space="0"/>
              <w:right w:val="single" w:color="auto" w:sz="4" w:space="0"/>
            </w:tcBorders>
            <w:vAlign w:val="center"/>
          </w:tcPr>
          <w:p w14:paraId="39AB72F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lang w:bidi="ar"/>
              </w:rPr>
            </w:pPr>
            <w:r>
              <w:rPr>
                <w:rFonts w:hint="eastAsia"/>
                <w:highlight w:val="none"/>
                <w:lang w:bidi="ar"/>
              </w:rPr>
              <w:t>约600</w:t>
            </w:r>
          </w:p>
        </w:tc>
      </w:tr>
      <w:tr w14:paraId="7B53D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14:paraId="02019E7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rPr>
            </w:pPr>
            <w:r>
              <w:rPr>
                <w:rFonts w:hint="eastAsia"/>
                <w:highlight w:val="none"/>
                <w:lang w:bidi="ar"/>
              </w:rPr>
              <w:t>5</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60AC093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rPr>
            </w:pPr>
            <w:r>
              <w:rPr>
                <w:rFonts w:hint="eastAsia"/>
                <w:highlight w:val="none"/>
                <w:lang w:bidi="ar"/>
              </w:rPr>
              <w:t>饱和蒸汽</w:t>
            </w:r>
          </w:p>
        </w:tc>
        <w:tc>
          <w:tcPr>
            <w:tcW w:w="2094" w:type="dxa"/>
            <w:tcBorders>
              <w:top w:val="single" w:color="auto" w:sz="4" w:space="0"/>
              <w:left w:val="single" w:color="auto" w:sz="4" w:space="0"/>
              <w:bottom w:val="single" w:color="auto" w:sz="4" w:space="0"/>
              <w:right w:val="single" w:color="auto" w:sz="4" w:space="0"/>
            </w:tcBorders>
            <w:shd w:val="clear" w:color="auto" w:fill="auto"/>
            <w:vAlign w:val="center"/>
          </w:tcPr>
          <w:p w14:paraId="319AF1E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rPr>
            </w:pPr>
            <w:r>
              <w:rPr>
                <w:rFonts w:hint="eastAsia"/>
                <w:highlight w:val="none"/>
                <w:lang w:bidi="ar"/>
              </w:rPr>
              <w:t>18t/h</w:t>
            </w:r>
          </w:p>
        </w:tc>
        <w:tc>
          <w:tcPr>
            <w:tcW w:w="1983" w:type="dxa"/>
            <w:tcBorders>
              <w:top w:val="single" w:color="auto" w:sz="4" w:space="0"/>
              <w:left w:val="single" w:color="auto" w:sz="4" w:space="0"/>
              <w:bottom w:val="single" w:color="auto" w:sz="4" w:space="0"/>
              <w:right w:val="single" w:color="auto" w:sz="4" w:space="0"/>
            </w:tcBorders>
            <w:vAlign w:val="center"/>
          </w:tcPr>
          <w:p w14:paraId="1D3EC93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rPr>
            </w:pPr>
            <w:r>
              <w:rPr>
                <w:rFonts w:hint="eastAsia"/>
                <w:highlight w:val="none"/>
                <w:lang w:bidi="ar"/>
              </w:rPr>
              <w:t>23.1t/h</w:t>
            </w:r>
          </w:p>
        </w:tc>
        <w:tc>
          <w:tcPr>
            <w:tcW w:w="1983" w:type="dxa"/>
            <w:tcBorders>
              <w:top w:val="single" w:color="auto" w:sz="4" w:space="0"/>
              <w:left w:val="single" w:color="auto" w:sz="4" w:space="0"/>
              <w:bottom w:val="single" w:color="auto" w:sz="4" w:space="0"/>
              <w:right w:val="single" w:color="auto" w:sz="4" w:space="0"/>
            </w:tcBorders>
            <w:vAlign w:val="center"/>
          </w:tcPr>
          <w:p w14:paraId="48D540E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lang w:bidi="ar"/>
              </w:rPr>
            </w:pPr>
            <w:r>
              <w:rPr>
                <w:rFonts w:hint="eastAsia"/>
                <w:highlight w:val="none"/>
                <w:lang w:bidi="ar"/>
              </w:rPr>
              <w:t>约1900</w:t>
            </w:r>
          </w:p>
        </w:tc>
      </w:tr>
      <w:tr w14:paraId="126BA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14:paraId="4D5C84F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rPr>
            </w:pPr>
            <w:r>
              <w:rPr>
                <w:rFonts w:hint="eastAsia"/>
                <w:highlight w:val="none"/>
                <w:lang w:bidi="ar"/>
              </w:rPr>
              <w:t>6</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15ED5A2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rPr>
            </w:pPr>
            <w:r>
              <w:rPr>
                <w:rFonts w:hint="eastAsia"/>
                <w:highlight w:val="none"/>
                <w:lang w:bidi="ar"/>
              </w:rPr>
              <w:t>工艺水</w:t>
            </w:r>
          </w:p>
        </w:tc>
        <w:tc>
          <w:tcPr>
            <w:tcW w:w="2094" w:type="dxa"/>
            <w:tcBorders>
              <w:top w:val="single" w:color="auto" w:sz="4" w:space="0"/>
              <w:left w:val="single" w:color="auto" w:sz="4" w:space="0"/>
              <w:bottom w:val="single" w:color="auto" w:sz="4" w:space="0"/>
              <w:right w:val="single" w:color="auto" w:sz="4" w:space="0"/>
            </w:tcBorders>
            <w:shd w:val="clear" w:color="auto" w:fill="auto"/>
            <w:vAlign w:val="center"/>
          </w:tcPr>
          <w:p w14:paraId="35AC471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rPr>
            </w:pPr>
            <w:r>
              <w:rPr>
                <w:rFonts w:hint="eastAsia"/>
                <w:highlight w:val="none"/>
                <w:lang w:bidi="ar"/>
              </w:rPr>
              <w:t>17m</w:t>
            </w:r>
            <w:r>
              <w:rPr>
                <w:rFonts w:hint="eastAsia"/>
                <w:highlight w:val="none"/>
                <w:vertAlign w:val="superscript"/>
                <w:lang w:bidi="ar"/>
              </w:rPr>
              <w:t>3</w:t>
            </w:r>
            <w:r>
              <w:rPr>
                <w:rFonts w:hint="eastAsia"/>
                <w:highlight w:val="none"/>
                <w:lang w:bidi="ar"/>
              </w:rPr>
              <w:t>/h</w:t>
            </w:r>
          </w:p>
        </w:tc>
        <w:tc>
          <w:tcPr>
            <w:tcW w:w="1983" w:type="dxa"/>
            <w:tcBorders>
              <w:top w:val="single" w:color="auto" w:sz="4" w:space="0"/>
              <w:left w:val="single" w:color="auto" w:sz="4" w:space="0"/>
              <w:bottom w:val="single" w:color="auto" w:sz="4" w:space="0"/>
              <w:right w:val="single" w:color="auto" w:sz="4" w:space="0"/>
            </w:tcBorders>
            <w:vAlign w:val="center"/>
          </w:tcPr>
          <w:p w14:paraId="60537B5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rPr>
            </w:pPr>
            <w:r>
              <w:rPr>
                <w:rFonts w:hint="eastAsia"/>
                <w:highlight w:val="none"/>
                <w:lang w:bidi="ar"/>
              </w:rPr>
              <w:t>180m</w:t>
            </w:r>
            <w:r>
              <w:rPr>
                <w:rFonts w:hint="eastAsia"/>
                <w:highlight w:val="none"/>
                <w:vertAlign w:val="superscript"/>
                <w:lang w:bidi="ar"/>
              </w:rPr>
              <w:t>3</w:t>
            </w:r>
            <w:r>
              <w:rPr>
                <w:rFonts w:hint="eastAsia"/>
                <w:highlight w:val="none"/>
                <w:lang w:bidi="ar"/>
              </w:rPr>
              <w:t>/h</w:t>
            </w:r>
          </w:p>
        </w:tc>
        <w:tc>
          <w:tcPr>
            <w:tcW w:w="1983" w:type="dxa"/>
            <w:tcBorders>
              <w:top w:val="single" w:color="auto" w:sz="4" w:space="0"/>
              <w:left w:val="single" w:color="auto" w:sz="4" w:space="0"/>
              <w:bottom w:val="single" w:color="auto" w:sz="4" w:space="0"/>
              <w:right w:val="single" w:color="auto" w:sz="4" w:space="0"/>
            </w:tcBorders>
            <w:vAlign w:val="center"/>
          </w:tcPr>
          <w:p w14:paraId="6725D90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lang w:bidi="ar"/>
              </w:rPr>
            </w:pPr>
            <w:r>
              <w:rPr>
                <w:rFonts w:hint="eastAsia"/>
                <w:highlight w:val="none"/>
                <w:lang w:bidi="ar"/>
              </w:rPr>
              <w:t>约1200</w:t>
            </w:r>
          </w:p>
        </w:tc>
      </w:tr>
      <w:tr w14:paraId="303D4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14:paraId="7E79602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rPr>
            </w:pPr>
            <w:r>
              <w:rPr>
                <w:rFonts w:hint="eastAsia"/>
                <w:highlight w:val="none"/>
                <w:lang w:bidi="ar"/>
              </w:rPr>
              <w:t>7</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6CE3355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rPr>
            </w:pPr>
            <w:r>
              <w:rPr>
                <w:rFonts w:hint="eastAsia"/>
                <w:highlight w:val="none"/>
                <w:lang w:bidi="ar"/>
              </w:rPr>
              <w:t>生活水</w:t>
            </w:r>
          </w:p>
        </w:tc>
        <w:tc>
          <w:tcPr>
            <w:tcW w:w="2094" w:type="dxa"/>
            <w:tcBorders>
              <w:top w:val="single" w:color="auto" w:sz="4" w:space="0"/>
              <w:left w:val="single" w:color="auto" w:sz="4" w:space="0"/>
              <w:bottom w:val="single" w:color="auto" w:sz="4" w:space="0"/>
              <w:right w:val="single" w:color="auto" w:sz="4" w:space="0"/>
            </w:tcBorders>
            <w:shd w:val="clear" w:color="auto" w:fill="auto"/>
            <w:vAlign w:val="center"/>
          </w:tcPr>
          <w:p w14:paraId="61599D3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rPr>
            </w:pPr>
            <w:r>
              <w:rPr>
                <w:rFonts w:hint="eastAsia"/>
                <w:highlight w:val="none"/>
                <w:lang w:bidi="ar"/>
              </w:rPr>
              <w:t>1m</w:t>
            </w:r>
            <w:r>
              <w:rPr>
                <w:rFonts w:hint="eastAsia"/>
                <w:highlight w:val="none"/>
                <w:vertAlign w:val="superscript"/>
                <w:lang w:bidi="ar"/>
              </w:rPr>
              <w:t>3</w:t>
            </w:r>
            <w:r>
              <w:rPr>
                <w:rFonts w:hint="eastAsia"/>
                <w:highlight w:val="none"/>
                <w:lang w:bidi="ar"/>
              </w:rPr>
              <w:t>/h</w:t>
            </w:r>
          </w:p>
        </w:tc>
        <w:tc>
          <w:tcPr>
            <w:tcW w:w="1983" w:type="dxa"/>
            <w:tcBorders>
              <w:top w:val="single" w:color="auto" w:sz="4" w:space="0"/>
              <w:left w:val="single" w:color="auto" w:sz="4" w:space="0"/>
              <w:bottom w:val="single" w:color="auto" w:sz="4" w:space="0"/>
              <w:right w:val="single" w:color="auto" w:sz="4" w:space="0"/>
            </w:tcBorders>
            <w:vAlign w:val="center"/>
          </w:tcPr>
          <w:p w14:paraId="36E0C17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rPr>
            </w:pPr>
            <w:r>
              <w:rPr>
                <w:rFonts w:hint="eastAsia"/>
                <w:highlight w:val="none"/>
                <w:lang w:bidi="ar"/>
              </w:rPr>
              <w:t>10m</w:t>
            </w:r>
            <w:r>
              <w:rPr>
                <w:rFonts w:hint="eastAsia"/>
                <w:highlight w:val="none"/>
                <w:vertAlign w:val="superscript"/>
                <w:lang w:bidi="ar"/>
              </w:rPr>
              <w:t>3</w:t>
            </w:r>
            <w:r>
              <w:rPr>
                <w:rFonts w:hint="eastAsia"/>
                <w:highlight w:val="none"/>
                <w:lang w:bidi="ar"/>
              </w:rPr>
              <w:t>/h</w:t>
            </w:r>
          </w:p>
        </w:tc>
        <w:tc>
          <w:tcPr>
            <w:tcW w:w="1983" w:type="dxa"/>
            <w:tcBorders>
              <w:top w:val="single" w:color="auto" w:sz="4" w:space="0"/>
              <w:left w:val="single" w:color="auto" w:sz="4" w:space="0"/>
              <w:bottom w:val="single" w:color="auto" w:sz="4" w:space="0"/>
              <w:right w:val="single" w:color="auto" w:sz="4" w:space="0"/>
            </w:tcBorders>
            <w:vAlign w:val="center"/>
          </w:tcPr>
          <w:p w14:paraId="15A12BF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lang w:bidi="ar"/>
              </w:rPr>
            </w:pPr>
            <w:r>
              <w:rPr>
                <w:rFonts w:hint="eastAsia"/>
                <w:highlight w:val="none"/>
                <w:lang w:bidi="ar"/>
              </w:rPr>
              <w:t>约350</w:t>
            </w:r>
          </w:p>
        </w:tc>
      </w:tr>
      <w:tr w14:paraId="386EB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14:paraId="5E2DB36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rPr>
            </w:pPr>
            <w:r>
              <w:rPr>
                <w:rFonts w:hint="eastAsia"/>
                <w:highlight w:val="none"/>
                <w:lang w:bidi="ar"/>
              </w:rPr>
              <w:t>8</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6FA9A47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rPr>
            </w:pPr>
            <w:r>
              <w:rPr>
                <w:rFonts w:hint="eastAsia"/>
                <w:highlight w:val="none"/>
                <w:lang w:bidi="ar"/>
              </w:rPr>
              <w:t>消防水</w:t>
            </w:r>
          </w:p>
        </w:tc>
        <w:tc>
          <w:tcPr>
            <w:tcW w:w="2094" w:type="dxa"/>
            <w:tcBorders>
              <w:top w:val="single" w:color="auto" w:sz="4" w:space="0"/>
              <w:left w:val="single" w:color="auto" w:sz="4" w:space="0"/>
              <w:bottom w:val="single" w:color="auto" w:sz="4" w:space="0"/>
              <w:right w:val="single" w:color="auto" w:sz="4" w:space="0"/>
            </w:tcBorders>
            <w:shd w:val="clear" w:color="auto" w:fill="auto"/>
            <w:vAlign w:val="center"/>
          </w:tcPr>
          <w:p w14:paraId="6F9CC24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rPr>
            </w:pPr>
            <w:r>
              <w:rPr>
                <w:rFonts w:hint="eastAsia"/>
                <w:highlight w:val="none"/>
                <w:lang w:bidi="ar"/>
              </w:rPr>
              <w:t>-</w:t>
            </w:r>
          </w:p>
        </w:tc>
        <w:tc>
          <w:tcPr>
            <w:tcW w:w="1983" w:type="dxa"/>
            <w:tcBorders>
              <w:top w:val="single" w:color="auto" w:sz="4" w:space="0"/>
              <w:left w:val="single" w:color="auto" w:sz="4" w:space="0"/>
              <w:bottom w:val="single" w:color="auto" w:sz="4" w:space="0"/>
              <w:right w:val="single" w:color="auto" w:sz="4" w:space="0"/>
            </w:tcBorders>
            <w:vAlign w:val="center"/>
          </w:tcPr>
          <w:p w14:paraId="4807063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rPr>
            </w:pPr>
            <w:r>
              <w:rPr>
                <w:rFonts w:hint="eastAsia"/>
                <w:highlight w:val="none"/>
                <w:lang w:bidi="ar"/>
              </w:rPr>
              <w:t>/</w:t>
            </w:r>
          </w:p>
        </w:tc>
        <w:tc>
          <w:tcPr>
            <w:tcW w:w="1983" w:type="dxa"/>
            <w:tcBorders>
              <w:top w:val="single" w:color="auto" w:sz="4" w:space="0"/>
              <w:left w:val="single" w:color="auto" w:sz="4" w:space="0"/>
              <w:bottom w:val="single" w:color="auto" w:sz="4" w:space="0"/>
              <w:right w:val="single" w:color="auto" w:sz="4" w:space="0"/>
            </w:tcBorders>
            <w:vAlign w:val="center"/>
          </w:tcPr>
          <w:p w14:paraId="633F4BF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lang w:bidi="ar"/>
              </w:rPr>
            </w:pPr>
            <w:r>
              <w:rPr>
                <w:rFonts w:hint="eastAsia"/>
                <w:highlight w:val="none"/>
                <w:lang w:bidi="ar"/>
              </w:rPr>
              <w:t>约350×2</w:t>
            </w:r>
          </w:p>
        </w:tc>
      </w:tr>
      <w:tr w14:paraId="6438B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14:paraId="0643A90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rPr>
            </w:pPr>
            <w:r>
              <w:rPr>
                <w:rFonts w:hint="eastAsia"/>
                <w:highlight w:val="none"/>
                <w:lang w:bidi="ar"/>
              </w:rPr>
              <w:t>9</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2CECAF8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lang w:bidi="ar"/>
              </w:rPr>
            </w:pPr>
            <w:r>
              <w:rPr>
                <w:rFonts w:hint="eastAsia"/>
                <w:highlight w:val="none"/>
                <w:lang w:bidi="ar"/>
              </w:rPr>
              <w:t>稀硫酸（浓度约70～75%wt）</w:t>
            </w:r>
          </w:p>
        </w:tc>
        <w:tc>
          <w:tcPr>
            <w:tcW w:w="2094" w:type="dxa"/>
            <w:tcBorders>
              <w:top w:val="single" w:color="auto" w:sz="4" w:space="0"/>
              <w:left w:val="single" w:color="auto" w:sz="4" w:space="0"/>
              <w:bottom w:val="single" w:color="auto" w:sz="4" w:space="0"/>
              <w:right w:val="single" w:color="auto" w:sz="4" w:space="0"/>
            </w:tcBorders>
            <w:shd w:val="clear" w:color="auto" w:fill="auto"/>
            <w:vAlign w:val="center"/>
          </w:tcPr>
          <w:p w14:paraId="70CA5E3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lang w:bidi="ar"/>
              </w:rPr>
            </w:pPr>
            <w:r>
              <w:rPr>
                <w:rFonts w:hint="eastAsia"/>
                <w:highlight w:val="none"/>
                <w:lang w:bidi="ar"/>
              </w:rPr>
              <w:t>99m</w:t>
            </w:r>
            <w:r>
              <w:rPr>
                <w:rFonts w:hint="eastAsia"/>
                <w:highlight w:val="none"/>
                <w:vertAlign w:val="superscript"/>
                <w:lang w:bidi="ar"/>
              </w:rPr>
              <w:t>3</w:t>
            </w:r>
            <w:r>
              <w:rPr>
                <w:rFonts w:hint="eastAsia"/>
                <w:highlight w:val="none"/>
                <w:lang w:bidi="ar"/>
              </w:rPr>
              <w:t>/h</w:t>
            </w:r>
          </w:p>
        </w:tc>
        <w:tc>
          <w:tcPr>
            <w:tcW w:w="1983" w:type="dxa"/>
            <w:tcBorders>
              <w:top w:val="single" w:color="auto" w:sz="4" w:space="0"/>
              <w:left w:val="single" w:color="auto" w:sz="4" w:space="0"/>
              <w:bottom w:val="single" w:color="auto" w:sz="4" w:space="0"/>
              <w:right w:val="single" w:color="auto" w:sz="4" w:space="0"/>
            </w:tcBorders>
            <w:vAlign w:val="center"/>
          </w:tcPr>
          <w:p w14:paraId="277C653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lang w:bidi="ar"/>
              </w:rPr>
            </w:pPr>
            <w:r>
              <w:rPr>
                <w:rFonts w:hint="eastAsia"/>
                <w:highlight w:val="none"/>
                <w:lang w:bidi="ar"/>
              </w:rPr>
              <w:t>117m</w:t>
            </w:r>
            <w:r>
              <w:rPr>
                <w:rFonts w:hint="eastAsia"/>
                <w:highlight w:val="none"/>
                <w:vertAlign w:val="superscript"/>
                <w:lang w:bidi="ar"/>
              </w:rPr>
              <w:t>3</w:t>
            </w:r>
            <w:r>
              <w:rPr>
                <w:rFonts w:hint="eastAsia"/>
                <w:highlight w:val="none"/>
                <w:lang w:bidi="ar"/>
              </w:rPr>
              <w:t>/h</w:t>
            </w:r>
          </w:p>
        </w:tc>
        <w:tc>
          <w:tcPr>
            <w:tcW w:w="1983" w:type="dxa"/>
            <w:tcBorders>
              <w:top w:val="single" w:color="auto" w:sz="4" w:space="0"/>
              <w:left w:val="single" w:color="auto" w:sz="4" w:space="0"/>
              <w:bottom w:val="single" w:color="auto" w:sz="4" w:space="0"/>
              <w:right w:val="single" w:color="auto" w:sz="4" w:space="0"/>
            </w:tcBorders>
            <w:vAlign w:val="center"/>
          </w:tcPr>
          <w:p w14:paraId="7C3B6FD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lang w:bidi="ar"/>
              </w:rPr>
            </w:pPr>
            <w:r>
              <w:rPr>
                <w:rFonts w:hint="eastAsia"/>
                <w:highlight w:val="none"/>
                <w:lang w:bidi="ar"/>
              </w:rPr>
              <w:t>约3000×2</w:t>
            </w:r>
          </w:p>
        </w:tc>
      </w:tr>
      <w:tr w14:paraId="01684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14:paraId="756D275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lang w:bidi="ar"/>
              </w:rPr>
            </w:pPr>
            <w:r>
              <w:rPr>
                <w:rFonts w:hint="eastAsia"/>
                <w:highlight w:val="none"/>
                <w:lang w:bidi="ar"/>
              </w:rPr>
              <w:t>1</w:t>
            </w:r>
            <w:r>
              <w:rPr>
                <w:highlight w:val="none"/>
                <w:lang w:bidi="ar"/>
              </w:rPr>
              <w:t>0</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78371B0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lang w:bidi="ar"/>
              </w:rPr>
            </w:pPr>
            <w:r>
              <w:rPr>
                <w:rFonts w:hint="eastAsia"/>
                <w:highlight w:val="none"/>
                <w:lang w:bidi="ar"/>
              </w:rPr>
              <w:t>过滤机洗水</w:t>
            </w:r>
          </w:p>
        </w:tc>
        <w:tc>
          <w:tcPr>
            <w:tcW w:w="2094" w:type="dxa"/>
            <w:tcBorders>
              <w:top w:val="single" w:color="auto" w:sz="4" w:space="0"/>
              <w:left w:val="single" w:color="auto" w:sz="4" w:space="0"/>
              <w:bottom w:val="single" w:color="auto" w:sz="4" w:space="0"/>
              <w:right w:val="single" w:color="auto" w:sz="4" w:space="0"/>
            </w:tcBorders>
            <w:shd w:val="clear" w:color="auto" w:fill="auto"/>
            <w:vAlign w:val="center"/>
          </w:tcPr>
          <w:p w14:paraId="0CEF1F1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lang w:bidi="ar"/>
              </w:rPr>
            </w:pPr>
            <w:r>
              <w:rPr>
                <w:rFonts w:hint="eastAsia"/>
                <w:highlight w:val="none"/>
                <w:lang w:bidi="ar"/>
              </w:rPr>
              <w:t>15m</w:t>
            </w:r>
            <w:r>
              <w:rPr>
                <w:rFonts w:hint="eastAsia"/>
                <w:highlight w:val="none"/>
                <w:vertAlign w:val="superscript"/>
                <w:lang w:bidi="ar"/>
              </w:rPr>
              <w:t>3</w:t>
            </w:r>
            <w:r>
              <w:rPr>
                <w:rFonts w:hint="eastAsia"/>
                <w:highlight w:val="none"/>
                <w:lang w:bidi="ar"/>
              </w:rPr>
              <w:t>/h</w:t>
            </w:r>
          </w:p>
        </w:tc>
        <w:tc>
          <w:tcPr>
            <w:tcW w:w="1983" w:type="dxa"/>
            <w:tcBorders>
              <w:top w:val="single" w:color="auto" w:sz="4" w:space="0"/>
              <w:left w:val="single" w:color="auto" w:sz="4" w:space="0"/>
              <w:bottom w:val="single" w:color="auto" w:sz="4" w:space="0"/>
              <w:right w:val="single" w:color="auto" w:sz="4" w:space="0"/>
            </w:tcBorders>
            <w:vAlign w:val="center"/>
          </w:tcPr>
          <w:p w14:paraId="791BA4E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lang w:bidi="ar"/>
              </w:rPr>
            </w:pPr>
            <w:r>
              <w:rPr>
                <w:rFonts w:hint="eastAsia"/>
                <w:highlight w:val="none"/>
                <w:lang w:bidi="ar"/>
              </w:rPr>
              <w:t>20m</w:t>
            </w:r>
            <w:r>
              <w:rPr>
                <w:rFonts w:hint="eastAsia"/>
                <w:highlight w:val="none"/>
                <w:vertAlign w:val="superscript"/>
                <w:lang w:bidi="ar"/>
              </w:rPr>
              <w:t>3</w:t>
            </w:r>
            <w:r>
              <w:rPr>
                <w:rFonts w:hint="eastAsia"/>
                <w:highlight w:val="none"/>
                <w:lang w:bidi="ar"/>
              </w:rPr>
              <w:t>/h</w:t>
            </w:r>
          </w:p>
        </w:tc>
        <w:tc>
          <w:tcPr>
            <w:tcW w:w="1983" w:type="dxa"/>
            <w:tcBorders>
              <w:top w:val="single" w:color="auto" w:sz="4" w:space="0"/>
              <w:left w:val="single" w:color="auto" w:sz="4" w:space="0"/>
              <w:bottom w:val="single" w:color="auto" w:sz="4" w:space="0"/>
              <w:right w:val="single" w:color="auto" w:sz="4" w:space="0"/>
            </w:tcBorders>
            <w:vAlign w:val="center"/>
          </w:tcPr>
          <w:p w14:paraId="14D60E7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lang w:bidi="ar"/>
              </w:rPr>
            </w:pPr>
            <w:r>
              <w:rPr>
                <w:rFonts w:hint="eastAsia"/>
                <w:highlight w:val="none"/>
                <w:lang w:bidi="ar"/>
              </w:rPr>
              <w:t>约3000</w:t>
            </w:r>
          </w:p>
        </w:tc>
      </w:tr>
      <w:tr w14:paraId="751FA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6" w:type="dxa"/>
            <w:tcBorders>
              <w:top w:val="single" w:color="auto" w:sz="4" w:space="0"/>
              <w:left w:val="single" w:color="auto" w:sz="4" w:space="0"/>
              <w:bottom w:val="single" w:color="auto" w:sz="4" w:space="0"/>
              <w:right w:val="single" w:color="auto" w:sz="4" w:space="0"/>
            </w:tcBorders>
            <w:shd w:val="clear" w:color="auto" w:fill="auto"/>
            <w:vAlign w:val="center"/>
          </w:tcPr>
          <w:p w14:paraId="7C80184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lang w:bidi="ar"/>
              </w:rPr>
            </w:pPr>
            <w:r>
              <w:rPr>
                <w:rFonts w:hint="eastAsia"/>
                <w:highlight w:val="none"/>
                <w:lang w:bidi="ar"/>
              </w:rPr>
              <w:t>1</w:t>
            </w:r>
            <w:r>
              <w:rPr>
                <w:highlight w:val="none"/>
                <w:lang w:bidi="ar"/>
              </w:rPr>
              <w:t>1</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1C8F1595">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lang w:bidi="ar"/>
              </w:rPr>
            </w:pPr>
            <w:r>
              <w:rPr>
                <w:rFonts w:hint="eastAsia"/>
                <w:highlight w:val="none"/>
                <w:lang w:bidi="ar"/>
              </w:rPr>
              <w:t>渣浆水</w:t>
            </w:r>
          </w:p>
        </w:tc>
        <w:tc>
          <w:tcPr>
            <w:tcW w:w="2094" w:type="dxa"/>
            <w:tcBorders>
              <w:top w:val="single" w:color="auto" w:sz="4" w:space="0"/>
              <w:left w:val="single" w:color="auto" w:sz="4" w:space="0"/>
              <w:bottom w:val="single" w:color="auto" w:sz="4" w:space="0"/>
              <w:right w:val="single" w:color="auto" w:sz="4" w:space="0"/>
            </w:tcBorders>
            <w:shd w:val="clear" w:color="auto" w:fill="auto"/>
            <w:vAlign w:val="center"/>
          </w:tcPr>
          <w:p w14:paraId="44A37E9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lang w:bidi="ar"/>
              </w:rPr>
            </w:pPr>
            <w:r>
              <w:rPr>
                <w:rFonts w:hint="eastAsia"/>
                <w:highlight w:val="none"/>
                <w:lang w:bidi="ar"/>
              </w:rPr>
              <w:t>17-40m</w:t>
            </w:r>
            <w:r>
              <w:rPr>
                <w:rFonts w:hint="eastAsia"/>
                <w:highlight w:val="none"/>
                <w:vertAlign w:val="superscript"/>
                <w:lang w:bidi="ar"/>
              </w:rPr>
              <w:t>3</w:t>
            </w:r>
            <w:r>
              <w:rPr>
                <w:rFonts w:hint="eastAsia"/>
                <w:highlight w:val="none"/>
                <w:lang w:bidi="ar"/>
              </w:rPr>
              <w:t>/h</w:t>
            </w:r>
          </w:p>
        </w:tc>
        <w:tc>
          <w:tcPr>
            <w:tcW w:w="1983" w:type="dxa"/>
            <w:tcBorders>
              <w:top w:val="single" w:color="auto" w:sz="4" w:space="0"/>
              <w:left w:val="single" w:color="auto" w:sz="4" w:space="0"/>
              <w:bottom w:val="single" w:color="auto" w:sz="4" w:space="0"/>
              <w:right w:val="single" w:color="auto" w:sz="4" w:space="0"/>
            </w:tcBorders>
            <w:vAlign w:val="center"/>
          </w:tcPr>
          <w:p w14:paraId="5309060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lang w:bidi="ar"/>
              </w:rPr>
            </w:pPr>
            <w:r>
              <w:rPr>
                <w:rFonts w:hint="eastAsia"/>
                <w:highlight w:val="none"/>
                <w:lang w:bidi="ar"/>
              </w:rPr>
              <w:t>52m</w:t>
            </w:r>
            <w:r>
              <w:rPr>
                <w:rFonts w:hint="eastAsia"/>
                <w:highlight w:val="none"/>
                <w:vertAlign w:val="superscript"/>
                <w:lang w:bidi="ar"/>
              </w:rPr>
              <w:t>3</w:t>
            </w:r>
            <w:r>
              <w:rPr>
                <w:rFonts w:hint="eastAsia"/>
                <w:highlight w:val="none"/>
                <w:lang w:bidi="ar"/>
              </w:rPr>
              <w:t>/h</w:t>
            </w:r>
          </w:p>
        </w:tc>
        <w:tc>
          <w:tcPr>
            <w:tcW w:w="1983" w:type="dxa"/>
            <w:tcBorders>
              <w:top w:val="single" w:color="auto" w:sz="4" w:space="0"/>
              <w:left w:val="single" w:color="auto" w:sz="4" w:space="0"/>
              <w:bottom w:val="single" w:color="auto" w:sz="4" w:space="0"/>
              <w:right w:val="single" w:color="auto" w:sz="4" w:space="0"/>
            </w:tcBorders>
            <w:vAlign w:val="center"/>
          </w:tcPr>
          <w:p w14:paraId="4EC4F48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highlight w:val="none"/>
                <w:lang w:bidi="ar"/>
              </w:rPr>
            </w:pPr>
            <w:r>
              <w:rPr>
                <w:rFonts w:hint="eastAsia"/>
                <w:highlight w:val="none"/>
                <w:lang w:bidi="ar"/>
              </w:rPr>
              <w:t>约3000</w:t>
            </w:r>
          </w:p>
        </w:tc>
      </w:tr>
    </w:tbl>
    <w:p w14:paraId="5F3892DC">
      <w:pPr>
        <w:pStyle w:val="5"/>
        <w:numPr>
          <w:ilvl w:val="2"/>
          <w:numId w:val="1"/>
        </w:numPr>
        <w:adjustRightInd w:val="0"/>
        <w:spacing w:before="120" w:after="120"/>
        <w:jc w:val="both"/>
        <w:rPr>
          <w:rFonts w:hint="eastAsia" w:ascii="Times New Roman" w:hAnsi="Times New Roman" w:eastAsia="黑体" w:cs="Times New Roman"/>
          <w:snapToGrid w:val="0"/>
          <w:color w:val="000000"/>
          <w:kern w:val="0"/>
          <w:sz w:val="32"/>
        </w:rPr>
      </w:pPr>
      <w:bookmarkStart w:id="160" w:name="_Toc24778"/>
      <w:r>
        <w:rPr>
          <w:rFonts w:hint="default" w:ascii="Times New Roman" w:hAnsi="Times New Roman" w:eastAsia="黑体" w:cs="Times New Roman"/>
          <w:snapToGrid w:val="0"/>
          <w:color w:val="000000"/>
          <w:kern w:val="0"/>
          <w:sz w:val="32"/>
          <w:lang w:val="en-US" w:eastAsia="zh-CN"/>
        </w:rPr>
        <w:t>主要工艺流程、主要装置（设备）和设施的布局及其上下游装置的</w:t>
      </w:r>
      <w:r>
        <w:rPr>
          <w:rFonts w:hint="default" w:ascii="Times New Roman" w:hAnsi="Times New Roman" w:eastAsia="黑体" w:cs="Times New Roman"/>
          <w:snapToGrid w:val="0"/>
          <w:color w:val="000000"/>
          <w:kern w:val="0"/>
          <w:sz w:val="32"/>
        </w:rPr>
        <w:t>关系</w:t>
      </w:r>
      <w:bookmarkEnd w:id="160"/>
    </w:p>
    <w:p w14:paraId="43F877DB">
      <w:pPr>
        <w:pStyle w:val="6"/>
        <w:keepNext/>
        <w:keepLines w:val="0"/>
        <w:pageBreakBefore w:val="0"/>
        <w:widowControl w:val="0"/>
        <w:numPr>
          <w:ilvl w:val="3"/>
          <w:numId w:val="1"/>
        </w:numPr>
        <w:kinsoku/>
        <w:wordWrap/>
        <w:overflowPunct/>
        <w:topLinePunct w:val="0"/>
        <w:autoSpaceDE/>
        <w:autoSpaceDN/>
        <w:bidi w:val="0"/>
        <w:adjustRightInd/>
        <w:snapToGrid w:val="0"/>
        <w:ind w:left="0" w:firstLine="0"/>
        <w:textAlignment w:val="auto"/>
        <w:rPr>
          <w:rFonts w:hint="eastAsia" w:ascii="宋体" w:hAnsi="Times New Roman" w:cs="宋体"/>
          <w:color w:val="auto"/>
          <w:lang w:val="en-US" w:eastAsia="zh-CN"/>
        </w:rPr>
      </w:pPr>
      <w:bookmarkStart w:id="161" w:name="_Toc23940"/>
      <w:r>
        <w:rPr>
          <w:rFonts w:hint="eastAsia" w:ascii="宋体" w:hAnsi="Times New Roman" w:cs="宋体"/>
          <w:color w:val="auto"/>
          <w:lang w:val="en-US" w:eastAsia="zh-CN"/>
        </w:rPr>
        <w:t>生产工艺流程</w:t>
      </w:r>
      <w:bookmarkEnd w:id="161"/>
    </w:p>
    <w:p w14:paraId="34B2C247">
      <w:pPr>
        <w:keepNext w:val="0"/>
        <w:keepLines w:val="0"/>
        <w:pageBreakBefore w:val="0"/>
        <w:widowControl w:val="0"/>
        <w:kinsoku/>
        <w:wordWrap/>
        <w:overflowPunct/>
        <w:topLinePunct w:val="0"/>
        <w:autoSpaceDE/>
        <w:autoSpaceDN/>
        <w:bidi w:val="0"/>
        <w:adjustRightInd/>
        <w:snapToGrid w:val="0"/>
        <w:ind w:firstLine="560" w:firstLineChars="200"/>
        <w:textAlignment w:val="auto"/>
      </w:pPr>
      <w:r>
        <w:rPr>
          <w:rFonts w:hint="eastAsia"/>
        </w:rPr>
        <w:t>本项目为管架及附属设施，不涉及生产装置和储存设施，不涉及工艺反应。</w:t>
      </w:r>
    </w:p>
    <w:p w14:paraId="2A451A18">
      <w:pPr>
        <w:keepNext w:val="0"/>
        <w:keepLines w:val="0"/>
        <w:pageBreakBefore w:val="0"/>
        <w:widowControl w:val="0"/>
        <w:kinsoku/>
        <w:wordWrap/>
        <w:overflowPunct/>
        <w:topLinePunct w:val="0"/>
        <w:autoSpaceDE/>
        <w:autoSpaceDN/>
        <w:bidi w:val="0"/>
        <w:adjustRightInd/>
        <w:snapToGrid w:val="0"/>
        <w:ind w:firstLine="560" w:firstLineChars="200"/>
        <w:textAlignment w:val="auto"/>
        <w:rPr>
          <w:rFonts w:hint="eastAsia"/>
          <w:lang w:val="en-US" w:eastAsia="zh-CN"/>
        </w:rPr>
      </w:pPr>
      <w:r>
        <w:rPr>
          <w:rFonts w:hint="eastAsia"/>
        </w:rPr>
        <w:t>本项目物料输送采用加压方式输送，氟硅酸的输送在云南祥丰金麦化工有限公司磷酸厂区设置2台塑料离心泵（一开一备）；浓硫酸的输送在云南祥丰金麦化工有限公司磷酸厂区设置2台磁力泵（一开一备）；再浆水的输送靠祥丰集团再浆水主管道压力差输送；稀硫酸的输送在云南瓮福祥丰氟硅新材料有限公司罐区191B设置2台塑料离心泵（一开一备）；过滤机洗水的输送在云南瓮福祥丰氟硅新材料有限公司无水氟化氢装置区设置2台塑料离心泵（一开一备）；渣浆水的输送在云南瓮福祥丰氟硅新材料有限公司无水氟化氢装置区设置2台塑料离心泵（一开一备）；脱盐水、工艺水、生活水、消防水及饱和蒸汽原有管网带压，本项目不需要设置输送泵。</w:t>
      </w:r>
    </w:p>
    <w:p w14:paraId="3FAB77C6">
      <w:pPr>
        <w:pStyle w:val="6"/>
        <w:keepNext/>
        <w:keepLines w:val="0"/>
        <w:pageBreakBefore w:val="0"/>
        <w:widowControl w:val="0"/>
        <w:numPr>
          <w:ilvl w:val="3"/>
          <w:numId w:val="1"/>
        </w:numPr>
        <w:kinsoku/>
        <w:wordWrap/>
        <w:overflowPunct/>
        <w:topLinePunct w:val="0"/>
        <w:autoSpaceDE/>
        <w:autoSpaceDN/>
        <w:bidi w:val="0"/>
        <w:adjustRightInd/>
        <w:snapToGrid w:val="0"/>
        <w:ind w:left="0" w:firstLine="0"/>
        <w:textAlignment w:val="auto"/>
        <w:rPr>
          <w:rFonts w:hint="eastAsia" w:ascii="宋体" w:hAnsi="Times New Roman" w:cs="宋体"/>
          <w:color w:val="auto"/>
          <w:lang w:val="en-US" w:eastAsia="zh-CN"/>
        </w:rPr>
      </w:pPr>
      <w:r>
        <w:rPr>
          <w:rFonts w:hint="eastAsia" w:ascii="宋体" w:hAnsi="Times New Roman" w:cs="宋体"/>
          <w:color w:val="auto"/>
          <w:lang w:val="en-US" w:eastAsia="zh-CN"/>
        </w:rPr>
        <w:t>管道敷设</w:t>
      </w:r>
    </w:p>
    <w:p w14:paraId="03A1FE18">
      <w:pPr>
        <w:ind w:firstLine="560"/>
        <w:rPr>
          <w:highlight w:val="none"/>
        </w:rPr>
      </w:pPr>
      <w:r>
        <w:rPr>
          <w:rFonts w:hint="eastAsia"/>
          <w:highlight w:val="none"/>
        </w:rPr>
        <w:t>云南瓮福祥丰氟硅新材料有限公司3万吨/年无水氟化氢和2万吨/年电子级氢氟酸厂外公用工程管架建设项目外管廊自云南瓮福祥丰氟硅新材料有限公司AHF厂区起，至云南祥丰金麦化工有限公司磷酸装置止。自云南瓮福祥丰氟硅新材料有限公司AHF厂界区向北出厂区用地红线，跨安丰营片区1号次干道东延长线，爬升进入林地范围，向北、向西绕行云南祥丰石化有限公司北侧林地，由云南祥丰石化有限公司西侧重新进入云南祥丰石化有限公司厂区内，再向南进入云南祥丰金麦化工有限公司磷酸装置，接磷酸装置原有管廊。</w:t>
      </w:r>
    </w:p>
    <w:p w14:paraId="5A23096F">
      <w:pPr>
        <w:ind w:firstLine="560"/>
        <w:rPr>
          <w:highlight w:val="none"/>
        </w:rPr>
      </w:pPr>
      <w:r>
        <w:rPr>
          <w:rFonts w:hint="eastAsia"/>
          <w:highlight w:val="none"/>
        </w:rPr>
        <w:t>本厂外公用工程管架建设项目位于云南安宁产业园区化工园区禄脓片区，隶属禄脓街道办事处，经核对，该项目位于《云南安宁产业园区草铺化工园区（含禄脓片区）总体规划（2021-2035)》规划范围内。详见附件</w:t>
      </w:r>
      <w:r>
        <w:rPr>
          <w:rFonts w:hint="eastAsia"/>
          <w:highlight w:val="none"/>
          <w:lang w:val="en-US" w:eastAsia="zh-CN"/>
        </w:rPr>
        <w:t>5</w:t>
      </w:r>
      <w:r>
        <w:rPr>
          <w:rFonts w:hint="eastAsia"/>
          <w:highlight w:val="none"/>
        </w:rPr>
        <w:t>：无水氟化氢和电子级氢氟酸厂外公用工程建设项目的选址情况说明。</w:t>
      </w:r>
    </w:p>
    <w:p w14:paraId="47A531D2">
      <w:pPr>
        <w:ind w:firstLine="560"/>
        <w:rPr>
          <w:highlight w:val="none"/>
        </w:rPr>
      </w:pPr>
      <w:r>
        <w:rPr>
          <w:rFonts w:hint="eastAsia"/>
          <w:highlight w:val="none"/>
        </w:rPr>
        <w:t>该外管廊建设为二层，A01-B44段管廊一层布置2根氟硅酸管道和2根稀硫酸管道，二层布置1根浓硫酸管道、1根渣浆水管道和1根过滤机洗水管道；CO1-C58段管廊一层布置2根氟硅酸管道和2根稀硫酸管道，二层布置1根浓硫酸管道、1根渣浆水管道、1根再浆水管道和1根过滤机洗水管道；D01-D25段管廊一层布置2根氟硅酸管道、1根浓硫酸管道和2根稀硫酸管道，二层布置1根渣浆水管道、1根再浆水管道和1根过滤机洗水管道；E01-F13段管廊一层布置2根氟硅酸管道、1根浓硫酸管道、2根稀硫酸管道、1根渣浆水管道、1根再浆水管道和1根过滤机洗水管道，二层布置1根1.2MPa饱和蒸汽管道、2根消防水管道、1根工艺水管道和1根脱盐水管道。通过应力计算，本项目蒸汽管道全部采用自然补偿，补偿能力足够。饱和蒸汽管道在高点处设置放空，在低点处设置启动排水和永久疏水，永久疏水管道根据项目特点就地排放，沿管架引至地面后应就近排入附近管沟或雨水井内。进行水压试验的公用工程管道在高点处设置放空，低点处设置导淋。工艺物料管道为避免泄漏，在管廊上不设放空、导淋，水压试验时设临时阀门，待水压试验后堵死。</w:t>
      </w:r>
    </w:p>
    <w:p w14:paraId="3D21D80A">
      <w:pPr>
        <w:ind w:firstLine="560"/>
        <w:rPr>
          <w:highlight w:val="none"/>
        </w:rPr>
      </w:pPr>
      <w:r>
        <w:rPr>
          <w:rFonts w:hint="eastAsia"/>
          <w:highlight w:val="none"/>
        </w:rPr>
        <w:t>云南瓮福祥丰氟硅新材料有限公司3万吨/年无水氟化氢和2万吨/年电子级氢氟酸厂外公用工程管架建设项目外管廊（073管廊）管架采用钢筋混凝土、钢结构相结合的方式，管架形式以两层梁式管架为主，跨越道路、水沟及其他障碍物时，视具体跨距采用桁架。该管廊A01-A03段采用双柱钢结构桁架，管廊宽为2.5m，管廊高度一层为6m，二层为7.8m，管廊净空高度大于5.5m；A04-A16段采用单柱钢结构梁式管架，管廊宽为2.5m，管廊高度一层为6m，二层为7.8m，管廊净空高度大于5.5m；A17-A20段采用双柱钢结构桁架，管廊宽为2.5m，管廊高度一层为6m，二层为7.8m，管廊净空高度大于5.5m；B01-B18段采用钢筋混凝土与钢结构双柱梁式管架相结合，管廊宽为2.5m，管廊一层为钢筋混凝土管墩，高度为1m，二层为钢结构双柱梁式管架，高度为2.8m；B19-B34段利用云南祥丰金麦公司原有建筑外墙安装钢结构梁式管架，管廊宽为2.0m，管廊高度一层为2.5m，二层为4.3m；B35-B41段采用单柱钢结构梁式管架，管廊宽为2.5m，管廊高度一层为2.5m，二层为4.3m；B42-B44段采用双柱钢结构桁架，管廊宽为2.5m，管廊高度一层为6m，二层为7.8m，管廊净空高度大于5.5m；C01-C58段采用单柱钢结构梁式管架，管廊宽为2.5m，管廊高度一层为6m，二层为8m，管廊净空高度大于5.5m；D01-D25段采用双柱钢结构梁式管架，管廊宽为3m，管廊高度一层为2.5m，二层为4.5m；E01-E216段采用双柱钢结构梁式管架，管廊宽为3m，管廊高度一层为2.5m，二层为4.5m；F01-F07段采用双柱钢结构桁架，管廊宽为3m，管廊高度一层为6m，二层为8m，管廊净空高度大于5.5m；F08-F13段采用双柱钢结构梁式管架，管廊宽为3m，管廊高度一层为6m，二层为8m，管廊净空高度大于5.5m。管廊内管道平行净距不小于80mm。</w:t>
      </w:r>
    </w:p>
    <w:p w14:paraId="2D96EFC1">
      <w:pPr>
        <w:ind w:firstLine="560"/>
        <w:rPr>
          <w:highlight w:val="none"/>
        </w:rPr>
      </w:pPr>
      <w:r>
        <w:rPr>
          <w:rFonts w:hint="eastAsia"/>
          <w:highlight w:val="none"/>
        </w:rPr>
        <w:t>外管廊管道布置详见附图管廊平面布置图及管廊断面图。</w:t>
      </w:r>
    </w:p>
    <w:p w14:paraId="063AA6D6">
      <w:pPr>
        <w:ind w:firstLine="560"/>
        <w:rPr>
          <w:highlight w:val="none"/>
        </w:rPr>
      </w:pPr>
      <w:r>
        <w:rPr>
          <w:rFonts w:hint="eastAsia"/>
          <w:highlight w:val="none"/>
        </w:rPr>
        <w:t>本项目厂外管廊体量小，管廊上不设置巡检通道，通过沿管廊的道路可满足巡检要求。</w:t>
      </w:r>
    </w:p>
    <w:p w14:paraId="04BD4FB2">
      <w:pPr>
        <w:pStyle w:val="6"/>
        <w:keepNext/>
        <w:keepLines w:val="0"/>
        <w:pageBreakBefore w:val="0"/>
        <w:widowControl w:val="0"/>
        <w:numPr>
          <w:ilvl w:val="3"/>
          <w:numId w:val="1"/>
        </w:numPr>
        <w:kinsoku/>
        <w:wordWrap/>
        <w:overflowPunct/>
        <w:topLinePunct w:val="0"/>
        <w:autoSpaceDE/>
        <w:autoSpaceDN/>
        <w:bidi w:val="0"/>
        <w:adjustRightInd/>
        <w:snapToGrid w:val="0"/>
        <w:ind w:left="0" w:firstLine="0"/>
        <w:textAlignment w:val="auto"/>
        <w:rPr>
          <w:rFonts w:hint="eastAsia" w:ascii="宋体" w:hAnsi="Times New Roman" w:cs="宋体"/>
          <w:color w:val="auto"/>
          <w:lang w:val="en-US" w:eastAsia="zh-CN"/>
        </w:rPr>
      </w:pPr>
      <w:r>
        <w:rPr>
          <w:rFonts w:hint="eastAsia" w:ascii="宋体" w:hAnsi="Times New Roman" w:cs="宋体"/>
          <w:color w:val="auto"/>
          <w:lang w:val="en-US" w:eastAsia="zh-CN"/>
        </w:rPr>
        <w:t>主要装置和设施（设备）的布局</w:t>
      </w:r>
    </w:p>
    <w:p w14:paraId="5E4782C2">
      <w:pPr>
        <w:ind w:firstLine="560"/>
      </w:pPr>
      <w:r>
        <w:rPr>
          <w:rFonts w:hint="eastAsia"/>
        </w:rPr>
        <w:t>本项目外管廊从云南瓮福祥丰氟硅新材料有限公司厂区向北出厂区用地红线，跨安丰营片区1号次干道东延长线，爬升进入林地范围，向北、向西绕行云南祥丰石化有限公司北侧林地，由西侧进入云南祥丰石化有限公司厂区内，再向南进入云南祥丰金麦化工有限公司磷酸装置区，接磷酸装置原有管廊。</w:t>
      </w:r>
    </w:p>
    <w:p w14:paraId="1A218005">
      <w:pPr>
        <w:ind w:firstLine="560"/>
      </w:pPr>
      <w:r>
        <w:rPr>
          <w:rFonts w:hint="eastAsia"/>
        </w:rPr>
        <w:t>氟硅酸来自云南祥丰金麦公司磷酸装置氟硅酸槽，去往云南瓮福祥丰氟硅新材料有限公司AHF厂区两个2000m</w:t>
      </w:r>
      <w:r>
        <w:rPr>
          <w:rFonts w:hint="eastAsia"/>
          <w:vertAlign w:val="superscript"/>
        </w:rPr>
        <w:t>3</w:t>
      </w:r>
      <w:r>
        <w:rPr>
          <w:rFonts w:hint="eastAsia"/>
        </w:rPr>
        <w:t>氟硅酸槽；</w:t>
      </w:r>
    </w:p>
    <w:p w14:paraId="5252807C">
      <w:pPr>
        <w:ind w:firstLine="560"/>
      </w:pPr>
      <w:r>
        <w:rPr>
          <w:rFonts w:hint="eastAsia"/>
        </w:rPr>
        <w:t>浓硫酸来自云南祥丰金麦公司磷酸装置浓硫酸槽，去往云南瓮福祥丰氟硅新材料有限公司AHF厂区1000m</w:t>
      </w:r>
      <w:r>
        <w:rPr>
          <w:rFonts w:hint="eastAsia"/>
          <w:vertAlign w:val="superscript"/>
        </w:rPr>
        <w:t>3</w:t>
      </w:r>
      <w:r>
        <w:rPr>
          <w:rFonts w:hint="eastAsia"/>
        </w:rPr>
        <w:t>的浓硫酸槽；</w:t>
      </w:r>
    </w:p>
    <w:p w14:paraId="465170E5">
      <w:pPr>
        <w:ind w:firstLine="560"/>
      </w:pPr>
      <w:r>
        <w:rPr>
          <w:rFonts w:hint="eastAsia"/>
        </w:rPr>
        <w:t>再浆水来自云南祥丰金麦公司磷酸装置管廊架（水处理厂北侧）渣浆水管道，去往云南瓮福祥丰氟硅新材料有限公司AHF厂区二氧化硅再浆槽；</w:t>
      </w:r>
    </w:p>
    <w:p w14:paraId="7D3626E5">
      <w:pPr>
        <w:ind w:firstLine="560"/>
      </w:pPr>
      <w:r>
        <w:rPr>
          <w:rFonts w:hint="eastAsia"/>
        </w:rPr>
        <w:t>脱盐水来自云南祥丰石化有限公司氨罐区东角脱盐水管道，去往云南瓮福祥丰氟硅新材料有限公司AHF厂区脱盐水槽；</w:t>
      </w:r>
    </w:p>
    <w:p w14:paraId="083C704F">
      <w:pPr>
        <w:ind w:firstLine="560"/>
      </w:pPr>
      <w:r>
        <w:rPr>
          <w:rFonts w:hint="eastAsia"/>
        </w:rPr>
        <w:t>饱和蒸汽来自云南祥丰石化公司合成氨装置西南侧饱和蒸汽管道，去往云南瓮福祥丰氟硅新材料有限公司AHF厂区HF再沸器及汽提塔；</w:t>
      </w:r>
    </w:p>
    <w:p w14:paraId="12259C95">
      <w:pPr>
        <w:ind w:firstLine="560"/>
      </w:pPr>
      <w:r>
        <w:rPr>
          <w:rFonts w:hint="eastAsia"/>
        </w:rPr>
        <w:t>工艺水来自云南祥丰石化公司合成氨装置东北侧（祥丰石化循环水池右后侧）工艺水管道，去往云南瓮福祥丰氟硅新材料有限公司AHF厂区循环水池及机封水使用管道；</w:t>
      </w:r>
    </w:p>
    <w:p w14:paraId="1126BD48">
      <w:pPr>
        <w:ind w:firstLine="560"/>
      </w:pPr>
      <w:r>
        <w:rPr>
          <w:rFonts w:hint="eastAsia"/>
        </w:rPr>
        <w:t>生活水来自云南祥丰石化公司绿化带（祥丰石化消防站门口涵洞处）生活水管道，去往云南瓮福祥丰氟硅新材料有限公司AHF厂区生活水槽；</w:t>
      </w:r>
    </w:p>
    <w:p w14:paraId="2AF20263">
      <w:pPr>
        <w:ind w:firstLine="560"/>
      </w:pPr>
      <w:r>
        <w:rPr>
          <w:rFonts w:hint="eastAsia"/>
        </w:rPr>
        <w:t>消防水来自云南祥丰石化公司仓库区北侧消防水管和云南祥丰石化公司氨罐区消防水管道，去往云南瓮福祥丰氟硅新材料有限公司AHF厂区消防栓；</w:t>
      </w:r>
    </w:p>
    <w:p w14:paraId="3D44DDFD">
      <w:pPr>
        <w:ind w:firstLine="560"/>
      </w:pPr>
      <w:r>
        <w:rPr>
          <w:rFonts w:hint="eastAsia"/>
        </w:rPr>
        <w:t>稀硫酸来自云南瓮福祥丰氟硅新材料有限公司AHF厂区稀硫酸槽，去往云南祥丰金麦公司磷酸装置两个反应萃取槽顶部混合器；</w:t>
      </w:r>
    </w:p>
    <w:p w14:paraId="09927959">
      <w:pPr>
        <w:ind w:firstLine="560"/>
      </w:pPr>
      <w:r>
        <w:rPr>
          <w:rFonts w:hint="eastAsia"/>
        </w:rPr>
        <w:t>过滤机洗水来自云南瓮福祥丰氟硅新材料有限公司AHF厂区过滤机洗水槽，去往云南祥丰金麦公司磷酸装置氟吸收塔；</w:t>
      </w:r>
    </w:p>
    <w:p w14:paraId="78D1C591">
      <w:pPr>
        <w:pageBreakBefore w:val="0"/>
        <w:widowControl w:val="0"/>
        <w:kinsoku/>
        <w:wordWrap/>
        <w:overflowPunct/>
        <w:topLinePunct w:val="0"/>
        <w:autoSpaceDE/>
        <w:autoSpaceDN/>
        <w:bidi w:val="0"/>
        <w:adjustRightInd/>
        <w:snapToGrid w:val="0"/>
        <w:ind w:firstLine="560" w:firstLineChars="200"/>
        <w:jc w:val="both"/>
        <w:textAlignment w:val="auto"/>
        <w:outlineLvl w:val="9"/>
        <w:rPr>
          <w:rFonts w:hint="eastAsia"/>
        </w:rPr>
      </w:pPr>
      <w:r>
        <w:rPr>
          <w:rFonts w:hint="eastAsia"/>
        </w:rPr>
        <w:t>渣浆水来自云南瓮福祥丰氟硅新材料有限公司AHF厂区二氧化硅再浆槽，去往云南祥丰金麦公司磷酸装置磷酸再浆槽）。该外管廊未经过人口密集区、学校、水源保护区、名胜古迹、风景游览区等。</w:t>
      </w:r>
    </w:p>
    <w:p w14:paraId="0D058861">
      <w:pPr>
        <w:numPr>
          <w:ilvl w:val="0"/>
          <w:numId w:val="0"/>
        </w:numPr>
        <w:ind w:leftChars="0"/>
        <w:jc w:val="center"/>
        <w:rPr>
          <w:b/>
          <w:bCs/>
          <w:sz w:val="24"/>
          <w:szCs w:val="24"/>
        </w:rPr>
      </w:pPr>
      <w:r>
        <w:rPr>
          <w:rFonts w:hint="eastAsia"/>
          <w:b/>
          <w:bCs/>
          <w:sz w:val="24"/>
          <w:szCs w:val="24"/>
          <w:lang w:val="en-US" w:eastAsia="zh-CN"/>
        </w:rPr>
        <w:t>表2.2-6</w:t>
      </w:r>
      <w:r>
        <w:rPr>
          <w:rFonts w:hint="eastAsia"/>
          <w:b/>
          <w:bCs/>
          <w:sz w:val="24"/>
          <w:szCs w:val="24"/>
        </w:rPr>
        <w:t>厂外公用工程管架与周边设施间距一览表</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1"/>
        <w:gridCol w:w="646"/>
        <w:gridCol w:w="1689"/>
        <w:gridCol w:w="1110"/>
        <w:gridCol w:w="1092"/>
        <w:gridCol w:w="1476"/>
        <w:gridCol w:w="906"/>
        <w:gridCol w:w="900"/>
      </w:tblGrid>
      <w:tr w14:paraId="75044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50" w:type="pct"/>
            <w:vMerge w:val="restart"/>
            <w:shd w:val="clear" w:color="auto" w:fill="auto"/>
            <w:vAlign w:val="center"/>
          </w:tcPr>
          <w:p w14:paraId="3130580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相邻设施</w:t>
            </w:r>
          </w:p>
        </w:tc>
        <w:tc>
          <w:tcPr>
            <w:tcW w:w="387" w:type="pct"/>
            <w:vMerge w:val="restart"/>
            <w:shd w:val="clear" w:color="auto" w:fill="auto"/>
            <w:vAlign w:val="center"/>
          </w:tcPr>
          <w:p w14:paraId="092B13F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方位</w:t>
            </w:r>
          </w:p>
        </w:tc>
        <w:tc>
          <w:tcPr>
            <w:tcW w:w="925" w:type="pct"/>
            <w:vMerge w:val="restart"/>
            <w:shd w:val="clear" w:color="auto" w:fill="auto"/>
            <w:vAlign w:val="center"/>
          </w:tcPr>
          <w:p w14:paraId="51182DF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周边环境</w:t>
            </w:r>
          </w:p>
        </w:tc>
        <w:tc>
          <w:tcPr>
            <w:tcW w:w="617" w:type="pct"/>
            <w:vMerge w:val="restart"/>
            <w:shd w:val="clear" w:color="auto" w:fill="auto"/>
            <w:vAlign w:val="center"/>
          </w:tcPr>
          <w:p w14:paraId="10ABF6C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设计距离（</w:t>
            </w:r>
            <w:r>
              <w:t>m</w:t>
            </w:r>
            <w:r>
              <w:rPr>
                <w:rFonts w:hint="eastAsia"/>
              </w:rPr>
              <w:t>）</w:t>
            </w:r>
          </w:p>
        </w:tc>
        <w:tc>
          <w:tcPr>
            <w:tcW w:w="607" w:type="pct"/>
            <w:vMerge w:val="restart"/>
            <w:shd w:val="clear" w:color="auto" w:fill="auto"/>
            <w:vAlign w:val="center"/>
          </w:tcPr>
          <w:p w14:paraId="6198294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标准要求（</w:t>
            </w:r>
            <w:r>
              <w:t>m</w:t>
            </w:r>
            <w:r>
              <w:rPr>
                <w:rFonts w:hint="eastAsia"/>
              </w:rPr>
              <w:t>）</w:t>
            </w:r>
          </w:p>
        </w:tc>
        <w:tc>
          <w:tcPr>
            <w:tcW w:w="601" w:type="pct"/>
            <w:vMerge w:val="restart"/>
            <w:shd w:val="clear" w:color="auto" w:fill="auto"/>
            <w:vAlign w:val="center"/>
          </w:tcPr>
          <w:p w14:paraId="6E29300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标准依据</w:t>
            </w:r>
          </w:p>
        </w:tc>
        <w:tc>
          <w:tcPr>
            <w:tcW w:w="508" w:type="pct"/>
            <w:vMerge w:val="restart"/>
            <w:shd w:val="clear" w:color="auto" w:fill="auto"/>
            <w:vAlign w:val="center"/>
          </w:tcPr>
          <w:p w14:paraId="4DF71A05">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是否符合</w:t>
            </w:r>
          </w:p>
        </w:tc>
        <w:tc>
          <w:tcPr>
            <w:tcW w:w="506" w:type="pct"/>
            <w:vMerge w:val="restart"/>
            <w:shd w:val="clear" w:color="auto" w:fill="auto"/>
            <w:noWrap/>
            <w:vAlign w:val="center"/>
          </w:tcPr>
          <w:p w14:paraId="0190A76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备注</w:t>
            </w:r>
          </w:p>
        </w:tc>
      </w:tr>
      <w:tr w14:paraId="302BD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50" w:type="pct"/>
            <w:vMerge w:val="continue"/>
            <w:vAlign w:val="center"/>
          </w:tcPr>
          <w:p w14:paraId="432DD31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p>
        </w:tc>
        <w:tc>
          <w:tcPr>
            <w:tcW w:w="387" w:type="pct"/>
            <w:vMerge w:val="continue"/>
            <w:vAlign w:val="center"/>
          </w:tcPr>
          <w:p w14:paraId="7E14B18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p>
        </w:tc>
        <w:tc>
          <w:tcPr>
            <w:tcW w:w="925" w:type="pct"/>
            <w:vMerge w:val="continue"/>
            <w:vAlign w:val="center"/>
          </w:tcPr>
          <w:p w14:paraId="189141B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p>
        </w:tc>
        <w:tc>
          <w:tcPr>
            <w:tcW w:w="617" w:type="pct"/>
            <w:vMerge w:val="continue"/>
            <w:vAlign w:val="center"/>
          </w:tcPr>
          <w:p w14:paraId="501B864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p>
        </w:tc>
        <w:tc>
          <w:tcPr>
            <w:tcW w:w="607" w:type="pct"/>
            <w:vMerge w:val="continue"/>
            <w:vAlign w:val="center"/>
          </w:tcPr>
          <w:p w14:paraId="2E80B0A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p>
        </w:tc>
        <w:tc>
          <w:tcPr>
            <w:tcW w:w="601" w:type="pct"/>
            <w:vMerge w:val="continue"/>
            <w:vAlign w:val="center"/>
          </w:tcPr>
          <w:p w14:paraId="517DE9A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p>
        </w:tc>
        <w:tc>
          <w:tcPr>
            <w:tcW w:w="508" w:type="pct"/>
            <w:vMerge w:val="continue"/>
            <w:vAlign w:val="center"/>
          </w:tcPr>
          <w:p w14:paraId="31B881B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p>
        </w:tc>
        <w:tc>
          <w:tcPr>
            <w:tcW w:w="506" w:type="pct"/>
            <w:vMerge w:val="continue"/>
            <w:vAlign w:val="center"/>
          </w:tcPr>
          <w:p w14:paraId="62E2B18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p>
        </w:tc>
      </w:tr>
      <w:tr w14:paraId="7C5EC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50" w:type="pct"/>
            <w:shd w:val="clear" w:color="auto" w:fill="auto"/>
            <w:vAlign w:val="center"/>
          </w:tcPr>
          <w:p w14:paraId="2433E6D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管架（A01-A09）</w:t>
            </w:r>
          </w:p>
        </w:tc>
        <w:tc>
          <w:tcPr>
            <w:tcW w:w="387" w:type="pct"/>
            <w:shd w:val="clear" w:color="auto" w:fill="auto"/>
            <w:vAlign w:val="center"/>
          </w:tcPr>
          <w:p w14:paraId="5345E77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南</w:t>
            </w:r>
          </w:p>
        </w:tc>
        <w:tc>
          <w:tcPr>
            <w:tcW w:w="925" w:type="pct"/>
            <w:shd w:val="clear" w:color="auto" w:fill="auto"/>
            <w:vAlign w:val="center"/>
          </w:tcPr>
          <w:p w14:paraId="01D595A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金麦厂区道路</w:t>
            </w:r>
          </w:p>
        </w:tc>
        <w:tc>
          <w:tcPr>
            <w:tcW w:w="617" w:type="pct"/>
            <w:shd w:val="clear" w:color="auto" w:fill="auto"/>
            <w:vAlign w:val="center"/>
          </w:tcPr>
          <w:p w14:paraId="66D92CB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3.5</w:t>
            </w:r>
          </w:p>
        </w:tc>
        <w:tc>
          <w:tcPr>
            <w:tcW w:w="607" w:type="pct"/>
            <w:shd w:val="clear" w:color="auto" w:fill="auto"/>
            <w:vAlign w:val="center"/>
          </w:tcPr>
          <w:p w14:paraId="38CE549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1</w:t>
            </w:r>
          </w:p>
        </w:tc>
        <w:tc>
          <w:tcPr>
            <w:tcW w:w="601" w:type="pct"/>
            <w:shd w:val="clear" w:color="auto" w:fill="auto"/>
            <w:vAlign w:val="center"/>
          </w:tcPr>
          <w:p w14:paraId="6A6F069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GB50316</w:t>
            </w:r>
            <w:r>
              <w:rPr>
                <w:rFonts w:hint="eastAsia"/>
              </w:rPr>
              <w:t>第8.1.6条、</w:t>
            </w:r>
            <w:r>
              <w:t>GB50489</w:t>
            </w:r>
            <w:r>
              <w:rPr>
                <w:rFonts w:hint="eastAsia"/>
              </w:rPr>
              <w:t>表</w:t>
            </w:r>
            <w:r>
              <w:t>7.3.7</w:t>
            </w:r>
          </w:p>
        </w:tc>
        <w:tc>
          <w:tcPr>
            <w:tcW w:w="508" w:type="pct"/>
            <w:shd w:val="clear" w:color="auto" w:fill="auto"/>
            <w:vAlign w:val="center"/>
          </w:tcPr>
          <w:p w14:paraId="6F09A075">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符合</w:t>
            </w:r>
          </w:p>
        </w:tc>
        <w:tc>
          <w:tcPr>
            <w:tcW w:w="506" w:type="pct"/>
            <w:vMerge w:val="restart"/>
            <w:shd w:val="clear" w:color="auto" w:fill="auto"/>
            <w:vAlign w:val="center"/>
          </w:tcPr>
          <w:p w14:paraId="56E1324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本项目管架输送物料为公用工程和不可燃液体，无可燃气体、液化烃和可燃液体等。</w:t>
            </w:r>
          </w:p>
        </w:tc>
      </w:tr>
      <w:tr w14:paraId="65572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50" w:type="pct"/>
            <w:shd w:val="clear" w:color="auto" w:fill="auto"/>
            <w:vAlign w:val="center"/>
          </w:tcPr>
          <w:p w14:paraId="77BAE24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管架（C01-C08）</w:t>
            </w:r>
          </w:p>
        </w:tc>
        <w:tc>
          <w:tcPr>
            <w:tcW w:w="387" w:type="pct"/>
            <w:shd w:val="clear" w:color="auto" w:fill="auto"/>
            <w:vAlign w:val="center"/>
          </w:tcPr>
          <w:p w14:paraId="215E06D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西</w:t>
            </w:r>
          </w:p>
        </w:tc>
        <w:tc>
          <w:tcPr>
            <w:tcW w:w="925" w:type="pct"/>
            <w:shd w:val="clear" w:color="auto" w:fill="auto"/>
            <w:vAlign w:val="center"/>
          </w:tcPr>
          <w:p w14:paraId="438FF7F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金麦厂区道路</w:t>
            </w:r>
          </w:p>
        </w:tc>
        <w:tc>
          <w:tcPr>
            <w:tcW w:w="617" w:type="pct"/>
            <w:shd w:val="clear" w:color="auto" w:fill="auto"/>
            <w:vAlign w:val="center"/>
          </w:tcPr>
          <w:p w14:paraId="22FD78B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1.8</w:t>
            </w:r>
          </w:p>
        </w:tc>
        <w:tc>
          <w:tcPr>
            <w:tcW w:w="607" w:type="pct"/>
            <w:shd w:val="clear" w:color="auto" w:fill="auto"/>
            <w:vAlign w:val="center"/>
          </w:tcPr>
          <w:p w14:paraId="60087E2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1</w:t>
            </w:r>
          </w:p>
        </w:tc>
        <w:tc>
          <w:tcPr>
            <w:tcW w:w="601" w:type="pct"/>
            <w:shd w:val="clear" w:color="auto" w:fill="auto"/>
            <w:vAlign w:val="center"/>
          </w:tcPr>
          <w:p w14:paraId="5B33487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GB50316</w:t>
            </w:r>
            <w:r>
              <w:rPr>
                <w:rFonts w:hint="eastAsia"/>
              </w:rPr>
              <w:t>第8.1.6条、</w:t>
            </w:r>
            <w:r>
              <w:t>GB50489</w:t>
            </w:r>
            <w:r>
              <w:rPr>
                <w:rFonts w:hint="eastAsia"/>
              </w:rPr>
              <w:t>表</w:t>
            </w:r>
            <w:r>
              <w:t>7.3.7</w:t>
            </w:r>
          </w:p>
        </w:tc>
        <w:tc>
          <w:tcPr>
            <w:tcW w:w="508" w:type="pct"/>
            <w:shd w:val="clear" w:color="auto" w:fill="auto"/>
            <w:vAlign w:val="center"/>
          </w:tcPr>
          <w:p w14:paraId="27CAE88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符合</w:t>
            </w:r>
          </w:p>
        </w:tc>
        <w:tc>
          <w:tcPr>
            <w:tcW w:w="506" w:type="pct"/>
            <w:vMerge w:val="continue"/>
            <w:vAlign w:val="center"/>
          </w:tcPr>
          <w:p w14:paraId="1DA225F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p>
        </w:tc>
      </w:tr>
      <w:tr w14:paraId="2DD01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50" w:type="pct"/>
            <w:shd w:val="clear" w:color="auto" w:fill="auto"/>
            <w:vAlign w:val="center"/>
          </w:tcPr>
          <w:p w14:paraId="20C6F9E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管架（C08-C25）</w:t>
            </w:r>
          </w:p>
        </w:tc>
        <w:tc>
          <w:tcPr>
            <w:tcW w:w="387" w:type="pct"/>
            <w:shd w:val="clear" w:color="auto" w:fill="auto"/>
            <w:vAlign w:val="center"/>
          </w:tcPr>
          <w:p w14:paraId="64F5E9E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东</w:t>
            </w:r>
          </w:p>
        </w:tc>
        <w:tc>
          <w:tcPr>
            <w:tcW w:w="925" w:type="pct"/>
            <w:shd w:val="clear" w:color="auto" w:fill="auto"/>
            <w:vAlign w:val="center"/>
          </w:tcPr>
          <w:p w14:paraId="3C7E49D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金麦厂区道路</w:t>
            </w:r>
          </w:p>
        </w:tc>
        <w:tc>
          <w:tcPr>
            <w:tcW w:w="617" w:type="pct"/>
            <w:shd w:val="clear" w:color="auto" w:fill="auto"/>
            <w:vAlign w:val="center"/>
          </w:tcPr>
          <w:p w14:paraId="65C9015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1.2</w:t>
            </w:r>
          </w:p>
        </w:tc>
        <w:tc>
          <w:tcPr>
            <w:tcW w:w="607" w:type="pct"/>
            <w:shd w:val="clear" w:color="auto" w:fill="auto"/>
            <w:vAlign w:val="center"/>
          </w:tcPr>
          <w:p w14:paraId="38EE80D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1</w:t>
            </w:r>
          </w:p>
        </w:tc>
        <w:tc>
          <w:tcPr>
            <w:tcW w:w="601" w:type="pct"/>
            <w:shd w:val="clear" w:color="auto" w:fill="auto"/>
            <w:vAlign w:val="center"/>
          </w:tcPr>
          <w:p w14:paraId="7A6A206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GB50316</w:t>
            </w:r>
            <w:r>
              <w:rPr>
                <w:rFonts w:hint="eastAsia"/>
              </w:rPr>
              <w:t>第8.1.6条、</w:t>
            </w:r>
            <w:r>
              <w:t>GB50489</w:t>
            </w:r>
            <w:r>
              <w:rPr>
                <w:rFonts w:hint="eastAsia"/>
              </w:rPr>
              <w:t>表</w:t>
            </w:r>
            <w:r>
              <w:t>7.3.7</w:t>
            </w:r>
          </w:p>
        </w:tc>
        <w:tc>
          <w:tcPr>
            <w:tcW w:w="508" w:type="pct"/>
            <w:shd w:val="clear" w:color="auto" w:fill="auto"/>
            <w:vAlign w:val="center"/>
          </w:tcPr>
          <w:p w14:paraId="3528541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符合</w:t>
            </w:r>
          </w:p>
        </w:tc>
        <w:tc>
          <w:tcPr>
            <w:tcW w:w="506" w:type="pct"/>
            <w:vMerge w:val="continue"/>
            <w:vAlign w:val="center"/>
          </w:tcPr>
          <w:p w14:paraId="4668EA8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p>
        </w:tc>
      </w:tr>
      <w:tr w14:paraId="2300A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50" w:type="pct"/>
            <w:shd w:val="clear" w:color="auto" w:fill="auto"/>
            <w:vAlign w:val="center"/>
          </w:tcPr>
          <w:p w14:paraId="63B89FE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管架（C08-C25）</w:t>
            </w:r>
          </w:p>
        </w:tc>
        <w:tc>
          <w:tcPr>
            <w:tcW w:w="387" w:type="pct"/>
            <w:shd w:val="clear" w:color="auto" w:fill="auto"/>
            <w:vAlign w:val="center"/>
          </w:tcPr>
          <w:p w14:paraId="53F098A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西</w:t>
            </w:r>
          </w:p>
        </w:tc>
        <w:tc>
          <w:tcPr>
            <w:tcW w:w="925" w:type="pct"/>
            <w:shd w:val="clear" w:color="auto" w:fill="auto"/>
            <w:vAlign w:val="center"/>
          </w:tcPr>
          <w:p w14:paraId="6374BF2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厂房</w:t>
            </w:r>
          </w:p>
        </w:tc>
        <w:tc>
          <w:tcPr>
            <w:tcW w:w="617" w:type="pct"/>
            <w:shd w:val="clear" w:color="auto" w:fill="auto"/>
            <w:vAlign w:val="center"/>
          </w:tcPr>
          <w:p w14:paraId="6A82BC0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5.8</w:t>
            </w:r>
          </w:p>
        </w:tc>
        <w:tc>
          <w:tcPr>
            <w:tcW w:w="607" w:type="pct"/>
            <w:shd w:val="clear" w:color="auto" w:fill="auto"/>
            <w:vAlign w:val="center"/>
          </w:tcPr>
          <w:p w14:paraId="6DD9EC4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3</w:t>
            </w:r>
          </w:p>
        </w:tc>
        <w:tc>
          <w:tcPr>
            <w:tcW w:w="601" w:type="pct"/>
            <w:shd w:val="clear" w:color="auto" w:fill="auto"/>
            <w:vAlign w:val="center"/>
          </w:tcPr>
          <w:p w14:paraId="5C16312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GB50316</w:t>
            </w:r>
            <w:r>
              <w:rPr>
                <w:rFonts w:hint="eastAsia"/>
              </w:rPr>
              <w:t>第8.1.6条、</w:t>
            </w:r>
            <w:r>
              <w:t>GB50489</w:t>
            </w:r>
            <w:r>
              <w:rPr>
                <w:rFonts w:hint="eastAsia"/>
              </w:rPr>
              <w:t>表</w:t>
            </w:r>
            <w:r>
              <w:t>7.3.7</w:t>
            </w:r>
          </w:p>
        </w:tc>
        <w:tc>
          <w:tcPr>
            <w:tcW w:w="508" w:type="pct"/>
            <w:shd w:val="clear" w:color="auto" w:fill="auto"/>
            <w:vAlign w:val="center"/>
          </w:tcPr>
          <w:p w14:paraId="6535ACA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符合</w:t>
            </w:r>
          </w:p>
        </w:tc>
        <w:tc>
          <w:tcPr>
            <w:tcW w:w="506" w:type="pct"/>
            <w:vMerge w:val="continue"/>
            <w:vAlign w:val="center"/>
          </w:tcPr>
          <w:p w14:paraId="2D03A8E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p>
        </w:tc>
      </w:tr>
      <w:tr w14:paraId="4DADC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50" w:type="pct"/>
            <w:shd w:val="clear" w:color="auto" w:fill="auto"/>
            <w:vAlign w:val="center"/>
          </w:tcPr>
          <w:p w14:paraId="23BC17D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管架（C08-C25）</w:t>
            </w:r>
          </w:p>
        </w:tc>
        <w:tc>
          <w:tcPr>
            <w:tcW w:w="387" w:type="pct"/>
            <w:shd w:val="clear" w:color="auto" w:fill="auto"/>
            <w:vAlign w:val="center"/>
          </w:tcPr>
          <w:p w14:paraId="0EE2877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西</w:t>
            </w:r>
          </w:p>
        </w:tc>
        <w:tc>
          <w:tcPr>
            <w:tcW w:w="925" w:type="pct"/>
            <w:shd w:val="clear" w:color="auto" w:fill="auto"/>
            <w:vAlign w:val="center"/>
          </w:tcPr>
          <w:p w14:paraId="7C98287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厂房</w:t>
            </w:r>
          </w:p>
        </w:tc>
        <w:tc>
          <w:tcPr>
            <w:tcW w:w="617" w:type="pct"/>
            <w:shd w:val="clear" w:color="auto" w:fill="auto"/>
            <w:vAlign w:val="center"/>
          </w:tcPr>
          <w:p w14:paraId="48685CC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6.3</w:t>
            </w:r>
          </w:p>
        </w:tc>
        <w:tc>
          <w:tcPr>
            <w:tcW w:w="607" w:type="pct"/>
            <w:shd w:val="clear" w:color="auto" w:fill="auto"/>
            <w:vAlign w:val="center"/>
          </w:tcPr>
          <w:p w14:paraId="5793156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3</w:t>
            </w:r>
          </w:p>
        </w:tc>
        <w:tc>
          <w:tcPr>
            <w:tcW w:w="601" w:type="pct"/>
            <w:shd w:val="clear" w:color="auto" w:fill="auto"/>
            <w:vAlign w:val="center"/>
          </w:tcPr>
          <w:p w14:paraId="56ADDA6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GB50316</w:t>
            </w:r>
            <w:r>
              <w:rPr>
                <w:rFonts w:hint="eastAsia"/>
              </w:rPr>
              <w:t>第8.1.6条、</w:t>
            </w:r>
            <w:r>
              <w:t>GB50489</w:t>
            </w:r>
            <w:r>
              <w:rPr>
                <w:rFonts w:hint="eastAsia"/>
              </w:rPr>
              <w:t>表</w:t>
            </w:r>
            <w:r>
              <w:t>7.3.7</w:t>
            </w:r>
          </w:p>
        </w:tc>
        <w:tc>
          <w:tcPr>
            <w:tcW w:w="508" w:type="pct"/>
            <w:shd w:val="clear" w:color="auto" w:fill="auto"/>
            <w:vAlign w:val="center"/>
          </w:tcPr>
          <w:p w14:paraId="146F8AA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符合</w:t>
            </w:r>
          </w:p>
        </w:tc>
        <w:tc>
          <w:tcPr>
            <w:tcW w:w="506" w:type="pct"/>
            <w:vMerge w:val="continue"/>
            <w:vAlign w:val="center"/>
          </w:tcPr>
          <w:p w14:paraId="42F93A8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p>
        </w:tc>
      </w:tr>
      <w:tr w14:paraId="2E3A0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50" w:type="pct"/>
            <w:shd w:val="clear" w:color="auto" w:fill="auto"/>
            <w:vAlign w:val="center"/>
          </w:tcPr>
          <w:p w14:paraId="12AA4DB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管架（C25-C63）</w:t>
            </w:r>
          </w:p>
        </w:tc>
        <w:tc>
          <w:tcPr>
            <w:tcW w:w="387" w:type="pct"/>
            <w:shd w:val="clear" w:color="auto" w:fill="auto"/>
            <w:vAlign w:val="center"/>
          </w:tcPr>
          <w:p w14:paraId="22BBE4F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东</w:t>
            </w:r>
          </w:p>
        </w:tc>
        <w:tc>
          <w:tcPr>
            <w:tcW w:w="925" w:type="pct"/>
            <w:shd w:val="clear" w:color="auto" w:fill="auto"/>
            <w:vAlign w:val="center"/>
          </w:tcPr>
          <w:p w14:paraId="76739BD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金麦厂区道路</w:t>
            </w:r>
          </w:p>
        </w:tc>
        <w:tc>
          <w:tcPr>
            <w:tcW w:w="617" w:type="pct"/>
            <w:shd w:val="clear" w:color="auto" w:fill="auto"/>
            <w:vAlign w:val="center"/>
          </w:tcPr>
          <w:p w14:paraId="195DD28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1.1</w:t>
            </w:r>
          </w:p>
        </w:tc>
        <w:tc>
          <w:tcPr>
            <w:tcW w:w="607" w:type="pct"/>
            <w:shd w:val="clear" w:color="auto" w:fill="auto"/>
            <w:vAlign w:val="center"/>
          </w:tcPr>
          <w:p w14:paraId="0DC4CA7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1</w:t>
            </w:r>
          </w:p>
        </w:tc>
        <w:tc>
          <w:tcPr>
            <w:tcW w:w="601" w:type="pct"/>
            <w:shd w:val="clear" w:color="auto" w:fill="auto"/>
            <w:vAlign w:val="center"/>
          </w:tcPr>
          <w:p w14:paraId="4DE2EAD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GB50316</w:t>
            </w:r>
            <w:r>
              <w:rPr>
                <w:rFonts w:hint="eastAsia"/>
              </w:rPr>
              <w:t>第8.1.6条、</w:t>
            </w:r>
            <w:r>
              <w:t>GB50489</w:t>
            </w:r>
            <w:r>
              <w:rPr>
                <w:rFonts w:hint="eastAsia"/>
              </w:rPr>
              <w:t>表</w:t>
            </w:r>
            <w:r>
              <w:t>7.3.7</w:t>
            </w:r>
          </w:p>
        </w:tc>
        <w:tc>
          <w:tcPr>
            <w:tcW w:w="508" w:type="pct"/>
            <w:shd w:val="clear" w:color="auto" w:fill="auto"/>
            <w:vAlign w:val="center"/>
          </w:tcPr>
          <w:p w14:paraId="577720D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符合</w:t>
            </w:r>
          </w:p>
        </w:tc>
        <w:tc>
          <w:tcPr>
            <w:tcW w:w="506" w:type="pct"/>
            <w:vMerge w:val="continue"/>
            <w:vAlign w:val="center"/>
          </w:tcPr>
          <w:p w14:paraId="622F9C4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p>
        </w:tc>
      </w:tr>
      <w:tr w14:paraId="5E656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50" w:type="pct"/>
            <w:shd w:val="clear" w:color="auto" w:fill="auto"/>
            <w:vAlign w:val="center"/>
          </w:tcPr>
          <w:p w14:paraId="6C6AFBE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管架（D12-D21）</w:t>
            </w:r>
          </w:p>
        </w:tc>
        <w:tc>
          <w:tcPr>
            <w:tcW w:w="387" w:type="pct"/>
            <w:shd w:val="clear" w:color="auto" w:fill="auto"/>
            <w:vAlign w:val="center"/>
          </w:tcPr>
          <w:p w14:paraId="26B00EA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南</w:t>
            </w:r>
          </w:p>
        </w:tc>
        <w:tc>
          <w:tcPr>
            <w:tcW w:w="925" w:type="pct"/>
            <w:shd w:val="clear" w:color="auto" w:fill="auto"/>
            <w:vAlign w:val="center"/>
          </w:tcPr>
          <w:p w14:paraId="6FEB1EB5">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祥丰石化发电厂房</w:t>
            </w:r>
          </w:p>
        </w:tc>
        <w:tc>
          <w:tcPr>
            <w:tcW w:w="617" w:type="pct"/>
            <w:shd w:val="clear" w:color="auto" w:fill="auto"/>
            <w:vAlign w:val="center"/>
          </w:tcPr>
          <w:p w14:paraId="0793865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22.7</w:t>
            </w:r>
          </w:p>
        </w:tc>
        <w:tc>
          <w:tcPr>
            <w:tcW w:w="607" w:type="pct"/>
            <w:shd w:val="clear" w:color="auto" w:fill="auto"/>
            <w:vAlign w:val="center"/>
          </w:tcPr>
          <w:p w14:paraId="20B042F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3</w:t>
            </w:r>
          </w:p>
        </w:tc>
        <w:tc>
          <w:tcPr>
            <w:tcW w:w="601" w:type="pct"/>
            <w:shd w:val="clear" w:color="auto" w:fill="auto"/>
            <w:vAlign w:val="center"/>
          </w:tcPr>
          <w:p w14:paraId="7A9B12A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GB50316</w:t>
            </w:r>
            <w:r>
              <w:rPr>
                <w:rFonts w:hint="eastAsia"/>
              </w:rPr>
              <w:t>第8.1.6条、</w:t>
            </w:r>
            <w:r>
              <w:t>GB50489</w:t>
            </w:r>
            <w:r>
              <w:rPr>
                <w:rFonts w:hint="eastAsia"/>
              </w:rPr>
              <w:t>表</w:t>
            </w:r>
            <w:r>
              <w:t>7.3.7</w:t>
            </w:r>
          </w:p>
        </w:tc>
        <w:tc>
          <w:tcPr>
            <w:tcW w:w="508" w:type="pct"/>
            <w:shd w:val="clear" w:color="auto" w:fill="auto"/>
            <w:vAlign w:val="center"/>
          </w:tcPr>
          <w:p w14:paraId="4B2BA68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符合</w:t>
            </w:r>
          </w:p>
        </w:tc>
        <w:tc>
          <w:tcPr>
            <w:tcW w:w="506" w:type="pct"/>
            <w:vMerge w:val="continue"/>
            <w:vAlign w:val="center"/>
          </w:tcPr>
          <w:p w14:paraId="08848EB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p>
        </w:tc>
      </w:tr>
      <w:tr w14:paraId="48948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50" w:type="pct"/>
            <w:shd w:val="clear" w:color="auto" w:fill="auto"/>
            <w:vAlign w:val="center"/>
          </w:tcPr>
          <w:p w14:paraId="41509D1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管架（D22-D85）</w:t>
            </w:r>
          </w:p>
        </w:tc>
        <w:tc>
          <w:tcPr>
            <w:tcW w:w="387" w:type="pct"/>
            <w:shd w:val="clear" w:color="auto" w:fill="auto"/>
            <w:vAlign w:val="center"/>
          </w:tcPr>
          <w:p w14:paraId="7AC4742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南</w:t>
            </w:r>
          </w:p>
        </w:tc>
        <w:tc>
          <w:tcPr>
            <w:tcW w:w="925" w:type="pct"/>
            <w:shd w:val="clear" w:color="auto" w:fill="auto"/>
            <w:vAlign w:val="center"/>
          </w:tcPr>
          <w:p w14:paraId="1B91E78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祥丰石化合成氨</w:t>
            </w:r>
          </w:p>
        </w:tc>
        <w:tc>
          <w:tcPr>
            <w:tcW w:w="617" w:type="pct"/>
            <w:shd w:val="clear" w:color="auto" w:fill="auto"/>
            <w:vAlign w:val="center"/>
          </w:tcPr>
          <w:p w14:paraId="494A42F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22.7</w:t>
            </w:r>
          </w:p>
        </w:tc>
        <w:tc>
          <w:tcPr>
            <w:tcW w:w="607" w:type="pct"/>
            <w:shd w:val="clear" w:color="auto" w:fill="auto"/>
            <w:vAlign w:val="center"/>
          </w:tcPr>
          <w:p w14:paraId="5CC87BF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3</w:t>
            </w:r>
          </w:p>
        </w:tc>
        <w:tc>
          <w:tcPr>
            <w:tcW w:w="601" w:type="pct"/>
            <w:shd w:val="clear" w:color="auto" w:fill="auto"/>
            <w:vAlign w:val="center"/>
          </w:tcPr>
          <w:p w14:paraId="460C094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GB50316</w:t>
            </w:r>
            <w:r>
              <w:rPr>
                <w:rFonts w:hint="eastAsia"/>
              </w:rPr>
              <w:t>第8.1.6条、</w:t>
            </w:r>
            <w:r>
              <w:t>GB50489</w:t>
            </w:r>
            <w:r>
              <w:rPr>
                <w:rFonts w:hint="eastAsia"/>
              </w:rPr>
              <w:t>表</w:t>
            </w:r>
            <w:r>
              <w:t>7.3.7</w:t>
            </w:r>
          </w:p>
        </w:tc>
        <w:tc>
          <w:tcPr>
            <w:tcW w:w="508" w:type="pct"/>
            <w:shd w:val="clear" w:color="auto" w:fill="auto"/>
            <w:vAlign w:val="center"/>
          </w:tcPr>
          <w:p w14:paraId="65E4CFB5">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符合</w:t>
            </w:r>
          </w:p>
        </w:tc>
        <w:tc>
          <w:tcPr>
            <w:tcW w:w="506" w:type="pct"/>
            <w:vMerge w:val="continue"/>
            <w:vAlign w:val="center"/>
          </w:tcPr>
          <w:p w14:paraId="7E35D60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p>
        </w:tc>
      </w:tr>
      <w:tr w14:paraId="0B48D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blHeader/>
          <w:jc w:val="center"/>
        </w:trPr>
        <w:tc>
          <w:tcPr>
            <w:tcW w:w="850" w:type="pct"/>
            <w:shd w:val="clear" w:color="auto" w:fill="auto"/>
            <w:vAlign w:val="center"/>
          </w:tcPr>
          <w:p w14:paraId="4497A29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管架（D22-D85）</w:t>
            </w:r>
          </w:p>
        </w:tc>
        <w:tc>
          <w:tcPr>
            <w:tcW w:w="387" w:type="pct"/>
            <w:shd w:val="clear" w:color="auto" w:fill="auto"/>
            <w:vAlign w:val="center"/>
          </w:tcPr>
          <w:p w14:paraId="6DFC735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南</w:t>
            </w:r>
          </w:p>
        </w:tc>
        <w:tc>
          <w:tcPr>
            <w:tcW w:w="925" w:type="pct"/>
            <w:shd w:val="clear" w:color="auto" w:fill="auto"/>
            <w:vAlign w:val="center"/>
          </w:tcPr>
          <w:p w14:paraId="18C39D1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祥丰石化循环水站</w:t>
            </w:r>
          </w:p>
        </w:tc>
        <w:tc>
          <w:tcPr>
            <w:tcW w:w="617" w:type="pct"/>
            <w:shd w:val="clear" w:color="auto" w:fill="auto"/>
            <w:vAlign w:val="center"/>
          </w:tcPr>
          <w:p w14:paraId="76D774D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58.4</w:t>
            </w:r>
          </w:p>
        </w:tc>
        <w:tc>
          <w:tcPr>
            <w:tcW w:w="607" w:type="pct"/>
            <w:shd w:val="clear" w:color="auto" w:fill="auto"/>
            <w:vAlign w:val="center"/>
          </w:tcPr>
          <w:p w14:paraId="254589B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3</w:t>
            </w:r>
          </w:p>
        </w:tc>
        <w:tc>
          <w:tcPr>
            <w:tcW w:w="601" w:type="pct"/>
            <w:shd w:val="clear" w:color="auto" w:fill="auto"/>
            <w:vAlign w:val="center"/>
          </w:tcPr>
          <w:p w14:paraId="6FC516E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GB50316</w:t>
            </w:r>
            <w:r>
              <w:rPr>
                <w:rFonts w:hint="eastAsia"/>
              </w:rPr>
              <w:t>第8.1.6条、</w:t>
            </w:r>
            <w:r>
              <w:t>GB50489</w:t>
            </w:r>
            <w:r>
              <w:rPr>
                <w:rFonts w:hint="eastAsia"/>
              </w:rPr>
              <w:t>表</w:t>
            </w:r>
            <w:r>
              <w:t>7.3.7</w:t>
            </w:r>
          </w:p>
        </w:tc>
        <w:tc>
          <w:tcPr>
            <w:tcW w:w="508" w:type="pct"/>
            <w:shd w:val="clear" w:color="auto" w:fill="auto"/>
            <w:vAlign w:val="center"/>
          </w:tcPr>
          <w:p w14:paraId="49E84B3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符合</w:t>
            </w:r>
          </w:p>
        </w:tc>
        <w:tc>
          <w:tcPr>
            <w:tcW w:w="506" w:type="pct"/>
            <w:vMerge w:val="continue"/>
            <w:vAlign w:val="center"/>
          </w:tcPr>
          <w:p w14:paraId="6D9BBFE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p>
        </w:tc>
      </w:tr>
      <w:tr w14:paraId="75232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50" w:type="pct"/>
            <w:shd w:val="clear" w:color="auto" w:fill="auto"/>
            <w:vAlign w:val="center"/>
          </w:tcPr>
          <w:p w14:paraId="46D33C2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管架（D22-D85）</w:t>
            </w:r>
          </w:p>
        </w:tc>
        <w:tc>
          <w:tcPr>
            <w:tcW w:w="387" w:type="pct"/>
            <w:shd w:val="clear" w:color="auto" w:fill="auto"/>
            <w:vAlign w:val="center"/>
          </w:tcPr>
          <w:p w14:paraId="51B360C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南</w:t>
            </w:r>
          </w:p>
        </w:tc>
        <w:tc>
          <w:tcPr>
            <w:tcW w:w="925" w:type="pct"/>
            <w:shd w:val="clear" w:color="auto" w:fill="auto"/>
            <w:vAlign w:val="center"/>
          </w:tcPr>
          <w:p w14:paraId="4B27D51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祥丰石化综合仓库</w:t>
            </w:r>
          </w:p>
        </w:tc>
        <w:tc>
          <w:tcPr>
            <w:tcW w:w="617" w:type="pct"/>
            <w:shd w:val="clear" w:color="auto" w:fill="auto"/>
            <w:vAlign w:val="center"/>
          </w:tcPr>
          <w:p w14:paraId="7EFFA9B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73.3</w:t>
            </w:r>
          </w:p>
        </w:tc>
        <w:tc>
          <w:tcPr>
            <w:tcW w:w="607" w:type="pct"/>
            <w:shd w:val="clear" w:color="auto" w:fill="auto"/>
            <w:vAlign w:val="center"/>
          </w:tcPr>
          <w:p w14:paraId="79E32CD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3</w:t>
            </w:r>
          </w:p>
        </w:tc>
        <w:tc>
          <w:tcPr>
            <w:tcW w:w="601" w:type="pct"/>
            <w:shd w:val="clear" w:color="auto" w:fill="auto"/>
            <w:vAlign w:val="center"/>
          </w:tcPr>
          <w:p w14:paraId="6B74BE6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GB50316</w:t>
            </w:r>
            <w:r>
              <w:rPr>
                <w:rFonts w:hint="eastAsia"/>
              </w:rPr>
              <w:t>第8.1.6条、</w:t>
            </w:r>
            <w:r>
              <w:t>GB50489</w:t>
            </w:r>
            <w:r>
              <w:rPr>
                <w:rFonts w:hint="eastAsia"/>
              </w:rPr>
              <w:t>表</w:t>
            </w:r>
            <w:r>
              <w:t>7.3.7</w:t>
            </w:r>
          </w:p>
        </w:tc>
        <w:tc>
          <w:tcPr>
            <w:tcW w:w="508" w:type="pct"/>
            <w:shd w:val="clear" w:color="auto" w:fill="auto"/>
            <w:vAlign w:val="center"/>
          </w:tcPr>
          <w:p w14:paraId="02C2576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符合</w:t>
            </w:r>
          </w:p>
        </w:tc>
        <w:tc>
          <w:tcPr>
            <w:tcW w:w="506" w:type="pct"/>
            <w:vMerge w:val="continue"/>
            <w:vAlign w:val="center"/>
          </w:tcPr>
          <w:p w14:paraId="345D421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p>
        </w:tc>
      </w:tr>
      <w:tr w14:paraId="1AFCB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50" w:type="pct"/>
            <w:shd w:val="clear" w:color="auto" w:fill="auto"/>
            <w:vAlign w:val="center"/>
          </w:tcPr>
          <w:p w14:paraId="16706C6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管架（E43-E73）</w:t>
            </w:r>
          </w:p>
        </w:tc>
        <w:tc>
          <w:tcPr>
            <w:tcW w:w="387" w:type="pct"/>
            <w:shd w:val="clear" w:color="auto" w:fill="auto"/>
            <w:vAlign w:val="center"/>
          </w:tcPr>
          <w:p w14:paraId="58B4491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南</w:t>
            </w:r>
          </w:p>
        </w:tc>
        <w:tc>
          <w:tcPr>
            <w:tcW w:w="925" w:type="pct"/>
            <w:shd w:val="clear" w:color="auto" w:fill="auto"/>
            <w:vAlign w:val="center"/>
          </w:tcPr>
          <w:p w14:paraId="44BA259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氨站液氨储罐</w:t>
            </w:r>
          </w:p>
        </w:tc>
        <w:tc>
          <w:tcPr>
            <w:tcW w:w="617" w:type="pct"/>
            <w:shd w:val="clear" w:color="auto" w:fill="auto"/>
            <w:vAlign w:val="center"/>
          </w:tcPr>
          <w:p w14:paraId="3F35862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68.7</w:t>
            </w:r>
          </w:p>
        </w:tc>
        <w:tc>
          <w:tcPr>
            <w:tcW w:w="607" w:type="pct"/>
            <w:shd w:val="clear" w:color="auto" w:fill="auto"/>
            <w:vAlign w:val="center"/>
          </w:tcPr>
          <w:p w14:paraId="75A51D9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w:t>
            </w:r>
          </w:p>
        </w:tc>
        <w:tc>
          <w:tcPr>
            <w:tcW w:w="601" w:type="pct"/>
            <w:shd w:val="clear" w:color="auto" w:fill="auto"/>
            <w:vAlign w:val="center"/>
          </w:tcPr>
          <w:p w14:paraId="7BCDD60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GB50316</w:t>
            </w:r>
            <w:r>
              <w:rPr>
                <w:rFonts w:hint="eastAsia"/>
              </w:rPr>
              <w:t>第8.1.6条、</w:t>
            </w:r>
            <w:r>
              <w:t>GB50489</w:t>
            </w:r>
            <w:r>
              <w:rPr>
                <w:rFonts w:hint="eastAsia"/>
              </w:rPr>
              <w:t>表</w:t>
            </w:r>
            <w:r>
              <w:t>7.3.7</w:t>
            </w:r>
          </w:p>
        </w:tc>
        <w:tc>
          <w:tcPr>
            <w:tcW w:w="508" w:type="pct"/>
            <w:shd w:val="clear" w:color="auto" w:fill="auto"/>
            <w:vAlign w:val="center"/>
          </w:tcPr>
          <w:p w14:paraId="43EEC7C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符合</w:t>
            </w:r>
          </w:p>
        </w:tc>
        <w:tc>
          <w:tcPr>
            <w:tcW w:w="506" w:type="pct"/>
            <w:vMerge w:val="continue"/>
            <w:vAlign w:val="center"/>
          </w:tcPr>
          <w:p w14:paraId="6A6A9F2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p>
        </w:tc>
      </w:tr>
      <w:tr w14:paraId="1454B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50" w:type="pct"/>
            <w:shd w:val="clear" w:color="auto" w:fill="auto"/>
            <w:vAlign w:val="center"/>
          </w:tcPr>
          <w:p w14:paraId="33691C0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管架（E74-E93）</w:t>
            </w:r>
          </w:p>
        </w:tc>
        <w:tc>
          <w:tcPr>
            <w:tcW w:w="387" w:type="pct"/>
            <w:shd w:val="clear" w:color="auto" w:fill="auto"/>
            <w:vAlign w:val="center"/>
          </w:tcPr>
          <w:p w14:paraId="3D31A31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西</w:t>
            </w:r>
          </w:p>
        </w:tc>
        <w:tc>
          <w:tcPr>
            <w:tcW w:w="925" w:type="pct"/>
            <w:shd w:val="clear" w:color="auto" w:fill="auto"/>
            <w:vAlign w:val="center"/>
          </w:tcPr>
          <w:p w14:paraId="60727E75">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氨站液氨储罐</w:t>
            </w:r>
          </w:p>
        </w:tc>
        <w:tc>
          <w:tcPr>
            <w:tcW w:w="617" w:type="pct"/>
            <w:shd w:val="clear" w:color="auto" w:fill="auto"/>
            <w:vAlign w:val="center"/>
          </w:tcPr>
          <w:p w14:paraId="65589C8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68.4</w:t>
            </w:r>
          </w:p>
        </w:tc>
        <w:tc>
          <w:tcPr>
            <w:tcW w:w="607" w:type="pct"/>
            <w:shd w:val="clear" w:color="auto" w:fill="auto"/>
            <w:vAlign w:val="center"/>
          </w:tcPr>
          <w:p w14:paraId="6248F07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w:t>
            </w:r>
          </w:p>
        </w:tc>
        <w:tc>
          <w:tcPr>
            <w:tcW w:w="601" w:type="pct"/>
            <w:shd w:val="clear" w:color="auto" w:fill="auto"/>
            <w:vAlign w:val="center"/>
          </w:tcPr>
          <w:p w14:paraId="53D9E29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GB50316</w:t>
            </w:r>
            <w:r>
              <w:rPr>
                <w:rFonts w:hint="eastAsia"/>
              </w:rPr>
              <w:t>第8.1.6条、</w:t>
            </w:r>
            <w:r>
              <w:t>GB50489</w:t>
            </w:r>
            <w:r>
              <w:rPr>
                <w:rFonts w:hint="eastAsia"/>
              </w:rPr>
              <w:t>表</w:t>
            </w:r>
            <w:r>
              <w:t>7.3.7</w:t>
            </w:r>
          </w:p>
        </w:tc>
        <w:tc>
          <w:tcPr>
            <w:tcW w:w="508" w:type="pct"/>
            <w:shd w:val="clear" w:color="auto" w:fill="auto"/>
            <w:vAlign w:val="center"/>
          </w:tcPr>
          <w:p w14:paraId="0A51162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符合</w:t>
            </w:r>
          </w:p>
        </w:tc>
        <w:tc>
          <w:tcPr>
            <w:tcW w:w="506" w:type="pct"/>
            <w:vMerge w:val="continue"/>
            <w:vAlign w:val="center"/>
          </w:tcPr>
          <w:p w14:paraId="0B73671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p>
        </w:tc>
      </w:tr>
      <w:tr w14:paraId="115DA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50" w:type="pct"/>
            <w:shd w:val="clear" w:color="auto" w:fill="auto"/>
            <w:vAlign w:val="center"/>
          </w:tcPr>
          <w:p w14:paraId="5E9EAB3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管架（E74-E93）</w:t>
            </w:r>
          </w:p>
        </w:tc>
        <w:tc>
          <w:tcPr>
            <w:tcW w:w="387" w:type="pct"/>
            <w:shd w:val="clear" w:color="auto" w:fill="auto"/>
            <w:vAlign w:val="center"/>
          </w:tcPr>
          <w:p w14:paraId="2FFE866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西</w:t>
            </w:r>
          </w:p>
        </w:tc>
        <w:tc>
          <w:tcPr>
            <w:tcW w:w="925" w:type="pct"/>
            <w:shd w:val="clear" w:color="auto" w:fill="auto"/>
            <w:vAlign w:val="center"/>
          </w:tcPr>
          <w:p w14:paraId="40A2439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祥丰石化液氨储罐</w:t>
            </w:r>
          </w:p>
        </w:tc>
        <w:tc>
          <w:tcPr>
            <w:tcW w:w="617" w:type="pct"/>
            <w:shd w:val="clear" w:color="auto" w:fill="auto"/>
            <w:vAlign w:val="center"/>
          </w:tcPr>
          <w:p w14:paraId="7BA21D4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62.2</w:t>
            </w:r>
          </w:p>
        </w:tc>
        <w:tc>
          <w:tcPr>
            <w:tcW w:w="607" w:type="pct"/>
            <w:shd w:val="clear" w:color="auto" w:fill="auto"/>
            <w:vAlign w:val="center"/>
          </w:tcPr>
          <w:p w14:paraId="62B420B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w:t>
            </w:r>
          </w:p>
        </w:tc>
        <w:tc>
          <w:tcPr>
            <w:tcW w:w="601" w:type="pct"/>
            <w:shd w:val="clear" w:color="auto" w:fill="auto"/>
            <w:vAlign w:val="center"/>
          </w:tcPr>
          <w:p w14:paraId="41A88C8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GB50316</w:t>
            </w:r>
            <w:r>
              <w:rPr>
                <w:rFonts w:hint="eastAsia"/>
              </w:rPr>
              <w:t>第8.1.6条、</w:t>
            </w:r>
            <w:r>
              <w:t>GB50489</w:t>
            </w:r>
            <w:r>
              <w:rPr>
                <w:rFonts w:hint="eastAsia"/>
              </w:rPr>
              <w:t>表</w:t>
            </w:r>
            <w:r>
              <w:t>7.3.7</w:t>
            </w:r>
          </w:p>
        </w:tc>
        <w:tc>
          <w:tcPr>
            <w:tcW w:w="508" w:type="pct"/>
            <w:shd w:val="clear" w:color="auto" w:fill="auto"/>
            <w:vAlign w:val="center"/>
          </w:tcPr>
          <w:p w14:paraId="6C9579D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符合</w:t>
            </w:r>
          </w:p>
        </w:tc>
        <w:tc>
          <w:tcPr>
            <w:tcW w:w="506" w:type="pct"/>
            <w:vMerge w:val="continue"/>
            <w:vAlign w:val="center"/>
          </w:tcPr>
          <w:p w14:paraId="5A6A7C7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p>
        </w:tc>
      </w:tr>
      <w:tr w14:paraId="38CAF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50" w:type="pct"/>
            <w:shd w:val="clear" w:color="auto" w:fill="auto"/>
            <w:vAlign w:val="center"/>
          </w:tcPr>
          <w:p w14:paraId="1DBBC46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管架（F06）</w:t>
            </w:r>
          </w:p>
        </w:tc>
        <w:tc>
          <w:tcPr>
            <w:tcW w:w="387" w:type="pct"/>
            <w:shd w:val="clear" w:color="auto" w:fill="auto"/>
            <w:vAlign w:val="center"/>
          </w:tcPr>
          <w:p w14:paraId="2026543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南</w:t>
            </w:r>
          </w:p>
        </w:tc>
        <w:tc>
          <w:tcPr>
            <w:tcW w:w="925" w:type="pct"/>
            <w:shd w:val="clear" w:color="auto" w:fill="auto"/>
            <w:vAlign w:val="center"/>
          </w:tcPr>
          <w:p w14:paraId="21A8AFD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园区道路</w:t>
            </w:r>
          </w:p>
        </w:tc>
        <w:tc>
          <w:tcPr>
            <w:tcW w:w="617" w:type="pct"/>
            <w:shd w:val="clear" w:color="auto" w:fill="auto"/>
            <w:vAlign w:val="center"/>
          </w:tcPr>
          <w:p w14:paraId="730B666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3</w:t>
            </w:r>
          </w:p>
        </w:tc>
        <w:tc>
          <w:tcPr>
            <w:tcW w:w="607" w:type="pct"/>
            <w:shd w:val="clear" w:color="auto" w:fill="auto"/>
            <w:noWrap/>
            <w:vAlign w:val="center"/>
          </w:tcPr>
          <w:p w14:paraId="58DE704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1</w:t>
            </w:r>
          </w:p>
        </w:tc>
        <w:tc>
          <w:tcPr>
            <w:tcW w:w="601" w:type="pct"/>
            <w:shd w:val="clear" w:color="auto" w:fill="auto"/>
            <w:vAlign w:val="center"/>
          </w:tcPr>
          <w:p w14:paraId="324ECA1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GB50489-2009</w:t>
            </w:r>
            <w:r>
              <w:rPr>
                <w:rFonts w:hint="eastAsia"/>
              </w:rPr>
              <w:t>表</w:t>
            </w:r>
            <w:r>
              <w:t>7.3.8</w:t>
            </w:r>
          </w:p>
        </w:tc>
        <w:tc>
          <w:tcPr>
            <w:tcW w:w="508" w:type="pct"/>
            <w:shd w:val="clear" w:color="auto" w:fill="auto"/>
            <w:vAlign w:val="center"/>
          </w:tcPr>
          <w:p w14:paraId="1786123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符合</w:t>
            </w:r>
          </w:p>
        </w:tc>
        <w:tc>
          <w:tcPr>
            <w:tcW w:w="506" w:type="pct"/>
            <w:vMerge w:val="continue"/>
            <w:vAlign w:val="center"/>
          </w:tcPr>
          <w:p w14:paraId="1874990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p>
        </w:tc>
      </w:tr>
      <w:tr w14:paraId="04C28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50" w:type="pct"/>
            <w:shd w:val="clear" w:color="auto" w:fill="auto"/>
            <w:vAlign w:val="center"/>
          </w:tcPr>
          <w:p w14:paraId="561FB4A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管架（F07）</w:t>
            </w:r>
          </w:p>
        </w:tc>
        <w:tc>
          <w:tcPr>
            <w:tcW w:w="387" w:type="pct"/>
            <w:shd w:val="clear" w:color="auto" w:fill="auto"/>
            <w:vAlign w:val="center"/>
          </w:tcPr>
          <w:p w14:paraId="5DC0EF0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北</w:t>
            </w:r>
          </w:p>
        </w:tc>
        <w:tc>
          <w:tcPr>
            <w:tcW w:w="925" w:type="pct"/>
            <w:shd w:val="clear" w:color="auto" w:fill="auto"/>
            <w:vAlign w:val="center"/>
          </w:tcPr>
          <w:p w14:paraId="3600427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园区道路</w:t>
            </w:r>
          </w:p>
        </w:tc>
        <w:tc>
          <w:tcPr>
            <w:tcW w:w="617" w:type="pct"/>
            <w:shd w:val="clear" w:color="auto" w:fill="auto"/>
            <w:vAlign w:val="center"/>
          </w:tcPr>
          <w:p w14:paraId="054E44C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4</w:t>
            </w:r>
          </w:p>
        </w:tc>
        <w:tc>
          <w:tcPr>
            <w:tcW w:w="607" w:type="pct"/>
            <w:shd w:val="clear" w:color="auto" w:fill="auto"/>
            <w:noWrap/>
            <w:vAlign w:val="center"/>
          </w:tcPr>
          <w:p w14:paraId="76EC43F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1</w:t>
            </w:r>
          </w:p>
        </w:tc>
        <w:tc>
          <w:tcPr>
            <w:tcW w:w="601" w:type="pct"/>
            <w:shd w:val="clear" w:color="auto" w:fill="auto"/>
            <w:vAlign w:val="center"/>
          </w:tcPr>
          <w:p w14:paraId="67DC536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GB50316</w:t>
            </w:r>
            <w:r>
              <w:rPr>
                <w:rFonts w:hint="eastAsia"/>
              </w:rPr>
              <w:t>第8.1.6条、</w:t>
            </w:r>
            <w:r>
              <w:t>GB50489</w:t>
            </w:r>
            <w:r>
              <w:rPr>
                <w:rFonts w:hint="eastAsia"/>
              </w:rPr>
              <w:t>表</w:t>
            </w:r>
            <w:r>
              <w:t>7.3.7</w:t>
            </w:r>
          </w:p>
        </w:tc>
        <w:tc>
          <w:tcPr>
            <w:tcW w:w="508" w:type="pct"/>
            <w:shd w:val="clear" w:color="auto" w:fill="auto"/>
            <w:vAlign w:val="center"/>
          </w:tcPr>
          <w:p w14:paraId="56F032F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符合</w:t>
            </w:r>
          </w:p>
        </w:tc>
        <w:tc>
          <w:tcPr>
            <w:tcW w:w="506" w:type="pct"/>
            <w:vMerge w:val="continue"/>
            <w:vAlign w:val="center"/>
          </w:tcPr>
          <w:p w14:paraId="79FE85A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p>
        </w:tc>
      </w:tr>
      <w:tr w14:paraId="49433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50" w:type="pct"/>
            <w:shd w:val="clear" w:color="auto" w:fill="auto"/>
            <w:vAlign w:val="center"/>
          </w:tcPr>
          <w:p w14:paraId="1DC552D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管架（F1074-F16）</w:t>
            </w:r>
          </w:p>
        </w:tc>
        <w:tc>
          <w:tcPr>
            <w:tcW w:w="387" w:type="pct"/>
            <w:shd w:val="clear" w:color="auto" w:fill="auto"/>
            <w:vAlign w:val="center"/>
          </w:tcPr>
          <w:p w14:paraId="16712D8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北</w:t>
            </w:r>
          </w:p>
        </w:tc>
        <w:tc>
          <w:tcPr>
            <w:tcW w:w="925" w:type="pct"/>
            <w:shd w:val="clear" w:color="auto" w:fill="auto"/>
            <w:vAlign w:val="center"/>
          </w:tcPr>
          <w:p w14:paraId="29C6B6B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园区道路</w:t>
            </w:r>
          </w:p>
        </w:tc>
        <w:tc>
          <w:tcPr>
            <w:tcW w:w="617" w:type="pct"/>
            <w:shd w:val="clear" w:color="auto" w:fill="auto"/>
            <w:vAlign w:val="center"/>
          </w:tcPr>
          <w:p w14:paraId="238EF9D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10.1</w:t>
            </w:r>
          </w:p>
        </w:tc>
        <w:tc>
          <w:tcPr>
            <w:tcW w:w="607" w:type="pct"/>
            <w:shd w:val="clear" w:color="auto" w:fill="auto"/>
            <w:noWrap/>
            <w:vAlign w:val="center"/>
          </w:tcPr>
          <w:p w14:paraId="299D672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1</w:t>
            </w:r>
          </w:p>
        </w:tc>
        <w:tc>
          <w:tcPr>
            <w:tcW w:w="601" w:type="pct"/>
            <w:shd w:val="clear" w:color="auto" w:fill="auto"/>
            <w:vAlign w:val="center"/>
          </w:tcPr>
          <w:p w14:paraId="2559374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GB50316</w:t>
            </w:r>
            <w:r>
              <w:rPr>
                <w:rFonts w:hint="eastAsia"/>
              </w:rPr>
              <w:t>第8.1.6条、</w:t>
            </w:r>
            <w:r>
              <w:t>GB50489</w:t>
            </w:r>
            <w:r>
              <w:rPr>
                <w:rFonts w:hint="eastAsia"/>
              </w:rPr>
              <w:t>表</w:t>
            </w:r>
            <w:r>
              <w:t>7.3.7</w:t>
            </w:r>
          </w:p>
        </w:tc>
        <w:tc>
          <w:tcPr>
            <w:tcW w:w="508" w:type="pct"/>
            <w:shd w:val="clear" w:color="auto" w:fill="auto"/>
            <w:vAlign w:val="center"/>
          </w:tcPr>
          <w:p w14:paraId="32855E4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符合</w:t>
            </w:r>
          </w:p>
        </w:tc>
        <w:tc>
          <w:tcPr>
            <w:tcW w:w="506" w:type="pct"/>
            <w:vMerge w:val="continue"/>
            <w:vAlign w:val="center"/>
          </w:tcPr>
          <w:p w14:paraId="144E258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p>
        </w:tc>
      </w:tr>
    </w:tbl>
    <w:p w14:paraId="41CD768A">
      <w:pPr>
        <w:ind w:firstLine="560"/>
      </w:pPr>
      <w:r>
        <w:rPr>
          <w:rFonts w:hint="eastAsia"/>
        </w:rPr>
        <w:t>注：</w:t>
      </w:r>
    </w:p>
    <w:p w14:paraId="7F346A18">
      <w:pPr>
        <w:ind w:firstLine="560"/>
      </w:pPr>
      <w:r>
        <w:rPr>
          <w:rFonts w:hint="eastAsia"/>
        </w:rPr>
        <w:t>（1）GB50316指GB50316-2000（2008年版），GB50489指GB50489-2009。</w:t>
      </w:r>
    </w:p>
    <w:p w14:paraId="19407E8B">
      <w:pPr>
        <w:ind w:firstLine="560"/>
      </w:pPr>
      <w:r>
        <w:rPr>
          <w:rFonts w:hint="eastAsia"/>
        </w:rPr>
        <w:t>（</w:t>
      </w:r>
      <w:r>
        <w:t>2</w:t>
      </w:r>
      <w:r>
        <w:rPr>
          <w:rFonts w:hint="eastAsia"/>
        </w:rPr>
        <w:t>）防火间距起止点：管架边缘；道路路边；有门窗的建筑物外墙壁或突出部分外缘；无门窗的建筑物外墙壁或突出部分外缘；企业围墙中心线；设备边缘；储罐外壁。</w:t>
      </w:r>
    </w:p>
    <w:p w14:paraId="0EF63A9B">
      <w:pPr>
        <w:ind w:firstLine="560"/>
      </w:pPr>
      <w:r>
        <w:rPr>
          <w:rFonts w:hint="eastAsia"/>
        </w:rPr>
        <w:t>（</w:t>
      </w:r>
      <w:r>
        <w:t>3</w:t>
      </w:r>
      <w:r>
        <w:rPr>
          <w:rFonts w:hint="eastAsia"/>
        </w:rPr>
        <w:t>）本项目厂外管廊与老厂已建管廊并行敷设时，跨越道路时净空高度不低于已建管廊；厂外管廊单独跨越主要道路时，净高不低于6.0m；山上敷设的管廊段，当与巡检道路交叉时，净高不低于4.5m。</w:t>
      </w:r>
    </w:p>
    <w:p w14:paraId="229933E3">
      <w:pPr>
        <w:pStyle w:val="6"/>
        <w:keepNext/>
        <w:keepLines w:val="0"/>
        <w:pageBreakBefore w:val="0"/>
        <w:widowControl w:val="0"/>
        <w:numPr>
          <w:ilvl w:val="3"/>
          <w:numId w:val="1"/>
        </w:numPr>
        <w:kinsoku/>
        <w:wordWrap/>
        <w:overflowPunct/>
        <w:topLinePunct w:val="0"/>
        <w:autoSpaceDE/>
        <w:autoSpaceDN/>
        <w:bidi w:val="0"/>
        <w:adjustRightInd/>
        <w:snapToGrid w:val="0"/>
        <w:ind w:left="0" w:firstLine="0"/>
        <w:textAlignment w:val="auto"/>
        <w:rPr>
          <w:rFonts w:hint="default" w:ascii="宋体" w:hAnsi="Times New Roman" w:cs="宋体"/>
          <w:color w:val="auto"/>
          <w:lang w:val="en-US" w:eastAsia="zh-CN"/>
        </w:rPr>
      </w:pPr>
      <w:r>
        <w:rPr>
          <w:rFonts w:hint="eastAsia" w:ascii="宋体" w:hAnsi="Times New Roman" w:cs="宋体"/>
          <w:color w:val="auto"/>
          <w:lang w:val="en-US" w:eastAsia="zh-CN"/>
        </w:rPr>
        <w:t>上、下游生产装置、物料的关系</w:t>
      </w:r>
    </w:p>
    <w:p w14:paraId="2A3B3E71">
      <w:pPr>
        <w:keepNext w:val="0"/>
        <w:keepLines w:val="0"/>
        <w:pageBreakBefore w:val="0"/>
        <w:widowControl w:val="0"/>
        <w:kinsoku/>
        <w:wordWrap/>
        <w:overflowPunct/>
        <w:topLinePunct w:val="0"/>
        <w:autoSpaceDE/>
        <w:autoSpaceDN/>
        <w:bidi w:val="0"/>
        <w:adjustRightInd/>
        <w:snapToGrid w:val="0"/>
        <w:ind w:firstLine="560" w:firstLineChars="200"/>
        <w:jc w:val="both"/>
        <w:textAlignment w:val="auto"/>
        <w:outlineLvl w:val="9"/>
        <w:rPr>
          <w:rFonts w:hint="eastAsia" w:ascii="宋体" w:hAnsi="Times New Roman" w:eastAsia="宋体" w:cs="宋体"/>
          <w:b w:val="0"/>
          <w:bCs w:val="0"/>
          <w:sz w:val="28"/>
          <w:lang w:val="en-US" w:eastAsia="zh-CN" w:bidi="ar-SA"/>
        </w:rPr>
      </w:pPr>
      <w:r>
        <w:rPr>
          <w:rFonts w:hint="eastAsia" w:ascii="宋体" w:hAnsi="Times New Roman" w:eastAsia="宋体" w:cs="宋体"/>
          <w:b w:val="0"/>
          <w:bCs w:val="0"/>
          <w:sz w:val="28"/>
          <w:lang w:val="en-US" w:eastAsia="zh-CN" w:bidi="ar-SA"/>
        </w:rPr>
        <w:t>1、原料</w:t>
      </w:r>
    </w:p>
    <w:p w14:paraId="6774A4F2">
      <w:pPr>
        <w:keepNext w:val="0"/>
        <w:keepLines w:val="0"/>
        <w:pageBreakBefore w:val="0"/>
        <w:widowControl w:val="0"/>
        <w:kinsoku/>
        <w:wordWrap/>
        <w:overflowPunct/>
        <w:topLinePunct w:val="0"/>
        <w:autoSpaceDE/>
        <w:autoSpaceDN/>
        <w:bidi w:val="0"/>
        <w:adjustRightInd/>
        <w:snapToGrid w:val="0"/>
        <w:ind w:firstLine="560" w:firstLineChars="200"/>
        <w:jc w:val="both"/>
        <w:textAlignment w:val="auto"/>
        <w:outlineLvl w:val="9"/>
        <w:rPr>
          <w:rFonts w:hint="eastAsia" w:ascii="宋体" w:hAnsi="Times New Roman" w:eastAsia="宋体" w:cs="宋体"/>
          <w:b w:val="0"/>
          <w:bCs w:val="0"/>
          <w:sz w:val="28"/>
          <w:lang w:val="en-US" w:eastAsia="zh-CN" w:bidi="ar-SA"/>
        </w:rPr>
      </w:pPr>
      <w:r>
        <w:rPr>
          <w:rFonts w:hint="eastAsia" w:ascii="宋体" w:hAnsi="Times New Roman" w:eastAsia="宋体" w:cs="宋体"/>
          <w:b w:val="0"/>
          <w:bCs w:val="0"/>
          <w:sz w:val="28"/>
          <w:lang w:val="en-US" w:eastAsia="zh-CN" w:bidi="ar-SA"/>
        </w:rPr>
        <w:t>（1）氟硅酸</w:t>
      </w:r>
    </w:p>
    <w:p w14:paraId="215EB8CD">
      <w:pPr>
        <w:keepNext w:val="0"/>
        <w:keepLines w:val="0"/>
        <w:pageBreakBefore w:val="0"/>
        <w:widowControl w:val="0"/>
        <w:kinsoku/>
        <w:wordWrap/>
        <w:overflowPunct/>
        <w:topLinePunct w:val="0"/>
        <w:autoSpaceDE/>
        <w:autoSpaceDN/>
        <w:bidi w:val="0"/>
        <w:adjustRightInd/>
        <w:snapToGrid w:val="0"/>
        <w:ind w:firstLine="560" w:firstLineChars="200"/>
        <w:jc w:val="both"/>
        <w:textAlignment w:val="auto"/>
        <w:outlineLvl w:val="9"/>
      </w:pPr>
      <w:r>
        <w:rPr>
          <w:rFonts w:hint="eastAsia" w:ascii="宋体" w:hAnsi="Times New Roman" w:eastAsia="宋体" w:cs="宋体"/>
          <w:b w:val="0"/>
          <w:bCs w:val="0"/>
          <w:sz w:val="28"/>
          <w:lang w:val="en-US" w:eastAsia="zh-CN" w:bidi="ar-SA"/>
        </w:rPr>
        <w:t>云南祥丰金麦化工有限公司磷酸装置副产的氟硅酸作为云南瓮福祥丰氟硅新材料有限公司的原料，由祥丰金麦化工有限公司磷酸装置区氟硅酸槽接管，在氟硅酸槽旁新建两台氟硅酸泵，泵出口敷设两根氟硅酸管道依托祥</w:t>
      </w:r>
      <w:r>
        <w:rPr>
          <w:rFonts w:hint="eastAsia"/>
        </w:rPr>
        <w:t>丰金麦原有管架（约50m）接至本项目外管廊，沿本项目外管廊送至至云南瓮福祥丰氟硅新材料有限公司两个2000m</w:t>
      </w:r>
      <w:r>
        <w:rPr>
          <w:rFonts w:hint="eastAsia"/>
          <w:vertAlign w:val="superscript"/>
        </w:rPr>
        <w:t>3</w:t>
      </w:r>
      <w:r>
        <w:rPr>
          <w:rFonts w:hint="eastAsia"/>
        </w:rPr>
        <w:t>氟硅酸槽。</w:t>
      </w:r>
    </w:p>
    <w:p w14:paraId="5D95C3F2">
      <w:pPr>
        <w:keepNext w:val="0"/>
        <w:keepLines w:val="0"/>
        <w:pageBreakBefore w:val="0"/>
        <w:widowControl w:val="0"/>
        <w:kinsoku/>
        <w:wordWrap/>
        <w:overflowPunct/>
        <w:topLinePunct w:val="0"/>
        <w:autoSpaceDE/>
        <w:autoSpaceDN/>
        <w:bidi w:val="0"/>
        <w:adjustRightInd/>
        <w:snapToGrid w:val="0"/>
        <w:ind w:firstLine="560" w:firstLineChars="200"/>
        <w:textAlignment w:val="auto"/>
      </w:pPr>
      <w:r>
        <w:rPr>
          <w:rFonts w:hint="eastAsia"/>
        </w:rPr>
        <w:t>（2）浓硫酸</w:t>
      </w:r>
    </w:p>
    <w:p w14:paraId="0746679C">
      <w:pPr>
        <w:keepNext w:val="0"/>
        <w:keepLines w:val="0"/>
        <w:pageBreakBefore w:val="0"/>
        <w:widowControl w:val="0"/>
        <w:kinsoku/>
        <w:wordWrap/>
        <w:overflowPunct/>
        <w:topLinePunct w:val="0"/>
        <w:autoSpaceDE/>
        <w:autoSpaceDN/>
        <w:bidi w:val="0"/>
        <w:adjustRightInd/>
        <w:snapToGrid w:val="0"/>
        <w:ind w:firstLine="560" w:firstLineChars="200"/>
        <w:textAlignment w:val="auto"/>
      </w:pPr>
      <w:r>
        <w:rPr>
          <w:rFonts w:hint="eastAsia"/>
        </w:rPr>
        <w:t>云南祥丰金麦化工有限公司为云南瓮福祥丰氟硅新材料有限公司提供浓硫酸作为原料，由祥丰金麦化工有限公司浓硫酸槽接管，在浓硫酸槽旁边新建两台浓硫酸泵（一开一备），泵出口敷设一根浓硫酸管道依托祥丰金麦磷酸装置区原有管架（约200m）接至本项目外管廊，沿新建外管廊布至 AHF 厂区北侧，接至1000m</w:t>
      </w:r>
      <w:r>
        <w:rPr>
          <w:rFonts w:hint="eastAsia"/>
          <w:vertAlign w:val="superscript"/>
        </w:rPr>
        <w:t>3</w:t>
      </w:r>
      <w:r>
        <w:rPr>
          <w:rFonts w:hint="eastAsia"/>
        </w:rPr>
        <w:t>的浓硫酸槽。</w:t>
      </w:r>
    </w:p>
    <w:p w14:paraId="2597EF13">
      <w:pPr>
        <w:keepNext w:val="0"/>
        <w:keepLines w:val="0"/>
        <w:pageBreakBefore w:val="0"/>
        <w:widowControl w:val="0"/>
        <w:kinsoku/>
        <w:wordWrap/>
        <w:overflowPunct/>
        <w:topLinePunct w:val="0"/>
        <w:autoSpaceDE/>
        <w:autoSpaceDN/>
        <w:bidi w:val="0"/>
        <w:adjustRightInd/>
        <w:snapToGrid w:val="0"/>
        <w:ind w:firstLine="560" w:firstLineChars="200"/>
        <w:textAlignment w:val="auto"/>
      </w:pPr>
      <w:r>
        <w:rPr>
          <w:rFonts w:hint="eastAsia"/>
        </w:rPr>
        <w:t>2、副产品</w:t>
      </w:r>
    </w:p>
    <w:p w14:paraId="76808AE4">
      <w:pPr>
        <w:keepNext w:val="0"/>
        <w:keepLines w:val="0"/>
        <w:pageBreakBefore w:val="0"/>
        <w:widowControl w:val="0"/>
        <w:kinsoku/>
        <w:wordWrap/>
        <w:overflowPunct/>
        <w:topLinePunct w:val="0"/>
        <w:autoSpaceDE/>
        <w:autoSpaceDN/>
        <w:bidi w:val="0"/>
        <w:adjustRightInd/>
        <w:snapToGrid w:val="0"/>
        <w:ind w:firstLine="560" w:firstLineChars="200"/>
        <w:textAlignment w:val="auto"/>
      </w:pPr>
      <w:r>
        <w:rPr>
          <w:rFonts w:hint="eastAsia"/>
        </w:rPr>
        <w:t>（1）副产稀硫酸</w:t>
      </w:r>
    </w:p>
    <w:p w14:paraId="3C98AE29">
      <w:pPr>
        <w:keepNext w:val="0"/>
        <w:keepLines w:val="0"/>
        <w:pageBreakBefore w:val="0"/>
        <w:widowControl w:val="0"/>
        <w:kinsoku/>
        <w:wordWrap/>
        <w:overflowPunct/>
        <w:topLinePunct w:val="0"/>
        <w:autoSpaceDE/>
        <w:autoSpaceDN/>
        <w:bidi w:val="0"/>
        <w:adjustRightInd/>
        <w:snapToGrid w:val="0"/>
        <w:ind w:firstLine="560" w:firstLineChars="200"/>
        <w:textAlignment w:val="auto"/>
      </w:pPr>
      <w:r>
        <w:rPr>
          <w:rFonts w:hint="eastAsia"/>
        </w:rPr>
        <w:t>云南瓮福祥丰氟硅新材料有限公司HF装置副产的稀硫酸送至稀硫酸罐常压贮存，并通过稀硫酸输送泵将稀硫酸送往祥丰金麦磷酸装置使用。</w:t>
      </w:r>
    </w:p>
    <w:p w14:paraId="529CD26C">
      <w:pPr>
        <w:keepNext w:val="0"/>
        <w:keepLines w:val="0"/>
        <w:pageBreakBefore w:val="0"/>
        <w:widowControl w:val="0"/>
        <w:kinsoku/>
        <w:wordWrap/>
        <w:overflowPunct/>
        <w:topLinePunct w:val="0"/>
        <w:autoSpaceDE/>
        <w:autoSpaceDN/>
        <w:bidi w:val="0"/>
        <w:adjustRightInd/>
        <w:snapToGrid w:val="0"/>
        <w:ind w:firstLine="560" w:firstLineChars="200"/>
        <w:textAlignment w:val="auto"/>
      </w:pPr>
      <w:r>
        <w:rPr>
          <w:rFonts w:hint="eastAsia"/>
        </w:rPr>
        <w:t>3、其他物料</w:t>
      </w:r>
    </w:p>
    <w:p w14:paraId="391EF7B5">
      <w:pPr>
        <w:keepNext w:val="0"/>
        <w:keepLines w:val="0"/>
        <w:pageBreakBefore w:val="0"/>
        <w:widowControl w:val="0"/>
        <w:kinsoku/>
        <w:wordWrap/>
        <w:overflowPunct/>
        <w:topLinePunct w:val="0"/>
        <w:autoSpaceDE/>
        <w:autoSpaceDN/>
        <w:bidi w:val="0"/>
        <w:adjustRightInd/>
        <w:snapToGrid w:val="0"/>
        <w:ind w:firstLine="560" w:firstLineChars="200"/>
        <w:textAlignment w:val="auto"/>
      </w:pPr>
      <w:r>
        <w:rPr>
          <w:rFonts w:hint="eastAsia"/>
        </w:rPr>
        <w:t>云南瓮福祥丰氟硅新材料有限公司HF装置产生的过滤机洗水、渣浆水通过输送泵送往祥丰金麦磷酸装置使用。</w:t>
      </w:r>
    </w:p>
    <w:p w14:paraId="215FA827">
      <w:pPr>
        <w:pStyle w:val="5"/>
        <w:numPr>
          <w:ilvl w:val="2"/>
          <w:numId w:val="1"/>
        </w:numPr>
        <w:adjustRightInd w:val="0"/>
        <w:spacing w:before="120" w:after="120"/>
        <w:jc w:val="both"/>
        <w:rPr>
          <w:rFonts w:hint="default" w:ascii="Times New Roman" w:hAnsi="Times New Roman" w:eastAsia="黑体" w:cs="Times New Roman"/>
          <w:snapToGrid w:val="0"/>
          <w:color w:val="000000"/>
          <w:kern w:val="0"/>
          <w:sz w:val="32"/>
          <w:lang w:val="en-US" w:eastAsia="zh-CN"/>
        </w:rPr>
      </w:pPr>
      <w:bookmarkStart w:id="162" w:name="_Toc23123"/>
      <w:bookmarkStart w:id="163" w:name="_Toc9552"/>
      <w:bookmarkStart w:id="164" w:name="_Toc47119732"/>
      <w:bookmarkStart w:id="165" w:name="_Toc47119874"/>
      <w:bookmarkStart w:id="166" w:name="_Toc18509525"/>
      <w:bookmarkStart w:id="167" w:name="_Toc336009619"/>
      <w:r>
        <w:rPr>
          <w:rFonts w:hint="default" w:ascii="Times New Roman" w:hAnsi="Times New Roman" w:eastAsia="黑体" w:cs="Times New Roman"/>
          <w:snapToGrid w:val="0"/>
          <w:color w:val="000000"/>
          <w:kern w:val="0"/>
          <w:sz w:val="32"/>
          <w:lang w:val="en-US" w:eastAsia="zh-CN"/>
        </w:rPr>
        <w:t>建设项目配套和辅助工程名称、能力、介质来源</w:t>
      </w:r>
      <w:bookmarkEnd w:id="162"/>
      <w:bookmarkEnd w:id="163"/>
    </w:p>
    <w:p w14:paraId="371C5BAC">
      <w:pPr>
        <w:pStyle w:val="6"/>
        <w:keepNext/>
        <w:keepLines w:val="0"/>
        <w:pageBreakBefore w:val="0"/>
        <w:widowControl w:val="0"/>
        <w:numPr>
          <w:ilvl w:val="3"/>
          <w:numId w:val="1"/>
        </w:numPr>
        <w:kinsoku/>
        <w:wordWrap/>
        <w:overflowPunct/>
        <w:topLinePunct w:val="0"/>
        <w:autoSpaceDE/>
        <w:autoSpaceDN/>
        <w:bidi w:val="0"/>
        <w:adjustRightInd/>
        <w:snapToGrid w:val="0"/>
        <w:ind w:left="0" w:firstLine="0"/>
        <w:textAlignment w:val="auto"/>
        <w:rPr>
          <w:rFonts w:hint="default" w:ascii="宋体" w:hAnsi="Times New Roman" w:cs="宋体"/>
          <w:color w:val="auto"/>
          <w:lang w:val="en-US" w:eastAsia="zh-CN"/>
        </w:rPr>
      </w:pPr>
      <w:r>
        <w:rPr>
          <w:rFonts w:hint="eastAsia" w:ascii="宋体" w:hAnsi="Times New Roman" w:cs="宋体"/>
          <w:color w:val="auto"/>
          <w:lang w:val="en-US" w:eastAsia="zh-CN"/>
        </w:rPr>
        <w:t>供配电</w:t>
      </w:r>
    </w:p>
    <w:p w14:paraId="581B558A">
      <w:pPr>
        <w:ind w:firstLine="560"/>
        <w:rPr>
          <w:rFonts w:hint="eastAsia"/>
        </w:rPr>
      </w:pPr>
      <w:r>
        <w:rPr>
          <w:rFonts w:hint="eastAsia"/>
        </w:rPr>
        <w:t>云南瓮福祥丰氟硅新材料有限公司3万吨/年无水氟化氢和2万吨/年电子级氢氟酸厂外公用工程外管廊工艺物料输送在云南祥丰金麦化工有限公司磷酸厂区设置4台泵（2台氟硅酸泵和2台浓硫酸泵），这4台泵的供电依托云南祥丰金麦化工有限公司原有供电设施。</w:t>
      </w:r>
    </w:p>
    <w:p w14:paraId="74AA9358">
      <w:pPr>
        <w:ind w:firstLine="560"/>
        <w:rPr>
          <w:rFonts w:hint="eastAsia" w:cs="宋体"/>
          <w:sz w:val="28"/>
          <w:szCs w:val="28"/>
        </w:rPr>
      </w:pPr>
      <w:r>
        <w:rPr>
          <w:rFonts w:hint="eastAsia"/>
          <w:sz w:val="28"/>
          <w:szCs w:val="28"/>
        </w:rPr>
        <w:t>用电设备配电线路选用阻燃型铜芯交联聚乙烯绝缘聚氯乙烯护套电力电缆。至电动机的电缆采用4芯，第四芯作PE线使用。其余生产装置及辅助生产装置的电力电缆亦选用阻燃型铜芯交联聚乙烯绝缘聚氯乙烯护套电力电缆。电缆以沿电缆桥架敷设为主，个别场所穿管埋地或采用直埋敷设。电缆桥架采用防腐性能好的材质桥架。控制电缆选用铜芯控制电缆。在电力电缆为阻燃型的场所，控制电缆也采用阻燃型。</w:t>
      </w:r>
    </w:p>
    <w:p w14:paraId="608AC8DE">
      <w:pPr>
        <w:ind w:firstLine="560"/>
        <w:jc w:val="center"/>
        <w:rPr>
          <w:rFonts w:hint="eastAsia" w:cs="宋体"/>
          <w:b/>
          <w:bCs/>
          <w:sz w:val="24"/>
          <w:szCs w:val="24"/>
        </w:rPr>
      </w:pPr>
      <w:r>
        <w:rPr>
          <w:rFonts w:hint="eastAsia" w:cs="宋体"/>
          <w:b/>
          <w:bCs/>
          <w:sz w:val="24"/>
          <w:szCs w:val="24"/>
          <w:lang w:val="en-US" w:eastAsia="zh-CN"/>
        </w:rPr>
        <w:t>表2.2-7电机参数：2台浓硫酸泵,2台氟硅酸泵信息</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1782"/>
        <w:gridCol w:w="181"/>
        <w:gridCol w:w="1447"/>
        <w:gridCol w:w="1170"/>
        <w:gridCol w:w="258"/>
        <w:gridCol w:w="783"/>
        <w:gridCol w:w="1041"/>
        <w:gridCol w:w="913"/>
        <w:gridCol w:w="913"/>
      </w:tblGrid>
      <w:tr w14:paraId="6C268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2" w:type="dxa"/>
            <w:vAlign w:val="center"/>
          </w:tcPr>
          <w:p w14:paraId="2027181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宋体"/>
                <w:b/>
                <w:bCs/>
                <w:sz w:val="21"/>
                <w:szCs w:val="21"/>
                <w:highlight w:val="none"/>
                <w:vertAlign w:val="baseline"/>
                <w:lang w:val="en-US" w:eastAsia="zh-CN"/>
              </w:rPr>
            </w:pPr>
            <w:r>
              <w:rPr>
                <w:rFonts w:hint="eastAsia" w:cs="宋体"/>
                <w:b/>
                <w:bCs/>
                <w:sz w:val="21"/>
                <w:szCs w:val="21"/>
                <w:highlight w:val="none"/>
                <w:vertAlign w:val="baseline"/>
                <w:lang w:val="en-US" w:eastAsia="zh-CN"/>
              </w:rPr>
              <w:t>名称</w:t>
            </w:r>
          </w:p>
        </w:tc>
        <w:tc>
          <w:tcPr>
            <w:tcW w:w="1782" w:type="dxa"/>
            <w:vAlign w:val="center"/>
          </w:tcPr>
          <w:p w14:paraId="687ED71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宋体"/>
                <w:b/>
                <w:bCs/>
                <w:sz w:val="21"/>
                <w:szCs w:val="21"/>
                <w:highlight w:val="none"/>
                <w:vertAlign w:val="baseline"/>
                <w:lang w:val="en-US" w:eastAsia="zh-CN"/>
              </w:rPr>
            </w:pPr>
            <w:r>
              <w:rPr>
                <w:rFonts w:hint="eastAsia" w:cs="宋体"/>
                <w:b/>
                <w:bCs/>
                <w:sz w:val="21"/>
                <w:szCs w:val="21"/>
                <w:highlight w:val="none"/>
                <w:vertAlign w:val="baseline"/>
                <w:lang w:val="en-US" w:eastAsia="zh-CN"/>
              </w:rPr>
              <w:t>电机型号</w:t>
            </w:r>
          </w:p>
        </w:tc>
        <w:tc>
          <w:tcPr>
            <w:tcW w:w="1628" w:type="dxa"/>
            <w:gridSpan w:val="2"/>
            <w:vAlign w:val="center"/>
          </w:tcPr>
          <w:p w14:paraId="107DD82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宋体"/>
                <w:b/>
                <w:bCs/>
                <w:sz w:val="21"/>
                <w:szCs w:val="21"/>
                <w:highlight w:val="none"/>
                <w:vertAlign w:val="baseline"/>
                <w:lang w:val="en-US" w:eastAsia="zh-CN"/>
              </w:rPr>
            </w:pPr>
            <w:r>
              <w:rPr>
                <w:rFonts w:hint="eastAsia" w:cs="宋体"/>
                <w:b/>
                <w:bCs/>
                <w:sz w:val="21"/>
                <w:szCs w:val="21"/>
                <w:highlight w:val="none"/>
                <w:vertAlign w:val="baseline"/>
                <w:lang w:val="en-US" w:eastAsia="zh-CN"/>
              </w:rPr>
              <w:t>标准编号</w:t>
            </w:r>
          </w:p>
        </w:tc>
        <w:tc>
          <w:tcPr>
            <w:tcW w:w="1170" w:type="dxa"/>
            <w:vAlign w:val="center"/>
          </w:tcPr>
          <w:p w14:paraId="2405E8C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宋体"/>
                <w:b/>
                <w:bCs/>
                <w:sz w:val="21"/>
                <w:szCs w:val="21"/>
                <w:highlight w:val="none"/>
                <w:vertAlign w:val="baseline"/>
                <w:lang w:val="en-US" w:eastAsia="zh-CN"/>
              </w:rPr>
            </w:pPr>
            <w:r>
              <w:rPr>
                <w:rFonts w:hint="eastAsia" w:cs="宋体"/>
                <w:b/>
                <w:bCs/>
                <w:sz w:val="21"/>
                <w:szCs w:val="21"/>
                <w:highlight w:val="none"/>
                <w:vertAlign w:val="baseline"/>
                <w:lang w:val="en-US" w:eastAsia="zh-CN"/>
              </w:rPr>
              <w:t>额定电流</w:t>
            </w:r>
          </w:p>
        </w:tc>
        <w:tc>
          <w:tcPr>
            <w:tcW w:w="1041" w:type="dxa"/>
            <w:gridSpan w:val="2"/>
            <w:vAlign w:val="center"/>
          </w:tcPr>
          <w:p w14:paraId="089408C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宋体"/>
                <w:b/>
                <w:bCs/>
                <w:sz w:val="21"/>
                <w:szCs w:val="21"/>
                <w:highlight w:val="none"/>
                <w:vertAlign w:val="baseline"/>
                <w:lang w:val="en-US" w:eastAsia="zh-CN"/>
              </w:rPr>
            </w:pPr>
            <w:r>
              <w:rPr>
                <w:rFonts w:hint="eastAsia" w:cs="宋体"/>
                <w:b/>
                <w:bCs/>
                <w:sz w:val="21"/>
                <w:szCs w:val="21"/>
                <w:highlight w:val="none"/>
                <w:vertAlign w:val="baseline"/>
                <w:lang w:val="en-US" w:eastAsia="zh-CN"/>
              </w:rPr>
              <w:t>额定功率</w:t>
            </w:r>
          </w:p>
        </w:tc>
        <w:tc>
          <w:tcPr>
            <w:tcW w:w="1041" w:type="dxa"/>
            <w:vAlign w:val="center"/>
          </w:tcPr>
          <w:p w14:paraId="601DE82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宋体"/>
                <w:b/>
                <w:bCs/>
                <w:sz w:val="21"/>
                <w:szCs w:val="21"/>
                <w:highlight w:val="none"/>
                <w:vertAlign w:val="baseline"/>
                <w:lang w:val="en-US" w:eastAsia="zh-CN"/>
              </w:rPr>
            </w:pPr>
            <w:r>
              <w:rPr>
                <w:rFonts w:hint="eastAsia" w:cs="宋体"/>
                <w:b/>
                <w:bCs/>
                <w:sz w:val="21"/>
                <w:szCs w:val="21"/>
                <w:highlight w:val="none"/>
                <w:vertAlign w:val="baseline"/>
                <w:lang w:val="en-US" w:eastAsia="zh-CN"/>
              </w:rPr>
              <w:t>防护等级</w:t>
            </w:r>
          </w:p>
        </w:tc>
        <w:tc>
          <w:tcPr>
            <w:tcW w:w="913" w:type="dxa"/>
            <w:vAlign w:val="center"/>
          </w:tcPr>
          <w:p w14:paraId="7E56676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宋体"/>
                <w:b/>
                <w:bCs/>
                <w:sz w:val="21"/>
                <w:szCs w:val="21"/>
                <w:highlight w:val="none"/>
                <w:vertAlign w:val="baseline"/>
                <w:lang w:val="en-US" w:eastAsia="zh-CN"/>
              </w:rPr>
            </w:pPr>
            <w:r>
              <w:rPr>
                <w:rFonts w:hint="eastAsia" w:cs="宋体"/>
                <w:b/>
                <w:bCs/>
                <w:sz w:val="21"/>
                <w:szCs w:val="21"/>
                <w:highlight w:val="none"/>
                <w:vertAlign w:val="baseline"/>
                <w:lang w:val="en-US" w:eastAsia="zh-CN"/>
              </w:rPr>
              <w:t>绝缘等级</w:t>
            </w:r>
          </w:p>
        </w:tc>
        <w:tc>
          <w:tcPr>
            <w:tcW w:w="913" w:type="dxa"/>
            <w:vAlign w:val="center"/>
          </w:tcPr>
          <w:p w14:paraId="6370B09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宋体"/>
                <w:b/>
                <w:bCs/>
                <w:sz w:val="21"/>
                <w:szCs w:val="21"/>
                <w:highlight w:val="none"/>
                <w:vertAlign w:val="baseline"/>
                <w:lang w:val="en-US" w:eastAsia="zh-CN"/>
              </w:rPr>
            </w:pPr>
            <w:r>
              <w:rPr>
                <w:rFonts w:hint="eastAsia" w:cs="宋体"/>
                <w:b/>
                <w:bCs/>
                <w:sz w:val="21"/>
                <w:szCs w:val="21"/>
                <w:highlight w:val="none"/>
                <w:vertAlign w:val="baseline"/>
                <w:lang w:val="en-US" w:eastAsia="zh-CN"/>
              </w:rPr>
              <w:t>工作制</w:t>
            </w:r>
          </w:p>
        </w:tc>
      </w:tr>
      <w:tr w14:paraId="017A6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2" w:type="dxa"/>
            <w:vAlign w:val="center"/>
          </w:tcPr>
          <w:p w14:paraId="1343E59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宋体"/>
                <w:sz w:val="21"/>
                <w:szCs w:val="21"/>
                <w:highlight w:val="none"/>
                <w:vertAlign w:val="baseline"/>
                <w:lang w:val="en-US" w:eastAsia="zh-CN"/>
              </w:rPr>
            </w:pPr>
            <w:r>
              <w:rPr>
                <w:rFonts w:hint="eastAsia" w:cs="宋体"/>
                <w:sz w:val="21"/>
                <w:szCs w:val="21"/>
                <w:highlight w:val="none"/>
                <w:vertAlign w:val="baseline"/>
                <w:lang w:val="en-US" w:eastAsia="zh-CN"/>
              </w:rPr>
              <w:t>浓硫酸A泵</w:t>
            </w:r>
          </w:p>
        </w:tc>
        <w:tc>
          <w:tcPr>
            <w:tcW w:w="1782" w:type="dxa"/>
            <w:vAlign w:val="center"/>
          </w:tcPr>
          <w:p w14:paraId="644E881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宋体"/>
                <w:sz w:val="21"/>
                <w:szCs w:val="21"/>
                <w:highlight w:val="none"/>
                <w:vertAlign w:val="baseline"/>
                <w:lang w:val="en-US" w:eastAsia="zh-CN"/>
              </w:rPr>
            </w:pPr>
            <w:r>
              <w:rPr>
                <w:rFonts w:hint="eastAsia" w:cs="宋体"/>
                <w:sz w:val="21"/>
                <w:szCs w:val="21"/>
                <w:highlight w:val="none"/>
                <w:vertAlign w:val="baseline"/>
                <w:lang w:val="en-US" w:eastAsia="zh-CN"/>
              </w:rPr>
              <w:t>YE4-280S-2 WF2 TH</w:t>
            </w:r>
          </w:p>
        </w:tc>
        <w:tc>
          <w:tcPr>
            <w:tcW w:w="1628" w:type="dxa"/>
            <w:gridSpan w:val="2"/>
            <w:vAlign w:val="center"/>
          </w:tcPr>
          <w:p w14:paraId="59F9F44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宋体"/>
                <w:sz w:val="21"/>
                <w:szCs w:val="21"/>
                <w:highlight w:val="none"/>
                <w:vertAlign w:val="baseline"/>
                <w:lang w:val="en-US" w:eastAsia="zh-CN"/>
              </w:rPr>
            </w:pPr>
            <w:r>
              <w:rPr>
                <w:rFonts w:hint="eastAsia" w:cs="宋体"/>
                <w:sz w:val="21"/>
                <w:szCs w:val="21"/>
                <w:highlight w:val="none"/>
                <w:vertAlign w:val="baseline"/>
                <w:lang w:val="en-US" w:eastAsia="zh-CN"/>
              </w:rPr>
              <w:t>JB/T13299</w:t>
            </w:r>
          </w:p>
        </w:tc>
        <w:tc>
          <w:tcPr>
            <w:tcW w:w="1170" w:type="dxa"/>
            <w:vAlign w:val="center"/>
          </w:tcPr>
          <w:p w14:paraId="09D555C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宋体"/>
                <w:sz w:val="21"/>
                <w:szCs w:val="21"/>
                <w:highlight w:val="none"/>
                <w:vertAlign w:val="baseline"/>
                <w:lang w:val="en-US" w:eastAsia="zh-CN"/>
              </w:rPr>
            </w:pPr>
            <w:r>
              <w:rPr>
                <w:rFonts w:hint="eastAsia" w:cs="宋体"/>
                <w:sz w:val="21"/>
                <w:szCs w:val="21"/>
                <w:highlight w:val="none"/>
                <w:vertAlign w:val="baseline"/>
                <w:lang w:val="en-US" w:eastAsia="zh-CN"/>
              </w:rPr>
              <w:t>133.9A</w:t>
            </w:r>
          </w:p>
        </w:tc>
        <w:tc>
          <w:tcPr>
            <w:tcW w:w="1041" w:type="dxa"/>
            <w:gridSpan w:val="2"/>
            <w:vAlign w:val="center"/>
          </w:tcPr>
          <w:p w14:paraId="1C4975C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宋体"/>
                <w:sz w:val="21"/>
                <w:szCs w:val="21"/>
                <w:highlight w:val="none"/>
                <w:vertAlign w:val="baseline"/>
                <w:lang w:val="en-US" w:eastAsia="zh-CN"/>
              </w:rPr>
            </w:pPr>
            <w:r>
              <w:rPr>
                <w:rFonts w:hint="eastAsia" w:cs="宋体"/>
                <w:sz w:val="21"/>
                <w:szCs w:val="21"/>
                <w:highlight w:val="none"/>
                <w:vertAlign w:val="baseline"/>
                <w:lang w:val="en-US" w:eastAsia="zh-CN"/>
              </w:rPr>
              <w:t>75KW</w:t>
            </w:r>
          </w:p>
        </w:tc>
        <w:tc>
          <w:tcPr>
            <w:tcW w:w="1041" w:type="dxa"/>
            <w:vAlign w:val="center"/>
          </w:tcPr>
          <w:p w14:paraId="4F7B07D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宋体"/>
                <w:sz w:val="21"/>
                <w:szCs w:val="21"/>
                <w:highlight w:val="none"/>
                <w:vertAlign w:val="baseline"/>
                <w:lang w:val="en-US" w:eastAsia="zh-CN"/>
              </w:rPr>
            </w:pPr>
            <w:r>
              <w:rPr>
                <w:rFonts w:hint="eastAsia" w:cs="宋体"/>
                <w:sz w:val="21"/>
                <w:szCs w:val="21"/>
                <w:highlight w:val="none"/>
                <w:vertAlign w:val="baseline"/>
                <w:lang w:val="en-US" w:eastAsia="zh-CN"/>
              </w:rPr>
              <w:t>IP55</w:t>
            </w:r>
          </w:p>
        </w:tc>
        <w:tc>
          <w:tcPr>
            <w:tcW w:w="913" w:type="dxa"/>
            <w:vAlign w:val="center"/>
          </w:tcPr>
          <w:p w14:paraId="5AC977B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宋体"/>
                <w:sz w:val="21"/>
                <w:szCs w:val="21"/>
                <w:highlight w:val="none"/>
                <w:vertAlign w:val="baseline"/>
                <w:lang w:val="en-US" w:eastAsia="zh-CN"/>
              </w:rPr>
            </w:pPr>
            <w:r>
              <w:rPr>
                <w:rFonts w:hint="eastAsia" w:cs="宋体"/>
                <w:sz w:val="21"/>
                <w:szCs w:val="21"/>
                <w:highlight w:val="none"/>
                <w:vertAlign w:val="baseline"/>
                <w:lang w:val="en-US" w:eastAsia="zh-CN"/>
              </w:rPr>
              <w:t>F</w:t>
            </w:r>
          </w:p>
        </w:tc>
        <w:tc>
          <w:tcPr>
            <w:tcW w:w="913" w:type="dxa"/>
            <w:vAlign w:val="center"/>
          </w:tcPr>
          <w:p w14:paraId="5601780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宋体"/>
                <w:sz w:val="21"/>
                <w:szCs w:val="21"/>
                <w:highlight w:val="none"/>
                <w:vertAlign w:val="baseline"/>
                <w:lang w:val="en-US" w:eastAsia="zh-CN"/>
              </w:rPr>
            </w:pPr>
            <w:r>
              <w:rPr>
                <w:rFonts w:hint="eastAsia" w:cs="宋体"/>
                <w:sz w:val="21"/>
                <w:szCs w:val="21"/>
                <w:highlight w:val="none"/>
                <w:vertAlign w:val="baseline"/>
                <w:lang w:val="en-US" w:eastAsia="zh-CN"/>
              </w:rPr>
              <w:t>S1</w:t>
            </w:r>
          </w:p>
        </w:tc>
      </w:tr>
      <w:tr w14:paraId="7698A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2" w:type="dxa"/>
            <w:vAlign w:val="center"/>
          </w:tcPr>
          <w:p w14:paraId="3C6E584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宋体"/>
                <w:sz w:val="21"/>
                <w:szCs w:val="21"/>
                <w:highlight w:val="none"/>
                <w:vertAlign w:val="baseline"/>
                <w:lang w:val="en-US" w:eastAsia="zh-CN"/>
              </w:rPr>
            </w:pPr>
            <w:r>
              <w:rPr>
                <w:rFonts w:hint="eastAsia" w:cs="宋体"/>
                <w:sz w:val="21"/>
                <w:szCs w:val="21"/>
                <w:highlight w:val="none"/>
                <w:vertAlign w:val="baseline"/>
                <w:lang w:val="en-US" w:eastAsia="zh-CN"/>
              </w:rPr>
              <w:t>浓硫酸S泵</w:t>
            </w:r>
          </w:p>
        </w:tc>
        <w:tc>
          <w:tcPr>
            <w:tcW w:w="1782" w:type="dxa"/>
            <w:vAlign w:val="center"/>
          </w:tcPr>
          <w:p w14:paraId="3A3BD30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宋体"/>
                <w:sz w:val="21"/>
                <w:szCs w:val="21"/>
                <w:highlight w:val="none"/>
                <w:vertAlign w:val="baseline"/>
                <w:lang w:val="en-US" w:eastAsia="zh-CN"/>
              </w:rPr>
            </w:pPr>
            <w:r>
              <w:rPr>
                <w:rFonts w:hint="eastAsia" w:cs="宋体"/>
                <w:sz w:val="21"/>
                <w:szCs w:val="21"/>
                <w:highlight w:val="none"/>
                <w:vertAlign w:val="baseline"/>
                <w:lang w:val="en-US" w:eastAsia="zh-CN"/>
              </w:rPr>
              <w:t>YE4-280S-2 WF2 TH</w:t>
            </w:r>
          </w:p>
        </w:tc>
        <w:tc>
          <w:tcPr>
            <w:tcW w:w="1628" w:type="dxa"/>
            <w:gridSpan w:val="2"/>
            <w:vAlign w:val="center"/>
          </w:tcPr>
          <w:p w14:paraId="204CB59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Times New Roman" w:eastAsia="宋体" w:cs="宋体"/>
                <w:kern w:val="2"/>
                <w:sz w:val="21"/>
                <w:szCs w:val="21"/>
                <w:highlight w:val="none"/>
                <w:vertAlign w:val="baseline"/>
                <w:lang w:val="en-US" w:eastAsia="zh-CN" w:bidi="ar-SA"/>
              </w:rPr>
            </w:pPr>
            <w:r>
              <w:rPr>
                <w:rFonts w:hint="eastAsia" w:cs="宋体"/>
                <w:sz w:val="21"/>
                <w:szCs w:val="21"/>
                <w:highlight w:val="none"/>
                <w:vertAlign w:val="baseline"/>
                <w:lang w:val="en-US" w:eastAsia="zh-CN"/>
              </w:rPr>
              <w:t>JB/T13299</w:t>
            </w:r>
          </w:p>
        </w:tc>
        <w:tc>
          <w:tcPr>
            <w:tcW w:w="1170" w:type="dxa"/>
            <w:vAlign w:val="center"/>
          </w:tcPr>
          <w:p w14:paraId="25A3FE5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Times New Roman" w:eastAsia="宋体" w:cs="宋体"/>
                <w:kern w:val="2"/>
                <w:sz w:val="21"/>
                <w:szCs w:val="21"/>
                <w:highlight w:val="none"/>
                <w:vertAlign w:val="baseline"/>
                <w:lang w:val="en-US" w:eastAsia="zh-CN" w:bidi="ar-SA"/>
              </w:rPr>
            </w:pPr>
            <w:r>
              <w:rPr>
                <w:rFonts w:hint="eastAsia" w:cs="宋体"/>
                <w:sz w:val="21"/>
                <w:szCs w:val="21"/>
                <w:highlight w:val="none"/>
                <w:vertAlign w:val="baseline"/>
                <w:lang w:val="en-US" w:eastAsia="zh-CN"/>
              </w:rPr>
              <w:t>133.9A</w:t>
            </w:r>
          </w:p>
        </w:tc>
        <w:tc>
          <w:tcPr>
            <w:tcW w:w="1041" w:type="dxa"/>
            <w:gridSpan w:val="2"/>
            <w:vAlign w:val="center"/>
          </w:tcPr>
          <w:p w14:paraId="7C1550E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Times New Roman" w:eastAsia="宋体" w:cs="宋体"/>
                <w:kern w:val="2"/>
                <w:sz w:val="21"/>
                <w:szCs w:val="21"/>
                <w:highlight w:val="none"/>
                <w:vertAlign w:val="baseline"/>
                <w:lang w:val="en-US" w:eastAsia="zh-CN" w:bidi="ar-SA"/>
              </w:rPr>
            </w:pPr>
            <w:r>
              <w:rPr>
                <w:rFonts w:hint="eastAsia" w:cs="宋体"/>
                <w:sz w:val="21"/>
                <w:szCs w:val="21"/>
                <w:highlight w:val="none"/>
                <w:vertAlign w:val="baseline"/>
                <w:lang w:val="en-US" w:eastAsia="zh-CN"/>
              </w:rPr>
              <w:t>75KW</w:t>
            </w:r>
          </w:p>
        </w:tc>
        <w:tc>
          <w:tcPr>
            <w:tcW w:w="1041" w:type="dxa"/>
            <w:vAlign w:val="center"/>
          </w:tcPr>
          <w:p w14:paraId="2F862ED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Times New Roman" w:eastAsia="宋体" w:cs="宋体"/>
                <w:kern w:val="2"/>
                <w:sz w:val="21"/>
                <w:szCs w:val="21"/>
                <w:highlight w:val="none"/>
                <w:vertAlign w:val="baseline"/>
                <w:lang w:val="en-US" w:eastAsia="zh-CN" w:bidi="ar-SA"/>
              </w:rPr>
            </w:pPr>
            <w:r>
              <w:rPr>
                <w:rFonts w:hint="eastAsia" w:cs="宋体"/>
                <w:sz w:val="21"/>
                <w:szCs w:val="21"/>
                <w:highlight w:val="none"/>
                <w:vertAlign w:val="baseline"/>
                <w:lang w:val="en-US" w:eastAsia="zh-CN"/>
              </w:rPr>
              <w:t>IP55</w:t>
            </w:r>
          </w:p>
        </w:tc>
        <w:tc>
          <w:tcPr>
            <w:tcW w:w="913" w:type="dxa"/>
            <w:vAlign w:val="center"/>
          </w:tcPr>
          <w:p w14:paraId="38BBE54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Times New Roman" w:eastAsia="宋体" w:cs="宋体"/>
                <w:kern w:val="2"/>
                <w:sz w:val="21"/>
                <w:szCs w:val="21"/>
                <w:highlight w:val="none"/>
                <w:vertAlign w:val="baseline"/>
                <w:lang w:val="en-US" w:eastAsia="zh-CN" w:bidi="ar-SA"/>
              </w:rPr>
            </w:pPr>
            <w:r>
              <w:rPr>
                <w:rFonts w:hint="eastAsia" w:cs="宋体"/>
                <w:sz w:val="21"/>
                <w:szCs w:val="21"/>
                <w:highlight w:val="none"/>
                <w:vertAlign w:val="baseline"/>
                <w:lang w:val="en-US" w:eastAsia="zh-CN"/>
              </w:rPr>
              <w:t>F</w:t>
            </w:r>
          </w:p>
        </w:tc>
        <w:tc>
          <w:tcPr>
            <w:tcW w:w="913" w:type="dxa"/>
            <w:vAlign w:val="center"/>
          </w:tcPr>
          <w:p w14:paraId="4500B8F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Times New Roman" w:eastAsia="宋体" w:cs="宋体"/>
                <w:kern w:val="2"/>
                <w:sz w:val="21"/>
                <w:szCs w:val="21"/>
                <w:highlight w:val="none"/>
                <w:vertAlign w:val="baseline"/>
                <w:lang w:val="en-US" w:eastAsia="zh-CN" w:bidi="ar-SA"/>
              </w:rPr>
            </w:pPr>
            <w:r>
              <w:rPr>
                <w:rFonts w:hint="eastAsia" w:cs="宋体"/>
                <w:sz w:val="21"/>
                <w:szCs w:val="21"/>
                <w:highlight w:val="none"/>
                <w:vertAlign w:val="baseline"/>
                <w:lang w:val="en-US" w:eastAsia="zh-CN"/>
              </w:rPr>
              <w:t>S1</w:t>
            </w:r>
          </w:p>
        </w:tc>
      </w:tr>
      <w:tr w14:paraId="43B46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2" w:type="dxa"/>
            <w:vAlign w:val="center"/>
          </w:tcPr>
          <w:p w14:paraId="0CB8C2A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宋体"/>
                <w:sz w:val="21"/>
                <w:szCs w:val="21"/>
                <w:highlight w:val="none"/>
                <w:vertAlign w:val="baseline"/>
                <w:lang w:val="en-US" w:eastAsia="zh-CN"/>
              </w:rPr>
            </w:pPr>
            <w:r>
              <w:rPr>
                <w:rFonts w:hint="eastAsia" w:cs="宋体"/>
                <w:sz w:val="21"/>
                <w:szCs w:val="21"/>
                <w:highlight w:val="none"/>
                <w:vertAlign w:val="baseline"/>
                <w:lang w:val="en-US" w:eastAsia="zh-CN"/>
              </w:rPr>
              <w:t>名称</w:t>
            </w:r>
          </w:p>
        </w:tc>
        <w:tc>
          <w:tcPr>
            <w:tcW w:w="1782" w:type="dxa"/>
            <w:vAlign w:val="center"/>
          </w:tcPr>
          <w:p w14:paraId="66ECA65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宋体"/>
                <w:sz w:val="21"/>
                <w:szCs w:val="21"/>
                <w:highlight w:val="none"/>
                <w:vertAlign w:val="baseline"/>
                <w:lang w:val="en-US" w:eastAsia="zh-CN"/>
              </w:rPr>
            </w:pPr>
            <w:r>
              <w:rPr>
                <w:rFonts w:hint="eastAsia" w:cs="宋体"/>
                <w:sz w:val="21"/>
                <w:szCs w:val="21"/>
                <w:highlight w:val="none"/>
                <w:vertAlign w:val="baseline"/>
                <w:lang w:val="en-US" w:eastAsia="zh-CN"/>
              </w:rPr>
              <w:t>电机型号</w:t>
            </w:r>
          </w:p>
        </w:tc>
        <w:tc>
          <w:tcPr>
            <w:tcW w:w="1628" w:type="dxa"/>
            <w:gridSpan w:val="2"/>
            <w:vAlign w:val="center"/>
          </w:tcPr>
          <w:p w14:paraId="47A337D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宋体"/>
                <w:sz w:val="21"/>
                <w:szCs w:val="21"/>
                <w:highlight w:val="none"/>
                <w:vertAlign w:val="baseline"/>
                <w:lang w:val="en-US" w:eastAsia="zh-CN"/>
              </w:rPr>
            </w:pPr>
            <w:r>
              <w:rPr>
                <w:rFonts w:hint="eastAsia" w:cs="宋体"/>
                <w:sz w:val="21"/>
                <w:szCs w:val="21"/>
                <w:highlight w:val="none"/>
                <w:vertAlign w:val="baseline"/>
                <w:lang w:val="en-US" w:eastAsia="zh-CN"/>
              </w:rPr>
              <w:t>标准编号</w:t>
            </w:r>
          </w:p>
        </w:tc>
        <w:tc>
          <w:tcPr>
            <w:tcW w:w="1170" w:type="dxa"/>
            <w:vAlign w:val="center"/>
          </w:tcPr>
          <w:p w14:paraId="65B35A2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宋体"/>
                <w:sz w:val="21"/>
                <w:szCs w:val="21"/>
                <w:highlight w:val="none"/>
                <w:vertAlign w:val="baseline"/>
                <w:lang w:val="en-US" w:eastAsia="zh-CN"/>
              </w:rPr>
            </w:pPr>
            <w:r>
              <w:rPr>
                <w:rFonts w:hint="eastAsia" w:cs="宋体"/>
                <w:sz w:val="21"/>
                <w:szCs w:val="21"/>
                <w:highlight w:val="none"/>
                <w:vertAlign w:val="baseline"/>
                <w:lang w:val="en-US" w:eastAsia="zh-CN"/>
              </w:rPr>
              <w:t>额定电流</w:t>
            </w:r>
          </w:p>
        </w:tc>
        <w:tc>
          <w:tcPr>
            <w:tcW w:w="1041" w:type="dxa"/>
            <w:gridSpan w:val="2"/>
            <w:vAlign w:val="center"/>
          </w:tcPr>
          <w:p w14:paraId="317B19F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宋体"/>
                <w:sz w:val="21"/>
                <w:szCs w:val="21"/>
                <w:highlight w:val="none"/>
                <w:vertAlign w:val="baseline"/>
                <w:lang w:val="en-US" w:eastAsia="zh-CN"/>
              </w:rPr>
            </w:pPr>
            <w:r>
              <w:rPr>
                <w:rFonts w:hint="eastAsia" w:cs="宋体"/>
                <w:sz w:val="21"/>
                <w:szCs w:val="21"/>
                <w:highlight w:val="none"/>
                <w:vertAlign w:val="baseline"/>
                <w:lang w:val="en-US" w:eastAsia="zh-CN"/>
              </w:rPr>
              <w:t>额定功率</w:t>
            </w:r>
          </w:p>
        </w:tc>
        <w:tc>
          <w:tcPr>
            <w:tcW w:w="1041" w:type="dxa"/>
            <w:vAlign w:val="center"/>
          </w:tcPr>
          <w:p w14:paraId="5D67042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宋体"/>
                <w:sz w:val="21"/>
                <w:szCs w:val="21"/>
                <w:highlight w:val="none"/>
                <w:vertAlign w:val="baseline"/>
                <w:lang w:val="en-US" w:eastAsia="zh-CN"/>
              </w:rPr>
            </w:pPr>
            <w:r>
              <w:rPr>
                <w:rFonts w:hint="eastAsia" w:cs="宋体"/>
                <w:sz w:val="21"/>
                <w:szCs w:val="21"/>
                <w:highlight w:val="none"/>
                <w:vertAlign w:val="baseline"/>
                <w:lang w:val="en-US" w:eastAsia="zh-CN"/>
              </w:rPr>
              <w:t>防护等级</w:t>
            </w:r>
          </w:p>
        </w:tc>
        <w:tc>
          <w:tcPr>
            <w:tcW w:w="913" w:type="dxa"/>
            <w:vAlign w:val="center"/>
          </w:tcPr>
          <w:p w14:paraId="1EDBA57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宋体"/>
                <w:sz w:val="21"/>
                <w:szCs w:val="21"/>
                <w:highlight w:val="none"/>
                <w:vertAlign w:val="baseline"/>
                <w:lang w:val="en-US" w:eastAsia="zh-CN"/>
              </w:rPr>
            </w:pPr>
            <w:r>
              <w:rPr>
                <w:rFonts w:hint="eastAsia" w:cs="宋体"/>
                <w:sz w:val="21"/>
                <w:szCs w:val="21"/>
                <w:highlight w:val="none"/>
                <w:vertAlign w:val="baseline"/>
                <w:lang w:val="en-US" w:eastAsia="zh-CN"/>
              </w:rPr>
              <w:t>绝缘等级</w:t>
            </w:r>
          </w:p>
        </w:tc>
        <w:tc>
          <w:tcPr>
            <w:tcW w:w="913" w:type="dxa"/>
            <w:vAlign w:val="center"/>
          </w:tcPr>
          <w:p w14:paraId="34CB368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宋体"/>
                <w:sz w:val="21"/>
                <w:szCs w:val="21"/>
                <w:highlight w:val="none"/>
                <w:vertAlign w:val="baseline"/>
                <w:lang w:val="en-US" w:eastAsia="zh-CN"/>
              </w:rPr>
            </w:pPr>
            <w:r>
              <w:rPr>
                <w:rFonts w:hint="eastAsia" w:cs="宋体"/>
                <w:sz w:val="21"/>
                <w:szCs w:val="21"/>
                <w:highlight w:val="none"/>
                <w:vertAlign w:val="baseline"/>
                <w:lang w:val="en-US" w:eastAsia="zh-CN"/>
              </w:rPr>
              <w:t>工作制</w:t>
            </w:r>
          </w:p>
        </w:tc>
      </w:tr>
      <w:tr w14:paraId="7FED6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2" w:type="dxa"/>
            <w:vAlign w:val="center"/>
          </w:tcPr>
          <w:p w14:paraId="00435BB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宋体"/>
                <w:sz w:val="21"/>
                <w:szCs w:val="21"/>
                <w:highlight w:val="none"/>
                <w:vertAlign w:val="baseline"/>
                <w:lang w:val="en-US" w:eastAsia="zh-CN"/>
              </w:rPr>
            </w:pPr>
            <w:r>
              <w:rPr>
                <w:rFonts w:hint="eastAsia" w:cs="宋体"/>
                <w:sz w:val="21"/>
                <w:szCs w:val="21"/>
                <w:highlight w:val="none"/>
                <w:vertAlign w:val="baseline"/>
                <w:lang w:val="en-US" w:eastAsia="zh-CN"/>
              </w:rPr>
              <w:t>氟硅酸泵</w:t>
            </w:r>
          </w:p>
        </w:tc>
        <w:tc>
          <w:tcPr>
            <w:tcW w:w="1782" w:type="dxa"/>
            <w:vAlign w:val="center"/>
          </w:tcPr>
          <w:p w14:paraId="5FD6516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宋体"/>
                <w:sz w:val="21"/>
                <w:szCs w:val="21"/>
                <w:highlight w:val="none"/>
                <w:vertAlign w:val="baseline"/>
                <w:lang w:val="en-US" w:eastAsia="zh-CN"/>
              </w:rPr>
            </w:pPr>
            <w:r>
              <w:rPr>
                <w:rFonts w:hint="eastAsia" w:cs="宋体"/>
                <w:sz w:val="21"/>
                <w:szCs w:val="21"/>
                <w:highlight w:val="none"/>
                <w:vertAlign w:val="baseline"/>
                <w:lang w:val="en-US" w:eastAsia="zh-CN"/>
              </w:rPr>
              <w:t>YE4-225M-2</w:t>
            </w:r>
          </w:p>
        </w:tc>
        <w:tc>
          <w:tcPr>
            <w:tcW w:w="1628" w:type="dxa"/>
            <w:gridSpan w:val="2"/>
            <w:vAlign w:val="center"/>
          </w:tcPr>
          <w:p w14:paraId="06440AF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宋体"/>
                <w:sz w:val="21"/>
                <w:szCs w:val="21"/>
                <w:highlight w:val="none"/>
                <w:vertAlign w:val="baseline"/>
                <w:lang w:val="en-US" w:eastAsia="zh-CN"/>
              </w:rPr>
            </w:pPr>
            <w:r>
              <w:rPr>
                <w:rFonts w:hint="eastAsia" w:cs="宋体"/>
                <w:sz w:val="21"/>
                <w:szCs w:val="21"/>
                <w:highlight w:val="none"/>
                <w:vertAlign w:val="baseline"/>
                <w:lang w:val="en-US" w:eastAsia="zh-CN"/>
              </w:rPr>
              <w:t>JB/T13299</w:t>
            </w:r>
          </w:p>
        </w:tc>
        <w:tc>
          <w:tcPr>
            <w:tcW w:w="1170" w:type="dxa"/>
            <w:vAlign w:val="center"/>
          </w:tcPr>
          <w:p w14:paraId="6F546DD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宋体"/>
                <w:sz w:val="21"/>
                <w:szCs w:val="21"/>
                <w:highlight w:val="none"/>
                <w:vertAlign w:val="baseline"/>
                <w:lang w:val="en-US" w:eastAsia="zh-CN"/>
              </w:rPr>
            </w:pPr>
            <w:r>
              <w:rPr>
                <w:rFonts w:hint="eastAsia" w:cs="宋体"/>
                <w:sz w:val="21"/>
                <w:szCs w:val="21"/>
                <w:highlight w:val="none"/>
                <w:vertAlign w:val="baseline"/>
                <w:lang w:val="en-US" w:eastAsia="zh-CN"/>
              </w:rPr>
              <w:t>80.9</w:t>
            </w:r>
          </w:p>
        </w:tc>
        <w:tc>
          <w:tcPr>
            <w:tcW w:w="1041" w:type="dxa"/>
            <w:gridSpan w:val="2"/>
            <w:vAlign w:val="center"/>
          </w:tcPr>
          <w:p w14:paraId="34D5BA4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宋体"/>
                <w:sz w:val="21"/>
                <w:szCs w:val="21"/>
                <w:highlight w:val="none"/>
                <w:vertAlign w:val="baseline"/>
                <w:lang w:val="en-US" w:eastAsia="zh-CN"/>
              </w:rPr>
            </w:pPr>
            <w:r>
              <w:rPr>
                <w:rFonts w:hint="eastAsia" w:cs="宋体"/>
                <w:sz w:val="21"/>
                <w:szCs w:val="21"/>
                <w:highlight w:val="none"/>
                <w:vertAlign w:val="baseline"/>
                <w:lang w:val="en-US" w:eastAsia="zh-CN"/>
              </w:rPr>
              <w:t>45KW</w:t>
            </w:r>
          </w:p>
        </w:tc>
        <w:tc>
          <w:tcPr>
            <w:tcW w:w="1041" w:type="dxa"/>
            <w:vAlign w:val="center"/>
          </w:tcPr>
          <w:p w14:paraId="2628385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宋体"/>
                <w:sz w:val="21"/>
                <w:szCs w:val="21"/>
                <w:highlight w:val="none"/>
                <w:vertAlign w:val="baseline"/>
                <w:lang w:val="en-US" w:eastAsia="zh-CN"/>
              </w:rPr>
            </w:pPr>
            <w:r>
              <w:rPr>
                <w:rFonts w:hint="eastAsia" w:cs="宋体"/>
                <w:sz w:val="21"/>
                <w:szCs w:val="21"/>
                <w:highlight w:val="none"/>
                <w:vertAlign w:val="baseline"/>
                <w:lang w:val="en-US" w:eastAsia="zh-CN"/>
              </w:rPr>
              <w:t>IP55</w:t>
            </w:r>
          </w:p>
        </w:tc>
        <w:tc>
          <w:tcPr>
            <w:tcW w:w="913" w:type="dxa"/>
            <w:vAlign w:val="center"/>
          </w:tcPr>
          <w:p w14:paraId="78B43FA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宋体"/>
                <w:sz w:val="21"/>
                <w:szCs w:val="21"/>
                <w:highlight w:val="none"/>
                <w:vertAlign w:val="baseline"/>
                <w:lang w:val="en-US" w:eastAsia="zh-CN"/>
              </w:rPr>
            </w:pPr>
            <w:r>
              <w:rPr>
                <w:rFonts w:hint="eastAsia" w:cs="宋体"/>
                <w:sz w:val="21"/>
                <w:szCs w:val="21"/>
                <w:highlight w:val="none"/>
                <w:vertAlign w:val="baseline"/>
                <w:lang w:val="en-US" w:eastAsia="zh-CN"/>
              </w:rPr>
              <w:t>F</w:t>
            </w:r>
          </w:p>
        </w:tc>
        <w:tc>
          <w:tcPr>
            <w:tcW w:w="913" w:type="dxa"/>
            <w:vAlign w:val="center"/>
          </w:tcPr>
          <w:p w14:paraId="37BCDA3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宋体"/>
                <w:sz w:val="21"/>
                <w:szCs w:val="21"/>
                <w:highlight w:val="none"/>
                <w:vertAlign w:val="baseline"/>
                <w:lang w:val="en-US" w:eastAsia="zh-CN"/>
              </w:rPr>
            </w:pPr>
            <w:r>
              <w:rPr>
                <w:rFonts w:hint="eastAsia" w:cs="宋体"/>
                <w:sz w:val="21"/>
                <w:szCs w:val="21"/>
                <w:highlight w:val="none"/>
                <w:vertAlign w:val="baseline"/>
                <w:lang w:val="en-US" w:eastAsia="zh-CN"/>
              </w:rPr>
              <w:t>S1</w:t>
            </w:r>
          </w:p>
        </w:tc>
      </w:tr>
      <w:tr w14:paraId="3ADCC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2" w:type="dxa"/>
            <w:vAlign w:val="center"/>
          </w:tcPr>
          <w:p w14:paraId="6211A0C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宋体"/>
                <w:sz w:val="21"/>
                <w:szCs w:val="21"/>
                <w:highlight w:val="none"/>
                <w:vertAlign w:val="baseline"/>
                <w:lang w:val="en-US" w:eastAsia="zh-CN"/>
              </w:rPr>
            </w:pPr>
            <w:r>
              <w:rPr>
                <w:rFonts w:hint="eastAsia" w:cs="宋体"/>
                <w:sz w:val="21"/>
                <w:szCs w:val="21"/>
                <w:highlight w:val="none"/>
                <w:vertAlign w:val="baseline"/>
                <w:lang w:val="en-US" w:eastAsia="zh-CN"/>
              </w:rPr>
              <w:t>氟硅酸泵</w:t>
            </w:r>
          </w:p>
        </w:tc>
        <w:tc>
          <w:tcPr>
            <w:tcW w:w="1782" w:type="dxa"/>
            <w:vAlign w:val="center"/>
          </w:tcPr>
          <w:p w14:paraId="0CEBEC1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宋体"/>
                <w:sz w:val="21"/>
                <w:szCs w:val="21"/>
                <w:highlight w:val="none"/>
                <w:vertAlign w:val="baseline"/>
                <w:lang w:val="en-US" w:eastAsia="zh-CN"/>
              </w:rPr>
            </w:pPr>
            <w:r>
              <w:rPr>
                <w:rFonts w:hint="eastAsia" w:cs="宋体"/>
                <w:sz w:val="21"/>
                <w:szCs w:val="21"/>
                <w:highlight w:val="none"/>
                <w:vertAlign w:val="baseline"/>
                <w:lang w:val="en-US" w:eastAsia="zh-CN"/>
              </w:rPr>
              <w:t>YE4-225M-2</w:t>
            </w:r>
          </w:p>
        </w:tc>
        <w:tc>
          <w:tcPr>
            <w:tcW w:w="1628" w:type="dxa"/>
            <w:gridSpan w:val="2"/>
            <w:vAlign w:val="center"/>
          </w:tcPr>
          <w:p w14:paraId="08FC09B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Times New Roman" w:eastAsia="宋体" w:cs="宋体"/>
                <w:kern w:val="2"/>
                <w:sz w:val="21"/>
                <w:szCs w:val="21"/>
                <w:highlight w:val="none"/>
                <w:vertAlign w:val="baseline"/>
                <w:lang w:val="en-US" w:eastAsia="zh-CN" w:bidi="ar-SA"/>
              </w:rPr>
            </w:pPr>
            <w:r>
              <w:rPr>
                <w:rFonts w:hint="eastAsia" w:cs="宋体"/>
                <w:sz w:val="21"/>
                <w:szCs w:val="21"/>
                <w:highlight w:val="none"/>
                <w:vertAlign w:val="baseline"/>
                <w:lang w:val="en-US" w:eastAsia="zh-CN"/>
              </w:rPr>
              <w:t>JB/T13299</w:t>
            </w:r>
          </w:p>
        </w:tc>
        <w:tc>
          <w:tcPr>
            <w:tcW w:w="1170" w:type="dxa"/>
            <w:vAlign w:val="center"/>
          </w:tcPr>
          <w:p w14:paraId="78C5ADD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Times New Roman" w:eastAsia="宋体" w:cs="宋体"/>
                <w:kern w:val="2"/>
                <w:sz w:val="21"/>
                <w:szCs w:val="21"/>
                <w:highlight w:val="none"/>
                <w:vertAlign w:val="baseline"/>
                <w:lang w:val="en-US" w:eastAsia="zh-CN" w:bidi="ar-SA"/>
              </w:rPr>
            </w:pPr>
            <w:r>
              <w:rPr>
                <w:rFonts w:hint="eastAsia" w:cs="宋体"/>
                <w:kern w:val="2"/>
                <w:sz w:val="21"/>
                <w:szCs w:val="21"/>
                <w:highlight w:val="none"/>
                <w:vertAlign w:val="baseline"/>
                <w:lang w:val="en-US" w:eastAsia="zh-CN" w:bidi="ar-SA"/>
              </w:rPr>
              <w:t>80.9</w:t>
            </w:r>
          </w:p>
        </w:tc>
        <w:tc>
          <w:tcPr>
            <w:tcW w:w="1041" w:type="dxa"/>
            <w:gridSpan w:val="2"/>
            <w:vAlign w:val="center"/>
          </w:tcPr>
          <w:p w14:paraId="2DC740B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Times New Roman" w:eastAsia="宋体" w:cs="宋体"/>
                <w:kern w:val="2"/>
                <w:sz w:val="21"/>
                <w:szCs w:val="21"/>
                <w:highlight w:val="none"/>
                <w:vertAlign w:val="baseline"/>
                <w:lang w:val="en-US" w:eastAsia="zh-CN" w:bidi="ar-SA"/>
              </w:rPr>
            </w:pPr>
            <w:r>
              <w:rPr>
                <w:rFonts w:hint="eastAsia" w:cs="宋体"/>
                <w:sz w:val="21"/>
                <w:szCs w:val="21"/>
                <w:highlight w:val="none"/>
                <w:vertAlign w:val="baseline"/>
                <w:lang w:val="en-US" w:eastAsia="zh-CN"/>
              </w:rPr>
              <w:t>45KW</w:t>
            </w:r>
          </w:p>
        </w:tc>
        <w:tc>
          <w:tcPr>
            <w:tcW w:w="1041" w:type="dxa"/>
            <w:vAlign w:val="center"/>
          </w:tcPr>
          <w:p w14:paraId="297E796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Times New Roman" w:eastAsia="宋体" w:cs="宋体"/>
                <w:kern w:val="2"/>
                <w:sz w:val="21"/>
                <w:szCs w:val="21"/>
                <w:highlight w:val="none"/>
                <w:vertAlign w:val="baseline"/>
                <w:lang w:val="en-US" w:eastAsia="zh-CN" w:bidi="ar-SA"/>
              </w:rPr>
            </w:pPr>
            <w:r>
              <w:rPr>
                <w:rFonts w:hint="eastAsia" w:cs="宋体"/>
                <w:sz w:val="21"/>
                <w:szCs w:val="21"/>
                <w:highlight w:val="none"/>
                <w:vertAlign w:val="baseline"/>
                <w:lang w:val="en-US" w:eastAsia="zh-CN"/>
              </w:rPr>
              <w:t>IP55</w:t>
            </w:r>
          </w:p>
        </w:tc>
        <w:tc>
          <w:tcPr>
            <w:tcW w:w="913" w:type="dxa"/>
            <w:vAlign w:val="center"/>
          </w:tcPr>
          <w:p w14:paraId="15EC36E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Times New Roman" w:eastAsia="宋体" w:cs="宋体"/>
                <w:kern w:val="2"/>
                <w:sz w:val="21"/>
                <w:szCs w:val="21"/>
                <w:highlight w:val="none"/>
                <w:vertAlign w:val="baseline"/>
                <w:lang w:val="en-US" w:eastAsia="zh-CN" w:bidi="ar-SA"/>
              </w:rPr>
            </w:pPr>
            <w:r>
              <w:rPr>
                <w:rFonts w:hint="eastAsia" w:cs="宋体"/>
                <w:sz w:val="21"/>
                <w:szCs w:val="21"/>
                <w:highlight w:val="none"/>
                <w:vertAlign w:val="baseline"/>
                <w:lang w:val="en-US" w:eastAsia="zh-CN"/>
              </w:rPr>
              <w:t>F</w:t>
            </w:r>
          </w:p>
        </w:tc>
        <w:tc>
          <w:tcPr>
            <w:tcW w:w="913" w:type="dxa"/>
            <w:vAlign w:val="center"/>
          </w:tcPr>
          <w:p w14:paraId="6F9EE59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Times New Roman" w:eastAsia="宋体" w:cs="宋体"/>
                <w:kern w:val="2"/>
                <w:sz w:val="21"/>
                <w:szCs w:val="21"/>
                <w:highlight w:val="none"/>
                <w:vertAlign w:val="baseline"/>
                <w:lang w:val="en-US" w:eastAsia="zh-CN" w:bidi="ar-SA"/>
              </w:rPr>
            </w:pPr>
            <w:r>
              <w:rPr>
                <w:rFonts w:hint="eastAsia" w:cs="宋体"/>
                <w:sz w:val="21"/>
                <w:szCs w:val="21"/>
                <w:highlight w:val="none"/>
                <w:vertAlign w:val="baseline"/>
                <w:lang w:val="en-US" w:eastAsia="zh-CN"/>
              </w:rPr>
              <w:t>S1</w:t>
            </w:r>
          </w:p>
        </w:tc>
      </w:tr>
      <w:tr w14:paraId="13A79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00" w:type="dxa"/>
            <w:gridSpan w:val="10"/>
            <w:vAlign w:val="center"/>
          </w:tcPr>
          <w:p w14:paraId="1F2497EF">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073电缆及相关电气设备信息</w:t>
            </w:r>
          </w:p>
        </w:tc>
      </w:tr>
      <w:tr w14:paraId="75821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75" w:type="dxa"/>
            <w:gridSpan w:val="3"/>
            <w:vAlign w:val="center"/>
          </w:tcPr>
          <w:p w14:paraId="6500E8E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eastAsia="宋体"/>
                <w:sz w:val="21"/>
                <w:szCs w:val="21"/>
                <w:highlight w:val="none"/>
                <w:vertAlign w:val="baseline"/>
                <w:lang w:val="en-US" w:eastAsia="zh-CN"/>
              </w:rPr>
            </w:pPr>
            <w:r>
              <w:rPr>
                <w:rFonts w:hint="eastAsia"/>
                <w:sz w:val="21"/>
                <w:szCs w:val="21"/>
                <w:highlight w:val="none"/>
                <w:vertAlign w:val="baseline"/>
                <w:lang w:val="en-US" w:eastAsia="zh-CN"/>
              </w:rPr>
              <w:t>名称</w:t>
            </w:r>
          </w:p>
        </w:tc>
        <w:tc>
          <w:tcPr>
            <w:tcW w:w="2875" w:type="dxa"/>
            <w:gridSpan w:val="3"/>
            <w:vAlign w:val="center"/>
          </w:tcPr>
          <w:p w14:paraId="73096BE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eastAsia="宋体"/>
                <w:sz w:val="21"/>
                <w:szCs w:val="21"/>
                <w:highlight w:val="none"/>
                <w:vertAlign w:val="baseline"/>
                <w:lang w:val="en-US" w:eastAsia="zh-CN"/>
              </w:rPr>
            </w:pPr>
            <w:r>
              <w:rPr>
                <w:rFonts w:hint="eastAsia"/>
                <w:sz w:val="21"/>
                <w:szCs w:val="21"/>
                <w:highlight w:val="none"/>
                <w:vertAlign w:val="baseline"/>
                <w:lang w:val="en-US" w:eastAsia="zh-CN"/>
              </w:rPr>
              <w:t>型号</w:t>
            </w:r>
          </w:p>
        </w:tc>
        <w:tc>
          <w:tcPr>
            <w:tcW w:w="3650" w:type="dxa"/>
            <w:gridSpan w:val="4"/>
            <w:vAlign w:val="center"/>
          </w:tcPr>
          <w:p w14:paraId="25FDFA6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eastAsia="宋体"/>
                <w:sz w:val="21"/>
                <w:szCs w:val="21"/>
                <w:highlight w:val="none"/>
                <w:vertAlign w:val="baseline"/>
                <w:lang w:val="en-US" w:eastAsia="zh-CN"/>
              </w:rPr>
            </w:pPr>
            <w:r>
              <w:rPr>
                <w:rFonts w:hint="eastAsia"/>
                <w:sz w:val="21"/>
                <w:szCs w:val="21"/>
                <w:highlight w:val="none"/>
                <w:vertAlign w:val="baseline"/>
                <w:lang w:val="en-US" w:eastAsia="zh-CN"/>
              </w:rPr>
              <w:t>备注</w:t>
            </w:r>
          </w:p>
        </w:tc>
      </w:tr>
      <w:tr w14:paraId="33714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75" w:type="dxa"/>
            <w:gridSpan w:val="3"/>
            <w:vAlign w:val="center"/>
          </w:tcPr>
          <w:p w14:paraId="41D72B5E">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sz w:val="21"/>
                <w:szCs w:val="21"/>
                <w:highlight w:val="none"/>
                <w:vertAlign w:val="baseline"/>
              </w:rPr>
            </w:pPr>
            <w:r>
              <w:rPr>
                <w:rFonts w:hint="eastAsia"/>
                <w:sz w:val="21"/>
                <w:szCs w:val="21"/>
                <w:highlight w:val="none"/>
                <w:vertAlign w:val="baseline"/>
                <w:lang w:val="en-US" w:eastAsia="zh-CN"/>
              </w:rPr>
              <w:t>浓硫酸泵</w:t>
            </w:r>
            <w:r>
              <w:rPr>
                <w:rFonts w:hint="eastAsia"/>
                <w:sz w:val="21"/>
                <w:szCs w:val="21"/>
                <w:highlight w:val="none"/>
                <w:vertAlign w:val="baseline"/>
              </w:rPr>
              <w:t>电气电缆</w:t>
            </w:r>
          </w:p>
        </w:tc>
        <w:tc>
          <w:tcPr>
            <w:tcW w:w="2875" w:type="dxa"/>
            <w:gridSpan w:val="3"/>
            <w:vAlign w:val="center"/>
          </w:tcPr>
          <w:p w14:paraId="77406AF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sz w:val="21"/>
                <w:szCs w:val="21"/>
                <w:highlight w:val="none"/>
                <w:vertAlign w:val="baseline"/>
              </w:rPr>
            </w:pPr>
            <w:r>
              <w:rPr>
                <w:rFonts w:hint="eastAsia"/>
                <w:sz w:val="21"/>
                <w:szCs w:val="21"/>
                <w:highlight w:val="none"/>
                <w:vertAlign w:val="baseline"/>
              </w:rPr>
              <w:t>ZA-YJV-0.6/1KV-3×95+1×50</w:t>
            </w:r>
          </w:p>
        </w:tc>
        <w:tc>
          <w:tcPr>
            <w:tcW w:w="3650" w:type="dxa"/>
            <w:gridSpan w:val="4"/>
            <w:vMerge w:val="restart"/>
            <w:vAlign w:val="center"/>
          </w:tcPr>
          <w:p w14:paraId="06153964">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sz w:val="21"/>
                <w:szCs w:val="21"/>
                <w:highlight w:val="none"/>
                <w:vertAlign w:val="baseline"/>
              </w:rPr>
            </w:pPr>
            <w:r>
              <w:rPr>
                <w:rFonts w:hint="eastAsia"/>
                <w:sz w:val="21"/>
                <w:szCs w:val="21"/>
                <w:highlight w:val="none"/>
                <w:vertAlign w:val="baseline"/>
              </w:rPr>
              <w:t>从电机至祥丰金麦配电室MCC柜，动力电源电缆</w:t>
            </w:r>
          </w:p>
        </w:tc>
      </w:tr>
      <w:tr w14:paraId="5A669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75" w:type="dxa"/>
            <w:gridSpan w:val="3"/>
            <w:vAlign w:val="center"/>
          </w:tcPr>
          <w:p w14:paraId="63F8D9D4">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sz w:val="21"/>
                <w:szCs w:val="21"/>
                <w:highlight w:val="none"/>
                <w:vertAlign w:val="baseline"/>
              </w:rPr>
            </w:pPr>
            <w:r>
              <w:rPr>
                <w:rFonts w:hint="eastAsia"/>
                <w:sz w:val="21"/>
                <w:szCs w:val="21"/>
                <w:highlight w:val="none"/>
                <w:vertAlign w:val="baseline"/>
                <w:lang w:val="en-US" w:eastAsia="zh-CN"/>
              </w:rPr>
              <w:t>浓硫酸泵</w:t>
            </w:r>
            <w:r>
              <w:rPr>
                <w:rFonts w:hint="eastAsia"/>
                <w:sz w:val="21"/>
                <w:szCs w:val="21"/>
                <w:highlight w:val="none"/>
                <w:vertAlign w:val="baseline"/>
              </w:rPr>
              <w:t>电气电缆</w:t>
            </w:r>
          </w:p>
        </w:tc>
        <w:tc>
          <w:tcPr>
            <w:tcW w:w="2875" w:type="dxa"/>
            <w:gridSpan w:val="3"/>
            <w:vAlign w:val="center"/>
          </w:tcPr>
          <w:p w14:paraId="1F6F5B0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sz w:val="21"/>
                <w:szCs w:val="21"/>
                <w:highlight w:val="none"/>
                <w:vertAlign w:val="baseline"/>
              </w:rPr>
            </w:pPr>
            <w:r>
              <w:rPr>
                <w:rFonts w:hint="eastAsia"/>
                <w:sz w:val="21"/>
                <w:szCs w:val="21"/>
                <w:highlight w:val="none"/>
                <w:vertAlign w:val="baseline"/>
              </w:rPr>
              <w:t>ZA-YJV-0.6/1KV-3×95+1×50</w:t>
            </w:r>
          </w:p>
        </w:tc>
        <w:tc>
          <w:tcPr>
            <w:tcW w:w="3650" w:type="dxa"/>
            <w:gridSpan w:val="4"/>
            <w:vMerge w:val="continue"/>
            <w:vAlign w:val="center"/>
          </w:tcPr>
          <w:p w14:paraId="2E7B5D98">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sz w:val="21"/>
                <w:szCs w:val="21"/>
                <w:highlight w:val="none"/>
                <w:vertAlign w:val="baseline"/>
              </w:rPr>
            </w:pPr>
          </w:p>
        </w:tc>
      </w:tr>
      <w:tr w14:paraId="0149F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75" w:type="dxa"/>
            <w:gridSpan w:val="3"/>
            <w:vAlign w:val="center"/>
          </w:tcPr>
          <w:p w14:paraId="263E1390">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sz w:val="21"/>
                <w:szCs w:val="21"/>
                <w:highlight w:val="none"/>
                <w:vertAlign w:val="baseline"/>
              </w:rPr>
            </w:pPr>
            <w:r>
              <w:rPr>
                <w:rFonts w:hint="eastAsia"/>
                <w:sz w:val="21"/>
                <w:szCs w:val="21"/>
                <w:highlight w:val="none"/>
                <w:vertAlign w:val="baseline"/>
                <w:lang w:val="en-US" w:eastAsia="zh-CN"/>
              </w:rPr>
              <w:t>氟硅酸泵</w:t>
            </w:r>
            <w:r>
              <w:rPr>
                <w:rFonts w:hint="eastAsia"/>
                <w:sz w:val="21"/>
                <w:szCs w:val="21"/>
                <w:highlight w:val="none"/>
                <w:vertAlign w:val="baseline"/>
              </w:rPr>
              <w:t>电气电缆</w:t>
            </w:r>
          </w:p>
        </w:tc>
        <w:tc>
          <w:tcPr>
            <w:tcW w:w="2875" w:type="dxa"/>
            <w:gridSpan w:val="3"/>
            <w:vAlign w:val="center"/>
          </w:tcPr>
          <w:p w14:paraId="6C7145C8">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sz w:val="21"/>
                <w:szCs w:val="21"/>
                <w:highlight w:val="none"/>
                <w:vertAlign w:val="baseline"/>
              </w:rPr>
            </w:pPr>
            <w:r>
              <w:rPr>
                <w:rFonts w:hint="eastAsia"/>
                <w:sz w:val="21"/>
                <w:szCs w:val="21"/>
                <w:highlight w:val="none"/>
                <w:vertAlign w:val="baseline"/>
              </w:rPr>
              <w:t>ZA-YJV-0.6/1KV-3×50+1×25</w:t>
            </w:r>
          </w:p>
        </w:tc>
        <w:tc>
          <w:tcPr>
            <w:tcW w:w="3650" w:type="dxa"/>
            <w:gridSpan w:val="4"/>
            <w:vMerge w:val="restart"/>
            <w:vAlign w:val="center"/>
          </w:tcPr>
          <w:p w14:paraId="03B6B82E">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sz w:val="21"/>
                <w:szCs w:val="21"/>
                <w:highlight w:val="none"/>
                <w:vertAlign w:val="baseline"/>
              </w:rPr>
            </w:pPr>
            <w:r>
              <w:rPr>
                <w:rFonts w:hint="eastAsia"/>
                <w:sz w:val="21"/>
                <w:szCs w:val="21"/>
                <w:highlight w:val="none"/>
              </w:rPr>
              <w:t>从电机至祥丰金麦配电室MCC柜，动力电源电缆</w:t>
            </w:r>
          </w:p>
        </w:tc>
      </w:tr>
      <w:tr w14:paraId="090DB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75" w:type="dxa"/>
            <w:gridSpan w:val="3"/>
            <w:vAlign w:val="center"/>
          </w:tcPr>
          <w:p w14:paraId="34A14F4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sz w:val="21"/>
                <w:szCs w:val="21"/>
                <w:highlight w:val="none"/>
                <w:vertAlign w:val="baseline"/>
              </w:rPr>
            </w:pPr>
            <w:r>
              <w:rPr>
                <w:rFonts w:hint="eastAsia"/>
                <w:sz w:val="21"/>
                <w:szCs w:val="21"/>
                <w:highlight w:val="none"/>
                <w:vertAlign w:val="baseline"/>
                <w:lang w:val="en-US" w:eastAsia="zh-CN"/>
              </w:rPr>
              <w:t>氟硅酸泵</w:t>
            </w:r>
            <w:r>
              <w:rPr>
                <w:rFonts w:hint="eastAsia"/>
                <w:sz w:val="21"/>
                <w:szCs w:val="21"/>
                <w:highlight w:val="none"/>
                <w:vertAlign w:val="baseline"/>
              </w:rPr>
              <w:t>电气电缆</w:t>
            </w:r>
          </w:p>
        </w:tc>
        <w:tc>
          <w:tcPr>
            <w:tcW w:w="2875" w:type="dxa"/>
            <w:gridSpan w:val="3"/>
            <w:vAlign w:val="center"/>
          </w:tcPr>
          <w:p w14:paraId="1B309D3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sz w:val="21"/>
                <w:szCs w:val="21"/>
                <w:highlight w:val="none"/>
                <w:vertAlign w:val="baseline"/>
              </w:rPr>
            </w:pPr>
            <w:r>
              <w:rPr>
                <w:rFonts w:hint="eastAsia"/>
                <w:sz w:val="21"/>
                <w:szCs w:val="21"/>
                <w:highlight w:val="none"/>
                <w:vertAlign w:val="baseline"/>
              </w:rPr>
              <w:t>ZA-YJV-0.6/1KV-3×50+1×25</w:t>
            </w:r>
          </w:p>
        </w:tc>
        <w:tc>
          <w:tcPr>
            <w:tcW w:w="3650" w:type="dxa"/>
            <w:gridSpan w:val="4"/>
            <w:vMerge w:val="continue"/>
            <w:vAlign w:val="center"/>
          </w:tcPr>
          <w:p w14:paraId="5A61E2C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sz w:val="21"/>
                <w:szCs w:val="21"/>
                <w:highlight w:val="none"/>
                <w:vertAlign w:val="baseline"/>
              </w:rPr>
            </w:pPr>
          </w:p>
        </w:tc>
      </w:tr>
      <w:tr w14:paraId="7B582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75" w:type="dxa"/>
            <w:gridSpan w:val="3"/>
            <w:vAlign w:val="center"/>
          </w:tcPr>
          <w:p w14:paraId="23D2E7D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sz w:val="21"/>
                <w:szCs w:val="21"/>
                <w:highlight w:val="none"/>
                <w:vertAlign w:val="baseline"/>
              </w:rPr>
            </w:pPr>
            <w:r>
              <w:rPr>
                <w:rFonts w:hint="eastAsia"/>
                <w:sz w:val="21"/>
                <w:szCs w:val="21"/>
                <w:highlight w:val="none"/>
                <w:vertAlign w:val="baseline"/>
              </w:rPr>
              <w:t>控制电缆</w:t>
            </w:r>
          </w:p>
        </w:tc>
        <w:tc>
          <w:tcPr>
            <w:tcW w:w="2875" w:type="dxa"/>
            <w:gridSpan w:val="3"/>
            <w:vAlign w:val="center"/>
          </w:tcPr>
          <w:p w14:paraId="02B704E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sz w:val="21"/>
                <w:szCs w:val="21"/>
                <w:highlight w:val="none"/>
                <w:vertAlign w:val="baseline"/>
              </w:rPr>
            </w:pPr>
            <w:r>
              <w:rPr>
                <w:rFonts w:hint="eastAsia"/>
                <w:sz w:val="21"/>
                <w:szCs w:val="21"/>
                <w:highlight w:val="none"/>
                <w:vertAlign w:val="baseline"/>
              </w:rPr>
              <w:t>ZA-KYJVP-0.45/0.75kV-12×1.5</w:t>
            </w:r>
          </w:p>
        </w:tc>
        <w:tc>
          <w:tcPr>
            <w:tcW w:w="3650" w:type="dxa"/>
            <w:gridSpan w:val="4"/>
            <w:vAlign w:val="center"/>
          </w:tcPr>
          <w:p w14:paraId="4C87A55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sz w:val="21"/>
                <w:szCs w:val="21"/>
                <w:highlight w:val="none"/>
                <w:vertAlign w:val="baseline"/>
              </w:rPr>
            </w:pPr>
            <w:r>
              <w:rPr>
                <w:rFonts w:hint="eastAsia"/>
                <w:sz w:val="21"/>
                <w:szCs w:val="21"/>
                <w:highlight w:val="none"/>
                <w:vertAlign w:val="baseline"/>
                <w:lang w:val="en-US" w:eastAsia="zh-CN"/>
              </w:rPr>
              <w:t>四个</w:t>
            </w:r>
            <w:r>
              <w:rPr>
                <w:rFonts w:hint="eastAsia"/>
                <w:sz w:val="21"/>
                <w:szCs w:val="21"/>
                <w:highlight w:val="none"/>
                <w:vertAlign w:val="baseline"/>
              </w:rPr>
              <w:t>现场操作柱至配电室MCC柜</w:t>
            </w:r>
          </w:p>
        </w:tc>
      </w:tr>
      <w:tr w14:paraId="43E0F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75" w:type="dxa"/>
            <w:gridSpan w:val="3"/>
            <w:vAlign w:val="center"/>
          </w:tcPr>
          <w:p w14:paraId="44329D9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sz w:val="21"/>
                <w:szCs w:val="21"/>
                <w:highlight w:val="none"/>
                <w:vertAlign w:val="baseline"/>
              </w:rPr>
            </w:pPr>
            <w:r>
              <w:rPr>
                <w:rFonts w:hint="eastAsia"/>
                <w:sz w:val="21"/>
                <w:szCs w:val="21"/>
                <w:highlight w:val="none"/>
                <w:vertAlign w:val="baseline"/>
              </w:rPr>
              <w:t>通讯电缆</w:t>
            </w:r>
          </w:p>
        </w:tc>
        <w:tc>
          <w:tcPr>
            <w:tcW w:w="2875" w:type="dxa"/>
            <w:gridSpan w:val="3"/>
            <w:vAlign w:val="center"/>
          </w:tcPr>
          <w:p w14:paraId="600074EB">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sz w:val="21"/>
                <w:szCs w:val="21"/>
                <w:highlight w:val="none"/>
                <w:vertAlign w:val="baseline"/>
              </w:rPr>
            </w:pPr>
            <w:r>
              <w:rPr>
                <w:rFonts w:hint="eastAsia"/>
                <w:sz w:val="21"/>
                <w:szCs w:val="21"/>
                <w:highlight w:val="none"/>
                <w:vertAlign w:val="baseline"/>
              </w:rPr>
              <w:t>ZB-DJYPVRP-5×2×1.5</w:t>
            </w:r>
          </w:p>
        </w:tc>
        <w:tc>
          <w:tcPr>
            <w:tcW w:w="3650" w:type="dxa"/>
            <w:gridSpan w:val="4"/>
            <w:vAlign w:val="center"/>
          </w:tcPr>
          <w:p w14:paraId="33FCAFB2">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sz w:val="21"/>
                <w:szCs w:val="21"/>
                <w:highlight w:val="none"/>
                <w:vertAlign w:val="baseline"/>
              </w:rPr>
            </w:pPr>
            <w:r>
              <w:rPr>
                <w:rFonts w:hint="eastAsia"/>
                <w:sz w:val="21"/>
                <w:szCs w:val="21"/>
                <w:highlight w:val="none"/>
                <w:vertAlign w:val="baseline"/>
              </w:rPr>
              <w:t>从MCC柜至DCS室，每根电缆5对点，用途分别为：电流反馈、运行状态反馈、故障反馈、远程停止、备用</w:t>
            </w:r>
          </w:p>
        </w:tc>
      </w:tr>
      <w:tr w14:paraId="564D5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75" w:type="dxa"/>
            <w:gridSpan w:val="3"/>
            <w:vAlign w:val="center"/>
          </w:tcPr>
          <w:p w14:paraId="2C6053D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sz w:val="21"/>
                <w:szCs w:val="21"/>
                <w:highlight w:val="none"/>
                <w:vertAlign w:val="baseline"/>
              </w:rPr>
            </w:pPr>
            <w:r>
              <w:rPr>
                <w:rFonts w:hint="eastAsia"/>
                <w:sz w:val="21"/>
                <w:szCs w:val="21"/>
                <w:highlight w:val="none"/>
                <w:vertAlign w:val="baseline"/>
              </w:rPr>
              <w:t>三防操作柱</w:t>
            </w:r>
          </w:p>
        </w:tc>
        <w:tc>
          <w:tcPr>
            <w:tcW w:w="2875" w:type="dxa"/>
            <w:gridSpan w:val="3"/>
            <w:vAlign w:val="center"/>
          </w:tcPr>
          <w:p w14:paraId="72C2DEF0">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sz w:val="21"/>
                <w:szCs w:val="21"/>
                <w:highlight w:val="none"/>
                <w:vertAlign w:val="baseline"/>
              </w:rPr>
            </w:pPr>
            <w:r>
              <w:rPr>
                <w:rFonts w:hint="eastAsia"/>
                <w:sz w:val="21"/>
                <w:szCs w:val="21"/>
                <w:highlight w:val="none"/>
                <w:vertAlign w:val="baseline"/>
              </w:rPr>
              <w:t>FZC-S-A2D2K1L 防腐等级WF2/防护等级IP65,需带防雨棚和配套格兰头</w:t>
            </w:r>
          </w:p>
        </w:tc>
        <w:tc>
          <w:tcPr>
            <w:tcW w:w="3650" w:type="dxa"/>
            <w:gridSpan w:val="4"/>
            <w:vAlign w:val="center"/>
          </w:tcPr>
          <w:p w14:paraId="353C3AF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sz w:val="21"/>
                <w:szCs w:val="21"/>
                <w:highlight w:val="none"/>
                <w:vertAlign w:val="baseline"/>
              </w:rPr>
            </w:pPr>
            <w:r>
              <w:rPr>
                <w:rFonts w:hint="eastAsia"/>
                <w:sz w:val="21"/>
                <w:szCs w:val="21"/>
                <w:highlight w:val="none"/>
                <w:vertAlign w:val="baseline"/>
              </w:rPr>
              <w:t>四台泵现场操作柱,带启动按钮、停止按钮、运行指示灯、停止指示灯、转换开关</w:t>
            </w:r>
          </w:p>
        </w:tc>
      </w:tr>
      <w:tr w14:paraId="32A84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75" w:type="dxa"/>
            <w:gridSpan w:val="3"/>
            <w:vAlign w:val="center"/>
          </w:tcPr>
          <w:p w14:paraId="11D9FD9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电缆桥架</w:t>
            </w:r>
          </w:p>
        </w:tc>
        <w:tc>
          <w:tcPr>
            <w:tcW w:w="2875" w:type="dxa"/>
            <w:gridSpan w:val="3"/>
            <w:vAlign w:val="center"/>
          </w:tcPr>
          <w:p w14:paraId="7470620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eastAsia="宋体"/>
                <w:sz w:val="21"/>
                <w:szCs w:val="21"/>
                <w:highlight w:val="none"/>
                <w:vertAlign w:val="baseline"/>
                <w:lang w:val="en-US" w:eastAsia="zh-CN"/>
              </w:rPr>
            </w:pPr>
            <w:r>
              <w:rPr>
                <w:rFonts w:hint="eastAsia"/>
                <w:sz w:val="21"/>
                <w:szCs w:val="21"/>
                <w:highlight w:val="none"/>
              </w:rPr>
              <w:t>喷锌钢制桥架</w:t>
            </w:r>
            <w:r>
              <w:rPr>
                <w:sz w:val="21"/>
                <w:szCs w:val="21"/>
                <w:highlight w:val="none"/>
              </w:rPr>
              <w:t>F2</w:t>
            </w:r>
            <w:r>
              <w:rPr>
                <w:rFonts w:hint="eastAsia"/>
                <w:sz w:val="21"/>
                <w:szCs w:val="21"/>
                <w:highlight w:val="none"/>
              </w:rPr>
              <w:t>级防腐</w:t>
            </w:r>
          </w:p>
        </w:tc>
        <w:tc>
          <w:tcPr>
            <w:tcW w:w="3650" w:type="dxa"/>
            <w:gridSpan w:val="4"/>
            <w:vAlign w:val="center"/>
          </w:tcPr>
          <w:p w14:paraId="3E8B7068">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eastAsia="宋体"/>
                <w:sz w:val="21"/>
                <w:szCs w:val="21"/>
                <w:highlight w:val="none"/>
                <w:vertAlign w:val="baseline"/>
                <w:lang w:val="en-US" w:eastAsia="zh-CN"/>
              </w:rPr>
            </w:pPr>
          </w:p>
        </w:tc>
      </w:tr>
      <w:tr w14:paraId="498D4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00" w:type="dxa"/>
            <w:gridSpan w:val="10"/>
            <w:vAlign w:val="center"/>
          </w:tcPr>
          <w:p w14:paraId="64CE725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注:管廊架不涉及照明灯具\检修箱等内容</w:t>
            </w:r>
          </w:p>
        </w:tc>
      </w:tr>
    </w:tbl>
    <w:p w14:paraId="41256A97">
      <w:pPr>
        <w:pStyle w:val="6"/>
        <w:keepNext/>
        <w:keepLines w:val="0"/>
        <w:pageBreakBefore w:val="0"/>
        <w:widowControl w:val="0"/>
        <w:numPr>
          <w:ilvl w:val="3"/>
          <w:numId w:val="1"/>
        </w:numPr>
        <w:kinsoku/>
        <w:wordWrap/>
        <w:overflowPunct/>
        <w:topLinePunct w:val="0"/>
        <w:autoSpaceDE/>
        <w:autoSpaceDN/>
        <w:bidi w:val="0"/>
        <w:adjustRightInd/>
        <w:snapToGrid w:val="0"/>
        <w:ind w:left="0" w:firstLine="0"/>
        <w:textAlignment w:val="auto"/>
        <w:rPr>
          <w:rFonts w:hint="eastAsia" w:ascii="宋体" w:hAnsi="Times New Roman" w:cs="宋体"/>
          <w:color w:val="auto"/>
          <w:lang w:val="en-US" w:eastAsia="zh-CN"/>
        </w:rPr>
      </w:pPr>
      <w:r>
        <w:rPr>
          <w:rFonts w:hint="eastAsia" w:ascii="宋体" w:hAnsi="Times New Roman" w:cs="宋体"/>
          <w:color w:val="auto"/>
          <w:lang w:val="en-US" w:eastAsia="zh-CN"/>
        </w:rPr>
        <w:t>给排水</w:t>
      </w:r>
    </w:p>
    <w:p w14:paraId="557950FF">
      <w:pPr>
        <w:ind w:firstLine="560"/>
        <w:rPr>
          <w:rFonts w:hint="eastAsia"/>
        </w:rPr>
      </w:pPr>
      <w:r>
        <w:rPr>
          <w:rFonts w:hint="eastAsia"/>
        </w:rPr>
        <w:t>本项目投入使用后生产过程中不用水。本项目的消防水源及泵房依托云南祥丰石化有限公司消防水源及泵房，本项目的消防水加压和储存设施依托该泵房，不再新建。</w:t>
      </w:r>
    </w:p>
    <w:p w14:paraId="4455BC60">
      <w:pPr>
        <w:ind w:firstLine="560"/>
        <w:rPr>
          <w:rFonts w:hint="eastAsia"/>
        </w:rPr>
      </w:pPr>
      <w:r>
        <w:rPr>
          <w:rFonts w:hint="eastAsia"/>
          <w:snapToGrid w:val="0"/>
          <w:color w:val="000000"/>
          <w:sz w:val="28"/>
          <w:szCs w:val="28"/>
          <w:lang w:val="en-US" w:eastAsia="zh-CN" w:bidi="en-US"/>
        </w:rPr>
        <w:t>祥丰石化的消防水和生产水合建2个2000m</w:t>
      </w:r>
      <w:r>
        <w:rPr>
          <w:rFonts w:hint="eastAsia"/>
          <w:snapToGrid w:val="0"/>
          <w:color w:val="000000"/>
          <w:sz w:val="28"/>
          <w:szCs w:val="28"/>
          <w:vertAlign w:val="superscript"/>
          <w:lang w:val="en-US" w:eastAsia="zh-CN" w:bidi="en-US"/>
        </w:rPr>
        <w:t>3</w:t>
      </w:r>
      <w:r>
        <w:rPr>
          <w:rFonts w:hint="eastAsia"/>
          <w:snapToGrid w:val="0"/>
          <w:color w:val="000000"/>
          <w:sz w:val="28"/>
          <w:szCs w:val="28"/>
          <w:lang w:val="en-US" w:eastAsia="zh-CN" w:bidi="en-US"/>
        </w:rPr>
        <w:t>的水池，总容积为4000m</w:t>
      </w:r>
      <w:r>
        <w:rPr>
          <w:rFonts w:hint="eastAsia"/>
          <w:snapToGrid w:val="0"/>
          <w:color w:val="000000"/>
          <w:sz w:val="28"/>
          <w:szCs w:val="28"/>
          <w:vertAlign w:val="superscript"/>
          <w:lang w:val="en-US" w:eastAsia="zh-CN" w:bidi="en-US"/>
        </w:rPr>
        <w:t>3</w:t>
      </w:r>
      <w:r>
        <w:rPr>
          <w:rFonts w:hint="eastAsia"/>
          <w:snapToGrid w:val="0"/>
          <w:color w:val="000000"/>
          <w:sz w:val="28"/>
          <w:szCs w:val="28"/>
          <w:lang w:val="en-US" w:eastAsia="zh-CN" w:bidi="en-US"/>
        </w:rPr>
        <w:t>，其中消防水量储存量为1700m</w:t>
      </w:r>
      <w:r>
        <w:rPr>
          <w:rFonts w:hint="eastAsia"/>
          <w:snapToGrid w:val="0"/>
          <w:color w:val="000000"/>
          <w:sz w:val="28"/>
          <w:szCs w:val="28"/>
          <w:vertAlign w:val="superscript"/>
          <w:lang w:val="en-US" w:eastAsia="zh-CN" w:bidi="en-US"/>
        </w:rPr>
        <w:t>3</w:t>
      </w:r>
      <w:r>
        <w:rPr>
          <w:rFonts w:hint="eastAsia"/>
          <w:snapToGrid w:val="0"/>
          <w:color w:val="000000"/>
          <w:sz w:val="28"/>
          <w:szCs w:val="28"/>
          <w:lang w:val="en-US" w:eastAsia="zh-CN" w:bidi="en-US"/>
        </w:rPr>
        <w:t>，</w:t>
      </w:r>
      <w:r>
        <w:rPr>
          <w:rFonts w:ascii="Times New Roman" w:hAnsi="Times New Roman"/>
          <w:color w:val="000000"/>
          <w:sz w:val="28"/>
          <w:szCs w:val="28"/>
        </w:rPr>
        <w:t>其供水压力为0.7MPa，祥丰园区现有消防水系统水量、水压及一次消防储水量均满足</w:t>
      </w:r>
      <w:r>
        <w:rPr>
          <w:rFonts w:hint="eastAsia" w:ascii="Times New Roman" w:hAnsi="Times New Roman"/>
          <w:color w:val="000000"/>
          <w:sz w:val="28"/>
          <w:szCs w:val="28"/>
          <w:lang w:val="en-US" w:eastAsia="zh-CN"/>
        </w:rPr>
        <w:t>该</w:t>
      </w:r>
      <w:r>
        <w:rPr>
          <w:rFonts w:ascii="Times New Roman" w:hAnsi="Times New Roman"/>
          <w:color w:val="000000"/>
          <w:sz w:val="28"/>
          <w:szCs w:val="28"/>
        </w:rPr>
        <w:t>项目需求。消防用水直接从祥丰园区现有消防给水干管引出，消防管网采用架空环状管网布置，由装置界区的西北侧接入两根管径为DN300的供水管道。系统设地上式室外消火栓，消火栓间隔约60 m，并采用阀门分隔。室外架空消防管道采用镀锌钢管。</w:t>
      </w:r>
    </w:p>
    <w:p w14:paraId="07E143FE">
      <w:pPr>
        <w:pStyle w:val="6"/>
        <w:keepNext/>
        <w:keepLines w:val="0"/>
        <w:pageBreakBefore w:val="0"/>
        <w:widowControl w:val="0"/>
        <w:numPr>
          <w:ilvl w:val="3"/>
          <w:numId w:val="1"/>
        </w:numPr>
        <w:kinsoku/>
        <w:wordWrap/>
        <w:overflowPunct/>
        <w:topLinePunct w:val="0"/>
        <w:autoSpaceDE/>
        <w:autoSpaceDN/>
        <w:bidi w:val="0"/>
        <w:adjustRightInd/>
        <w:snapToGrid w:val="0"/>
        <w:ind w:left="0" w:firstLine="0"/>
        <w:textAlignment w:val="auto"/>
        <w:rPr>
          <w:rFonts w:hint="default" w:ascii="宋体" w:hAnsi="Times New Roman" w:cs="宋体"/>
          <w:color w:val="auto"/>
          <w:lang w:val="en-US" w:eastAsia="zh-CN"/>
        </w:rPr>
      </w:pPr>
      <w:r>
        <w:rPr>
          <w:rFonts w:hint="eastAsia" w:ascii="宋体" w:hAnsi="Times New Roman" w:cs="宋体"/>
          <w:color w:val="auto"/>
          <w:lang w:val="en-US" w:eastAsia="zh-CN"/>
        </w:rPr>
        <w:t>自控仪表</w:t>
      </w:r>
    </w:p>
    <w:p w14:paraId="2DF2BE77">
      <w:pPr>
        <w:ind w:firstLine="560"/>
        <w:rPr>
          <w:rFonts w:hint="eastAsia" w:ascii="宋体" w:hAnsi="Times New Roman" w:eastAsia="宋体" w:cs="宋体"/>
        </w:rPr>
      </w:pPr>
      <w:r>
        <w:rPr>
          <w:rFonts w:hint="eastAsia" w:ascii="宋体" w:hAnsi="Times New Roman" w:eastAsia="宋体" w:cs="宋体"/>
        </w:rPr>
        <w:t>本项目稀硫酸近磷酸厂管线设置远传流量计与流量调节阀进行流量控制；其他介质均设置远传流量计并有累积功能；氟硅酸及浓硫酸流量异常时可通过控制室远程停泵。</w:t>
      </w:r>
    </w:p>
    <w:p w14:paraId="2A447318">
      <w:pPr>
        <w:ind w:firstLine="560"/>
        <w:rPr>
          <w:rFonts w:hint="eastAsia" w:ascii="宋体" w:hAnsi="Times New Roman" w:eastAsia="宋体" w:cs="宋体"/>
        </w:rPr>
      </w:pPr>
      <w:r>
        <w:rPr>
          <w:rFonts w:hint="eastAsia" w:ascii="宋体" w:hAnsi="Times New Roman" w:eastAsia="宋体" w:cs="宋体"/>
        </w:rPr>
        <w:t>本项目自控仪表系统依托云南瓮福祥丰氟硅新材料有限公司3万吨/年无水氟化氢和2万吨/年电子级氢氟酸项目。本项目控制室依托云南瓮福祥丰3万吨/年无水氟化氢和2万吨/年电子级氢氟酸项目。中心控制室采用非防爆设计。</w:t>
      </w:r>
    </w:p>
    <w:p w14:paraId="3B116561">
      <w:pPr>
        <w:pStyle w:val="6"/>
        <w:keepNext/>
        <w:keepLines w:val="0"/>
        <w:pageBreakBefore w:val="0"/>
        <w:widowControl w:val="0"/>
        <w:numPr>
          <w:ilvl w:val="3"/>
          <w:numId w:val="1"/>
        </w:numPr>
        <w:kinsoku/>
        <w:wordWrap/>
        <w:overflowPunct/>
        <w:topLinePunct w:val="0"/>
        <w:autoSpaceDE/>
        <w:autoSpaceDN/>
        <w:bidi w:val="0"/>
        <w:adjustRightInd/>
        <w:snapToGrid w:val="0"/>
        <w:ind w:left="0" w:firstLine="0"/>
        <w:textAlignment w:val="auto"/>
        <w:rPr>
          <w:rFonts w:hint="eastAsia" w:ascii="宋体" w:hAnsi="Times New Roman" w:cs="宋体"/>
          <w:color w:val="auto"/>
          <w:lang w:val="en-US" w:eastAsia="zh-CN"/>
        </w:rPr>
      </w:pPr>
      <w:r>
        <w:rPr>
          <w:rFonts w:hint="eastAsia" w:ascii="宋体" w:hAnsi="Times New Roman" w:cs="宋体"/>
          <w:color w:val="auto"/>
          <w:lang w:val="en-US" w:eastAsia="zh-CN"/>
        </w:rPr>
        <w:t>火灾报警系统、工业电视监控系统及应急广播系统等</w:t>
      </w:r>
    </w:p>
    <w:p w14:paraId="614AFE93">
      <w:pPr>
        <w:ind w:firstLine="560"/>
        <w:rPr>
          <w:rFonts w:hint="eastAsia" w:ascii="宋体" w:hAnsi="Times New Roman" w:eastAsia="宋体" w:cs="宋体"/>
          <w:lang w:eastAsia="zh-CN"/>
        </w:rPr>
      </w:pPr>
      <w:r>
        <w:rPr>
          <w:rFonts w:hint="eastAsia" w:ascii="宋体" w:hAnsi="Times New Roman" w:eastAsia="宋体" w:cs="宋体"/>
        </w:rPr>
        <w:t>本项目火灾报警系统、工业电视监控系统及应急广播系统等依托云南瓮福祥丰氟硅新材料有限公司3万吨/年无水氟化氢和2万吨/年电子级氢氟酸项目</w:t>
      </w:r>
      <w:r>
        <w:rPr>
          <w:rFonts w:hint="eastAsia" w:ascii="宋体" w:hAnsi="Times New Roman" w:eastAsia="宋体" w:cs="宋体"/>
          <w:lang w:eastAsia="zh-CN"/>
        </w:rPr>
        <w:t>。</w:t>
      </w:r>
    </w:p>
    <w:p w14:paraId="2DC29B11">
      <w:pPr>
        <w:ind w:firstLine="560"/>
        <w:rPr>
          <w:rFonts w:hint="eastAsia" w:ascii="宋体" w:hAnsi="Times New Roman" w:eastAsia="宋体" w:cs="宋体"/>
        </w:rPr>
      </w:pPr>
      <w:r>
        <w:rPr>
          <w:rFonts w:hint="eastAsia" w:ascii="宋体" w:hAnsi="Times New Roman" w:eastAsia="宋体" w:cs="宋体"/>
        </w:rPr>
        <w:t>全厂消防控制中心设在综合控制楼的消防控制室，在消防控制室设置集中火灾报警控制器，管理全厂火灾报警信息；设置图形显示器、手动控制盘、消防电话总机、119外线电话，以及辅助工厂集中管理的扩音对讲系统台式话站、电视监视系统监视器。</w:t>
      </w:r>
    </w:p>
    <w:p w14:paraId="27ECAB2C">
      <w:pPr>
        <w:ind w:firstLine="560"/>
        <w:rPr>
          <w:rFonts w:hint="eastAsia" w:ascii="宋体" w:hAnsi="Times New Roman" w:eastAsia="宋体" w:cs="宋体"/>
        </w:rPr>
      </w:pPr>
      <w:r>
        <w:rPr>
          <w:rFonts w:hint="eastAsia" w:ascii="宋体" w:hAnsi="Times New Roman" w:eastAsia="宋体" w:cs="宋体"/>
        </w:rPr>
        <w:t>本项目各工艺装置及建筑物火灾报警信号均上传至消防控制室，进行火灾报警信号统一管理。</w:t>
      </w:r>
    </w:p>
    <w:p w14:paraId="7E5562F0">
      <w:pPr>
        <w:ind w:firstLine="560"/>
        <w:rPr>
          <w:rFonts w:hint="eastAsia" w:ascii="宋体" w:hAnsi="Times New Roman" w:eastAsia="宋体" w:cs="宋体"/>
        </w:rPr>
      </w:pPr>
      <w:r>
        <w:rPr>
          <w:rFonts w:hint="eastAsia" w:ascii="宋体" w:hAnsi="Times New Roman" w:eastAsia="宋体" w:cs="宋体"/>
          <w:lang w:val="en-US" w:eastAsia="zh-CN"/>
        </w:rPr>
        <w:t>厂区内</w:t>
      </w:r>
      <w:r>
        <w:rPr>
          <w:rFonts w:hint="eastAsia" w:ascii="宋体" w:hAnsi="Times New Roman" w:eastAsia="宋体" w:cs="宋体"/>
        </w:rPr>
        <w:t>电视监视系统采用网络数字视频技术、独立组网。系统由前端摄像机、系统交换机、光纤收发器、视频存储管理设备和视频操作站等组成。前端摄像机均采用数字高清一体化摄像机。厂外公用工程管架建设项目安装蓝牙和坐标定位的无人机巡检</w:t>
      </w:r>
      <w:r>
        <w:rPr>
          <w:rFonts w:hint="eastAsia" w:ascii="宋体" w:hAnsi="Times New Roman" w:eastAsia="宋体" w:cs="宋体"/>
          <w:lang w:eastAsia="zh-CN"/>
        </w:rPr>
        <w:t>（两个小时视频记录）</w:t>
      </w:r>
      <w:r>
        <w:rPr>
          <w:rFonts w:hint="eastAsia" w:ascii="宋体" w:hAnsi="Times New Roman" w:eastAsia="宋体" w:cs="宋体"/>
        </w:rPr>
        <w:t>，巡检画面传输到控制室的监控大屏。</w:t>
      </w:r>
    </w:p>
    <w:p w14:paraId="5AE92C0B">
      <w:pPr>
        <w:pStyle w:val="6"/>
        <w:keepNext/>
        <w:keepLines w:val="0"/>
        <w:pageBreakBefore w:val="0"/>
        <w:widowControl w:val="0"/>
        <w:numPr>
          <w:ilvl w:val="3"/>
          <w:numId w:val="1"/>
        </w:numPr>
        <w:kinsoku/>
        <w:wordWrap/>
        <w:overflowPunct/>
        <w:topLinePunct w:val="0"/>
        <w:autoSpaceDE/>
        <w:autoSpaceDN/>
        <w:bidi w:val="0"/>
        <w:adjustRightInd/>
        <w:snapToGrid w:val="0"/>
        <w:ind w:left="0" w:firstLine="0"/>
        <w:textAlignment w:val="auto"/>
        <w:rPr>
          <w:rFonts w:hint="default" w:ascii="宋体" w:hAnsi="Times New Roman" w:cs="宋体"/>
          <w:color w:val="auto"/>
          <w:lang w:val="en-US" w:eastAsia="zh-CN"/>
        </w:rPr>
      </w:pPr>
      <w:r>
        <w:rPr>
          <w:rFonts w:hint="eastAsia" w:ascii="宋体" w:hAnsi="Times New Roman" w:cs="宋体"/>
          <w:color w:val="auto"/>
          <w:lang w:val="en-US" w:eastAsia="zh-CN"/>
        </w:rPr>
        <w:t>检维修</w:t>
      </w:r>
    </w:p>
    <w:p w14:paraId="1B6B9294">
      <w:pPr>
        <w:keepNext w:val="0"/>
        <w:keepLines w:val="0"/>
        <w:pageBreakBefore w:val="0"/>
        <w:widowControl w:val="0"/>
        <w:kinsoku/>
        <w:wordWrap/>
        <w:overflowPunct/>
        <w:topLinePunct w:val="0"/>
        <w:autoSpaceDE/>
        <w:autoSpaceDN/>
        <w:bidi w:val="0"/>
        <w:adjustRightInd/>
        <w:snapToGrid w:val="0"/>
        <w:ind w:firstLine="560" w:firstLineChars="200"/>
        <w:textAlignment w:val="auto"/>
        <w:rPr>
          <w:rFonts w:asciiTheme="minorEastAsia" w:hAnsiTheme="minorEastAsia" w:eastAsiaTheme="minorEastAsia"/>
          <w:bCs/>
          <w:color w:val="auto"/>
          <w:szCs w:val="28"/>
        </w:rPr>
      </w:pPr>
      <w:r>
        <w:rPr>
          <w:rFonts w:hint="eastAsia" w:asciiTheme="minorEastAsia" w:hAnsiTheme="minorEastAsia" w:eastAsiaTheme="minorEastAsia"/>
          <w:bCs/>
          <w:color w:val="auto"/>
          <w:szCs w:val="28"/>
        </w:rPr>
        <w:t>云南瓮福祥丰氟硅新材料有限公司3万吨/年无水氟化氢和2万吨/年电子级氢氟酸厂外公用工程外管廊依托云南瓮福祥丰氟硅新材料有限公司进行检维修工作，本项目不再设检维修车间。</w:t>
      </w:r>
    </w:p>
    <w:p w14:paraId="09782486">
      <w:pPr>
        <w:pStyle w:val="6"/>
        <w:keepNext/>
        <w:keepLines w:val="0"/>
        <w:pageBreakBefore w:val="0"/>
        <w:widowControl w:val="0"/>
        <w:numPr>
          <w:ilvl w:val="3"/>
          <w:numId w:val="1"/>
        </w:numPr>
        <w:kinsoku/>
        <w:wordWrap/>
        <w:overflowPunct/>
        <w:topLinePunct w:val="0"/>
        <w:autoSpaceDE/>
        <w:autoSpaceDN/>
        <w:bidi w:val="0"/>
        <w:adjustRightInd/>
        <w:snapToGrid w:val="0"/>
        <w:ind w:left="0" w:firstLine="0"/>
        <w:textAlignment w:val="auto"/>
        <w:rPr>
          <w:rFonts w:hint="default" w:ascii="宋体" w:hAnsi="Times New Roman" w:cs="宋体"/>
          <w:color w:val="auto"/>
          <w:lang w:val="en-US" w:eastAsia="zh-CN"/>
        </w:rPr>
      </w:pPr>
      <w:bookmarkStart w:id="168" w:name="_Toc14036"/>
      <w:bookmarkStart w:id="169" w:name="_Toc464145976"/>
      <w:bookmarkStart w:id="170" w:name="_Toc464145419"/>
      <w:bookmarkStart w:id="171" w:name="_Toc110159347"/>
      <w:r>
        <w:rPr>
          <w:rFonts w:hint="eastAsia" w:ascii="宋体" w:hAnsi="Times New Roman" w:cs="宋体"/>
          <w:color w:val="auto"/>
          <w:lang w:val="en-US" w:eastAsia="zh-CN"/>
        </w:rPr>
        <w:t>分析化验</w:t>
      </w:r>
      <w:bookmarkEnd w:id="168"/>
      <w:bookmarkEnd w:id="169"/>
      <w:bookmarkEnd w:id="170"/>
      <w:bookmarkEnd w:id="171"/>
    </w:p>
    <w:p w14:paraId="36E94A5D">
      <w:pPr>
        <w:ind w:firstLine="480"/>
        <w:rPr>
          <w:rFonts w:asciiTheme="minorEastAsia" w:hAnsiTheme="minorEastAsia" w:eastAsiaTheme="minorEastAsia"/>
          <w:bCs/>
          <w:color w:val="auto"/>
          <w:szCs w:val="28"/>
        </w:rPr>
      </w:pPr>
      <w:r>
        <w:rPr>
          <w:rFonts w:hint="eastAsia" w:asciiTheme="minorEastAsia" w:hAnsiTheme="minorEastAsia" w:eastAsiaTheme="minorEastAsia"/>
          <w:bCs/>
          <w:color w:val="auto"/>
          <w:szCs w:val="28"/>
        </w:rPr>
        <w:t>云南瓮福祥丰氟硅新材料有限公司3万吨/年无水氟化氢和2万吨/年电子级氢氟酸厂外公用工程外管廊依托云南瓮福祥丰氟硅新材料有限公司分析化验室。</w:t>
      </w:r>
    </w:p>
    <w:p w14:paraId="2011AD06">
      <w:pPr>
        <w:pStyle w:val="6"/>
        <w:keepNext/>
        <w:keepLines w:val="0"/>
        <w:pageBreakBefore w:val="0"/>
        <w:widowControl w:val="0"/>
        <w:numPr>
          <w:ilvl w:val="3"/>
          <w:numId w:val="1"/>
        </w:numPr>
        <w:kinsoku/>
        <w:wordWrap/>
        <w:overflowPunct/>
        <w:topLinePunct w:val="0"/>
        <w:autoSpaceDE/>
        <w:autoSpaceDN/>
        <w:bidi w:val="0"/>
        <w:adjustRightInd/>
        <w:snapToGrid w:val="0"/>
        <w:ind w:left="0" w:firstLine="0"/>
        <w:textAlignment w:val="auto"/>
        <w:rPr>
          <w:rFonts w:hint="default" w:ascii="宋体" w:hAnsi="Times New Roman" w:cs="宋体"/>
          <w:color w:val="auto"/>
          <w:lang w:val="en-US" w:eastAsia="zh-CN"/>
        </w:rPr>
      </w:pPr>
      <w:r>
        <w:rPr>
          <w:rFonts w:hint="eastAsia" w:ascii="宋体" w:hAnsi="Times New Roman" w:cs="宋体"/>
          <w:color w:val="auto"/>
          <w:lang w:val="en-US" w:eastAsia="zh-CN"/>
        </w:rPr>
        <w:t>消防水源</w:t>
      </w:r>
    </w:p>
    <w:p w14:paraId="20D25BD2">
      <w:pPr>
        <w:widowControl/>
        <w:tabs>
          <w:tab w:val="left" w:pos="1680"/>
          <w:tab w:val="left" w:pos="2940"/>
          <w:tab w:val="left" w:pos="5460"/>
          <w:tab w:val="right" w:pos="9240"/>
        </w:tabs>
        <w:ind w:firstLine="560" w:firstLineChars="200"/>
        <w:jc w:val="left"/>
        <w:rPr>
          <w:rFonts w:cs="Times New Roman"/>
          <w:color w:val="auto"/>
          <w:szCs w:val="24"/>
        </w:rPr>
      </w:pPr>
      <w:r>
        <w:rPr>
          <w:rFonts w:hint="eastAsia" w:cs="Times New Roman"/>
          <w:color w:val="auto"/>
          <w:szCs w:val="24"/>
        </w:rPr>
        <w:t>本项目的消防水源及泵房依托云南祥丰石化有限公司消防水源及泵房，本项目的消防水加压和储存设施依托该泵房，不再新建</w:t>
      </w:r>
      <w:r>
        <w:rPr>
          <w:rFonts w:cs="Times New Roman"/>
          <w:color w:val="auto"/>
          <w:szCs w:val="24"/>
        </w:rPr>
        <w:t>。</w:t>
      </w:r>
    </w:p>
    <w:p w14:paraId="10484CEE">
      <w:pPr>
        <w:pStyle w:val="6"/>
        <w:keepNext/>
        <w:keepLines w:val="0"/>
        <w:pageBreakBefore w:val="0"/>
        <w:widowControl w:val="0"/>
        <w:numPr>
          <w:ilvl w:val="3"/>
          <w:numId w:val="1"/>
        </w:numPr>
        <w:kinsoku/>
        <w:wordWrap/>
        <w:overflowPunct/>
        <w:topLinePunct w:val="0"/>
        <w:autoSpaceDE/>
        <w:autoSpaceDN/>
        <w:bidi w:val="0"/>
        <w:adjustRightInd/>
        <w:snapToGrid w:val="0"/>
        <w:ind w:left="0" w:firstLine="0"/>
        <w:textAlignment w:val="auto"/>
        <w:rPr>
          <w:rFonts w:hint="eastAsia" w:ascii="宋体" w:hAnsi="Times New Roman" w:cs="宋体"/>
          <w:color w:val="auto"/>
          <w:lang w:val="en-US" w:eastAsia="zh-CN"/>
        </w:rPr>
      </w:pPr>
      <w:r>
        <w:rPr>
          <w:rFonts w:hint="eastAsia" w:ascii="宋体" w:hAnsi="Times New Roman" w:cs="宋体"/>
          <w:color w:val="auto"/>
          <w:lang w:val="en-US" w:eastAsia="zh-CN"/>
        </w:rPr>
        <w:t>防雷接地</w:t>
      </w:r>
    </w:p>
    <w:p w14:paraId="32E807F9">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ascii="宋体" w:hAnsi="Times New Roman" w:eastAsia="宋体" w:cs="宋体"/>
          <w:snapToGrid w:val="0"/>
          <w:color w:val="000000"/>
          <w:sz w:val="28"/>
          <w:szCs w:val="28"/>
        </w:rPr>
      </w:pPr>
      <w:r>
        <w:rPr>
          <w:rFonts w:hint="eastAsia" w:ascii="宋体" w:hAnsi="Times New Roman" w:eastAsia="宋体" w:cs="宋体"/>
          <w:snapToGrid w:val="0"/>
          <w:color w:val="000000"/>
          <w:sz w:val="28"/>
          <w:szCs w:val="28"/>
        </w:rPr>
        <w:t>按照GB50057-2010《建筑防雷设计规范》，本工程公共管廊为第三类防雷建筑物。对于第三类防雷建筑物，其引下线冲击接地电阻不大于30Ω。</w:t>
      </w:r>
    </w:p>
    <w:p w14:paraId="2A2C2733">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ascii="宋体" w:hAnsi="Times New Roman" w:eastAsia="宋体" w:cs="宋体"/>
          <w:snapToGrid w:val="0"/>
          <w:color w:val="000000"/>
          <w:sz w:val="28"/>
          <w:szCs w:val="28"/>
        </w:rPr>
      </w:pPr>
      <w:r>
        <w:rPr>
          <w:rFonts w:ascii="宋体" w:hAnsi="Times New Roman" w:eastAsia="宋体" w:cs="宋体"/>
          <w:snapToGrid w:val="0"/>
          <w:color w:val="000000"/>
          <w:sz w:val="28"/>
          <w:szCs w:val="28"/>
        </w:rPr>
        <w:t>引下线：利用工字钢柱作防雷引下线</w:t>
      </w:r>
      <w:r>
        <w:rPr>
          <w:rFonts w:hint="eastAsia" w:ascii="宋体" w:hAnsi="Times New Roman" w:eastAsia="宋体" w:cs="宋体"/>
          <w:snapToGrid w:val="0"/>
          <w:color w:val="000000"/>
          <w:sz w:val="28"/>
          <w:szCs w:val="28"/>
        </w:rPr>
        <w:t>。</w:t>
      </w:r>
    </w:p>
    <w:p w14:paraId="2473F950">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ascii="宋体" w:hAnsi="Times New Roman" w:eastAsia="宋体" w:cs="宋体"/>
          <w:snapToGrid w:val="0"/>
          <w:color w:val="000000"/>
          <w:sz w:val="28"/>
          <w:szCs w:val="28"/>
        </w:rPr>
      </w:pPr>
      <w:r>
        <w:rPr>
          <w:rFonts w:ascii="宋体" w:hAnsi="Times New Roman" w:eastAsia="宋体" w:cs="宋体"/>
          <w:snapToGrid w:val="0"/>
          <w:color w:val="000000"/>
          <w:sz w:val="28"/>
          <w:szCs w:val="28"/>
        </w:rPr>
        <w:t>引下线间距：三类不大于25米。</w:t>
      </w:r>
    </w:p>
    <w:p w14:paraId="4AA98B25">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ascii="宋体" w:hAnsi="Times New Roman" w:eastAsia="宋体" w:cs="宋体"/>
          <w:snapToGrid w:val="0"/>
          <w:color w:val="000000"/>
          <w:sz w:val="28"/>
          <w:szCs w:val="28"/>
        </w:rPr>
      </w:pPr>
      <w:r>
        <w:rPr>
          <w:rFonts w:ascii="宋体" w:hAnsi="Times New Roman" w:eastAsia="宋体" w:cs="宋体"/>
          <w:snapToGrid w:val="0"/>
          <w:color w:val="000000"/>
          <w:sz w:val="28"/>
          <w:szCs w:val="28"/>
        </w:rPr>
        <w:t>接地装置：接地主干线及0米层所有的接地线用镀锌扁钢-40×5,各层支干线和与设备相连采用镀锌扁钢-25×4，接地极采用镀锌角钢L50×50×5。接地干线埋深为地坪下0.8米，接地极埋深顶标高为地坪下0.8米。</w:t>
      </w:r>
    </w:p>
    <w:p w14:paraId="6F657E73">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ascii="宋体" w:hAnsi="Times New Roman" w:eastAsia="宋体" w:cs="宋体"/>
          <w:snapToGrid w:val="0"/>
          <w:color w:val="000000"/>
          <w:sz w:val="28"/>
          <w:szCs w:val="28"/>
        </w:rPr>
      </w:pPr>
      <w:r>
        <w:rPr>
          <w:rFonts w:ascii="宋体" w:hAnsi="Times New Roman" w:eastAsia="宋体" w:cs="宋体"/>
          <w:snapToGrid w:val="0"/>
          <w:color w:val="000000"/>
          <w:sz w:val="28"/>
          <w:szCs w:val="28"/>
        </w:rPr>
        <w:t>该项目的防雷、防静电装置</w:t>
      </w:r>
      <w:r>
        <w:rPr>
          <w:rFonts w:hint="eastAsia" w:ascii="宋体" w:hAnsi="Times New Roman" w:eastAsia="宋体" w:cs="宋体"/>
          <w:snapToGrid w:val="0"/>
          <w:color w:val="000000"/>
          <w:sz w:val="28"/>
          <w:szCs w:val="28"/>
        </w:rPr>
        <w:t>于</w:t>
      </w:r>
      <w:r>
        <w:rPr>
          <w:rFonts w:ascii="宋体" w:hAnsi="Times New Roman" w:eastAsia="宋体" w:cs="宋体"/>
          <w:snapToGrid w:val="0"/>
          <w:color w:val="000000"/>
          <w:sz w:val="28"/>
          <w:szCs w:val="28"/>
        </w:rPr>
        <w:t>202</w:t>
      </w:r>
      <w:r>
        <w:rPr>
          <w:rFonts w:hint="eastAsia" w:ascii="宋体" w:hAnsi="Times New Roman" w:eastAsia="宋体" w:cs="宋体"/>
          <w:snapToGrid w:val="0"/>
          <w:color w:val="000000"/>
          <w:sz w:val="28"/>
          <w:szCs w:val="28"/>
          <w:lang w:val="en-US" w:eastAsia="zh-CN"/>
        </w:rPr>
        <w:t>5</w:t>
      </w:r>
      <w:r>
        <w:rPr>
          <w:rFonts w:ascii="宋体" w:hAnsi="Times New Roman" w:eastAsia="宋体" w:cs="宋体"/>
          <w:snapToGrid w:val="0"/>
          <w:color w:val="000000"/>
          <w:sz w:val="28"/>
          <w:szCs w:val="28"/>
        </w:rPr>
        <w:t>年</w:t>
      </w:r>
      <w:r>
        <w:rPr>
          <w:rFonts w:hint="eastAsia" w:ascii="宋体" w:hAnsi="Times New Roman" w:eastAsia="宋体" w:cs="宋体"/>
          <w:snapToGrid w:val="0"/>
          <w:color w:val="000000"/>
          <w:sz w:val="28"/>
          <w:szCs w:val="28"/>
          <w:lang w:val="en-US" w:eastAsia="zh-CN"/>
        </w:rPr>
        <w:t>7</w:t>
      </w:r>
      <w:r>
        <w:rPr>
          <w:rFonts w:ascii="宋体" w:hAnsi="Times New Roman" w:eastAsia="宋体" w:cs="宋体"/>
          <w:snapToGrid w:val="0"/>
          <w:color w:val="000000"/>
          <w:sz w:val="28"/>
          <w:szCs w:val="28"/>
        </w:rPr>
        <w:t>月</w:t>
      </w:r>
      <w:r>
        <w:rPr>
          <w:rFonts w:hint="eastAsia" w:ascii="宋体" w:hAnsi="Times New Roman" w:eastAsia="宋体" w:cs="宋体"/>
          <w:snapToGrid w:val="0"/>
          <w:color w:val="000000"/>
          <w:sz w:val="28"/>
          <w:szCs w:val="28"/>
          <w:lang w:val="en-US" w:eastAsia="zh-CN"/>
        </w:rPr>
        <w:t>11</w:t>
      </w:r>
      <w:r>
        <w:rPr>
          <w:rFonts w:ascii="宋体" w:hAnsi="Times New Roman" w:eastAsia="宋体" w:cs="宋体"/>
          <w:snapToGrid w:val="0"/>
          <w:color w:val="000000"/>
          <w:sz w:val="28"/>
          <w:szCs w:val="28"/>
        </w:rPr>
        <w:t>日由</w:t>
      </w:r>
      <w:r>
        <w:rPr>
          <w:rFonts w:hint="eastAsia" w:ascii="宋体" w:hAnsi="Times New Roman" w:eastAsia="宋体" w:cs="宋体"/>
          <w:snapToGrid w:val="0"/>
          <w:color w:val="000000"/>
          <w:sz w:val="28"/>
          <w:szCs w:val="28"/>
        </w:rPr>
        <w:t>云南省气象灾害防御技术中心</w:t>
      </w:r>
      <w:r>
        <w:rPr>
          <w:rFonts w:ascii="宋体" w:hAnsi="Times New Roman" w:eastAsia="宋体" w:cs="宋体"/>
          <w:snapToGrid w:val="0"/>
          <w:color w:val="000000"/>
          <w:sz w:val="28"/>
          <w:szCs w:val="28"/>
        </w:rPr>
        <w:t>检测合格，并出具《雷电防护装置检测报告》，</w:t>
      </w:r>
      <w:r>
        <w:rPr>
          <w:rFonts w:hint="eastAsia" w:ascii="宋体" w:hAnsi="Times New Roman" w:eastAsia="宋体" w:cs="宋体"/>
          <w:snapToGrid w:val="0"/>
          <w:color w:val="000000"/>
          <w:sz w:val="28"/>
          <w:szCs w:val="28"/>
        </w:rPr>
        <w:t>下次检测日</w:t>
      </w:r>
      <w:r>
        <w:rPr>
          <w:rFonts w:ascii="宋体" w:hAnsi="Times New Roman" w:eastAsia="宋体" w:cs="宋体"/>
          <w:snapToGrid w:val="0"/>
          <w:color w:val="000000"/>
          <w:sz w:val="28"/>
          <w:szCs w:val="28"/>
        </w:rPr>
        <w:t>期202</w:t>
      </w:r>
      <w:r>
        <w:rPr>
          <w:rFonts w:hint="eastAsia" w:ascii="宋体" w:hAnsi="Times New Roman" w:eastAsia="宋体" w:cs="宋体"/>
          <w:snapToGrid w:val="0"/>
          <w:color w:val="000000"/>
          <w:sz w:val="28"/>
          <w:szCs w:val="28"/>
          <w:lang w:val="en-US" w:eastAsia="zh-CN"/>
        </w:rPr>
        <w:t>6</w:t>
      </w:r>
      <w:r>
        <w:rPr>
          <w:rFonts w:ascii="宋体" w:hAnsi="Times New Roman" w:eastAsia="宋体" w:cs="宋体"/>
          <w:snapToGrid w:val="0"/>
          <w:color w:val="000000"/>
          <w:sz w:val="28"/>
          <w:szCs w:val="28"/>
        </w:rPr>
        <w:t>年</w:t>
      </w:r>
      <w:r>
        <w:rPr>
          <w:rFonts w:hint="eastAsia" w:ascii="宋体" w:hAnsi="Times New Roman" w:eastAsia="宋体" w:cs="宋体"/>
          <w:snapToGrid w:val="0"/>
          <w:color w:val="000000"/>
          <w:sz w:val="28"/>
          <w:szCs w:val="28"/>
          <w:lang w:val="en-US" w:eastAsia="zh-CN"/>
        </w:rPr>
        <w:t>7</w:t>
      </w:r>
      <w:r>
        <w:rPr>
          <w:rFonts w:ascii="宋体" w:hAnsi="Times New Roman" w:eastAsia="宋体" w:cs="宋体"/>
          <w:snapToGrid w:val="0"/>
          <w:color w:val="000000"/>
          <w:sz w:val="28"/>
          <w:szCs w:val="28"/>
        </w:rPr>
        <w:t>月</w:t>
      </w:r>
      <w:r>
        <w:rPr>
          <w:rFonts w:hint="eastAsia" w:ascii="宋体" w:hAnsi="Times New Roman" w:eastAsia="宋体" w:cs="宋体"/>
          <w:snapToGrid w:val="0"/>
          <w:color w:val="000000"/>
          <w:sz w:val="28"/>
          <w:szCs w:val="28"/>
          <w:lang w:val="en-US" w:eastAsia="zh-CN"/>
        </w:rPr>
        <w:t>10</w:t>
      </w:r>
      <w:r>
        <w:rPr>
          <w:rFonts w:ascii="宋体" w:hAnsi="Times New Roman" w:eastAsia="宋体" w:cs="宋体"/>
          <w:snapToGrid w:val="0"/>
          <w:color w:val="000000"/>
          <w:sz w:val="28"/>
          <w:szCs w:val="28"/>
        </w:rPr>
        <w:t>日</w:t>
      </w:r>
      <w:r>
        <w:rPr>
          <w:rFonts w:hint="eastAsia" w:ascii="宋体" w:hAnsi="Times New Roman" w:eastAsia="宋体" w:cs="宋体"/>
          <w:snapToGrid w:val="0"/>
          <w:color w:val="000000"/>
          <w:sz w:val="28"/>
          <w:szCs w:val="28"/>
        </w:rPr>
        <w:t>前。</w:t>
      </w:r>
      <w:r>
        <w:rPr>
          <w:rFonts w:ascii="宋体" w:hAnsi="Times New Roman" w:eastAsia="宋体" w:cs="宋体"/>
          <w:snapToGrid w:val="0"/>
          <w:color w:val="000000"/>
          <w:sz w:val="28"/>
          <w:szCs w:val="28"/>
        </w:rPr>
        <w:t>《雷电防护装置检测报告》见附件“</w:t>
      </w:r>
      <w:r>
        <w:rPr>
          <w:rFonts w:hint="eastAsia" w:ascii="宋体" w:hAnsi="Times New Roman" w:eastAsia="宋体" w:cs="宋体"/>
          <w:snapToGrid w:val="0"/>
          <w:color w:val="000000"/>
          <w:sz w:val="28"/>
          <w:szCs w:val="28"/>
        </w:rPr>
        <w:t>附件资料</w:t>
      </w:r>
      <w:r>
        <w:rPr>
          <w:rFonts w:ascii="宋体" w:hAnsi="Times New Roman" w:eastAsia="宋体" w:cs="宋体"/>
          <w:snapToGrid w:val="0"/>
          <w:color w:val="000000"/>
          <w:sz w:val="28"/>
          <w:szCs w:val="28"/>
        </w:rPr>
        <w:t>”。</w:t>
      </w:r>
    </w:p>
    <w:p w14:paraId="0A20A469">
      <w:pPr>
        <w:pStyle w:val="6"/>
        <w:keepNext/>
        <w:keepLines w:val="0"/>
        <w:pageBreakBefore w:val="0"/>
        <w:widowControl w:val="0"/>
        <w:numPr>
          <w:ilvl w:val="3"/>
          <w:numId w:val="1"/>
        </w:numPr>
        <w:kinsoku/>
        <w:wordWrap/>
        <w:overflowPunct/>
        <w:topLinePunct w:val="0"/>
        <w:autoSpaceDE/>
        <w:autoSpaceDN/>
        <w:bidi w:val="0"/>
        <w:adjustRightInd/>
        <w:snapToGrid w:val="0"/>
        <w:ind w:left="0" w:firstLine="0"/>
        <w:textAlignment w:val="auto"/>
        <w:rPr>
          <w:rFonts w:hint="default" w:ascii="宋体" w:hAnsi="Times New Roman" w:cs="宋体"/>
          <w:color w:val="auto"/>
          <w:lang w:val="en-US" w:eastAsia="zh-CN"/>
        </w:rPr>
      </w:pPr>
      <w:r>
        <w:rPr>
          <w:rFonts w:hint="eastAsia" w:ascii="宋体" w:hAnsi="Times New Roman" w:cs="宋体"/>
          <w:color w:val="auto"/>
          <w:lang w:val="en-US" w:eastAsia="zh-CN"/>
        </w:rPr>
        <w:t>应急救援</w:t>
      </w:r>
    </w:p>
    <w:p w14:paraId="666FB381">
      <w:pPr>
        <w:ind w:firstLine="560"/>
        <w:rPr>
          <w:color w:val="auto"/>
        </w:rPr>
      </w:pPr>
      <w:r>
        <w:rPr>
          <w:rFonts w:hint="eastAsia"/>
          <w:color w:val="auto"/>
        </w:rPr>
        <w:t>本项目应急救援依托祥丰实业集团的消防队。</w:t>
      </w:r>
    </w:p>
    <w:p w14:paraId="17A65987">
      <w:pPr>
        <w:ind w:firstLine="560"/>
        <w:rPr>
          <w:color w:val="auto"/>
        </w:rPr>
      </w:pPr>
      <w:r>
        <w:rPr>
          <w:rFonts w:hint="eastAsia"/>
          <w:color w:val="auto"/>
        </w:rPr>
        <w:t>云南祥丰石化有限公司消防站拥有完善应急保障能力，该消防站设置在云南祥丰石化有限公司东面，与</w:t>
      </w:r>
      <w:r>
        <w:rPr>
          <w:rFonts w:hint="eastAsia" w:asciiTheme="minorEastAsia" w:hAnsiTheme="minorEastAsia" w:eastAsiaTheme="minorEastAsia"/>
          <w:bCs/>
          <w:color w:val="auto"/>
          <w:szCs w:val="28"/>
        </w:rPr>
        <w:t>云南瓮福祥丰氟硅新材料有限公司</w:t>
      </w:r>
      <w:r>
        <w:rPr>
          <w:rFonts w:hint="eastAsia"/>
          <w:color w:val="auto"/>
        </w:rPr>
        <w:t>边界西北面距离约244m，祥丰实业集团消防队编制定员为48人，其中执勤人员45人，管理人员3人；配备3台消防车及其他消防救援设备等。该消防站可供本工程依托。</w:t>
      </w:r>
    </w:p>
    <w:p w14:paraId="014241B7">
      <w:pPr>
        <w:ind w:firstLine="560"/>
        <w:rPr>
          <w:color w:val="auto"/>
        </w:rPr>
      </w:pPr>
      <w:r>
        <w:rPr>
          <w:rFonts w:hint="eastAsia"/>
          <w:color w:val="auto"/>
        </w:rPr>
        <w:t>此外，本工程可依托的其他应急救援资源主要情况如下：</w:t>
      </w:r>
    </w:p>
    <w:p w14:paraId="63958F5D">
      <w:pPr>
        <w:numPr>
          <w:ilvl w:val="0"/>
          <w:numId w:val="17"/>
        </w:numPr>
        <w:ind w:firstLine="560"/>
        <w:rPr>
          <w:color w:val="auto"/>
        </w:rPr>
      </w:pPr>
      <w:r>
        <w:rPr>
          <w:rFonts w:hint="eastAsia"/>
          <w:color w:val="auto"/>
        </w:rPr>
        <w:t>云南天安化工有限公司专职消防队，配备1辆消防指挥车，2辆救护车，6辆一级消防车，距离本工程约11km；</w:t>
      </w:r>
    </w:p>
    <w:p w14:paraId="26D12271">
      <w:pPr>
        <w:numPr>
          <w:ilvl w:val="0"/>
          <w:numId w:val="17"/>
        </w:numPr>
        <w:ind w:firstLine="560"/>
        <w:rPr>
          <w:color w:val="auto"/>
        </w:rPr>
      </w:pPr>
      <w:r>
        <w:rPr>
          <w:rFonts w:hint="eastAsia"/>
          <w:color w:val="auto"/>
        </w:rPr>
        <w:t>安宁市消防大队，配备6辆一级消防车，距离本工程约27km；</w:t>
      </w:r>
    </w:p>
    <w:p w14:paraId="4F289183">
      <w:pPr>
        <w:ind w:firstLine="560"/>
        <w:rPr>
          <w:color w:val="auto"/>
        </w:rPr>
      </w:pPr>
      <w:r>
        <w:rPr>
          <w:rFonts w:hint="eastAsia"/>
          <w:color w:val="auto"/>
        </w:rPr>
        <w:t>（3）石江消防中队，配备6辆一级消防车，距离本工程约25km。</w:t>
      </w:r>
    </w:p>
    <w:p w14:paraId="72EEF5E1">
      <w:pPr>
        <w:ind w:firstLine="560"/>
        <w:rPr>
          <w:rFonts w:hint="eastAsia"/>
          <w:color w:val="auto"/>
        </w:rPr>
      </w:pPr>
      <w:bookmarkStart w:id="172" w:name="_Toc38702244"/>
      <w:bookmarkStart w:id="173" w:name="_Toc33360841"/>
      <w:bookmarkStart w:id="174" w:name="_Toc38702094"/>
      <w:bookmarkStart w:id="175" w:name="_Toc38035580"/>
      <w:bookmarkStart w:id="176" w:name="_Toc38701676"/>
      <w:bookmarkStart w:id="177" w:name="_Toc357937778"/>
      <w:r>
        <w:rPr>
          <w:rFonts w:hint="eastAsia"/>
          <w:color w:val="auto"/>
        </w:rPr>
        <w:t>本项目医疗外援依托安宁市禄脿卫生院，距离项目约6.8公里。</w:t>
      </w:r>
    </w:p>
    <w:p w14:paraId="0E689261">
      <w:pPr>
        <w:pStyle w:val="5"/>
        <w:numPr>
          <w:ilvl w:val="2"/>
          <w:numId w:val="1"/>
        </w:numPr>
        <w:adjustRightInd w:val="0"/>
        <w:spacing w:before="120" w:after="120"/>
        <w:jc w:val="both"/>
        <w:rPr>
          <w:rFonts w:hint="default" w:ascii="Times New Roman" w:hAnsi="Times New Roman" w:eastAsia="黑体" w:cs="Times New Roman"/>
          <w:snapToGrid w:val="0"/>
          <w:color w:val="000000"/>
          <w:kern w:val="0"/>
          <w:sz w:val="32"/>
          <w:lang w:val="en-US" w:eastAsia="zh-CN"/>
        </w:rPr>
      </w:pPr>
      <w:bookmarkStart w:id="178" w:name="_Toc32622"/>
      <w:bookmarkStart w:id="179" w:name="_Toc16745"/>
      <w:r>
        <w:rPr>
          <w:rFonts w:hint="default" w:ascii="Times New Roman" w:hAnsi="Times New Roman" w:eastAsia="黑体" w:cs="Times New Roman"/>
          <w:snapToGrid w:val="0"/>
          <w:color w:val="000000"/>
          <w:kern w:val="0"/>
          <w:sz w:val="32"/>
          <w:lang w:val="en-US" w:eastAsia="zh-CN"/>
        </w:rPr>
        <w:t>建设项目选用的主要装置（设备）和设施名称、型号（或者规格）、材质、数量和主要特种设备</w:t>
      </w:r>
      <w:bookmarkEnd w:id="178"/>
      <w:bookmarkEnd w:id="179"/>
    </w:p>
    <w:p w14:paraId="729A13E2">
      <w:pPr>
        <w:pStyle w:val="6"/>
        <w:keepNext/>
        <w:keepLines w:val="0"/>
        <w:pageBreakBefore w:val="0"/>
        <w:widowControl w:val="0"/>
        <w:numPr>
          <w:ilvl w:val="3"/>
          <w:numId w:val="1"/>
        </w:numPr>
        <w:kinsoku/>
        <w:wordWrap/>
        <w:overflowPunct/>
        <w:topLinePunct w:val="0"/>
        <w:autoSpaceDE/>
        <w:autoSpaceDN/>
        <w:bidi w:val="0"/>
        <w:adjustRightInd/>
        <w:snapToGrid w:val="0"/>
        <w:ind w:left="0" w:firstLine="0"/>
        <w:textAlignment w:val="auto"/>
        <w:rPr>
          <w:rFonts w:hint="default" w:ascii="宋体" w:hAnsi="Times New Roman" w:cs="宋体"/>
          <w:color w:val="auto"/>
          <w:lang w:val="en-US" w:eastAsia="zh-CN"/>
        </w:rPr>
      </w:pPr>
      <w:r>
        <w:rPr>
          <w:rFonts w:hint="eastAsia" w:ascii="宋体" w:hAnsi="Times New Roman" w:cs="宋体"/>
          <w:color w:val="auto"/>
          <w:lang w:val="en-US" w:eastAsia="zh-CN"/>
        </w:rPr>
        <w:t>主要生产设备、设施</w:t>
      </w:r>
    </w:p>
    <w:p w14:paraId="25614ECD">
      <w:pPr>
        <w:ind w:firstLine="560"/>
        <w:rPr>
          <w:rFonts w:hint="eastAsia" w:ascii="宋体" w:hAnsi="Times New Roman" w:eastAsia="宋体" w:cs="宋体"/>
          <w:color w:val="auto"/>
        </w:rPr>
      </w:pPr>
      <w:r>
        <w:rPr>
          <w:rFonts w:hint="eastAsia" w:ascii="宋体" w:hAnsi="Times New Roman" w:eastAsia="宋体" w:cs="宋体"/>
          <w:color w:val="auto"/>
        </w:rPr>
        <w:t>本项目为管架及附属设施，不涉及工艺设备。</w:t>
      </w:r>
    </w:p>
    <w:p w14:paraId="5DD587EF">
      <w:pPr>
        <w:pStyle w:val="6"/>
        <w:keepNext/>
        <w:keepLines w:val="0"/>
        <w:pageBreakBefore w:val="0"/>
        <w:widowControl w:val="0"/>
        <w:numPr>
          <w:ilvl w:val="3"/>
          <w:numId w:val="1"/>
        </w:numPr>
        <w:kinsoku/>
        <w:wordWrap/>
        <w:overflowPunct/>
        <w:topLinePunct w:val="0"/>
        <w:autoSpaceDE/>
        <w:autoSpaceDN/>
        <w:bidi w:val="0"/>
        <w:adjustRightInd/>
        <w:snapToGrid w:val="0"/>
        <w:ind w:left="0" w:firstLine="0"/>
        <w:textAlignment w:val="auto"/>
        <w:rPr>
          <w:rFonts w:hint="default" w:ascii="宋体" w:hAnsi="Times New Roman" w:cs="宋体"/>
          <w:color w:val="auto"/>
          <w:lang w:val="en-US" w:eastAsia="zh-CN"/>
        </w:rPr>
      </w:pPr>
      <w:r>
        <w:rPr>
          <w:rFonts w:hint="eastAsia" w:ascii="宋体" w:hAnsi="Times New Roman" w:cs="宋体"/>
          <w:color w:val="auto"/>
          <w:lang w:val="en-US" w:eastAsia="zh-CN"/>
        </w:rPr>
        <w:t>主要特种设备及强制检测设备</w:t>
      </w:r>
    </w:p>
    <w:p w14:paraId="23ECB82B">
      <w:pPr>
        <w:ind w:firstLine="560"/>
        <w:rPr>
          <w:rFonts w:hint="eastAsia"/>
          <w:color w:val="auto"/>
          <w:lang w:val="en-US" w:eastAsia="zh-CN"/>
        </w:rPr>
      </w:pPr>
      <w:r>
        <w:rPr>
          <w:rFonts w:hint="eastAsia"/>
          <w:color w:val="auto"/>
          <w:lang w:val="en-US" w:eastAsia="zh-CN"/>
        </w:rPr>
        <w:t>特种设备主要为压力管道详见附件，无强制检测设备。</w:t>
      </w:r>
    </w:p>
    <w:p w14:paraId="709E87A0">
      <w:pPr>
        <w:pStyle w:val="6"/>
        <w:keepNext/>
        <w:keepLines w:val="0"/>
        <w:pageBreakBefore w:val="0"/>
        <w:widowControl w:val="0"/>
        <w:numPr>
          <w:ilvl w:val="3"/>
          <w:numId w:val="1"/>
        </w:numPr>
        <w:kinsoku/>
        <w:wordWrap/>
        <w:overflowPunct/>
        <w:topLinePunct w:val="0"/>
        <w:autoSpaceDE/>
        <w:autoSpaceDN/>
        <w:bidi w:val="0"/>
        <w:adjustRightInd/>
        <w:snapToGrid w:val="0"/>
        <w:ind w:left="0" w:firstLine="0"/>
        <w:textAlignment w:val="auto"/>
        <w:rPr>
          <w:rFonts w:hint="default" w:ascii="宋体" w:hAnsi="Times New Roman" w:cs="宋体"/>
          <w:color w:val="auto"/>
          <w:lang w:val="en-US" w:eastAsia="zh-CN"/>
        </w:rPr>
      </w:pPr>
      <w:r>
        <w:rPr>
          <w:rFonts w:hint="eastAsia" w:ascii="宋体" w:hAnsi="Times New Roman" w:cs="宋体"/>
          <w:color w:val="auto"/>
          <w:lang w:val="en-US" w:eastAsia="zh-CN"/>
        </w:rPr>
        <w:t>主要建、构筑物</w:t>
      </w:r>
    </w:p>
    <w:p w14:paraId="5E7AAF85">
      <w:pPr>
        <w:ind w:firstLine="560"/>
        <w:rPr>
          <w:rFonts w:hint="eastAsia"/>
        </w:rPr>
      </w:pPr>
      <w:r>
        <w:rPr>
          <w:rFonts w:hint="eastAsia"/>
        </w:rPr>
        <w:t>本项目为管架及附属设施，不涉及生产装置和储存设施，不涉及建筑物，也无需采暖、通风、排烟、空调设施。</w:t>
      </w:r>
    </w:p>
    <w:p w14:paraId="45272946">
      <w:pPr>
        <w:ind w:firstLine="560"/>
        <w:jc w:val="center"/>
        <w:rPr>
          <w:rFonts w:hint="eastAsia" w:ascii="宋体" w:hAnsi="Times New Roman" w:eastAsia="宋体" w:cs="宋体"/>
          <w:b/>
          <w:bCs/>
          <w:sz w:val="24"/>
          <w:szCs w:val="24"/>
          <w:lang w:val="en-US" w:eastAsia="zh-CN"/>
        </w:rPr>
      </w:pPr>
      <w:r>
        <w:rPr>
          <w:rFonts w:hint="eastAsia" w:ascii="宋体" w:hAnsi="Times New Roman" w:eastAsia="宋体" w:cs="宋体"/>
          <w:b/>
          <w:bCs/>
          <w:sz w:val="24"/>
          <w:szCs w:val="24"/>
          <w:lang w:val="en-US" w:eastAsia="zh-CN"/>
        </w:rPr>
        <w:t>表2.2-8构筑物一览表</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780"/>
        <w:gridCol w:w="1290"/>
        <w:gridCol w:w="870"/>
        <w:gridCol w:w="1750"/>
        <w:gridCol w:w="1955"/>
        <w:gridCol w:w="1980"/>
      </w:tblGrid>
      <w:tr w14:paraId="37AC3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shd w:val="clear" w:color="auto" w:fill="auto"/>
            <w:vAlign w:val="center"/>
          </w:tcPr>
          <w:p w14:paraId="7DDCA5C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序号</w:t>
            </w:r>
          </w:p>
        </w:tc>
        <w:tc>
          <w:tcPr>
            <w:tcW w:w="415" w:type="pct"/>
            <w:vAlign w:val="center"/>
          </w:tcPr>
          <w:p w14:paraId="721B45C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区段</w:t>
            </w:r>
          </w:p>
        </w:tc>
        <w:tc>
          <w:tcPr>
            <w:tcW w:w="686" w:type="pct"/>
            <w:shd w:val="clear" w:color="auto" w:fill="auto"/>
            <w:vAlign w:val="center"/>
          </w:tcPr>
          <w:p w14:paraId="46B64BD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管架宽度</w:t>
            </w:r>
          </w:p>
        </w:tc>
        <w:tc>
          <w:tcPr>
            <w:tcW w:w="463" w:type="pct"/>
            <w:shd w:val="clear" w:color="auto" w:fill="auto"/>
            <w:vAlign w:val="center"/>
          </w:tcPr>
          <w:p w14:paraId="0DB3DB5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管架层数</w:t>
            </w:r>
          </w:p>
        </w:tc>
        <w:tc>
          <w:tcPr>
            <w:tcW w:w="931" w:type="pct"/>
            <w:shd w:val="clear" w:color="auto" w:fill="auto"/>
            <w:vAlign w:val="center"/>
          </w:tcPr>
          <w:p w14:paraId="19480DC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管架荷载</w:t>
            </w:r>
          </w:p>
        </w:tc>
        <w:tc>
          <w:tcPr>
            <w:tcW w:w="1040" w:type="pct"/>
            <w:shd w:val="clear" w:color="auto" w:fill="auto"/>
            <w:vAlign w:val="center"/>
          </w:tcPr>
          <w:p w14:paraId="2DB49C9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结构型式</w:t>
            </w:r>
          </w:p>
        </w:tc>
        <w:tc>
          <w:tcPr>
            <w:tcW w:w="1053" w:type="pct"/>
            <w:vAlign w:val="center"/>
          </w:tcPr>
          <w:p w14:paraId="1FD9EB65">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基础型式</w:t>
            </w:r>
          </w:p>
        </w:tc>
      </w:tr>
      <w:tr w14:paraId="5CE1E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jc w:val="center"/>
        </w:trPr>
        <w:tc>
          <w:tcPr>
            <w:tcW w:w="412" w:type="pct"/>
            <w:shd w:val="clear" w:color="auto" w:fill="auto"/>
            <w:vAlign w:val="center"/>
          </w:tcPr>
          <w:p w14:paraId="5AA025C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1</w:t>
            </w:r>
          </w:p>
        </w:tc>
        <w:tc>
          <w:tcPr>
            <w:tcW w:w="415" w:type="pct"/>
            <w:vAlign w:val="center"/>
          </w:tcPr>
          <w:p w14:paraId="0F0EE27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A段</w:t>
            </w:r>
          </w:p>
        </w:tc>
        <w:tc>
          <w:tcPr>
            <w:tcW w:w="686" w:type="pct"/>
            <w:shd w:val="clear" w:color="auto" w:fill="auto"/>
            <w:vAlign w:val="center"/>
          </w:tcPr>
          <w:p w14:paraId="531EF8C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1.6</w:t>
            </w:r>
            <w:r>
              <w:rPr>
                <w:rFonts w:hint="eastAsia"/>
              </w:rPr>
              <w:t>m</w:t>
            </w:r>
          </w:p>
        </w:tc>
        <w:tc>
          <w:tcPr>
            <w:tcW w:w="463" w:type="pct"/>
            <w:shd w:val="clear" w:color="auto" w:fill="auto"/>
            <w:vAlign w:val="center"/>
          </w:tcPr>
          <w:p w14:paraId="5DF7E79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2</w:t>
            </w:r>
          </w:p>
        </w:tc>
        <w:tc>
          <w:tcPr>
            <w:tcW w:w="931" w:type="pct"/>
            <w:shd w:val="clear" w:color="auto" w:fill="auto"/>
            <w:vAlign w:val="center"/>
          </w:tcPr>
          <w:p w14:paraId="3BA9331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700kg/m</w:t>
            </w:r>
          </w:p>
        </w:tc>
        <w:tc>
          <w:tcPr>
            <w:tcW w:w="1040" w:type="pct"/>
            <w:shd w:val="clear" w:color="auto" w:fill="auto"/>
            <w:vAlign w:val="center"/>
          </w:tcPr>
          <w:p w14:paraId="43E7924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钢筋混凝土混合管廊式管架、</w:t>
            </w:r>
          </w:p>
          <w:p w14:paraId="397E270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钢框架结构</w:t>
            </w:r>
          </w:p>
        </w:tc>
        <w:tc>
          <w:tcPr>
            <w:tcW w:w="1053" w:type="pct"/>
            <w:vAlign w:val="center"/>
          </w:tcPr>
          <w:p w14:paraId="11E61E1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桩基+独基</w:t>
            </w:r>
          </w:p>
        </w:tc>
      </w:tr>
      <w:tr w14:paraId="1E60E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shd w:val="clear" w:color="auto" w:fill="auto"/>
            <w:vAlign w:val="center"/>
          </w:tcPr>
          <w:p w14:paraId="2DBCFC7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2</w:t>
            </w:r>
          </w:p>
        </w:tc>
        <w:tc>
          <w:tcPr>
            <w:tcW w:w="415" w:type="pct"/>
            <w:vAlign w:val="center"/>
          </w:tcPr>
          <w:p w14:paraId="1F80E15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B</w:t>
            </w:r>
            <w:r>
              <w:rPr>
                <w:rFonts w:hint="eastAsia"/>
              </w:rPr>
              <w:t>段</w:t>
            </w:r>
          </w:p>
        </w:tc>
        <w:tc>
          <w:tcPr>
            <w:tcW w:w="686" w:type="pct"/>
            <w:shd w:val="clear" w:color="auto" w:fill="auto"/>
            <w:vAlign w:val="center"/>
          </w:tcPr>
          <w:p w14:paraId="050BE45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1</w:t>
            </w:r>
            <w:r>
              <w:t>.4</w:t>
            </w:r>
            <w:r>
              <w:rPr>
                <w:rFonts w:hint="eastAsia"/>
              </w:rPr>
              <w:t>m、</w:t>
            </w:r>
            <w:r>
              <w:t>1.6</w:t>
            </w:r>
            <w:r>
              <w:rPr>
                <w:rFonts w:hint="eastAsia"/>
              </w:rPr>
              <w:t>m</w:t>
            </w:r>
          </w:p>
        </w:tc>
        <w:tc>
          <w:tcPr>
            <w:tcW w:w="463" w:type="pct"/>
            <w:shd w:val="clear" w:color="auto" w:fill="auto"/>
            <w:vAlign w:val="center"/>
          </w:tcPr>
          <w:p w14:paraId="0DC9C09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2</w:t>
            </w:r>
          </w:p>
        </w:tc>
        <w:tc>
          <w:tcPr>
            <w:tcW w:w="931" w:type="pct"/>
            <w:shd w:val="clear" w:color="auto" w:fill="auto"/>
            <w:vAlign w:val="center"/>
          </w:tcPr>
          <w:p w14:paraId="509305A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700kg/m</w:t>
            </w:r>
          </w:p>
        </w:tc>
        <w:tc>
          <w:tcPr>
            <w:tcW w:w="1040" w:type="pct"/>
            <w:shd w:val="clear" w:color="auto" w:fill="auto"/>
            <w:vAlign w:val="center"/>
          </w:tcPr>
          <w:p w14:paraId="1082ECD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T型架</w:t>
            </w:r>
          </w:p>
        </w:tc>
        <w:tc>
          <w:tcPr>
            <w:tcW w:w="1053" w:type="pct"/>
            <w:vAlign w:val="center"/>
          </w:tcPr>
          <w:p w14:paraId="4282E59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独基</w:t>
            </w:r>
          </w:p>
        </w:tc>
      </w:tr>
      <w:tr w14:paraId="53138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shd w:val="clear" w:color="auto" w:fill="auto"/>
            <w:vAlign w:val="center"/>
          </w:tcPr>
          <w:p w14:paraId="09C82D7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3</w:t>
            </w:r>
          </w:p>
        </w:tc>
        <w:tc>
          <w:tcPr>
            <w:tcW w:w="415" w:type="pct"/>
            <w:vAlign w:val="center"/>
          </w:tcPr>
          <w:p w14:paraId="44C09FD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C</w:t>
            </w:r>
            <w:r>
              <w:rPr>
                <w:rFonts w:hint="eastAsia"/>
              </w:rPr>
              <w:t>段</w:t>
            </w:r>
          </w:p>
        </w:tc>
        <w:tc>
          <w:tcPr>
            <w:tcW w:w="686" w:type="pct"/>
            <w:shd w:val="clear" w:color="auto" w:fill="auto"/>
            <w:vAlign w:val="center"/>
          </w:tcPr>
          <w:p w14:paraId="290D514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1.6</w:t>
            </w:r>
            <w:r>
              <w:rPr>
                <w:rFonts w:hint="eastAsia"/>
              </w:rPr>
              <w:t>m</w:t>
            </w:r>
          </w:p>
        </w:tc>
        <w:tc>
          <w:tcPr>
            <w:tcW w:w="463" w:type="pct"/>
            <w:shd w:val="clear" w:color="auto" w:fill="auto"/>
            <w:vAlign w:val="center"/>
          </w:tcPr>
          <w:p w14:paraId="5E2203F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2</w:t>
            </w:r>
          </w:p>
        </w:tc>
        <w:tc>
          <w:tcPr>
            <w:tcW w:w="931" w:type="pct"/>
            <w:shd w:val="clear" w:color="auto" w:fill="auto"/>
            <w:vAlign w:val="center"/>
          </w:tcPr>
          <w:p w14:paraId="23DBF57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700kg/m</w:t>
            </w:r>
          </w:p>
        </w:tc>
        <w:tc>
          <w:tcPr>
            <w:tcW w:w="1040" w:type="pct"/>
            <w:shd w:val="clear" w:color="auto" w:fill="auto"/>
            <w:vAlign w:val="center"/>
          </w:tcPr>
          <w:p w14:paraId="6269FDD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T型架</w:t>
            </w:r>
          </w:p>
        </w:tc>
        <w:tc>
          <w:tcPr>
            <w:tcW w:w="1053" w:type="pct"/>
            <w:vAlign w:val="center"/>
          </w:tcPr>
          <w:p w14:paraId="64FA52B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桩基+独基</w:t>
            </w:r>
          </w:p>
        </w:tc>
      </w:tr>
      <w:tr w14:paraId="4CAAE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shd w:val="clear" w:color="auto" w:fill="auto"/>
            <w:vAlign w:val="center"/>
          </w:tcPr>
          <w:p w14:paraId="1DE9DEE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4</w:t>
            </w:r>
          </w:p>
        </w:tc>
        <w:tc>
          <w:tcPr>
            <w:tcW w:w="415" w:type="pct"/>
            <w:vAlign w:val="center"/>
          </w:tcPr>
          <w:p w14:paraId="5932593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D</w:t>
            </w:r>
            <w:r>
              <w:rPr>
                <w:rFonts w:hint="eastAsia"/>
              </w:rPr>
              <w:t>段</w:t>
            </w:r>
          </w:p>
        </w:tc>
        <w:tc>
          <w:tcPr>
            <w:tcW w:w="686" w:type="pct"/>
            <w:shd w:val="clear" w:color="auto" w:fill="auto"/>
            <w:vAlign w:val="center"/>
          </w:tcPr>
          <w:p w14:paraId="36B408E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2.5</w:t>
            </w:r>
            <w:r>
              <w:rPr>
                <w:rFonts w:hint="eastAsia"/>
              </w:rPr>
              <w:t>m</w:t>
            </w:r>
          </w:p>
        </w:tc>
        <w:tc>
          <w:tcPr>
            <w:tcW w:w="463" w:type="pct"/>
            <w:shd w:val="clear" w:color="auto" w:fill="auto"/>
            <w:vAlign w:val="center"/>
          </w:tcPr>
          <w:p w14:paraId="253495C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2</w:t>
            </w:r>
          </w:p>
        </w:tc>
        <w:tc>
          <w:tcPr>
            <w:tcW w:w="931" w:type="pct"/>
            <w:shd w:val="clear" w:color="auto" w:fill="auto"/>
            <w:vAlign w:val="center"/>
          </w:tcPr>
          <w:p w14:paraId="014C3CF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1000kg/m</w:t>
            </w:r>
          </w:p>
        </w:tc>
        <w:tc>
          <w:tcPr>
            <w:tcW w:w="1040" w:type="pct"/>
            <w:shd w:val="clear" w:color="auto" w:fill="auto"/>
            <w:vAlign w:val="center"/>
          </w:tcPr>
          <w:p w14:paraId="75ED1A4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钢框架结构</w:t>
            </w:r>
          </w:p>
        </w:tc>
        <w:tc>
          <w:tcPr>
            <w:tcW w:w="1053" w:type="pct"/>
            <w:vAlign w:val="center"/>
          </w:tcPr>
          <w:p w14:paraId="6889CEB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独基</w:t>
            </w:r>
          </w:p>
        </w:tc>
      </w:tr>
      <w:tr w14:paraId="7F51E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shd w:val="clear" w:color="auto" w:fill="auto"/>
            <w:vAlign w:val="center"/>
          </w:tcPr>
          <w:p w14:paraId="615EE87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5</w:t>
            </w:r>
          </w:p>
        </w:tc>
        <w:tc>
          <w:tcPr>
            <w:tcW w:w="415" w:type="pct"/>
            <w:vAlign w:val="center"/>
          </w:tcPr>
          <w:p w14:paraId="296D112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E</w:t>
            </w:r>
            <w:r>
              <w:rPr>
                <w:rFonts w:hint="eastAsia"/>
              </w:rPr>
              <w:t>段</w:t>
            </w:r>
          </w:p>
        </w:tc>
        <w:tc>
          <w:tcPr>
            <w:tcW w:w="686" w:type="pct"/>
            <w:shd w:val="clear" w:color="auto" w:fill="auto"/>
            <w:vAlign w:val="center"/>
          </w:tcPr>
          <w:p w14:paraId="14093F7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3.0</w:t>
            </w:r>
            <w:r>
              <w:rPr>
                <w:rFonts w:hint="eastAsia"/>
              </w:rPr>
              <w:t>m</w:t>
            </w:r>
          </w:p>
        </w:tc>
        <w:tc>
          <w:tcPr>
            <w:tcW w:w="463" w:type="pct"/>
            <w:shd w:val="clear" w:color="auto" w:fill="auto"/>
            <w:vAlign w:val="center"/>
          </w:tcPr>
          <w:p w14:paraId="68FD6A7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2</w:t>
            </w:r>
          </w:p>
        </w:tc>
        <w:tc>
          <w:tcPr>
            <w:tcW w:w="931" w:type="pct"/>
            <w:shd w:val="clear" w:color="auto" w:fill="auto"/>
            <w:vAlign w:val="center"/>
          </w:tcPr>
          <w:p w14:paraId="507949A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1400kg/m</w:t>
            </w:r>
          </w:p>
        </w:tc>
        <w:tc>
          <w:tcPr>
            <w:tcW w:w="1040" w:type="pct"/>
            <w:shd w:val="clear" w:color="auto" w:fill="auto"/>
            <w:vAlign w:val="center"/>
          </w:tcPr>
          <w:p w14:paraId="69B5ECB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钢框架结构</w:t>
            </w:r>
          </w:p>
        </w:tc>
        <w:tc>
          <w:tcPr>
            <w:tcW w:w="1053" w:type="pct"/>
            <w:vAlign w:val="center"/>
          </w:tcPr>
          <w:p w14:paraId="33C574B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独基</w:t>
            </w:r>
          </w:p>
        </w:tc>
      </w:tr>
      <w:tr w14:paraId="40A09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shd w:val="clear" w:color="auto" w:fill="auto"/>
            <w:vAlign w:val="center"/>
          </w:tcPr>
          <w:p w14:paraId="622874D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6</w:t>
            </w:r>
          </w:p>
        </w:tc>
        <w:tc>
          <w:tcPr>
            <w:tcW w:w="415" w:type="pct"/>
            <w:vAlign w:val="center"/>
          </w:tcPr>
          <w:p w14:paraId="4BD1CB4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F</w:t>
            </w:r>
            <w:r>
              <w:rPr>
                <w:rFonts w:hint="eastAsia"/>
              </w:rPr>
              <w:t>段</w:t>
            </w:r>
          </w:p>
        </w:tc>
        <w:tc>
          <w:tcPr>
            <w:tcW w:w="686" w:type="pct"/>
            <w:shd w:val="clear" w:color="auto" w:fill="auto"/>
            <w:vAlign w:val="center"/>
          </w:tcPr>
          <w:p w14:paraId="7CB9286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3.0</w:t>
            </w:r>
            <w:r>
              <w:rPr>
                <w:rFonts w:hint="eastAsia"/>
              </w:rPr>
              <w:t>m</w:t>
            </w:r>
          </w:p>
        </w:tc>
        <w:tc>
          <w:tcPr>
            <w:tcW w:w="463" w:type="pct"/>
            <w:shd w:val="clear" w:color="auto" w:fill="auto"/>
            <w:vAlign w:val="center"/>
          </w:tcPr>
          <w:p w14:paraId="3FB6142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2</w:t>
            </w:r>
          </w:p>
        </w:tc>
        <w:tc>
          <w:tcPr>
            <w:tcW w:w="931" w:type="pct"/>
            <w:shd w:val="clear" w:color="auto" w:fill="auto"/>
            <w:vAlign w:val="center"/>
          </w:tcPr>
          <w:p w14:paraId="0A8A6C2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1350kg/m</w:t>
            </w:r>
            <w:r>
              <w:rPr>
                <w:rFonts w:hint="eastAsia"/>
              </w:rPr>
              <w:t>、</w:t>
            </w:r>
          </w:p>
          <w:p w14:paraId="5593D1B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t>2700kg/m</w:t>
            </w:r>
            <w:r>
              <w:rPr>
                <w:rFonts w:hint="eastAsia"/>
              </w:rPr>
              <w:t>、</w:t>
            </w:r>
          </w:p>
          <w:p w14:paraId="56A566D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1</w:t>
            </w:r>
            <w:r>
              <w:t>500kg/m</w:t>
            </w:r>
          </w:p>
        </w:tc>
        <w:tc>
          <w:tcPr>
            <w:tcW w:w="1040" w:type="pct"/>
            <w:shd w:val="clear" w:color="auto" w:fill="auto"/>
            <w:vAlign w:val="center"/>
          </w:tcPr>
          <w:p w14:paraId="0AF2B6E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钢筋混凝土混合管廊式管架、</w:t>
            </w:r>
          </w:p>
          <w:p w14:paraId="3323F2E5">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钢框架结构</w:t>
            </w:r>
          </w:p>
        </w:tc>
        <w:tc>
          <w:tcPr>
            <w:tcW w:w="1053" w:type="pct"/>
            <w:vAlign w:val="center"/>
          </w:tcPr>
          <w:p w14:paraId="3B4D40B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Fonts w:hint="eastAsia"/>
              </w:rPr>
              <w:t>独基</w:t>
            </w:r>
          </w:p>
        </w:tc>
      </w:tr>
      <w:bookmarkEnd w:id="172"/>
      <w:bookmarkEnd w:id="173"/>
      <w:bookmarkEnd w:id="174"/>
      <w:bookmarkEnd w:id="175"/>
      <w:bookmarkEnd w:id="176"/>
      <w:bookmarkEnd w:id="177"/>
    </w:tbl>
    <w:p w14:paraId="7726060A">
      <w:pPr>
        <w:pStyle w:val="4"/>
        <w:spacing w:before="193"/>
        <w:jc w:val="left"/>
        <w:rPr>
          <w:rFonts w:hint="eastAsia" w:ascii="黑体" w:hAnsi="黑体" w:eastAsia="黑体" w:cs="黑体"/>
          <w:b/>
          <w:bCs w:val="0"/>
          <w:color w:val="auto"/>
          <w:sz w:val="36"/>
          <w:szCs w:val="36"/>
          <w:lang w:val="en-US" w:eastAsia="zh-CN"/>
        </w:rPr>
      </w:pPr>
      <w:bookmarkStart w:id="180" w:name="_Toc81552002"/>
      <w:bookmarkStart w:id="181" w:name="_Toc67647100"/>
      <w:bookmarkStart w:id="182" w:name="_Toc29907"/>
      <w:r>
        <w:rPr>
          <w:rFonts w:hint="eastAsia" w:ascii="黑体" w:hAnsi="黑体" w:eastAsia="黑体" w:cs="黑体"/>
          <w:b/>
          <w:bCs w:val="0"/>
          <w:color w:val="auto"/>
          <w:sz w:val="36"/>
          <w:szCs w:val="36"/>
          <w:lang w:val="en-US" w:eastAsia="zh-CN"/>
        </w:rPr>
        <w:t>建设项目安全</w:t>
      </w:r>
      <w:bookmarkEnd w:id="180"/>
      <w:bookmarkEnd w:id="181"/>
      <w:r>
        <w:rPr>
          <w:rFonts w:hint="eastAsia" w:ascii="黑体" w:hAnsi="黑体" w:eastAsia="黑体" w:cs="黑体"/>
          <w:b/>
          <w:bCs w:val="0"/>
          <w:color w:val="auto"/>
          <w:sz w:val="36"/>
          <w:szCs w:val="36"/>
          <w:lang w:val="en-US" w:eastAsia="zh-CN"/>
        </w:rPr>
        <w:t>设施、安全投资</w:t>
      </w:r>
      <w:bookmarkEnd w:id="182"/>
    </w:p>
    <w:p w14:paraId="65B3E5B6">
      <w:pPr>
        <w:pStyle w:val="5"/>
        <w:numPr>
          <w:ilvl w:val="2"/>
          <w:numId w:val="1"/>
        </w:numPr>
        <w:adjustRightInd w:val="0"/>
        <w:spacing w:before="120" w:after="120"/>
        <w:jc w:val="both"/>
        <w:rPr>
          <w:rFonts w:hint="default" w:ascii="Times New Roman" w:hAnsi="Times New Roman" w:eastAsia="黑体" w:cs="Times New Roman"/>
          <w:snapToGrid w:val="0"/>
          <w:color w:val="000000"/>
          <w:kern w:val="0"/>
          <w:sz w:val="32"/>
          <w:lang w:val="en-US" w:eastAsia="zh-CN"/>
        </w:rPr>
      </w:pPr>
      <w:bookmarkStart w:id="183" w:name="_Toc310369747"/>
      <w:bookmarkStart w:id="184" w:name="_Toc384729650"/>
      <w:bookmarkStart w:id="185" w:name="_Toc339981253"/>
      <w:bookmarkStart w:id="186" w:name="_Toc3730"/>
      <w:bookmarkStart w:id="187" w:name="_Toc369180181"/>
      <w:bookmarkStart w:id="188" w:name="_Toc20871"/>
      <w:bookmarkStart w:id="189" w:name="_Toc304298947"/>
      <w:bookmarkStart w:id="190" w:name="_Toc508115025"/>
      <w:bookmarkStart w:id="191" w:name="_Toc370242982"/>
      <w:bookmarkStart w:id="192" w:name="_Toc310092709"/>
      <w:bookmarkStart w:id="193" w:name="_Toc304470788"/>
      <w:bookmarkStart w:id="194" w:name="_Toc13673"/>
      <w:bookmarkStart w:id="195" w:name="_Toc304545764"/>
      <w:bookmarkStart w:id="196" w:name="_Toc377137346"/>
      <w:bookmarkStart w:id="197" w:name="_Toc304280355"/>
      <w:bookmarkStart w:id="198" w:name="_Toc6652"/>
      <w:bookmarkStart w:id="199" w:name="_Toc310287001"/>
      <w:bookmarkStart w:id="200" w:name="_Toc25497"/>
      <w:bookmarkStart w:id="201" w:name="_Toc472686269"/>
      <w:r>
        <w:rPr>
          <w:rFonts w:hint="default" w:ascii="Times New Roman" w:hAnsi="Times New Roman" w:eastAsia="黑体" w:cs="Times New Roman"/>
          <w:snapToGrid w:val="0"/>
          <w:color w:val="000000"/>
          <w:kern w:val="0"/>
          <w:sz w:val="32"/>
          <w:lang w:val="en-US" w:eastAsia="zh-CN"/>
        </w:rPr>
        <w:t>安全设施</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70F900C8">
      <w:pPr>
        <w:keepNext w:val="0"/>
        <w:keepLines w:val="0"/>
        <w:pageBreakBefore w:val="0"/>
        <w:widowControl w:val="0"/>
        <w:kinsoku/>
        <w:wordWrap/>
        <w:overflowPunct/>
        <w:topLinePunct w:val="0"/>
        <w:autoSpaceDE/>
        <w:autoSpaceDN/>
        <w:bidi w:val="0"/>
        <w:adjustRightInd/>
        <w:snapToGrid w:val="0"/>
        <w:ind w:firstLine="560" w:firstLineChars="200"/>
        <w:textAlignment w:val="auto"/>
        <w:rPr>
          <w:rFonts w:hint="default"/>
          <w:lang w:val="en-US" w:eastAsia="zh-CN"/>
        </w:rPr>
      </w:pPr>
      <w:r>
        <w:rPr>
          <w:rFonts w:hint="eastAsia"/>
        </w:rPr>
        <w:t>本项目无安全阀、爆破片以及可燃气体检测报警等安全设施。</w:t>
      </w:r>
      <w:r>
        <w:rPr>
          <w:color w:val="000000"/>
          <w:sz w:val="28"/>
          <w:szCs w:val="28"/>
          <w:lang w:bidi="ar"/>
        </w:rPr>
        <w:t>该项目区设置的主要安全设施情况如下所示。</w:t>
      </w:r>
    </w:p>
    <w:p w14:paraId="7EF59E05">
      <w:pPr>
        <w:ind w:firstLine="560"/>
        <w:rPr>
          <w:color w:val="auto"/>
        </w:rPr>
      </w:pPr>
      <w:r>
        <w:rPr>
          <w:rFonts w:hint="eastAsia"/>
          <w:color w:val="auto"/>
        </w:rPr>
        <w:t>1、管廊设置温度、压力、流量、切断阀等设施。</w:t>
      </w:r>
    </w:p>
    <w:p w14:paraId="78D2C57C">
      <w:pPr>
        <w:ind w:firstLine="560"/>
        <w:rPr>
          <w:color w:val="auto"/>
        </w:rPr>
      </w:pPr>
      <w:r>
        <w:rPr>
          <w:color w:val="auto"/>
        </w:rPr>
        <w:t>2</w:t>
      </w:r>
      <w:r>
        <w:rPr>
          <w:rFonts w:hint="eastAsia"/>
          <w:color w:val="auto"/>
        </w:rPr>
        <w:t>、合理设置管道自然补偿或热补偿器以减小热应力。</w:t>
      </w:r>
    </w:p>
    <w:p w14:paraId="43971A80">
      <w:pPr>
        <w:ind w:firstLine="560"/>
        <w:rPr>
          <w:color w:val="auto"/>
        </w:rPr>
      </w:pPr>
      <w:r>
        <w:rPr>
          <w:rFonts w:hint="eastAsia"/>
          <w:color w:val="auto"/>
        </w:rPr>
        <w:t>3、饱和蒸汽管道在高点处设有放空装置，在低点处设有启动排水和永久疏水装置。</w:t>
      </w:r>
    </w:p>
    <w:p w14:paraId="0D6942AA">
      <w:pPr>
        <w:ind w:firstLine="560"/>
        <w:rPr>
          <w:color w:val="auto"/>
        </w:rPr>
      </w:pPr>
      <w:r>
        <w:rPr>
          <w:rFonts w:hint="eastAsia"/>
          <w:color w:val="auto"/>
          <w:lang w:val="en-US" w:eastAsia="zh-CN"/>
        </w:rPr>
        <w:t>4</w:t>
      </w:r>
      <w:r>
        <w:rPr>
          <w:rFonts w:hint="eastAsia"/>
          <w:color w:val="auto"/>
        </w:rPr>
        <w:t>、按规范采取静电接地措施；所有的电缆及电缆桥架选用阻燃或难燃型；在较高建构筑物上设避雷装置。</w:t>
      </w:r>
    </w:p>
    <w:p w14:paraId="60861429">
      <w:pPr>
        <w:ind w:firstLine="560"/>
        <w:rPr>
          <w:color w:val="auto"/>
        </w:rPr>
      </w:pPr>
      <w:r>
        <w:rPr>
          <w:rFonts w:hint="eastAsia"/>
          <w:color w:val="auto"/>
          <w:lang w:val="en-US" w:eastAsia="zh-CN"/>
        </w:rPr>
        <w:t>5</w:t>
      </w:r>
      <w:r>
        <w:rPr>
          <w:rFonts w:hint="eastAsia"/>
          <w:color w:val="auto"/>
        </w:rPr>
        <w:t>、有关工艺设备及管道采用耐腐蚀材料制造；高温设备和管道采取隔热处理。</w:t>
      </w:r>
    </w:p>
    <w:p w14:paraId="5DBB530F">
      <w:pPr>
        <w:ind w:firstLine="560"/>
        <w:rPr>
          <w:rFonts w:hint="eastAsia"/>
          <w:color w:val="auto"/>
        </w:rPr>
      </w:pPr>
      <w:r>
        <w:rPr>
          <w:rFonts w:hint="eastAsia"/>
          <w:color w:val="auto"/>
          <w:lang w:val="en-US" w:eastAsia="zh-CN"/>
        </w:rPr>
        <w:t>6</w:t>
      </w:r>
      <w:r>
        <w:rPr>
          <w:rFonts w:hint="eastAsia"/>
          <w:color w:val="auto"/>
        </w:rPr>
        <w:t>、凡有腐蚀性物料存在的场地、建、构、物均满足防腐蚀规范的规定。</w:t>
      </w:r>
    </w:p>
    <w:p w14:paraId="6359FB8D">
      <w:pPr>
        <w:ind w:firstLine="560"/>
        <w:rPr>
          <w:rFonts w:hint="eastAsia"/>
          <w:color w:val="auto"/>
        </w:rPr>
      </w:pPr>
      <w:r>
        <w:rPr>
          <w:rFonts w:hint="eastAsia"/>
          <w:color w:val="auto"/>
          <w:lang w:val="en-US" w:eastAsia="zh-CN"/>
        </w:rPr>
        <w:t>7、</w:t>
      </w:r>
      <w:r>
        <w:rPr>
          <w:rFonts w:hint="eastAsia"/>
          <w:color w:val="auto"/>
        </w:rPr>
        <w:t>云南瓮福祥丰氟硅新材料有限公司和云南祥丰金麦化工有限公司设置联络电话。</w:t>
      </w:r>
    </w:p>
    <w:p w14:paraId="6B94C779">
      <w:pPr>
        <w:ind w:firstLine="560"/>
        <w:rPr>
          <w:rFonts w:hint="default" w:eastAsia="宋体"/>
          <w:color w:val="auto"/>
          <w:lang w:val="en-US" w:eastAsia="zh-CN"/>
        </w:rPr>
      </w:pPr>
      <w:r>
        <w:rPr>
          <w:rFonts w:hint="eastAsia"/>
          <w:color w:val="auto"/>
          <w:lang w:val="en-US" w:eastAsia="zh-CN"/>
        </w:rPr>
        <w:t>8、本项目外管廊火灾危险性较低，不新增消防设施，消防主要依托祥丰金麦原有消防系统及</w:t>
      </w:r>
      <w:r>
        <w:rPr>
          <w:rFonts w:hint="eastAsia"/>
          <w:color w:val="auto"/>
        </w:rPr>
        <w:t>瓮福祥丰</w:t>
      </w:r>
      <w:r>
        <w:rPr>
          <w:rFonts w:hint="eastAsia"/>
          <w:color w:val="auto"/>
          <w:lang w:val="en-US" w:eastAsia="zh-CN"/>
        </w:rPr>
        <w:t>AHF厂区新建消防系统。</w:t>
      </w:r>
    </w:p>
    <w:p w14:paraId="4BEC6D23">
      <w:pPr>
        <w:ind w:firstLine="560"/>
        <w:rPr>
          <w:rFonts w:hint="eastAsia" w:ascii="宋体" w:hAnsi="Times New Roman" w:eastAsia="宋体" w:cs="宋体"/>
          <w:color w:val="auto"/>
          <w:lang w:val="en-US" w:eastAsia="zh-CN"/>
        </w:rPr>
      </w:pPr>
      <w:r>
        <w:rPr>
          <w:rFonts w:hint="eastAsia"/>
          <w:color w:val="auto"/>
          <w:lang w:val="en-US" w:eastAsia="zh-CN"/>
        </w:rPr>
        <w:t>9、</w:t>
      </w:r>
      <w:r>
        <w:rPr>
          <w:rFonts w:hint="eastAsia"/>
          <w:color w:val="auto"/>
        </w:rPr>
        <w:t>根据不同的岗位，各岗位按最大班人数配备必要的劳动保护用品，</w:t>
      </w:r>
      <w:r>
        <w:rPr>
          <w:rFonts w:hint="eastAsia" w:ascii="宋体" w:hAnsi="Times New Roman" w:eastAsia="宋体" w:cs="宋体"/>
          <w:color w:val="auto"/>
          <w:lang w:val="en-US" w:eastAsia="zh-CN"/>
        </w:rPr>
        <w:t>如防护眼镜、防护手套、防护服、防护鞋、过滤式呼吸器、防噪声耳塞（耳罩）等。</w:t>
      </w:r>
    </w:p>
    <w:p w14:paraId="2EF47BC3">
      <w:pPr>
        <w:ind w:firstLine="560"/>
        <w:rPr>
          <w:rFonts w:hint="eastAsia" w:ascii="宋体" w:hAnsi="Times New Roman" w:eastAsia="宋体" w:cs="宋体"/>
          <w:color w:val="auto"/>
          <w:lang w:val="en-US" w:eastAsia="zh-CN"/>
        </w:rPr>
      </w:pPr>
      <w:r>
        <w:rPr>
          <w:rFonts w:hint="eastAsia" w:ascii="宋体" w:hAnsi="Times New Roman" w:eastAsia="宋体" w:cs="宋体"/>
          <w:color w:val="auto"/>
          <w:lang w:val="en-US" w:eastAsia="zh-CN"/>
        </w:rPr>
        <w:t xml:space="preserve">10、本项目依托主项目共设3个应急物资柜和2个急救药品箱。应急物资柜设置在743装置1楼、充装站及600控制楼1楼应急物资室，急救药品箱设置在分析室、743装置1楼、600控制楼1楼应急物资室在便于劳动者取用的，并由专人负责定期检查与更新。 </w:t>
      </w:r>
    </w:p>
    <w:p w14:paraId="04B033B3">
      <w:pPr>
        <w:pStyle w:val="5"/>
        <w:numPr>
          <w:ilvl w:val="2"/>
          <w:numId w:val="1"/>
        </w:numPr>
        <w:adjustRightInd w:val="0"/>
        <w:spacing w:before="120" w:after="120"/>
        <w:jc w:val="both"/>
        <w:rPr>
          <w:rFonts w:hint="default" w:ascii="Times New Roman" w:hAnsi="Times New Roman" w:eastAsia="黑体" w:cs="Times New Roman"/>
          <w:snapToGrid w:val="0"/>
          <w:color w:val="000000"/>
          <w:kern w:val="0"/>
          <w:sz w:val="32"/>
          <w:lang w:val="en-US" w:eastAsia="zh-CN"/>
        </w:rPr>
      </w:pPr>
      <w:bookmarkStart w:id="202" w:name="_Toc19800"/>
      <w:r>
        <w:rPr>
          <w:rFonts w:hint="default" w:ascii="Times New Roman" w:hAnsi="Times New Roman" w:eastAsia="黑体" w:cs="Times New Roman"/>
          <w:snapToGrid w:val="0"/>
          <w:color w:val="000000"/>
          <w:kern w:val="0"/>
          <w:sz w:val="32"/>
          <w:lang w:val="en-US" w:eastAsia="zh-CN"/>
        </w:rPr>
        <w:t>安全</w:t>
      </w:r>
      <w:r>
        <w:rPr>
          <w:rFonts w:hint="eastAsia" w:ascii="Times New Roman" w:hAnsi="Times New Roman" w:cs="Times New Roman"/>
          <w:snapToGrid w:val="0"/>
          <w:color w:val="000000"/>
          <w:kern w:val="0"/>
          <w:sz w:val="32"/>
          <w:lang w:val="en-US" w:eastAsia="zh-CN"/>
        </w:rPr>
        <w:t>投资</w:t>
      </w:r>
      <w:bookmarkEnd w:id="202"/>
    </w:p>
    <w:p w14:paraId="6420AA45">
      <w:pPr>
        <w:pStyle w:val="79"/>
        <w:keepNext w:val="0"/>
        <w:keepLines w:val="0"/>
        <w:pageBreakBefore w:val="0"/>
        <w:widowControl w:val="0"/>
        <w:kinsoku/>
        <w:wordWrap/>
        <w:overflowPunct/>
        <w:topLinePunct w:val="0"/>
        <w:autoSpaceDE/>
        <w:autoSpaceDN/>
        <w:bidi w:val="0"/>
        <w:adjustRightInd/>
        <w:snapToGrid w:val="0"/>
        <w:ind w:firstLine="560" w:firstLineChars="200"/>
        <w:textAlignment w:val="auto"/>
        <w:rPr>
          <w:rFonts w:hint="eastAsia" w:ascii="宋体" w:hAnsi="Times New Roman" w:eastAsia="宋体" w:cs="宋体"/>
          <w:color w:val="auto"/>
          <w:sz w:val="28"/>
          <w:szCs w:val="28"/>
          <w:lang w:val="en-US" w:eastAsia="zh-CN" w:bidi="ar-SA"/>
        </w:rPr>
      </w:pPr>
      <w:r>
        <w:rPr>
          <w:rFonts w:hint="eastAsia" w:ascii="宋体" w:hAnsi="Times New Roman" w:eastAsia="宋体" w:cs="宋体"/>
          <w:color w:val="auto"/>
          <w:sz w:val="28"/>
          <w:szCs w:val="28"/>
          <w:lang w:val="en-US" w:eastAsia="zh-CN" w:bidi="ar-SA"/>
        </w:rPr>
        <w:t>本项目总投资为6</w:t>
      </w:r>
      <w:r>
        <w:rPr>
          <w:rFonts w:ascii="宋体" w:hAnsi="Times New Roman" w:eastAsia="宋体" w:cs="宋体"/>
          <w:color w:val="auto"/>
          <w:sz w:val="28"/>
          <w:szCs w:val="28"/>
          <w:lang w:val="en-US" w:eastAsia="zh-CN" w:bidi="ar-SA"/>
        </w:rPr>
        <w:t>839.69</w:t>
      </w:r>
      <w:r>
        <w:rPr>
          <w:rFonts w:hint="eastAsia" w:ascii="宋体" w:hAnsi="Times New Roman" w:eastAsia="宋体" w:cs="宋体"/>
          <w:color w:val="auto"/>
          <w:sz w:val="28"/>
          <w:szCs w:val="28"/>
          <w:lang w:val="en-US" w:eastAsia="zh-CN" w:bidi="ar-SA"/>
        </w:rPr>
        <w:t>万元（含增值税），6</w:t>
      </w:r>
      <w:r>
        <w:rPr>
          <w:rFonts w:ascii="宋体" w:hAnsi="Times New Roman" w:eastAsia="宋体" w:cs="宋体"/>
          <w:color w:val="auto"/>
          <w:sz w:val="28"/>
          <w:szCs w:val="28"/>
          <w:lang w:val="en-US" w:eastAsia="zh-CN" w:bidi="ar-SA"/>
        </w:rPr>
        <w:t>255.79</w:t>
      </w:r>
      <w:r>
        <w:rPr>
          <w:rFonts w:hint="eastAsia" w:ascii="宋体" w:hAnsi="Times New Roman" w:eastAsia="宋体" w:cs="宋体"/>
          <w:color w:val="auto"/>
          <w:sz w:val="28"/>
          <w:szCs w:val="28"/>
          <w:lang w:val="en-US" w:eastAsia="zh-CN" w:bidi="ar-SA"/>
        </w:rPr>
        <w:t>万元（不含增值税），其中安全生产费用为1</w:t>
      </w:r>
      <w:r>
        <w:rPr>
          <w:rFonts w:ascii="宋体" w:hAnsi="Times New Roman" w:eastAsia="宋体" w:cs="宋体"/>
          <w:color w:val="auto"/>
          <w:sz w:val="28"/>
          <w:szCs w:val="28"/>
          <w:lang w:val="en-US" w:eastAsia="zh-CN" w:bidi="ar-SA"/>
        </w:rPr>
        <w:t>13.04</w:t>
      </w:r>
      <w:r>
        <w:rPr>
          <w:rFonts w:hint="eastAsia" w:ascii="宋体" w:hAnsi="Times New Roman" w:eastAsia="宋体" w:cs="宋体"/>
          <w:color w:val="auto"/>
          <w:sz w:val="28"/>
          <w:szCs w:val="28"/>
          <w:lang w:val="en-US" w:eastAsia="zh-CN" w:bidi="ar-SA"/>
        </w:rPr>
        <w:t>万元，环境、劳动、安全、节能、水资源等各种咨询、评价费共5</w:t>
      </w:r>
      <w:r>
        <w:rPr>
          <w:rFonts w:ascii="宋体" w:hAnsi="Times New Roman" w:eastAsia="宋体" w:cs="宋体"/>
          <w:color w:val="auto"/>
          <w:sz w:val="28"/>
          <w:szCs w:val="28"/>
          <w:lang w:val="en-US" w:eastAsia="zh-CN" w:bidi="ar-SA"/>
        </w:rPr>
        <w:t>0.00</w:t>
      </w:r>
      <w:r>
        <w:rPr>
          <w:rFonts w:hint="eastAsia" w:ascii="宋体" w:hAnsi="Times New Roman" w:eastAsia="宋体" w:cs="宋体"/>
          <w:color w:val="auto"/>
          <w:sz w:val="28"/>
          <w:szCs w:val="28"/>
          <w:lang w:val="en-US" w:eastAsia="zh-CN" w:bidi="ar-SA"/>
        </w:rPr>
        <w:t>万元，压力管道安装检验费2</w:t>
      </w:r>
      <w:r>
        <w:rPr>
          <w:rFonts w:ascii="宋体" w:hAnsi="Times New Roman" w:eastAsia="宋体" w:cs="宋体"/>
          <w:color w:val="auto"/>
          <w:sz w:val="28"/>
          <w:szCs w:val="28"/>
          <w:lang w:val="en-US" w:eastAsia="zh-CN" w:bidi="ar-SA"/>
        </w:rPr>
        <w:t>0.00</w:t>
      </w:r>
      <w:r>
        <w:rPr>
          <w:rFonts w:hint="eastAsia" w:ascii="宋体" w:hAnsi="Times New Roman" w:eastAsia="宋体" w:cs="宋体"/>
          <w:color w:val="auto"/>
          <w:sz w:val="28"/>
          <w:szCs w:val="28"/>
          <w:lang w:val="en-US" w:eastAsia="zh-CN" w:bidi="ar-SA"/>
        </w:rPr>
        <w:t>万元。</w:t>
      </w:r>
    </w:p>
    <w:p w14:paraId="27822951">
      <w:pPr>
        <w:pStyle w:val="4"/>
        <w:spacing w:before="193"/>
        <w:jc w:val="left"/>
        <w:rPr>
          <w:rFonts w:hint="eastAsia" w:ascii="黑体" w:hAnsi="黑体" w:eastAsia="黑体" w:cs="黑体"/>
          <w:b/>
          <w:bCs w:val="0"/>
          <w:color w:val="auto"/>
          <w:sz w:val="36"/>
          <w:szCs w:val="36"/>
          <w:lang w:val="en-US" w:eastAsia="zh-CN"/>
        </w:rPr>
      </w:pPr>
      <w:bookmarkStart w:id="203" w:name="_Toc339981259"/>
      <w:bookmarkStart w:id="204" w:name="_Toc310369753"/>
      <w:bookmarkStart w:id="205" w:name="_Toc310092715"/>
      <w:bookmarkStart w:id="206" w:name="_Toc369180187"/>
      <w:bookmarkStart w:id="207" w:name="_Toc29414"/>
      <w:bookmarkStart w:id="208" w:name="_Toc384729656"/>
      <w:bookmarkStart w:id="209" w:name="_Toc370242988"/>
      <w:bookmarkStart w:id="210" w:name="_Toc31129"/>
      <w:bookmarkStart w:id="211" w:name="_Toc19190"/>
      <w:bookmarkStart w:id="212" w:name="_Toc310287007"/>
      <w:bookmarkStart w:id="213" w:name="_Toc377137351"/>
      <w:bookmarkStart w:id="214" w:name="_Toc472686276"/>
      <w:bookmarkStart w:id="215" w:name="_Toc7587"/>
      <w:bookmarkStart w:id="216" w:name="_Toc31206"/>
      <w:bookmarkStart w:id="217" w:name="_Toc504482165"/>
      <w:r>
        <w:rPr>
          <w:rFonts w:hint="eastAsia" w:ascii="黑体" w:hAnsi="黑体" w:eastAsia="黑体" w:cs="黑体"/>
          <w:b/>
          <w:bCs w:val="0"/>
          <w:color w:val="auto"/>
          <w:sz w:val="36"/>
          <w:szCs w:val="36"/>
          <w:lang w:val="en-US" w:eastAsia="zh-CN"/>
        </w:rPr>
        <w:t>工程质量</w:t>
      </w:r>
      <w:bookmarkEnd w:id="203"/>
      <w:bookmarkEnd w:id="204"/>
      <w:bookmarkEnd w:id="205"/>
      <w:bookmarkEnd w:id="206"/>
      <w:bookmarkEnd w:id="207"/>
      <w:bookmarkEnd w:id="208"/>
      <w:bookmarkEnd w:id="209"/>
      <w:bookmarkEnd w:id="210"/>
      <w:bookmarkEnd w:id="211"/>
      <w:bookmarkEnd w:id="212"/>
      <w:bookmarkEnd w:id="213"/>
      <w:bookmarkEnd w:id="214"/>
      <w:r>
        <w:rPr>
          <w:rFonts w:hint="eastAsia" w:ascii="黑体" w:hAnsi="黑体" w:eastAsia="黑体" w:cs="黑体"/>
          <w:b/>
          <w:bCs w:val="0"/>
          <w:color w:val="auto"/>
          <w:sz w:val="36"/>
          <w:szCs w:val="36"/>
          <w:lang w:val="en-US" w:eastAsia="zh-CN"/>
        </w:rPr>
        <w:t>、安全设施调试检测、设计变更情况</w:t>
      </w:r>
      <w:bookmarkEnd w:id="215"/>
      <w:bookmarkEnd w:id="216"/>
      <w:bookmarkEnd w:id="217"/>
    </w:p>
    <w:p w14:paraId="5BA90A72">
      <w:pPr>
        <w:pStyle w:val="5"/>
        <w:numPr>
          <w:ilvl w:val="2"/>
          <w:numId w:val="1"/>
        </w:numPr>
        <w:adjustRightInd w:val="0"/>
        <w:spacing w:before="120" w:after="120"/>
        <w:jc w:val="both"/>
        <w:rPr>
          <w:rFonts w:hint="default" w:ascii="Times New Roman" w:hAnsi="Times New Roman" w:eastAsia="黑体" w:cs="Times New Roman"/>
          <w:snapToGrid w:val="0"/>
          <w:color w:val="000000"/>
          <w:kern w:val="0"/>
          <w:sz w:val="32"/>
          <w:lang w:val="en-US" w:eastAsia="zh-CN"/>
        </w:rPr>
      </w:pPr>
      <w:bookmarkStart w:id="218" w:name="_Toc21211"/>
      <w:bookmarkStart w:id="219" w:name="_Toc27245"/>
      <w:r>
        <w:rPr>
          <w:rFonts w:hint="default" w:ascii="Times New Roman" w:hAnsi="Times New Roman" w:eastAsia="黑体" w:cs="Times New Roman"/>
          <w:snapToGrid w:val="0"/>
          <w:color w:val="000000"/>
          <w:kern w:val="0"/>
          <w:sz w:val="32"/>
          <w:lang w:val="en-US" w:eastAsia="zh-CN"/>
        </w:rPr>
        <w:t>工程质量、安全设施调试检测情况</w:t>
      </w:r>
      <w:bookmarkEnd w:id="218"/>
      <w:bookmarkEnd w:id="219"/>
    </w:p>
    <w:p w14:paraId="68C1B4D7">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color w:val="000000"/>
          <w:sz w:val="28"/>
          <w:szCs w:val="28"/>
          <w:lang w:bidi="ar"/>
        </w:rPr>
      </w:pPr>
      <w:r>
        <w:rPr>
          <w:rFonts w:hint="eastAsia" w:hAnsi="宋体"/>
          <w:color w:val="auto"/>
          <w:szCs w:val="24"/>
        </w:rPr>
        <w:t>本项目为3</w:t>
      </w:r>
      <w:r>
        <w:rPr>
          <w:rFonts w:hAnsi="宋体"/>
          <w:color w:val="auto"/>
          <w:szCs w:val="24"/>
        </w:rPr>
        <w:t>万吨/年</w:t>
      </w:r>
      <w:r>
        <w:rPr>
          <w:rFonts w:hint="eastAsia" w:hAnsi="宋体"/>
          <w:color w:val="auto"/>
          <w:szCs w:val="24"/>
        </w:rPr>
        <w:t>无水</w:t>
      </w:r>
      <w:r>
        <w:rPr>
          <w:rFonts w:hAnsi="宋体"/>
          <w:color w:val="auto"/>
          <w:szCs w:val="24"/>
        </w:rPr>
        <w:t>氟化氢</w:t>
      </w:r>
      <w:r>
        <w:rPr>
          <w:rFonts w:hint="eastAsia" w:hAnsi="宋体"/>
          <w:color w:val="auto"/>
          <w:szCs w:val="24"/>
        </w:rPr>
        <w:t>和2</w:t>
      </w:r>
      <w:r>
        <w:rPr>
          <w:rFonts w:hAnsi="宋体"/>
          <w:color w:val="auto"/>
          <w:szCs w:val="24"/>
        </w:rPr>
        <w:t>万吨/年</w:t>
      </w:r>
      <w:r>
        <w:rPr>
          <w:rFonts w:hint="eastAsia" w:hAnsi="宋体"/>
          <w:color w:val="auto"/>
          <w:szCs w:val="24"/>
        </w:rPr>
        <w:t>电子氢氟酸装置配套厂外公用工程管架建设项目</w:t>
      </w:r>
      <w:r>
        <w:rPr>
          <w:rFonts w:hint="eastAsia" w:hAnsi="宋体"/>
          <w:color w:val="auto"/>
          <w:szCs w:val="24"/>
          <w:lang w:eastAsia="zh-CN"/>
        </w:rPr>
        <w:t>，</w:t>
      </w:r>
      <w:r>
        <w:rPr>
          <w:rFonts w:hint="eastAsia" w:hAnsi="宋体"/>
          <w:color w:val="auto"/>
          <w:szCs w:val="24"/>
          <w:lang w:val="en-US" w:eastAsia="zh-CN"/>
        </w:rPr>
        <w:t>全厂的</w:t>
      </w:r>
      <w:r>
        <w:rPr>
          <w:color w:val="000000"/>
          <w:sz w:val="28"/>
          <w:szCs w:val="28"/>
          <w:lang w:bidi="ar"/>
        </w:rPr>
        <w:t>项目于202</w:t>
      </w:r>
      <w:r>
        <w:rPr>
          <w:rFonts w:hint="eastAsia"/>
          <w:color w:val="000000"/>
          <w:sz w:val="28"/>
          <w:szCs w:val="28"/>
          <w:lang w:bidi="ar"/>
        </w:rPr>
        <w:t>4</w:t>
      </w:r>
      <w:r>
        <w:rPr>
          <w:color w:val="000000"/>
          <w:sz w:val="28"/>
          <w:szCs w:val="28"/>
          <w:lang w:bidi="ar"/>
        </w:rPr>
        <w:t>年</w:t>
      </w:r>
      <w:r>
        <w:rPr>
          <w:rFonts w:hint="eastAsia"/>
          <w:color w:val="000000"/>
          <w:sz w:val="28"/>
          <w:szCs w:val="28"/>
          <w:lang w:bidi="ar"/>
        </w:rPr>
        <w:t>10</w:t>
      </w:r>
      <w:r>
        <w:rPr>
          <w:color w:val="000000"/>
          <w:sz w:val="28"/>
          <w:szCs w:val="28"/>
          <w:lang w:bidi="ar"/>
        </w:rPr>
        <w:t>月竣工，</w:t>
      </w:r>
      <w:r>
        <w:rPr>
          <w:rFonts w:hint="eastAsia"/>
          <w:color w:val="000000"/>
          <w:sz w:val="28"/>
          <w:szCs w:val="28"/>
          <w:lang w:bidi="ar"/>
        </w:rPr>
        <w:t>各施工单位</w:t>
      </w:r>
      <w:r>
        <w:rPr>
          <w:color w:val="000000"/>
          <w:sz w:val="28"/>
          <w:szCs w:val="28"/>
          <w:lang w:bidi="ar"/>
        </w:rPr>
        <w:t>出具了</w:t>
      </w:r>
      <w:r>
        <w:rPr>
          <w:rFonts w:hint="eastAsia"/>
          <w:color w:val="000000"/>
          <w:sz w:val="28"/>
          <w:szCs w:val="28"/>
          <w:lang w:eastAsia="zh-CN" w:bidi="ar"/>
        </w:rPr>
        <w:t>《化学工业工程建设交工技术文件》</w:t>
      </w:r>
      <w:r>
        <w:rPr>
          <w:rFonts w:hint="eastAsia"/>
          <w:color w:val="000000"/>
          <w:sz w:val="28"/>
          <w:szCs w:val="28"/>
          <w:lang w:bidi="ar"/>
        </w:rPr>
        <w:t>、《安全设施施工情况报告》等相应的</w:t>
      </w:r>
      <w:r>
        <w:rPr>
          <w:color w:val="000000"/>
          <w:sz w:val="28"/>
          <w:szCs w:val="28"/>
          <w:lang w:bidi="ar"/>
        </w:rPr>
        <w:t>工程竣工资料</w:t>
      </w:r>
      <w:r>
        <w:rPr>
          <w:rFonts w:hint="eastAsia"/>
          <w:color w:val="000000"/>
          <w:sz w:val="28"/>
          <w:szCs w:val="28"/>
          <w:lang w:bidi="ar"/>
        </w:rPr>
        <w:t>；</w:t>
      </w:r>
      <w:r>
        <w:rPr>
          <w:color w:val="000000"/>
          <w:sz w:val="28"/>
          <w:szCs w:val="28"/>
          <w:lang w:bidi="ar"/>
        </w:rPr>
        <w:t>由</w:t>
      </w:r>
      <w:r>
        <w:rPr>
          <w:rFonts w:hint="eastAsia"/>
          <w:color w:val="000000"/>
          <w:sz w:val="28"/>
          <w:szCs w:val="28"/>
          <w:lang w:bidi="ar"/>
        </w:rPr>
        <w:t>监理单位</w:t>
      </w:r>
      <w:r>
        <w:rPr>
          <w:color w:val="000000"/>
          <w:sz w:val="28"/>
          <w:szCs w:val="28"/>
          <w:lang w:bidi="ar"/>
        </w:rPr>
        <w:t>出具了《安全设施</w:t>
      </w:r>
      <w:r>
        <w:rPr>
          <w:rFonts w:hint="eastAsia"/>
          <w:color w:val="000000"/>
          <w:sz w:val="28"/>
          <w:szCs w:val="28"/>
          <w:lang w:bidi="ar"/>
        </w:rPr>
        <w:t>施工</w:t>
      </w:r>
      <w:r>
        <w:rPr>
          <w:color w:val="000000"/>
          <w:sz w:val="28"/>
          <w:szCs w:val="28"/>
          <w:lang w:bidi="ar"/>
        </w:rPr>
        <w:t>监理</w:t>
      </w:r>
      <w:r>
        <w:rPr>
          <w:rFonts w:hint="eastAsia"/>
          <w:color w:val="000000"/>
          <w:sz w:val="28"/>
          <w:szCs w:val="28"/>
          <w:lang w:bidi="ar"/>
        </w:rPr>
        <w:t>情况</w:t>
      </w:r>
      <w:r>
        <w:rPr>
          <w:color w:val="000000"/>
          <w:sz w:val="28"/>
          <w:szCs w:val="28"/>
          <w:lang w:bidi="ar"/>
        </w:rPr>
        <w:t>报告》</w:t>
      </w:r>
      <w:r>
        <w:rPr>
          <w:rFonts w:hint="eastAsia"/>
          <w:color w:val="000000"/>
          <w:sz w:val="28"/>
          <w:szCs w:val="28"/>
          <w:lang w:bidi="ar"/>
        </w:rPr>
        <w:t>；建设单位、勘察单位、设计单位、监理单位、施工单位共同出具了《竣工验收意见》</w:t>
      </w:r>
      <w:r>
        <w:rPr>
          <w:color w:val="000000"/>
          <w:sz w:val="28"/>
          <w:szCs w:val="28"/>
          <w:lang w:bidi="ar"/>
        </w:rPr>
        <w:t>。</w:t>
      </w:r>
    </w:p>
    <w:p w14:paraId="76036C73">
      <w:pPr>
        <w:keepNext w:val="0"/>
        <w:keepLines w:val="0"/>
        <w:pageBreakBefore w:val="0"/>
        <w:widowControl w:val="0"/>
        <w:numPr>
          <w:ilvl w:val="0"/>
          <w:numId w:val="18"/>
        </w:numPr>
        <w:kinsoku/>
        <w:wordWrap/>
        <w:overflowPunct/>
        <w:topLinePunct w:val="0"/>
        <w:autoSpaceDE/>
        <w:autoSpaceDN/>
        <w:bidi w:val="0"/>
        <w:snapToGrid w:val="0"/>
        <w:spacing w:line="360" w:lineRule="auto"/>
        <w:ind w:firstLine="560" w:firstLineChars="200"/>
        <w:textAlignment w:val="auto"/>
        <w:rPr>
          <w:color w:val="000000"/>
          <w:sz w:val="28"/>
          <w:szCs w:val="28"/>
          <w:lang w:bidi="ar"/>
        </w:rPr>
      </w:pPr>
      <w:r>
        <w:rPr>
          <w:rFonts w:hint="eastAsia"/>
          <w:color w:val="000000"/>
          <w:sz w:val="28"/>
          <w:szCs w:val="28"/>
          <w:lang w:bidi="ar"/>
        </w:rPr>
        <w:t>根据施工单位出具的</w:t>
      </w:r>
      <w:r>
        <w:rPr>
          <w:rFonts w:hint="eastAsia"/>
          <w:color w:val="000000"/>
          <w:sz w:val="28"/>
          <w:szCs w:val="28"/>
          <w:lang w:eastAsia="zh-CN" w:bidi="ar"/>
        </w:rPr>
        <w:t>《化学工业工程建设交工技术文件》</w:t>
      </w:r>
      <w:r>
        <w:rPr>
          <w:rFonts w:hint="eastAsia"/>
          <w:color w:val="000000"/>
          <w:sz w:val="28"/>
          <w:szCs w:val="28"/>
          <w:lang w:bidi="ar"/>
        </w:rPr>
        <w:t>等相应的</w:t>
      </w:r>
      <w:r>
        <w:rPr>
          <w:color w:val="000000"/>
          <w:sz w:val="28"/>
          <w:szCs w:val="28"/>
          <w:lang w:bidi="ar"/>
        </w:rPr>
        <w:t>工程竣工资料</w:t>
      </w:r>
      <w:r>
        <w:rPr>
          <w:rFonts w:hint="eastAsia"/>
          <w:color w:val="000000"/>
          <w:sz w:val="28"/>
          <w:szCs w:val="28"/>
          <w:lang w:bidi="ar"/>
        </w:rPr>
        <w:t>，设备安装及管道安装工程质量符合要求，各类介质管道等均经试压、吹扫/清洗合格。现场仪表回路的调试、仪表连锁调试等符合建设要求，验收合格。</w:t>
      </w:r>
    </w:p>
    <w:p w14:paraId="2689DCB5">
      <w:pPr>
        <w:keepNext w:val="0"/>
        <w:keepLines w:val="0"/>
        <w:pageBreakBefore w:val="0"/>
        <w:widowControl w:val="0"/>
        <w:numPr>
          <w:ilvl w:val="0"/>
          <w:numId w:val="18"/>
        </w:numPr>
        <w:kinsoku/>
        <w:wordWrap/>
        <w:overflowPunct/>
        <w:topLinePunct w:val="0"/>
        <w:autoSpaceDE/>
        <w:autoSpaceDN/>
        <w:bidi w:val="0"/>
        <w:snapToGrid w:val="0"/>
        <w:spacing w:line="360" w:lineRule="auto"/>
        <w:ind w:firstLine="560" w:firstLineChars="200"/>
        <w:textAlignment w:val="auto"/>
        <w:rPr>
          <w:color w:val="000000"/>
          <w:sz w:val="28"/>
          <w:szCs w:val="28"/>
          <w:lang w:bidi="ar"/>
        </w:rPr>
      </w:pPr>
      <w:r>
        <w:rPr>
          <w:rFonts w:hint="eastAsia"/>
          <w:color w:val="000000"/>
          <w:sz w:val="28"/>
          <w:szCs w:val="28"/>
          <w:lang w:bidi="ar"/>
        </w:rPr>
        <w:t>根据</w:t>
      </w:r>
      <w:r>
        <w:rPr>
          <w:rFonts w:hint="eastAsia"/>
          <w:color w:val="000000"/>
          <w:sz w:val="28"/>
          <w:szCs w:val="28"/>
          <w:lang w:eastAsia="zh-CN" w:bidi="ar"/>
        </w:rPr>
        <w:t>《化学工业工程建设交工技术文件》</w:t>
      </w:r>
      <w:r>
        <w:rPr>
          <w:rFonts w:hint="eastAsia"/>
          <w:color w:val="000000"/>
          <w:sz w:val="28"/>
          <w:szCs w:val="28"/>
          <w:lang w:bidi="ar"/>
        </w:rPr>
        <w:t>、《竣工验收意见》，施工工程质量施工单位自评合格，建设单位、勘察单位、设计单位、监理单位、施工单位联合工程验收合格</w:t>
      </w:r>
      <w:r>
        <w:rPr>
          <w:color w:val="000000"/>
          <w:sz w:val="28"/>
          <w:szCs w:val="28"/>
          <w:lang w:bidi="ar"/>
        </w:rPr>
        <w:t>。</w:t>
      </w:r>
    </w:p>
    <w:p w14:paraId="76A6C7E4">
      <w:pPr>
        <w:keepNext w:val="0"/>
        <w:keepLines w:val="0"/>
        <w:pageBreakBefore w:val="0"/>
        <w:widowControl w:val="0"/>
        <w:numPr>
          <w:ilvl w:val="0"/>
          <w:numId w:val="18"/>
        </w:numPr>
        <w:kinsoku/>
        <w:wordWrap/>
        <w:overflowPunct/>
        <w:topLinePunct w:val="0"/>
        <w:autoSpaceDE/>
        <w:autoSpaceDN/>
        <w:bidi w:val="0"/>
        <w:snapToGrid w:val="0"/>
        <w:spacing w:line="360" w:lineRule="auto"/>
        <w:ind w:firstLine="560" w:firstLineChars="200"/>
        <w:textAlignment w:val="auto"/>
        <w:rPr>
          <w:color w:val="000000"/>
          <w:sz w:val="28"/>
          <w:szCs w:val="28"/>
          <w:lang w:bidi="ar"/>
        </w:rPr>
      </w:pPr>
      <w:r>
        <w:rPr>
          <w:rFonts w:hint="eastAsia"/>
          <w:color w:val="000000"/>
          <w:sz w:val="28"/>
          <w:szCs w:val="28"/>
          <w:lang w:bidi="ar"/>
        </w:rPr>
        <w:t>根据施工单位出具的</w:t>
      </w:r>
      <w:r>
        <w:rPr>
          <w:color w:val="000000"/>
          <w:sz w:val="28"/>
          <w:szCs w:val="28"/>
          <w:lang w:bidi="ar"/>
        </w:rPr>
        <w:t>《安全设施施工情况报告》，</w:t>
      </w:r>
      <w:r>
        <w:rPr>
          <w:rFonts w:hint="eastAsia"/>
          <w:color w:val="000000"/>
          <w:sz w:val="28"/>
          <w:szCs w:val="28"/>
          <w:lang w:bidi="ar"/>
        </w:rPr>
        <w:t>“在施工过程中严格执行相关国家规范及施工图纸要求，严格对进场设备、材料进行多方联合验收，对施工质量进行过程质量验收控制，本项目符合设计要求，设备安装、管道安装、钢结构安装、安全调校、压力管道等工程施工质量达到验收规范合格标准，质量合格，资料齐全，具备安全设施验收条件。”</w:t>
      </w:r>
    </w:p>
    <w:p w14:paraId="101A20A0">
      <w:pPr>
        <w:keepNext w:val="0"/>
        <w:keepLines w:val="0"/>
        <w:pageBreakBefore w:val="0"/>
        <w:widowControl w:val="0"/>
        <w:numPr>
          <w:ilvl w:val="0"/>
          <w:numId w:val="18"/>
        </w:numPr>
        <w:kinsoku/>
        <w:wordWrap/>
        <w:overflowPunct/>
        <w:topLinePunct w:val="0"/>
        <w:autoSpaceDE/>
        <w:autoSpaceDN/>
        <w:bidi w:val="0"/>
        <w:snapToGrid w:val="0"/>
        <w:spacing w:line="360" w:lineRule="auto"/>
        <w:ind w:firstLine="560" w:firstLineChars="200"/>
        <w:textAlignment w:val="auto"/>
        <w:rPr>
          <w:color w:val="000000"/>
          <w:sz w:val="28"/>
          <w:szCs w:val="28"/>
          <w:lang w:bidi="ar"/>
        </w:rPr>
      </w:pPr>
      <w:r>
        <w:rPr>
          <w:rFonts w:hint="eastAsia"/>
          <w:color w:val="000000"/>
          <w:sz w:val="28"/>
          <w:szCs w:val="28"/>
          <w:lang w:bidi="ar"/>
        </w:rPr>
        <w:t>根据监理单位出具的</w:t>
      </w:r>
      <w:r>
        <w:rPr>
          <w:color w:val="000000"/>
          <w:sz w:val="28"/>
          <w:szCs w:val="28"/>
          <w:lang w:bidi="ar"/>
        </w:rPr>
        <w:t>《安全设施</w:t>
      </w:r>
      <w:r>
        <w:rPr>
          <w:rFonts w:hint="eastAsia"/>
          <w:color w:val="000000"/>
          <w:sz w:val="28"/>
          <w:szCs w:val="28"/>
          <w:lang w:bidi="ar"/>
        </w:rPr>
        <w:t>施工</w:t>
      </w:r>
      <w:r>
        <w:rPr>
          <w:color w:val="000000"/>
          <w:sz w:val="28"/>
          <w:szCs w:val="28"/>
          <w:lang w:bidi="ar"/>
        </w:rPr>
        <w:t>监理</w:t>
      </w:r>
      <w:r>
        <w:rPr>
          <w:rFonts w:hint="eastAsia"/>
          <w:color w:val="000000"/>
          <w:sz w:val="28"/>
          <w:szCs w:val="28"/>
          <w:lang w:bidi="ar"/>
        </w:rPr>
        <w:t>情况</w:t>
      </w:r>
      <w:r>
        <w:rPr>
          <w:color w:val="000000"/>
          <w:sz w:val="28"/>
          <w:szCs w:val="28"/>
          <w:lang w:bidi="ar"/>
        </w:rPr>
        <w:t>报告》，</w:t>
      </w:r>
      <w:r>
        <w:rPr>
          <w:rFonts w:hint="eastAsia"/>
          <w:color w:val="000000"/>
          <w:sz w:val="28"/>
          <w:szCs w:val="28"/>
          <w:lang w:bidi="ar"/>
        </w:rPr>
        <w:t>“安全设施按照设计要求以及施工验收规范施工完成，工程质量评估为合格。安全设施设计变更情况：本项目执行过程中，安全设施的详细设计图纸与安全专篇相关要求相符，项目执行该过程中未出现安全设施设计变更情况。”</w:t>
      </w:r>
    </w:p>
    <w:p w14:paraId="16E9C00A">
      <w:pPr>
        <w:keepNext w:val="0"/>
        <w:keepLines w:val="0"/>
        <w:pageBreakBefore w:val="0"/>
        <w:widowControl w:val="0"/>
        <w:numPr>
          <w:ilvl w:val="0"/>
          <w:numId w:val="18"/>
        </w:numPr>
        <w:kinsoku/>
        <w:wordWrap/>
        <w:overflowPunct/>
        <w:topLinePunct w:val="0"/>
        <w:autoSpaceDE/>
        <w:autoSpaceDN/>
        <w:bidi w:val="0"/>
        <w:snapToGrid w:val="0"/>
        <w:spacing w:line="360" w:lineRule="auto"/>
        <w:ind w:firstLine="560" w:firstLineChars="200"/>
        <w:textAlignment w:val="auto"/>
        <w:rPr>
          <w:color w:val="000000"/>
          <w:sz w:val="28"/>
          <w:szCs w:val="28"/>
          <w:lang w:bidi="ar"/>
        </w:rPr>
      </w:pPr>
      <w:r>
        <w:rPr>
          <w:rFonts w:hint="eastAsia"/>
          <w:color w:val="000000"/>
          <w:sz w:val="28"/>
          <w:szCs w:val="28"/>
          <w:lang w:bidi="ar"/>
        </w:rPr>
        <w:t>根据设计单位出具的</w:t>
      </w:r>
      <w:r>
        <w:rPr>
          <w:color w:val="000000"/>
          <w:sz w:val="28"/>
          <w:szCs w:val="28"/>
          <w:lang w:bidi="ar"/>
        </w:rPr>
        <w:t>《安全设施</w:t>
      </w:r>
      <w:r>
        <w:rPr>
          <w:rFonts w:hint="eastAsia"/>
          <w:color w:val="000000"/>
          <w:sz w:val="28"/>
          <w:szCs w:val="28"/>
          <w:lang w:bidi="ar"/>
        </w:rPr>
        <w:t>施工执行情况</w:t>
      </w:r>
      <w:r>
        <w:rPr>
          <w:color w:val="000000"/>
          <w:sz w:val="28"/>
          <w:szCs w:val="28"/>
          <w:lang w:bidi="ar"/>
        </w:rPr>
        <w:t>报告》，</w:t>
      </w:r>
      <w:r>
        <w:rPr>
          <w:rFonts w:hint="eastAsia"/>
          <w:color w:val="000000"/>
          <w:sz w:val="28"/>
          <w:szCs w:val="28"/>
          <w:lang w:bidi="ar"/>
        </w:rPr>
        <w:t>“本项目执行过程中，安全设施的详细设计图纸与安全专篇相关要求相符，项目执行该过程中未出现安全设施设计变更情况。根据本项目实际情况和安全设施施工情况报告、安全设施施工质量监理报告，施工方的安全设施完全按照设计文件进行施工，安全设施符合现行国家标准和规范要求。”</w:t>
      </w:r>
    </w:p>
    <w:p w14:paraId="1CC0C460">
      <w:pPr>
        <w:keepNext w:val="0"/>
        <w:keepLines w:val="0"/>
        <w:pageBreakBefore w:val="0"/>
        <w:widowControl w:val="0"/>
        <w:numPr>
          <w:ilvl w:val="0"/>
          <w:numId w:val="18"/>
        </w:numPr>
        <w:kinsoku/>
        <w:wordWrap/>
        <w:overflowPunct/>
        <w:topLinePunct w:val="0"/>
        <w:autoSpaceDE/>
        <w:autoSpaceDN/>
        <w:bidi w:val="0"/>
        <w:snapToGrid w:val="0"/>
        <w:spacing w:line="360" w:lineRule="auto"/>
        <w:ind w:firstLine="560" w:firstLineChars="200"/>
        <w:textAlignment w:val="auto"/>
        <w:rPr>
          <w:rFonts w:hint="eastAsia" w:ascii="宋体" w:hAnsi="Times New Roman" w:eastAsia="宋体" w:cs="宋体"/>
          <w:color w:val="000000"/>
          <w:sz w:val="28"/>
          <w:szCs w:val="28"/>
          <w:lang w:val="en-US" w:eastAsia="zh-CN" w:bidi="ar"/>
        </w:rPr>
      </w:pPr>
      <w:r>
        <w:rPr>
          <w:color w:val="000000"/>
          <w:sz w:val="28"/>
          <w:szCs w:val="28"/>
          <w:lang w:bidi="ar"/>
        </w:rPr>
        <w:t>该项目</w:t>
      </w:r>
      <w:r>
        <w:rPr>
          <w:rFonts w:hint="eastAsia"/>
          <w:color w:val="000000"/>
          <w:sz w:val="28"/>
          <w:szCs w:val="28"/>
          <w:lang w:bidi="ar"/>
        </w:rPr>
        <w:t>涉及的压力管道安装前施工单位已报</w:t>
      </w:r>
      <w:r>
        <w:rPr>
          <w:rFonts w:hint="eastAsia"/>
          <w:color w:val="000000"/>
          <w:sz w:val="28"/>
          <w:szCs w:val="28"/>
          <w:lang w:val="en-US" w:eastAsia="zh-CN" w:bidi="ar"/>
        </w:rPr>
        <w:t>云南省特种设备安全监测研究院进行</w:t>
      </w:r>
      <w:r>
        <w:rPr>
          <w:rFonts w:hint="eastAsia"/>
          <w:color w:val="000000"/>
          <w:sz w:val="28"/>
          <w:szCs w:val="28"/>
          <w:lang w:bidi="ar"/>
        </w:rPr>
        <w:t>安装监督检验，</w:t>
      </w:r>
      <w:r>
        <w:rPr>
          <w:rFonts w:hint="eastAsia"/>
          <w:color w:val="000000"/>
          <w:sz w:val="28"/>
          <w:szCs w:val="28"/>
          <w:lang w:val="en-US" w:eastAsia="zh-CN" w:bidi="ar"/>
        </w:rPr>
        <w:t>根据检测单位出具的压力管道检测报告，检测结果</w:t>
      </w:r>
      <w:r>
        <w:rPr>
          <w:rFonts w:hint="eastAsia" w:ascii="宋体" w:hAnsi="Times New Roman" w:eastAsia="宋体" w:cs="宋体"/>
          <w:color w:val="000000"/>
          <w:sz w:val="28"/>
          <w:szCs w:val="28"/>
          <w:lang w:val="en-US" w:eastAsia="zh-CN" w:bidi="ar"/>
        </w:rPr>
        <w:t>均为合格，目前正在办理特种设备使用登记证。</w:t>
      </w:r>
    </w:p>
    <w:p w14:paraId="681CE837">
      <w:pPr>
        <w:keepNext w:val="0"/>
        <w:keepLines w:val="0"/>
        <w:pageBreakBefore w:val="0"/>
        <w:widowControl w:val="0"/>
        <w:numPr>
          <w:ilvl w:val="0"/>
          <w:numId w:val="18"/>
        </w:numPr>
        <w:kinsoku/>
        <w:wordWrap/>
        <w:overflowPunct/>
        <w:topLinePunct w:val="0"/>
        <w:autoSpaceDE/>
        <w:autoSpaceDN/>
        <w:bidi w:val="0"/>
        <w:snapToGrid w:val="0"/>
        <w:spacing w:line="360" w:lineRule="auto"/>
        <w:ind w:firstLine="560" w:firstLineChars="200"/>
        <w:textAlignment w:val="auto"/>
        <w:rPr>
          <w:rFonts w:hint="eastAsia" w:ascii="宋体" w:hAnsi="Times New Roman" w:eastAsia="宋体" w:cs="宋体"/>
          <w:color w:val="000000"/>
          <w:sz w:val="28"/>
          <w:szCs w:val="28"/>
          <w:lang w:val="en-US" w:eastAsia="zh-CN" w:bidi="ar"/>
        </w:rPr>
      </w:pPr>
      <w:r>
        <w:rPr>
          <w:rFonts w:hint="eastAsia" w:ascii="宋体" w:hAnsi="Times New Roman" w:eastAsia="宋体" w:cs="宋体"/>
          <w:color w:val="000000"/>
          <w:sz w:val="28"/>
          <w:szCs w:val="28"/>
          <w:lang w:val="en-US" w:eastAsia="zh-CN" w:bidi="ar"/>
        </w:rPr>
        <w:t>该项目的防雷、防静电装置</w:t>
      </w:r>
      <w:r>
        <w:rPr>
          <w:rFonts w:hint="eastAsia" w:ascii="宋体" w:hAnsi="Times New Roman" w:eastAsia="宋体" w:cs="宋体"/>
          <w:snapToGrid w:val="0"/>
          <w:color w:val="000000"/>
          <w:sz w:val="28"/>
          <w:szCs w:val="28"/>
        </w:rPr>
        <w:t>于</w:t>
      </w:r>
      <w:r>
        <w:rPr>
          <w:rFonts w:ascii="宋体" w:hAnsi="Times New Roman" w:eastAsia="宋体" w:cs="宋体"/>
          <w:snapToGrid w:val="0"/>
          <w:color w:val="000000"/>
          <w:sz w:val="28"/>
          <w:szCs w:val="28"/>
        </w:rPr>
        <w:t>202</w:t>
      </w:r>
      <w:r>
        <w:rPr>
          <w:rFonts w:hint="eastAsia" w:ascii="宋体" w:hAnsi="Times New Roman" w:eastAsia="宋体" w:cs="宋体"/>
          <w:snapToGrid w:val="0"/>
          <w:color w:val="000000"/>
          <w:sz w:val="28"/>
          <w:szCs w:val="28"/>
          <w:lang w:val="en-US" w:eastAsia="zh-CN"/>
        </w:rPr>
        <w:t>5</w:t>
      </w:r>
      <w:r>
        <w:rPr>
          <w:rFonts w:ascii="宋体" w:hAnsi="Times New Roman" w:eastAsia="宋体" w:cs="宋体"/>
          <w:snapToGrid w:val="0"/>
          <w:color w:val="000000"/>
          <w:sz w:val="28"/>
          <w:szCs w:val="28"/>
        </w:rPr>
        <w:t>年</w:t>
      </w:r>
      <w:r>
        <w:rPr>
          <w:rFonts w:hint="eastAsia" w:ascii="宋体" w:hAnsi="Times New Roman" w:eastAsia="宋体" w:cs="宋体"/>
          <w:snapToGrid w:val="0"/>
          <w:color w:val="000000"/>
          <w:sz w:val="28"/>
          <w:szCs w:val="28"/>
          <w:lang w:val="en-US" w:eastAsia="zh-CN"/>
        </w:rPr>
        <w:t>7</w:t>
      </w:r>
      <w:r>
        <w:rPr>
          <w:rFonts w:ascii="宋体" w:hAnsi="Times New Roman" w:eastAsia="宋体" w:cs="宋体"/>
          <w:snapToGrid w:val="0"/>
          <w:color w:val="000000"/>
          <w:sz w:val="28"/>
          <w:szCs w:val="28"/>
        </w:rPr>
        <w:t>月</w:t>
      </w:r>
      <w:r>
        <w:rPr>
          <w:rFonts w:hint="eastAsia" w:ascii="宋体" w:hAnsi="Times New Roman" w:eastAsia="宋体" w:cs="宋体"/>
          <w:snapToGrid w:val="0"/>
          <w:color w:val="000000"/>
          <w:sz w:val="28"/>
          <w:szCs w:val="28"/>
          <w:lang w:val="en-US" w:eastAsia="zh-CN"/>
        </w:rPr>
        <w:t>11</w:t>
      </w:r>
      <w:r>
        <w:rPr>
          <w:rFonts w:ascii="宋体" w:hAnsi="Times New Roman" w:eastAsia="宋体" w:cs="宋体"/>
          <w:snapToGrid w:val="0"/>
          <w:color w:val="000000"/>
          <w:sz w:val="28"/>
          <w:szCs w:val="28"/>
        </w:rPr>
        <w:t>日由</w:t>
      </w:r>
      <w:r>
        <w:rPr>
          <w:rFonts w:hint="eastAsia" w:ascii="宋体" w:hAnsi="Times New Roman" w:eastAsia="宋体" w:cs="宋体"/>
          <w:snapToGrid w:val="0"/>
          <w:color w:val="000000"/>
          <w:sz w:val="28"/>
          <w:szCs w:val="28"/>
        </w:rPr>
        <w:t>云南省气象灾害防御技术中心</w:t>
      </w:r>
      <w:r>
        <w:rPr>
          <w:rFonts w:ascii="宋体" w:hAnsi="Times New Roman" w:eastAsia="宋体" w:cs="宋体"/>
          <w:snapToGrid w:val="0"/>
          <w:color w:val="000000"/>
          <w:sz w:val="28"/>
          <w:szCs w:val="28"/>
        </w:rPr>
        <w:t>检测合格，并出具《雷电防护装置检测报告》，</w:t>
      </w:r>
      <w:r>
        <w:rPr>
          <w:rFonts w:hint="eastAsia" w:ascii="宋体" w:hAnsi="Times New Roman" w:eastAsia="宋体" w:cs="宋体"/>
          <w:snapToGrid w:val="0"/>
          <w:color w:val="000000"/>
          <w:sz w:val="28"/>
          <w:szCs w:val="28"/>
        </w:rPr>
        <w:t>下次检测日</w:t>
      </w:r>
      <w:r>
        <w:rPr>
          <w:rFonts w:ascii="宋体" w:hAnsi="Times New Roman" w:eastAsia="宋体" w:cs="宋体"/>
          <w:snapToGrid w:val="0"/>
          <w:color w:val="000000"/>
          <w:sz w:val="28"/>
          <w:szCs w:val="28"/>
        </w:rPr>
        <w:t>期202</w:t>
      </w:r>
      <w:r>
        <w:rPr>
          <w:rFonts w:hint="eastAsia" w:ascii="宋体" w:hAnsi="Times New Roman" w:eastAsia="宋体" w:cs="宋体"/>
          <w:snapToGrid w:val="0"/>
          <w:color w:val="000000"/>
          <w:sz w:val="28"/>
          <w:szCs w:val="28"/>
          <w:lang w:val="en-US" w:eastAsia="zh-CN"/>
        </w:rPr>
        <w:t>6</w:t>
      </w:r>
      <w:r>
        <w:rPr>
          <w:rFonts w:ascii="宋体" w:hAnsi="Times New Roman" w:eastAsia="宋体" w:cs="宋体"/>
          <w:snapToGrid w:val="0"/>
          <w:color w:val="000000"/>
          <w:sz w:val="28"/>
          <w:szCs w:val="28"/>
        </w:rPr>
        <w:t>年</w:t>
      </w:r>
      <w:r>
        <w:rPr>
          <w:rFonts w:hint="eastAsia" w:ascii="宋体" w:hAnsi="Times New Roman" w:eastAsia="宋体" w:cs="宋体"/>
          <w:snapToGrid w:val="0"/>
          <w:color w:val="000000"/>
          <w:sz w:val="28"/>
          <w:szCs w:val="28"/>
          <w:lang w:val="en-US" w:eastAsia="zh-CN"/>
        </w:rPr>
        <w:t>7</w:t>
      </w:r>
      <w:r>
        <w:rPr>
          <w:rFonts w:ascii="宋体" w:hAnsi="Times New Roman" w:eastAsia="宋体" w:cs="宋体"/>
          <w:snapToGrid w:val="0"/>
          <w:color w:val="000000"/>
          <w:sz w:val="28"/>
          <w:szCs w:val="28"/>
        </w:rPr>
        <w:t>月</w:t>
      </w:r>
      <w:r>
        <w:rPr>
          <w:rFonts w:hint="eastAsia" w:ascii="宋体" w:hAnsi="Times New Roman" w:eastAsia="宋体" w:cs="宋体"/>
          <w:snapToGrid w:val="0"/>
          <w:color w:val="000000"/>
          <w:sz w:val="28"/>
          <w:szCs w:val="28"/>
          <w:lang w:val="en-US" w:eastAsia="zh-CN"/>
        </w:rPr>
        <w:t>10</w:t>
      </w:r>
      <w:r>
        <w:rPr>
          <w:rFonts w:ascii="宋体" w:hAnsi="Times New Roman" w:eastAsia="宋体" w:cs="宋体"/>
          <w:snapToGrid w:val="0"/>
          <w:color w:val="000000"/>
          <w:sz w:val="28"/>
          <w:szCs w:val="28"/>
        </w:rPr>
        <w:t>日</w:t>
      </w:r>
      <w:r>
        <w:rPr>
          <w:rFonts w:hint="eastAsia" w:ascii="宋体" w:hAnsi="Times New Roman" w:eastAsia="宋体" w:cs="宋体"/>
          <w:snapToGrid w:val="0"/>
          <w:color w:val="000000"/>
          <w:sz w:val="28"/>
          <w:szCs w:val="28"/>
        </w:rPr>
        <w:t>前。</w:t>
      </w:r>
      <w:r>
        <w:rPr>
          <w:rFonts w:ascii="宋体" w:hAnsi="Times New Roman" w:eastAsia="宋体" w:cs="宋体"/>
          <w:snapToGrid w:val="0"/>
          <w:color w:val="000000"/>
          <w:sz w:val="28"/>
          <w:szCs w:val="28"/>
        </w:rPr>
        <w:t>《雷电防护装置检测报告》见附件“</w:t>
      </w:r>
      <w:r>
        <w:rPr>
          <w:rFonts w:hint="eastAsia" w:ascii="宋体" w:hAnsi="Times New Roman" w:eastAsia="宋体" w:cs="宋体"/>
          <w:snapToGrid w:val="0"/>
          <w:color w:val="000000"/>
          <w:sz w:val="28"/>
          <w:szCs w:val="28"/>
        </w:rPr>
        <w:t>附件资料</w:t>
      </w:r>
      <w:r>
        <w:rPr>
          <w:rFonts w:ascii="宋体" w:hAnsi="Times New Roman" w:eastAsia="宋体" w:cs="宋体"/>
          <w:snapToGrid w:val="0"/>
          <w:color w:val="000000"/>
          <w:sz w:val="28"/>
          <w:szCs w:val="28"/>
        </w:rPr>
        <w:t>”。</w:t>
      </w:r>
    </w:p>
    <w:p w14:paraId="5EAD8EF0">
      <w:pPr>
        <w:keepNext w:val="0"/>
        <w:keepLines w:val="0"/>
        <w:pageBreakBefore w:val="0"/>
        <w:widowControl w:val="0"/>
        <w:numPr>
          <w:ilvl w:val="0"/>
          <w:numId w:val="18"/>
        </w:numPr>
        <w:tabs>
          <w:tab w:val="left" w:pos="1050"/>
        </w:tabs>
        <w:kinsoku/>
        <w:wordWrap/>
        <w:overflowPunct/>
        <w:topLinePunct w:val="0"/>
        <w:autoSpaceDE/>
        <w:autoSpaceDN/>
        <w:bidi w:val="0"/>
        <w:snapToGrid w:val="0"/>
        <w:spacing w:line="360" w:lineRule="auto"/>
        <w:ind w:firstLine="560" w:firstLineChars="200"/>
        <w:textAlignment w:val="auto"/>
        <w:rPr>
          <w:color w:val="000000"/>
          <w:sz w:val="28"/>
          <w:szCs w:val="28"/>
          <w:lang w:bidi="ar"/>
        </w:rPr>
      </w:pPr>
      <w:r>
        <w:rPr>
          <w:color w:val="000000"/>
          <w:sz w:val="28"/>
          <w:szCs w:val="28"/>
          <w:lang w:bidi="ar"/>
        </w:rPr>
        <w:t>根据业主方编制的</w:t>
      </w:r>
      <w:r>
        <w:rPr>
          <w:rFonts w:hint="eastAsia"/>
          <w:color w:val="000000"/>
          <w:sz w:val="28"/>
          <w:szCs w:val="28"/>
          <w:lang w:bidi="ar"/>
        </w:rPr>
        <w:t>《</w:t>
      </w:r>
      <w:r>
        <w:rPr>
          <w:rFonts w:hint="eastAsia"/>
          <w:color w:val="000000"/>
          <w:sz w:val="28"/>
          <w:szCs w:val="28"/>
        </w:rPr>
        <w:t>试生产总结报告</w:t>
      </w:r>
      <w:r>
        <w:rPr>
          <w:rFonts w:hint="eastAsia"/>
          <w:color w:val="000000"/>
          <w:sz w:val="28"/>
          <w:szCs w:val="28"/>
          <w:lang w:bidi="ar"/>
        </w:rPr>
        <w:t>》</w:t>
      </w:r>
      <w:r>
        <w:rPr>
          <w:color w:val="000000"/>
          <w:sz w:val="28"/>
          <w:szCs w:val="28"/>
          <w:lang w:bidi="ar"/>
        </w:rPr>
        <w:t>，该项目在试生产期间运行正常、有效</w:t>
      </w:r>
      <w:r>
        <w:rPr>
          <w:rFonts w:hint="eastAsia"/>
          <w:color w:val="000000"/>
          <w:sz w:val="28"/>
          <w:szCs w:val="28"/>
          <w:lang w:bidi="ar"/>
        </w:rPr>
        <w:t>，安全设施齐全、有效</w:t>
      </w:r>
      <w:r>
        <w:rPr>
          <w:color w:val="000000"/>
          <w:sz w:val="28"/>
          <w:szCs w:val="28"/>
          <w:lang w:bidi="ar"/>
        </w:rPr>
        <w:t>。</w:t>
      </w:r>
    </w:p>
    <w:p w14:paraId="34DF382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snapToGrid w:val="0"/>
          <w:color w:val="000000"/>
          <w:kern w:val="0"/>
          <w:sz w:val="28"/>
          <w:szCs w:val="28"/>
          <w:lang w:bidi="ar"/>
        </w:rPr>
      </w:pPr>
      <w:r>
        <w:rPr>
          <w:snapToGrid w:val="0"/>
          <w:color w:val="000000"/>
          <w:kern w:val="0"/>
          <w:sz w:val="28"/>
          <w:szCs w:val="28"/>
          <w:lang w:bidi="ar"/>
        </w:rPr>
        <w:t>由上述资料结果可知：该项目安全设施的施工质量满足工程实际需求。</w:t>
      </w:r>
    </w:p>
    <w:p w14:paraId="34BAE8C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snapToGrid w:val="0"/>
          <w:color w:val="000000"/>
          <w:kern w:val="0"/>
          <w:sz w:val="28"/>
          <w:szCs w:val="28"/>
          <w:lang w:val="en-US" w:eastAsia="zh-CN" w:bidi="ar"/>
        </w:rPr>
      </w:pPr>
      <w:r>
        <w:rPr>
          <w:rFonts w:hint="eastAsia"/>
          <w:snapToGrid w:val="0"/>
          <w:color w:val="000000"/>
          <w:kern w:val="0"/>
          <w:sz w:val="28"/>
          <w:szCs w:val="28"/>
          <w:lang w:val="en-US" w:eastAsia="zh-CN" w:bidi="ar"/>
        </w:rPr>
        <w:t>上述</w:t>
      </w:r>
      <w:r>
        <w:rPr>
          <w:rFonts w:hint="eastAsia"/>
          <w:color w:val="000000"/>
          <w:sz w:val="28"/>
          <w:szCs w:val="28"/>
          <w:lang w:eastAsia="zh-CN" w:bidi="ar"/>
        </w:rPr>
        <w:t>《化学工业工程建设交工技术文件》</w:t>
      </w:r>
      <w:r>
        <w:rPr>
          <w:rFonts w:hint="eastAsia"/>
          <w:color w:val="000000"/>
          <w:sz w:val="28"/>
          <w:szCs w:val="28"/>
          <w:lang w:bidi="ar"/>
        </w:rPr>
        <w:t>、《安全设施施工情况报告》</w:t>
      </w:r>
      <w:r>
        <w:rPr>
          <w:rFonts w:hint="eastAsia"/>
          <w:color w:val="000000"/>
          <w:sz w:val="28"/>
          <w:szCs w:val="28"/>
          <w:lang w:eastAsia="zh-CN" w:bidi="ar"/>
        </w:rPr>
        <w:t>、</w:t>
      </w:r>
      <w:r>
        <w:rPr>
          <w:color w:val="000000"/>
          <w:sz w:val="28"/>
          <w:szCs w:val="28"/>
          <w:lang w:bidi="ar"/>
        </w:rPr>
        <w:t>《安全设施</w:t>
      </w:r>
      <w:r>
        <w:rPr>
          <w:rFonts w:hint="eastAsia"/>
          <w:color w:val="000000"/>
          <w:sz w:val="28"/>
          <w:szCs w:val="28"/>
          <w:lang w:bidi="ar"/>
        </w:rPr>
        <w:t>施工</w:t>
      </w:r>
      <w:r>
        <w:rPr>
          <w:color w:val="000000"/>
          <w:sz w:val="28"/>
          <w:szCs w:val="28"/>
          <w:lang w:bidi="ar"/>
        </w:rPr>
        <w:t>监理</w:t>
      </w:r>
      <w:r>
        <w:rPr>
          <w:rFonts w:hint="eastAsia"/>
          <w:color w:val="000000"/>
          <w:sz w:val="28"/>
          <w:szCs w:val="28"/>
          <w:lang w:bidi="ar"/>
        </w:rPr>
        <w:t>情况</w:t>
      </w:r>
      <w:r>
        <w:rPr>
          <w:color w:val="000000"/>
          <w:sz w:val="28"/>
          <w:szCs w:val="28"/>
          <w:lang w:bidi="ar"/>
        </w:rPr>
        <w:t>报告》</w:t>
      </w:r>
      <w:r>
        <w:rPr>
          <w:rFonts w:hint="eastAsia"/>
          <w:color w:val="000000"/>
          <w:sz w:val="28"/>
          <w:szCs w:val="28"/>
          <w:lang w:eastAsia="zh-CN" w:bidi="ar"/>
        </w:rPr>
        <w:t>、</w:t>
      </w:r>
      <w:r>
        <w:rPr>
          <w:color w:val="000000"/>
          <w:sz w:val="28"/>
          <w:szCs w:val="28"/>
          <w:lang w:bidi="ar"/>
        </w:rPr>
        <w:t>《安全设施</w:t>
      </w:r>
      <w:r>
        <w:rPr>
          <w:rFonts w:hint="eastAsia"/>
          <w:color w:val="000000"/>
          <w:sz w:val="28"/>
          <w:szCs w:val="28"/>
          <w:lang w:bidi="ar"/>
        </w:rPr>
        <w:t>施工执行情况</w:t>
      </w:r>
      <w:r>
        <w:rPr>
          <w:color w:val="000000"/>
          <w:sz w:val="28"/>
          <w:szCs w:val="28"/>
          <w:lang w:bidi="ar"/>
        </w:rPr>
        <w:t>报告》</w:t>
      </w:r>
      <w:r>
        <w:rPr>
          <w:rFonts w:hint="eastAsia"/>
          <w:color w:val="000000"/>
          <w:sz w:val="28"/>
          <w:szCs w:val="28"/>
          <w:lang w:eastAsia="zh-CN" w:bidi="ar"/>
        </w:rPr>
        <w:t>、</w:t>
      </w:r>
      <w:r>
        <w:rPr>
          <w:rFonts w:hint="eastAsia"/>
          <w:color w:val="000000"/>
          <w:sz w:val="28"/>
          <w:szCs w:val="28"/>
          <w:lang w:bidi="ar"/>
        </w:rPr>
        <w:t>《竣工验收意见》</w:t>
      </w:r>
      <w:r>
        <w:rPr>
          <w:rFonts w:hint="eastAsia"/>
          <w:color w:val="000000"/>
          <w:sz w:val="28"/>
          <w:szCs w:val="28"/>
          <w:lang w:eastAsia="zh-CN" w:bidi="ar"/>
        </w:rPr>
        <w:t>，</w:t>
      </w:r>
      <w:r>
        <w:rPr>
          <w:rFonts w:hint="eastAsia"/>
          <w:color w:val="000000"/>
          <w:sz w:val="28"/>
          <w:szCs w:val="28"/>
          <w:lang w:val="en-US" w:eastAsia="zh-CN" w:bidi="ar"/>
        </w:rPr>
        <w:t>压力管道的《检验报告》、</w:t>
      </w:r>
      <w:r>
        <w:rPr>
          <w:rFonts w:hint="eastAsia"/>
          <w:color w:val="000000"/>
          <w:sz w:val="28"/>
          <w:szCs w:val="28"/>
          <w:lang w:bidi="ar"/>
        </w:rPr>
        <w:t>《</w:t>
      </w:r>
      <w:r>
        <w:rPr>
          <w:rFonts w:hint="eastAsia"/>
          <w:color w:val="000000"/>
          <w:sz w:val="28"/>
          <w:szCs w:val="28"/>
        </w:rPr>
        <w:t>试生产总结报告</w:t>
      </w:r>
      <w:r>
        <w:rPr>
          <w:rFonts w:hint="eastAsia"/>
          <w:color w:val="000000"/>
          <w:sz w:val="28"/>
          <w:szCs w:val="28"/>
          <w:lang w:bidi="ar"/>
        </w:rPr>
        <w:t>》</w:t>
      </w:r>
      <w:r>
        <w:rPr>
          <w:rFonts w:hint="eastAsia"/>
          <w:color w:val="000000"/>
          <w:sz w:val="28"/>
          <w:szCs w:val="28"/>
          <w:lang w:val="en-US" w:eastAsia="zh-CN" w:bidi="ar"/>
        </w:rPr>
        <w:t>等</w:t>
      </w:r>
      <w:r>
        <w:rPr>
          <w:rFonts w:hint="eastAsia"/>
          <w:snapToGrid w:val="0"/>
          <w:color w:val="000000"/>
          <w:kern w:val="0"/>
          <w:sz w:val="28"/>
          <w:szCs w:val="28"/>
          <w:lang w:val="en-US" w:eastAsia="zh-CN" w:bidi="ar"/>
        </w:rPr>
        <w:t>相关资料内容详见本报告附件“附件资料”。</w:t>
      </w:r>
    </w:p>
    <w:p w14:paraId="436FFF3F">
      <w:pPr>
        <w:pStyle w:val="5"/>
        <w:numPr>
          <w:ilvl w:val="2"/>
          <w:numId w:val="1"/>
        </w:numPr>
        <w:adjustRightInd w:val="0"/>
        <w:spacing w:before="120" w:after="120"/>
        <w:jc w:val="both"/>
        <w:rPr>
          <w:rFonts w:hint="default" w:ascii="Times New Roman" w:hAnsi="Times New Roman" w:eastAsia="黑体" w:cs="Times New Roman"/>
          <w:snapToGrid w:val="0"/>
          <w:color w:val="000000"/>
          <w:kern w:val="0"/>
          <w:sz w:val="32"/>
          <w:lang w:val="en-US" w:eastAsia="zh-CN"/>
        </w:rPr>
      </w:pPr>
      <w:bookmarkStart w:id="220" w:name="_Toc504482167"/>
      <w:bookmarkStart w:id="221" w:name="_Toc9291"/>
      <w:bookmarkStart w:id="222" w:name="_Toc14608"/>
      <w:r>
        <w:rPr>
          <w:rFonts w:hint="default" w:ascii="Times New Roman" w:hAnsi="Times New Roman" w:eastAsia="黑体" w:cs="Times New Roman"/>
          <w:snapToGrid w:val="0"/>
          <w:color w:val="000000"/>
          <w:kern w:val="0"/>
          <w:sz w:val="32"/>
          <w:lang w:val="en-US" w:eastAsia="zh-CN"/>
        </w:rPr>
        <w:t>设计变更情况</w:t>
      </w:r>
      <w:bookmarkEnd w:id="220"/>
      <w:bookmarkEnd w:id="221"/>
      <w:bookmarkEnd w:id="222"/>
    </w:p>
    <w:p w14:paraId="029690A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Times New Roman" w:eastAsia="宋体" w:cs="宋体"/>
          <w:color w:val="000000"/>
          <w:sz w:val="28"/>
          <w:szCs w:val="28"/>
          <w:lang w:bidi="ar"/>
        </w:rPr>
      </w:pPr>
      <w:r>
        <w:rPr>
          <w:rFonts w:hint="eastAsia" w:ascii="宋体" w:hAnsi="Times New Roman" w:eastAsia="宋体" w:cs="宋体"/>
          <w:color w:val="000000"/>
          <w:sz w:val="28"/>
          <w:szCs w:val="28"/>
          <w:lang w:bidi="ar"/>
        </w:rPr>
        <w:t>该项目涉及安全设施发生变更情况</w:t>
      </w:r>
      <w:r>
        <w:rPr>
          <w:rFonts w:hint="eastAsia" w:ascii="宋体" w:hAnsi="Times New Roman" w:eastAsia="宋体" w:cs="宋体"/>
          <w:color w:val="000000"/>
          <w:sz w:val="28"/>
          <w:szCs w:val="28"/>
          <w:lang w:val="en-US" w:eastAsia="zh-CN" w:bidi="ar"/>
        </w:rPr>
        <w:t>如下：</w:t>
      </w:r>
    </w:p>
    <w:p w14:paraId="2939B3F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Times New Roman" w:eastAsia="宋体" w:cs="宋体"/>
          <w:color w:val="000000"/>
          <w:sz w:val="28"/>
          <w:szCs w:val="28"/>
          <w:lang w:val="en-US" w:eastAsia="zh-CN" w:bidi="ar"/>
        </w:rPr>
      </w:pPr>
      <w:r>
        <w:rPr>
          <w:rFonts w:hint="eastAsia" w:ascii="宋体" w:hAnsi="Times New Roman" w:eastAsia="宋体" w:cs="宋体"/>
          <w:color w:val="000000"/>
          <w:sz w:val="28"/>
          <w:szCs w:val="28"/>
          <w:lang w:val="en-US" w:eastAsia="zh-CN" w:bidi="ar"/>
        </w:rPr>
        <w:t>根据</w:t>
      </w:r>
      <w:r>
        <w:rPr>
          <w:rFonts w:hint="eastAsia" w:ascii="宋体" w:hAnsi="Times New Roman" w:eastAsia="宋体" w:cs="宋体"/>
          <w:color w:val="000000"/>
          <w:sz w:val="28"/>
          <w:szCs w:val="28"/>
          <w:lang w:bidi="ar"/>
        </w:rPr>
        <w:t>华陆工程科技有限责任公司</w:t>
      </w:r>
      <w:r>
        <w:rPr>
          <w:rFonts w:hint="eastAsia" w:ascii="宋体" w:hAnsi="Times New Roman" w:eastAsia="宋体" w:cs="宋体"/>
          <w:color w:val="000000"/>
          <w:sz w:val="28"/>
          <w:szCs w:val="28"/>
          <w:lang w:val="en-US" w:eastAsia="zh-CN" w:bidi="ar"/>
        </w:rPr>
        <w:t>出具的 《3万吨/年无水氟化氢和2万吨/年电子级氢氟酸项目电气防护等级的说明》：该项目设计使用电气设备防护等级为IP55（原设计为IP65），满足规范要求和满足使用功能。</w:t>
      </w:r>
    </w:p>
    <w:p w14:paraId="3A70613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宋体" w:hAnsi="Times New Roman" w:eastAsia="宋体" w:cs="宋体"/>
          <w:color w:val="000000"/>
          <w:sz w:val="28"/>
          <w:szCs w:val="28"/>
          <w:lang w:val="en-US" w:eastAsia="zh-CN" w:bidi="ar"/>
        </w:rPr>
      </w:pPr>
      <w:r>
        <w:rPr>
          <w:rFonts w:hint="eastAsia" w:ascii="宋体" w:hAnsi="Times New Roman" w:eastAsia="宋体" w:cs="宋体"/>
          <w:color w:val="000000"/>
          <w:sz w:val="28"/>
          <w:szCs w:val="28"/>
          <w:lang w:val="en-US" w:eastAsia="zh-CN" w:bidi="ar"/>
        </w:rPr>
        <w:t>其他</w:t>
      </w:r>
      <w:r>
        <w:rPr>
          <w:rFonts w:hint="default" w:ascii="宋体" w:hAnsi="Times New Roman" w:eastAsia="宋体" w:cs="宋体"/>
          <w:color w:val="000000"/>
          <w:sz w:val="28"/>
          <w:szCs w:val="28"/>
          <w:lang w:val="en-US" w:eastAsia="zh-CN" w:bidi="ar"/>
        </w:rPr>
        <w:t>未发生设计变更情况，均按原设计施工建设</w:t>
      </w:r>
      <w:r>
        <w:rPr>
          <w:rFonts w:hint="eastAsia" w:ascii="宋体" w:hAnsi="Times New Roman" w:eastAsia="宋体" w:cs="宋体"/>
          <w:color w:val="000000"/>
          <w:sz w:val="28"/>
          <w:szCs w:val="28"/>
          <w:lang w:val="en-US" w:eastAsia="zh-CN" w:bidi="ar"/>
        </w:rPr>
        <w:t xml:space="preserve"> </w:t>
      </w:r>
      <w:r>
        <w:rPr>
          <w:rFonts w:hint="default" w:ascii="宋体" w:hAnsi="Times New Roman" w:eastAsia="宋体" w:cs="宋体"/>
          <w:color w:val="000000"/>
          <w:sz w:val="28"/>
          <w:szCs w:val="28"/>
          <w:lang w:val="en-US" w:eastAsia="zh-CN" w:bidi="ar"/>
        </w:rPr>
        <w:t>。</w:t>
      </w:r>
    </w:p>
    <w:p w14:paraId="11F60F29">
      <w:pPr>
        <w:pStyle w:val="4"/>
        <w:spacing w:before="193"/>
        <w:jc w:val="left"/>
        <w:rPr>
          <w:rFonts w:hint="eastAsia" w:ascii="黑体" w:hAnsi="黑体" w:eastAsia="黑体" w:cs="黑体"/>
          <w:b/>
          <w:bCs w:val="0"/>
          <w:color w:val="auto"/>
          <w:sz w:val="36"/>
          <w:szCs w:val="36"/>
          <w:lang w:val="en-US" w:eastAsia="zh-CN"/>
        </w:rPr>
      </w:pPr>
      <w:bookmarkStart w:id="223" w:name="_Toc369180188"/>
      <w:bookmarkStart w:id="224" w:name="_Toc377137352"/>
      <w:bookmarkStart w:id="225" w:name="_Toc20163"/>
      <w:bookmarkStart w:id="226" w:name="_Toc310092716"/>
      <w:bookmarkStart w:id="227" w:name="_Toc310369754"/>
      <w:bookmarkStart w:id="228" w:name="_Toc472686279"/>
      <w:bookmarkStart w:id="229" w:name="_Toc370242989"/>
      <w:bookmarkStart w:id="230" w:name="_Toc310287008"/>
      <w:bookmarkStart w:id="231" w:name="_Toc17017"/>
      <w:bookmarkStart w:id="232" w:name="_Toc384729657"/>
      <w:bookmarkStart w:id="233" w:name="_Toc25421"/>
      <w:bookmarkStart w:id="234" w:name="_Toc339981260"/>
      <w:bookmarkStart w:id="235" w:name="_Toc19556"/>
      <w:bookmarkStart w:id="236" w:name="_Toc504482168"/>
      <w:bookmarkStart w:id="237" w:name="_Toc1521"/>
      <w:r>
        <w:rPr>
          <w:rFonts w:hint="eastAsia" w:ascii="黑体" w:hAnsi="黑体" w:eastAsia="黑体" w:cs="黑体"/>
          <w:b/>
          <w:bCs w:val="0"/>
          <w:color w:val="auto"/>
          <w:sz w:val="36"/>
          <w:szCs w:val="36"/>
          <w:lang w:val="en-US" w:eastAsia="zh-CN"/>
        </w:rPr>
        <w:t>安全管理</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088ED5D7">
      <w:pPr>
        <w:pStyle w:val="5"/>
        <w:numPr>
          <w:ilvl w:val="2"/>
          <w:numId w:val="1"/>
        </w:numPr>
        <w:adjustRightInd w:val="0"/>
        <w:spacing w:before="120" w:after="120"/>
        <w:jc w:val="both"/>
        <w:rPr>
          <w:rFonts w:hint="default" w:ascii="Times New Roman" w:hAnsi="Times New Roman" w:eastAsia="黑体" w:cs="Times New Roman"/>
          <w:snapToGrid w:val="0"/>
          <w:color w:val="000000"/>
          <w:kern w:val="0"/>
          <w:sz w:val="32"/>
          <w:lang w:val="en-US" w:eastAsia="zh-CN"/>
        </w:rPr>
      </w:pPr>
      <w:bookmarkStart w:id="238" w:name="_Toc235587828"/>
      <w:bookmarkStart w:id="239" w:name="_Toc304298953"/>
      <w:bookmarkStart w:id="240" w:name="_Toc377137353"/>
      <w:bookmarkStart w:id="241" w:name="_Toc504482169"/>
      <w:bookmarkStart w:id="242" w:name="_Toc304545771"/>
      <w:bookmarkStart w:id="243" w:name="_Toc191728140"/>
      <w:bookmarkStart w:id="244" w:name="_Toc191729996"/>
      <w:bookmarkStart w:id="245" w:name="_Toc191729700"/>
      <w:bookmarkStart w:id="246" w:name="_Toc236123692"/>
      <w:bookmarkStart w:id="247" w:name="_Toc249429980"/>
      <w:bookmarkStart w:id="248" w:name="_Toc262653623"/>
      <w:bookmarkStart w:id="249" w:name="_Toc262743376"/>
      <w:bookmarkStart w:id="250" w:name="_Toc472686280"/>
      <w:bookmarkStart w:id="251" w:name="_Toc384729658"/>
      <w:bookmarkStart w:id="252" w:name="_Toc198"/>
      <w:bookmarkStart w:id="253" w:name="_Toc304280361"/>
      <w:bookmarkStart w:id="254" w:name="_Toc262638475"/>
      <w:bookmarkStart w:id="255" w:name="_Toc273523585"/>
      <w:bookmarkStart w:id="256" w:name="_Toc369180189"/>
      <w:bookmarkStart w:id="257" w:name="_Toc304470795"/>
      <w:bookmarkStart w:id="258" w:name="_Toc310287009"/>
      <w:bookmarkStart w:id="259" w:name="_Toc249354487"/>
      <w:bookmarkStart w:id="260" w:name="_Toc272582150"/>
      <w:bookmarkStart w:id="261" w:name="_Toc339981261"/>
      <w:bookmarkStart w:id="262" w:name="_Toc370242990"/>
      <w:bookmarkStart w:id="263" w:name="_Toc280194970"/>
      <w:bookmarkStart w:id="264" w:name="_Toc275435881"/>
      <w:bookmarkStart w:id="265" w:name="_Toc208398698"/>
      <w:bookmarkStart w:id="266" w:name="_Toc194389904"/>
      <w:bookmarkStart w:id="267" w:name="_Toc21807"/>
      <w:bookmarkStart w:id="268" w:name="_Toc281079481"/>
      <w:bookmarkStart w:id="269" w:name="_Toc310092717"/>
      <w:bookmarkStart w:id="270" w:name="_Toc310369755"/>
      <w:bookmarkStart w:id="271" w:name="_Toc250471541"/>
      <w:bookmarkStart w:id="272" w:name="_Toc3200"/>
      <w:bookmarkStart w:id="273" w:name="_Toc13569"/>
      <w:bookmarkStart w:id="274" w:name="_Toc9075"/>
      <w:r>
        <w:rPr>
          <w:rFonts w:hint="default" w:ascii="Times New Roman" w:hAnsi="Times New Roman" w:eastAsia="黑体" w:cs="Times New Roman"/>
          <w:snapToGrid w:val="0"/>
          <w:color w:val="000000"/>
          <w:kern w:val="0"/>
          <w:sz w:val="32"/>
          <w:lang w:val="en-US" w:eastAsia="zh-CN"/>
        </w:rPr>
        <w:t>安全管理机构</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Pr>
          <w:rFonts w:hint="default" w:ascii="Times New Roman" w:hAnsi="Times New Roman" w:eastAsia="黑体" w:cs="Times New Roman"/>
          <w:snapToGrid w:val="0"/>
          <w:color w:val="000000"/>
          <w:kern w:val="0"/>
          <w:sz w:val="32"/>
          <w:lang w:val="en-US" w:eastAsia="zh-CN"/>
        </w:rPr>
        <w:t>及人员</w:t>
      </w:r>
      <w:bookmarkEnd w:id="273"/>
      <w:bookmarkEnd w:id="274"/>
    </w:p>
    <w:p w14:paraId="57EC81FD">
      <w:pPr>
        <w:ind w:firstLine="560"/>
      </w:pPr>
      <w:r>
        <w:rPr>
          <w:rFonts w:hint="eastAsia"/>
        </w:rPr>
        <w:t>本项目为云南瓮福祥丰氟硅新材料有限公司3万吨/年无水氟化氢和2万吨/年电子级氢氟酸项目配套的厂外公用工程管道设施，不新增定员。安全环保工作由公司安全环保部负责，生产操作及管线巡检由公司生产部负责。</w:t>
      </w:r>
    </w:p>
    <w:p w14:paraId="510CB7BE">
      <w:pPr>
        <w:ind w:firstLine="560"/>
      </w:pPr>
      <w:r>
        <w:rPr>
          <w:rFonts w:hint="eastAsia"/>
        </w:rPr>
        <w:t>云南瓮福祥丰氟硅新材料有限公司企业设置综合管理部、财务部、安全环保部、生产部 4 个部门，组织架构根据企业发展情况适时调整。</w:t>
      </w:r>
    </w:p>
    <w:p w14:paraId="2AE3A898">
      <w:pPr>
        <w:ind w:firstLine="560"/>
      </w:pPr>
      <w:r>
        <w:rPr>
          <w:rFonts w:hint="eastAsia"/>
        </w:rPr>
        <w:t>公司设置岗位3</w:t>
      </w:r>
      <w:r>
        <w:t>6</w:t>
      </w:r>
      <w:r>
        <w:rPr>
          <w:rFonts w:hint="eastAsia"/>
        </w:rPr>
        <w:t>个，编制68人，其中：公司领导3人、综合管理部</w:t>
      </w:r>
      <w:r>
        <w:t>8</w:t>
      </w:r>
      <w:r>
        <w:rPr>
          <w:rFonts w:hint="eastAsia"/>
        </w:rPr>
        <w:t>人、财务部3人，安全环保部</w:t>
      </w:r>
      <w:r>
        <w:t>3</w:t>
      </w:r>
      <w:r>
        <w:rPr>
          <w:rFonts w:hint="eastAsia"/>
        </w:rPr>
        <w:t>人、生产部51人。</w:t>
      </w:r>
    </w:p>
    <w:p w14:paraId="18AAAB35">
      <w:pPr>
        <w:pStyle w:val="5"/>
        <w:numPr>
          <w:ilvl w:val="2"/>
          <w:numId w:val="1"/>
        </w:numPr>
        <w:adjustRightInd w:val="0"/>
        <w:spacing w:before="120" w:after="120"/>
        <w:jc w:val="both"/>
        <w:rPr>
          <w:rFonts w:hint="default" w:ascii="Times New Roman" w:hAnsi="Times New Roman" w:eastAsia="黑体" w:cs="Times New Roman"/>
          <w:snapToGrid w:val="0"/>
          <w:color w:val="000000"/>
          <w:kern w:val="0"/>
          <w:sz w:val="32"/>
          <w:lang w:val="en-US" w:eastAsia="zh-CN"/>
        </w:rPr>
      </w:pPr>
      <w:bookmarkStart w:id="275" w:name="_Toc30224"/>
      <w:r>
        <w:rPr>
          <w:rFonts w:hint="eastAsia" w:ascii="Times New Roman" w:hAnsi="Times New Roman" w:eastAsia="黑体" w:cs="Times New Roman"/>
          <w:snapToGrid w:val="0"/>
          <w:color w:val="000000"/>
          <w:kern w:val="0"/>
          <w:sz w:val="32"/>
          <w:lang w:val="en-US" w:eastAsia="zh-CN"/>
        </w:rPr>
        <w:t>人员持证情况</w:t>
      </w:r>
      <w:bookmarkEnd w:id="275"/>
    </w:p>
    <w:p w14:paraId="4F29BFFA">
      <w:pPr>
        <w:ind w:firstLine="560"/>
        <w:rPr>
          <w:rFonts w:hint="eastAsia" w:ascii="宋体" w:hAnsi="Times New Roman" w:eastAsia="宋体" w:cs="宋体"/>
        </w:rPr>
      </w:pPr>
      <w:r>
        <w:rPr>
          <w:rFonts w:hint="eastAsia" w:ascii="宋体" w:hAnsi="Times New Roman" w:eastAsia="宋体" w:cs="宋体"/>
        </w:rPr>
        <w:t>公司法定代表人、主要负责人、安全管理人员等8人已取得安全生产知识和管理能力考核合格证；高处作业、电工作业、化工自动化控制仪表作业、特种设备安全管理、压力容器作业、制冷与空调设备作业等特种作业人员和特种设备作业人员已经相关部门培训合格，持证上岗。</w:t>
      </w:r>
    </w:p>
    <w:p w14:paraId="3DA70D37">
      <w:pPr>
        <w:ind w:firstLine="560"/>
        <w:rPr>
          <w:rFonts w:hint="eastAsia" w:ascii="宋体" w:hAnsi="Times New Roman" w:eastAsia="宋体" w:cs="宋体"/>
          <w:lang w:val="en-US" w:eastAsia="zh-CN"/>
        </w:rPr>
      </w:pPr>
      <w:r>
        <w:rPr>
          <w:rFonts w:hint="eastAsia" w:ascii="宋体" w:hAnsi="Times New Roman" w:eastAsia="宋体" w:cs="宋体"/>
          <w:lang w:val="en-US" w:eastAsia="zh-CN"/>
        </w:rPr>
        <w:t>主要负责人杨国荣、生产负责人谌辉辉均具有北京化工大学化学工程与工艺专业高中起点本科毕业证书；主要负责人和安全环保部经理均有化工安全专业注册安全工程师证书；生产部涉及重大危险源的生产装置、储存设施操作人员具备高中及以上学历或化工类中等及以上职业教育水平。</w:t>
      </w:r>
    </w:p>
    <w:p w14:paraId="5FD6013B">
      <w:pPr>
        <w:ind w:firstLine="560"/>
        <w:rPr>
          <w:rFonts w:hint="eastAsia" w:ascii="宋体" w:hAnsi="Times New Roman" w:eastAsia="宋体" w:cs="宋体"/>
        </w:rPr>
      </w:pPr>
      <w:r>
        <w:rPr>
          <w:rFonts w:hint="eastAsia" w:ascii="宋体" w:hAnsi="Times New Roman" w:eastAsia="宋体" w:cs="宋体"/>
          <w:lang w:val="en-US" w:eastAsia="zh-CN"/>
        </w:rPr>
        <w:t>注安师证书、</w:t>
      </w:r>
      <w:r>
        <w:rPr>
          <w:rFonts w:hint="eastAsia" w:ascii="宋体" w:hAnsi="Times New Roman" w:eastAsia="宋体" w:cs="宋体"/>
        </w:rPr>
        <w:t>相关人员学历证书、安全生产知识和管理能力考核合格证、特种作业人员和特种设备作业人员证书及持证人员台账等详见报告附件“附件资料”。</w:t>
      </w:r>
    </w:p>
    <w:p w14:paraId="14C69F28">
      <w:pPr>
        <w:ind w:firstLine="560"/>
        <w:jc w:val="center"/>
        <w:rPr>
          <w:rFonts w:hint="default" w:ascii="宋体" w:hAnsi="Times New Roman" w:eastAsia="宋体" w:cs="宋体"/>
          <w:b/>
          <w:bCs/>
          <w:sz w:val="24"/>
          <w:szCs w:val="24"/>
          <w:lang w:val="en-US" w:eastAsia="zh-CN"/>
        </w:rPr>
      </w:pPr>
      <w:r>
        <w:rPr>
          <w:rFonts w:hint="eastAsia" w:ascii="宋体" w:hAnsi="Times New Roman" w:eastAsia="宋体" w:cs="宋体"/>
          <w:b/>
          <w:bCs/>
          <w:sz w:val="24"/>
          <w:szCs w:val="24"/>
          <w:lang w:val="en-US" w:eastAsia="zh-CN"/>
        </w:rPr>
        <w:t>表2.2-9人员持证一览表</w:t>
      </w:r>
    </w:p>
    <w:tbl>
      <w:tblPr>
        <w:tblStyle w:val="80"/>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6"/>
        <w:gridCol w:w="793"/>
        <w:gridCol w:w="1173"/>
        <w:gridCol w:w="1147"/>
        <w:gridCol w:w="1251"/>
        <w:gridCol w:w="1330"/>
        <w:gridCol w:w="1670"/>
        <w:gridCol w:w="720"/>
        <w:gridCol w:w="720"/>
      </w:tblGrid>
      <w:tr w14:paraId="2F41A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D83F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人员名称</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BB96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工号</w:t>
            </w:r>
          </w:p>
        </w:tc>
        <w:tc>
          <w:tcPr>
            <w:tcW w:w="2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DBB4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部门单位</w:t>
            </w:r>
          </w:p>
        </w:tc>
        <w:tc>
          <w:tcPr>
            <w:tcW w:w="2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84B9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证书类型</w:t>
            </w:r>
          </w:p>
        </w:tc>
        <w:tc>
          <w:tcPr>
            <w:tcW w:w="2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D9C7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证书名称</w:t>
            </w:r>
          </w:p>
        </w:tc>
        <w:tc>
          <w:tcPr>
            <w:tcW w:w="3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6E10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证书编号</w:t>
            </w:r>
          </w:p>
        </w:tc>
        <w:tc>
          <w:tcPr>
            <w:tcW w:w="4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609A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发证单位</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166C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取证日期</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77FA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有效日期</w:t>
            </w:r>
          </w:p>
        </w:tc>
      </w:tr>
      <w:tr w14:paraId="53B1F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D50E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杨国荣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385E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001160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4FA4B">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DE7E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危险化学品生产单位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1CC8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主要负责人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7ED2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522724197409190239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D269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昆明市应急管理局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B0FA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07BE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2027/6/30</w:t>
            </w:r>
          </w:p>
        </w:tc>
      </w:tr>
      <w:tr w14:paraId="7DDD8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05C9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谌辉辉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FED4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013426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0685E">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43A8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危险化学品生产单位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8156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安全生产管理人员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BCD5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522101198509035217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1DD8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昆明市应急管理局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70F6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F56F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2027/6/30</w:t>
            </w:r>
          </w:p>
        </w:tc>
      </w:tr>
      <w:tr w14:paraId="38E23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262F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胡金有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498D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024864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16AF6">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F1A4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危险化学品生产单位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217A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安全生产管理人员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8004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530129198812051136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872D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昆明市应急管理局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C836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4D09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2027/6/30</w:t>
            </w:r>
          </w:p>
        </w:tc>
      </w:tr>
      <w:tr w14:paraId="4E422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2E2F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刘强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7037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001034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A0FF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安全环保部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68C7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危险化学品生产单位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D6E3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安全生产管理人员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76F2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520102197206122452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0C1C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昆明市应急管理局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D8DF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DDA1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2027/6/30</w:t>
            </w:r>
          </w:p>
        </w:tc>
      </w:tr>
      <w:tr w14:paraId="3795D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66A2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喻小峰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DBBA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019240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9956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安全环保部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3921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危险化学品生产单位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0200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安全生产管理人员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74A8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500242198509040734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045B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昆明市应急管理局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6E0A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F93E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2027/6/30</w:t>
            </w:r>
          </w:p>
        </w:tc>
      </w:tr>
      <w:tr w14:paraId="09806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F144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余恒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587F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019190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C17B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0716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危险化学品生产单位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FEF5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安全生产管理人员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2389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53030219931115153X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93B7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昆明市应急管理局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5F95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2024/7/12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9741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2027/7/11</w:t>
            </w:r>
          </w:p>
        </w:tc>
      </w:tr>
      <w:tr w14:paraId="18DD3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0D16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常方俊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D9EC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017368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5B58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5783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危险化学品生产单位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0904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安全生产管理人员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FCBD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522724199007154410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5CBF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昆明市应急管理局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3A46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2024/7/12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67C6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2027/7/11</w:t>
            </w:r>
          </w:p>
        </w:tc>
      </w:tr>
      <w:tr w14:paraId="0080B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A394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马帅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9491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024762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84C8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安全环保部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6AA9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危险化学品生产单位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156C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安全生产管理人员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7281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530381199704023032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A246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昆明市应急管理局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B4C9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2024/7/26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FCFF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2027/7/25</w:t>
            </w:r>
          </w:p>
        </w:tc>
      </w:tr>
      <w:tr w14:paraId="11DF9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E7EC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胡金有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CC75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024864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76D9E">
            <w:pPr>
              <w:keepNext w:val="0"/>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08F0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特种设备安全管理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7D28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特种设备安全管理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E2DE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530129198812051136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6522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昆明市五华区市场监督管理局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5F6C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2024/7/17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E1AA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2028/6/30</w:t>
            </w:r>
          </w:p>
        </w:tc>
      </w:tr>
      <w:tr w14:paraId="0B4A9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AA76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刘强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96F1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001034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001E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安全环保部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3090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特种设备安全管理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A9D9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特种设备安全管理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D202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520102197206122452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7B6A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昆明市五华区市场监督管理局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1605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2024/7/17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14D0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2028/6/30</w:t>
            </w:r>
          </w:p>
        </w:tc>
      </w:tr>
      <w:tr w14:paraId="744F9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CB67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余恒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1E66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019190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082A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0617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特种设备安全管理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E385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特种设备安全管理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C437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53030219931115153X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0B32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昆明市五华区市场监督管理局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EE5E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2024/7/17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B8DE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2028/6/30</w:t>
            </w:r>
          </w:p>
        </w:tc>
      </w:tr>
      <w:tr w14:paraId="37ED3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E393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李云涛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F5E6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024757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8B09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C6DF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特种设备安全管理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7CF2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特种设备安全管理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1D63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532331199905134052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B70C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昆明市五华区市场监督管理局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E917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6DA7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2028/6/30</w:t>
            </w:r>
          </w:p>
        </w:tc>
      </w:tr>
      <w:tr w14:paraId="74C79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7423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万泽松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66C3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024763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E5E9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A98C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化工自动化控制仪表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FDBE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化工自动化控制仪表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2D30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532932199803050738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4559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昆明市应急管理局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7AA7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2024/7/26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D247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2027/7/25</w:t>
            </w:r>
          </w:p>
        </w:tc>
      </w:tr>
      <w:tr w14:paraId="4BC95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BFAE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曹照武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C571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024835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7FB1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CC28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压力容器作业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934F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快开门压力容器作业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510A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530322199911060717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A8A0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昆明市盘龙区市场监督管理局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3F49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2023/5/19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117E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2027/4/30</w:t>
            </w:r>
          </w:p>
        </w:tc>
      </w:tr>
      <w:tr w14:paraId="2D3C3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A6CA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尹和健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89BE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024844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88B4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4537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压力容器作业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9550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快开门压力容器作业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6611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530621200006091412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D26E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昆明市五华区市场监督管理局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B92C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2024/8/29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48D2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2028/7/31</w:t>
            </w:r>
          </w:p>
        </w:tc>
      </w:tr>
      <w:tr w14:paraId="19CB4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D15A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许千景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2CC6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024954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72AB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308B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压力容器作业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1D46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快开门压力容器作业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E6B9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522529199809202219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DB9C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昆明市五华区市场监督管理局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DD7B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2024/8/29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6741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2028/7/31</w:t>
            </w:r>
          </w:p>
        </w:tc>
      </w:tr>
      <w:tr w14:paraId="7A897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8D8F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罗启利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1CCA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024955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A6CB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119C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压力容器作业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4852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快开门压力容器作业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B65B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522425199802014812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79AD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昆明市五华区市场监督管理局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5235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2024/8/29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B6EE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2028/7/31</w:t>
            </w:r>
          </w:p>
        </w:tc>
      </w:tr>
      <w:tr w14:paraId="76D60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A7B6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阚永旬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10BE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024832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3435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5C32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压力容器作业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385F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快开门压力容器作业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9E14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53038120000211471X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3E58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昆明市五华区市场监督管理局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B788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2024/8/29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6234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2028/7/31</w:t>
            </w:r>
          </w:p>
        </w:tc>
      </w:tr>
      <w:tr w14:paraId="388B6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664A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徐志旺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7441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024845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2182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4076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压力容器作业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0D36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快开门压力容器作业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1FF7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532925199901250510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072C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昆明市五华区市场监督管理局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8295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2024/8/29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8534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2028/7/31</w:t>
            </w:r>
          </w:p>
        </w:tc>
      </w:tr>
      <w:tr w14:paraId="18C3A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C201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李增云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4C4E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024836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AE92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4A74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压力容器作业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ED7E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快开门压力容器作业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116A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530427199902161513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0A45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昆明市五华区市场监督管理局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4C56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2024/8/29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8AC2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2028/7/31</w:t>
            </w:r>
          </w:p>
        </w:tc>
      </w:tr>
      <w:tr w14:paraId="2C76F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224F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欧阳建泽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F953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024843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68BE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8D08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压力容器作业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8A06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快开门压力容器作业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A94B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532924199807060036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D24D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昆明市五华区市场监督管理局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F769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2024/8/29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EF37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2028/7/31</w:t>
            </w:r>
          </w:p>
        </w:tc>
      </w:tr>
      <w:tr w14:paraId="092D6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B783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沈燕冬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C847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024755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FF9C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4B81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压力容器作业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3786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移动式压力容器充装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38B3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530323199801160510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B911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昆明市五华区市场监督管理局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71D4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20CE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2028/8/31</w:t>
            </w:r>
          </w:p>
        </w:tc>
      </w:tr>
      <w:tr w14:paraId="58115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F27C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陈杭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5DFD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024752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BA6A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1F59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压力容器作业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BF13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移动式压力容器充装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7375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530181200006261214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F173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昆明市五华区市场监督管理局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2277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A5D0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2028/8/31</w:t>
            </w:r>
          </w:p>
        </w:tc>
      </w:tr>
      <w:tr w14:paraId="27431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CF9E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武燕双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DA2B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024758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60CB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07D8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压力容器作业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3690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移动式压力容器充装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078C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530128199609240036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6B72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昆明市五华区市场监督管理局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9169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1D83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2028/8/31</w:t>
            </w:r>
          </w:p>
        </w:tc>
      </w:tr>
      <w:tr w14:paraId="67A2A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58B7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罗启利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EDB5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024955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4096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1EC3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压力容器作业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9723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移动式压力容器充装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42C9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522425199802014812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63E6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昆明市五华区市场监督管理局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FA47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290A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2028/8/31</w:t>
            </w:r>
          </w:p>
        </w:tc>
      </w:tr>
      <w:tr w14:paraId="35E96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038E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阚永旬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96DC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024832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9D4D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C11C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压力容器作业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82A6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移动式压力容器充装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8967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53038120000211471X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5C45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昆明市五华区市场监督管理局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F41B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B8EE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2028/8/31</w:t>
            </w:r>
          </w:p>
        </w:tc>
      </w:tr>
      <w:tr w14:paraId="0E2CD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37CC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姚建云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5FBA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024840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CE45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A589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压力容器作业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8101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移动式压力容器充装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B762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532923199812061117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A2E4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昆明市五华区市场监督管理局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B203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94CA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2028/8/31</w:t>
            </w:r>
          </w:p>
        </w:tc>
      </w:tr>
      <w:tr w14:paraId="1BDE3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4051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欧阳建泽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B87D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024843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FB26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8EA3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压力容器作业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DE78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移动式压力容器充装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17AF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532924199807060036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4DB6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昆明市五华区市场监督管理局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4014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0701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2028/8/31</w:t>
            </w:r>
          </w:p>
        </w:tc>
      </w:tr>
      <w:tr w14:paraId="5DA1D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90FF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陈杭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7C05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024752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61E9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5533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特殊作业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87A1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高处作业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D2B9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TS530181200006261214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2530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昆明市应急管理局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E6BA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2024/7/22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6494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2027/7/21</w:t>
            </w:r>
          </w:p>
        </w:tc>
      </w:tr>
      <w:tr w14:paraId="275E4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1708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沈燕冬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0B74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024755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D5DE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4D45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特殊作业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7169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高处作业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AF20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TS530323199801160510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5C7B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昆明市应急管理局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4BC7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2024/7/22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3D63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2027/7/21</w:t>
            </w:r>
          </w:p>
        </w:tc>
      </w:tr>
      <w:tr w14:paraId="0227C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4088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武燕双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245F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024758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652C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9E7F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特殊作业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E9B7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高处作业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CC08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TS530128199609240036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316B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昆明市应急管理局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FABA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2024/7/22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7C7A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2027/7/21</w:t>
            </w:r>
          </w:p>
        </w:tc>
      </w:tr>
      <w:tr w14:paraId="1F616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0FC2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陈曦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0C60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024760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60FB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27BD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特殊作业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C745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高处作业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5510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TS530425199702020019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2DCB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昆明市应急管理局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EF64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2024/7/22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4CCB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2027/7/21</w:t>
            </w:r>
          </w:p>
        </w:tc>
      </w:tr>
      <w:tr w14:paraId="15B16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673E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曹照武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CD71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024835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60C6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E43A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特殊作业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B7E7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高处作业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160E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TS530322199911060717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8A7F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昆明市应急管理局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471E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2024/7/22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292D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2027/7/21</w:t>
            </w:r>
          </w:p>
        </w:tc>
      </w:tr>
      <w:tr w14:paraId="17364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36D4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李增云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0680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024836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78FB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6519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特殊作业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026A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高处作业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C30C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TS530427199902161513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8030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昆明市应急管理局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26F0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2024/7/22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95E0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2027/7/21</w:t>
            </w:r>
          </w:p>
        </w:tc>
      </w:tr>
      <w:tr w14:paraId="56A73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46A6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姚建云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F6D9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024840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66B4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F094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特殊作业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950D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高处作业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BE73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TS532923199812061117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D8DD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昆明市应急管理局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0641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2024/7/22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5C45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2027/7/21</w:t>
            </w:r>
          </w:p>
        </w:tc>
      </w:tr>
      <w:tr w14:paraId="3424D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4D06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阚永旬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0EFE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024832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2345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8A05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特殊作业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BCD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高处作业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C786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TS53038120000211471X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A8F1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昆明市应急管理局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54B7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2024/7/22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A13D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2027/7/21</w:t>
            </w:r>
          </w:p>
        </w:tc>
      </w:tr>
      <w:tr w14:paraId="1096A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F3C9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欧阳建泽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8E14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024843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4FCE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2DAE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特殊作业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DA00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高处作业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972B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TS532924199807060036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FB38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昆明市应急管理局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BA92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2024/7/22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041D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2027/7/21</w:t>
            </w:r>
          </w:p>
        </w:tc>
      </w:tr>
      <w:tr w14:paraId="17040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598E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尹和健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849B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024844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CE85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F267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特殊作业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7BEE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高处作业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4DC4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TS530621200006091412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8EDE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昆明市应急管理局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A108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2024/7/22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937E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2027/7/21</w:t>
            </w:r>
          </w:p>
        </w:tc>
      </w:tr>
      <w:tr w14:paraId="34805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015E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徐志旺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B085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024845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EA30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6C2F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特殊作业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2FD2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高处作业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F10F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TS532925199901250510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F228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昆明市应急管理局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419E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2024/7/22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0AF2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2027/7/21</w:t>
            </w:r>
          </w:p>
        </w:tc>
      </w:tr>
      <w:tr w14:paraId="6C16B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8D17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许千景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9BA1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024954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A381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BC55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特殊作业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4E69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高处作业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6681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TS522529199809202219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F079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昆明市应急管理局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AC3B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2024/7/22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03FA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2027/7/21</w:t>
            </w:r>
          </w:p>
        </w:tc>
      </w:tr>
      <w:tr w14:paraId="4B05C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01C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罗启利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24BB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024955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D1FB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A861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特殊作业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904D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高处作业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06BD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TS522425199802014812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24AD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昆明市应急管理局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6F89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2024/7/22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308A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2027/7/21</w:t>
            </w:r>
          </w:p>
        </w:tc>
      </w:tr>
      <w:tr w14:paraId="73393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1E61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赵金源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FEDD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024756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E5C4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5062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特殊作业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4165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高压电工作业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04C4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T530425199611201316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0377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云南省应急管理厅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BDDC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AF3D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2026/3/1</w:t>
            </w:r>
          </w:p>
        </w:tc>
      </w:tr>
      <w:tr w14:paraId="7BB04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AB99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赵金源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10B2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024756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2430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62E6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特殊作业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D23C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低压电工作业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90E4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T530425199611201316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E305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云南省应急管理厅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52DC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2022/7/19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E699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2025/7/18</w:t>
            </w:r>
          </w:p>
        </w:tc>
      </w:tr>
      <w:tr w14:paraId="6D38C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0279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万泽松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D14E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024763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6821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D0D6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特殊作业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55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高压电工作业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8A50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T532932199803050738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EDB5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昆明市应急管理局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DF79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2024/7/26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5F90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2027/7/25</w:t>
            </w:r>
          </w:p>
        </w:tc>
      </w:tr>
      <w:tr w14:paraId="27BD7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A010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万泽松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6614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024763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5EB3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2395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特殊作业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3FA2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低压电工作业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9C83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T532932199803050738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0C18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昆明市应急管理局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3A365">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2024/7/26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8E91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2027/7/25</w:t>
            </w:r>
          </w:p>
        </w:tc>
      </w:tr>
      <w:tr w14:paraId="262C4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1FE8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马明龙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2C2B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025128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CF18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E67E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特殊作业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8B9F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低压电工作业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2A4F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T53223119930615091X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B635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昆明市应急管理局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06A5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2024/9/18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A56F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2027/9/17</w:t>
            </w:r>
          </w:p>
        </w:tc>
      </w:tr>
    </w:tbl>
    <w:p w14:paraId="4F229A00">
      <w:pPr>
        <w:ind w:firstLine="560"/>
        <w:rPr>
          <w:rFonts w:hint="eastAsia" w:ascii="宋体" w:hAnsi="Times New Roman" w:eastAsia="宋体" w:cs="宋体"/>
        </w:rPr>
      </w:pPr>
    </w:p>
    <w:p w14:paraId="40A54523">
      <w:pPr>
        <w:pStyle w:val="5"/>
        <w:numPr>
          <w:ilvl w:val="2"/>
          <w:numId w:val="1"/>
        </w:numPr>
        <w:adjustRightInd w:val="0"/>
        <w:spacing w:before="120" w:after="120"/>
        <w:jc w:val="both"/>
        <w:rPr>
          <w:rFonts w:hint="eastAsia" w:ascii="Times New Roman" w:hAnsi="Times New Roman" w:eastAsia="黑体" w:cs="Times New Roman"/>
          <w:snapToGrid w:val="0"/>
          <w:color w:val="000000"/>
          <w:kern w:val="0"/>
          <w:sz w:val="32"/>
          <w:lang w:val="en-US" w:eastAsia="zh-CN"/>
        </w:rPr>
      </w:pPr>
      <w:bookmarkStart w:id="276" w:name="_Toc23074"/>
      <w:r>
        <w:rPr>
          <w:rFonts w:hint="eastAsia" w:ascii="Times New Roman" w:hAnsi="Times New Roman" w:eastAsia="黑体" w:cs="Times New Roman"/>
          <w:snapToGrid w:val="0"/>
          <w:color w:val="000000"/>
          <w:kern w:val="0"/>
          <w:sz w:val="32"/>
          <w:lang w:val="en-US" w:eastAsia="zh-CN"/>
        </w:rPr>
        <w:t>管理权限</w:t>
      </w:r>
      <w:bookmarkEnd w:id="276"/>
    </w:p>
    <w:p w14:paraId="1FBF9E16">
      <w:pPr>
        <w:pStyle w:val="1775"/>
        <w:spacing w:line="360" w:lineRule="auto"/>
        <w:ind w:firstLine="560" w:firstLineChars="200"/>
        <w:rPr>
          <w:rFonts w:hint="eastAsia" w:ascii="宋体"/>
          <w:color w:val="auto"/>
          <w:sz w:val="28"/>
          <w:szCs w:val="28"/>
        </w:rPr>
      </w:pPr>
      <w:r>
        <w:rPr>
          <w:rFonts w:hint="eastAsia" w:ascii="宋体"/>
          <w:color w:val="auto"/>
          <w:sz w:val="28"/>
          <w:szCs w:val="28"/>
          <w:lang w:val="en-US" w:eastAsia="zh-CN"/>
        </w:rPr>
        <w:t>本项目外管廊物料输送涉及云南祥丰金麦化工有限公司与云南瓮福祥丰氟硅新材料有限公司两个公司的协调配合，</w:t>
      </w:r>
      <w:r>
        <w:rPr>
          <w:rFonts w:hint="eastAsia" w:ascii="宋体"/>
          <w:color w:val="auto"/>
          <w:sz w:val="28"/>
          <w:szCs w:val="28"/>
        </w:rPr>
        <w:t>祥丰金麦</w:t>
      </w:r>
      <w:bookmarkStart w:id="277" w:name="_Hlk171438571"/>
      <w:r>
        <w:rPr>
          <w:rFonts w:hint="eastAsia" w:ascii="宋体"/>
          <w:color w:val="auto"/>
          <w:sz w:val="28"/>
          <w:szCs w:val="28"/>
        </w:rPr>
        <w:t>界区内的输送泵由祥丰金麦操作人员操作及维护</w:t>
      </w:r>
      <w:bookmarkEnd w:id="277"/>
      <w:r>
        <w:rPr>
          <w:rFonts w:hint="eastAsia" w:ascii="宋体"/>
          <w:color w:val="auto"/>
          <w:sz w:val="28"/>
          <w:szCs w:val="28"/>
        </w:rPr>
        <w:t>，瓮福祥丰界区内的输送泵由瓮福祥丰操作人员操作及维护，双方公司均</w:t>
      </w:r>
      <w:r>
        <w:rPr>
          <w:rFonts w:hint="eastAsia" w:ascii="宋体"/>
          <w:color w:val="auto"/>
          <w:sz w:val="28"/>
          <w:szCs w:val="28"/>
          <w:lang w:val="en-US" w:eastAsia="zh-CN"/>
        </w:rPr>
        <w:t>能</w:t>
      </w:r>
      <w:r>
        <w:rPr>
          <w:rFonts w:hint="eastAsia" w:ascii="宋体"/>
          <w:color w:val="auto"/>
          <w:sz w:val="28"/>
          <w:szCs w:val="28"/>
        </w:rPr>
        <w:t>看得到必要的输送流量</w:t>
      </w:r>
      <w:r>
        <w:rPr>
          <w:rFonts w:hint="eastAsia" w:ascii="宋体"/>
          <w:color w:val="auto"/>
          <w:sz w:val="28"/>
          <w:szCs w:val="28"/>
          <w:lang w:val="en-US" w:eastAsia="zh-CN"/>
        </w:rPr>
        <w:t>和储槽液位</w:t>
      </w:r>
      <w:r>
        <w:rPr>
          <w:rFonts w:hint="eastAsia" w:ascii="宋体"/>
          <w:color w:val="auto"/>
          <w:sz w:val="28"/>
          <w:szCs w:val="28"/>
        </w:rPr>
        <w:t>，双方公司控制室通过电话沟通后，各界区主控室通知自己的操作人员进行操作。</w:t>
      </w:r>
    </w:p>
    <w:p w14:paraId="7A164110">
      <w:pPr>
        <w:pStyle w:val="5"/>
        <w:numPr>
          <w:ilvl w:val="2"/>
          <w:numId w:val="1"/>
        </w:numPr>
        <w:adjustRightInd w:val="0"/>
        <w:spacing w:before="120" w:after="120"/>
        <w:jc w:val="both"/>
        <w:rPr>
          <w:rFonts w:hint="default" w:ascii="Times New Roman" w:hAnsi="Times New Roman" w:eastAsia="黑体" w:cs="Times New Roman"/>
          <w:snapToGrid w:val="0"/>
          <w:color w:val="000000"/>
          <w:kern w:val="0"/>
          <w:sz w:val="32"/>
          <w:lang w:val="en-US" w:eastAsia="zh-CN"/>
        </w:rPr>
      </w:pPr>
      <w:bookmarkStart w:id="278" w:name="_Toc191729997"/>
      <w:bookmarkStart w:id="279" w:name="_Toc191728141"/>
      <w:bookmarkStart w:id="280" w:name="_Toc281079482"/>
      <w:bookmarkStart w:id="281" w:name="_Toc191729701"/>
      <w:bookmarkStart w:id="282" w:name="_Toc262653624"/>
      <w:bookmarkStart w:id="283" w:name="_Toc250471542"/>
      <w:bookmarkStart w:id="284" w:name="_Toc273523586"/>
      <w:bookmarkStart w:id="285" w:name="_Toc208398699"/>
      <w:bookmarkStart w:id="286" w:name="_Toc194389905"/>
      <w:bookmarkStart w:id="287" w:name="_Toc280194971"/>
      <w:bookmarkStart w:id="288" w:name="_Toc262743377"/>
      <w:bookmarkStart w:id="289" w:name="_Toc235587829"/>
      <w:bookmarkStart w:id="290" w:name="_Toc236123693"/>
      <w:bookmarkStart w:id="291" w:name="_Toc275435882"/>
      <w:bookmarkStart w:id="292" w:name="_Toc249354488"/>
      <w:bookmarkStart w:id="293" w:name="_Toc272582151"/>
      <w:bookmarkStart w:id="294" w:name="_Toc262638476"/>
      <w:bookmarkStart w:id="295" w:name="_Toc249429981"/>
      <w:bookmarkStart w:id="296" w:name="_Toc369180192"/>
      <w:bookmarkStart w:id="297" w:name="_Toc12379"/>
      <w:bookmarkStart w:id="298" w:name="_Toc304280363"/>
      <w:bookmarkStart w:id="299" w:name="_Toc339981264"/>
      <w:bookmarkStart w:id="300" w:name="_Toc23488"/>
      <w:bookmarkStart w:id="301" w:name="_Toc304298955"/>
      <w:bookmarkStart w:id="302" w:name="_Toc310092719"/>
      <w:bookmarkStart w:id="303" w:name="_Toc14013"/>
      <w:bookmarkStart w:id="304" w:name="_Toc304470797"/>
      <w:bookmarkStart w:id="305" w:name="_Toc304545773"/>
      <w:bookmarkStart w:id="306" w:name="_Toc25495"/>
      <w:bookmarkStart w:id="307" w:name="_Toc384729661"/>
      <w:bookmarkStart w:id="308" w:name="_Toc504482172"/>
      <w:bookmarkStart w:id="309" w:name="_Toc30952"/>
      <w:bookmarkStart w:id="310" w:name="_Toc472686284"/>
      <w:bookmarkStart w:id="311" w:name="_Toc370242993"/>
      <w:bookmarkStart w:id="312" w:name="_Toc377137356"/>
      <w:bookmarkStart w:id="313" w:name="_Toc310369757"/>
      <w:bookmarkStart w:id="314" w:name="_Toc310287011"/>
      <w:r>
        <w:rPr>
          <w:rFonts w:hint="default" w:ascii="Times New Roman" w:hAnsi="Times New Roman" w:eastAsia="黑体" w:cs="Times New Roman"/>
          <w:snapToGrid w:val="0"/>
          <w:color w:val="000000"/>
          <w:kern w:val="0"/>
          <w:sz w:val="32"/>
          <w:lang w:val="en-US" w:eastAsia="zh-CN"/>
        </w:rPr>
        <w:t>安全</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Pr>
          <w:rFonts w:hint="default" w:ascii="Times New Roman" w:hAnsi="Times New Roman" w:eastAsia="黑体" w:cs="Times New Roman"/>
          <w:snapToGrid w:val="0"/>
          <w:color w:val="000000"/>
          <w:kern w:val="0"/>
          <w:sz w:val="32"/>
          <w:lang w:val="en-US" w:eastAsia="zh-CN"/>
        </w:rPr>
        <w:t>管理规章制度</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398F8A74">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center"/>
        <w:rPr>
          <w:bCs/>
          <w:color w:val="000000"/>
          <w:sz w:val="28"/>
          <w:szCs w:val="28"/>
        </w:rPr>
      </w:pPr>
      <w:r>
        <w:rPr>
          <w:rFonts w:hint="eastAsia"/>
          <w:color w:val="000000"/>
          <w:sz w:val="28"/>
          <w:szCs w:val="28"/>
        </w:rPr>
        <w:t>云南瓮福祥丰氟硅新材料有限公司</w:t>
      </w:r>
      <w:r>
        <w:rPr>
          <w:color w:val="000000"/>
          <w:sz w:val="28"/>
          <w:szCs w:val="28"/>
        </w:rPr>
        <w:t>根据实际情况制定了</w:t>
      </w:r>
      <w:r>
        <w:rPr>
          <w:rFonts w:hint="eastAsia"/>
          <w:color w:val="000000"/>
          <w:sz w:val="28"/>
          <w:szCs w:val="28"/>
        </w:rPr>
        <w:t>全员</w:t>
      </w:r>
      <w:r>
        <w:rPr>
          <w:bCs/>
          <w:color w:val="000000"/>
          <w:sz w:val="28"/>
          <w:szCs w:val="28"/>
        </w:rPr>
        <w:t>安全生产责任制、安全管理制度、安全操作规程。</w:t>
      </w:r>
    </w:p>
    <w:p w14:paraId="0FD7180E">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center"/>
        <w:rPr>
          <w:bCs/>
          <w:color w:val="000000"/>
          <w:sz w:val="28"/>
          <w:szCs w:val="28"/>
        </w:rPr>
      </w:pPr>
      <w:r>
        <w:rPr>
          <w:bCs/>
          <w:color w:val="000000"/>
          <w:sz w:val="28"/>
          <w:szCs w:val="28"/>
        </w:rPr>
        <w:t>安全管理制度方面，包括涉及重大危险源安全管理的</w:t>
      </w:r>
      <w:r>
        <w:rPr>
          <w:rFonts w:hint="eastAsia"/>
          <w:bCs/>
          <w:color w:val="000000"/>
          <w:sz w:val="28"/>
          <w:szCs w:val="28"/>
        </w:rPr>
        <w:t>《危险化学品</w:t>
      </w:r>
      <w:r>
        <w:rPr>
          <w:bCs/>
          <w:color w:val="000000"/>
          <w:sz w:val="28"/>
          <w:szCs w:val="28"/>
        </w:rPr>
        <w:t>重大危险源管理</w:t>
      </w:r>
      <w:r>
        <w:rPr>
          <w:rFonts w:hint="eastAsia"/>
          <w:bCs/>
          <w:color w:val="000000"/>
          <w:sz w:val="28"/>
          <w:szCs w:val="28"/>
        </w:rPr>
        <w:t>办法》</w:t>
      </w:r>
      <w:r>
        <w:rPr>
          <w:bCs/>
          <w:color w:val="000000"/>
          <w:sz w:val="28"/>
          <w:szCs w:val="28"/>
        </w:rPr>
        <w:t>、</w:t>
      </w:r>
      <w:r>
        <w:rPr>
          <w:rFonts w:hint="eastAsia"/>
          <w:bCs/>
          <w:color w:val="000000"/>
          <w:sz w:val="28"/>
          <w:szCs w:val="28"/>
        </w:rPr>
        <w:t>《</w:t>
      </w:r>
      <w:r>
        <w:rPr>
          <w:bCs/>
          <w:color w:val="000000"/>
          <w:sz w:val="28"/>
          <w:szCs w:val="28"/>
        </w:rPr>
        <w:t>重大危险源包保责任制管理</w:t>
      </w:r>
      <w:r>
        <w:rPr>
          <w:rFonts w:hint="eastAsia"/>
          <w:bCs/>
          <w:color w:val="000000"/>
          <w:sz w:val="28"/>
          <w:szCs w:val="28"/>
        </w:rPr>
        <w:t>办法》</w:t>
      </w:r>
      <w:r>
        <w:rPr>
          <w:bCs/>
          <w:color w:val="000000"/>
          <w:sz w:val="28"/>
          <w:szCs w:val="28"/>
        </w:rPr>
        <w:t>等。</w:t>
      </w:r>
    </w:p>
    <w:p w14:paraId="33CBBE3C">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center"/>
        <w:rPr>
          <w:color w:val="000000"/>
          <w:sz w:val="28"/>
          <w:szCs w:val="28"/>
        </w:rPr>
      </w:pPr>
      <w:r>
        <w:rPr>
          <w:color w:val="000000"/>
          <w:sz w:val="28"/>
          <w:szCs w:val="28"/>
        </w:rPr>
        <w:t>安全生产责任制方面，制定了</w:t>
      </w:r>
      <w:r>
        <w:rPr>
          <w:rFonts w:hint="eastAsia"/>
          <w:color w:val="000000"/>
          <w:sz w:val="28"/>
          <w:szCs w:val="28"/>
        </w:rPr>
        <w:t>《全员</w:t>
      </w:r>
      <w:r>
        <w:rPr>
          <w:bCs/>
          <w:color w:val="000000"/>
          <w:sz w:val="28"/>
          <w:szCs w:val="28"/>
        </w:rPr>
        <w:t>安全生产责任制</w:t>
      </w:r>
      <w:r>
        <w:rPr>
          <w:rFonts w:hint="eastAsia"/>
          <w:color w:val="000000"/>
          <w:sz w:val="28"/>
          <w:szCs w:val="28"/>
        </w:rPr>
        <w:t>》，包括了</w:t>
      </w:r>
      <w:r>
        <w:rPr>
          <w:color w:val="000000"/>
          <w:sz w:val="28"/>
          <w:szCs w:val="28"/>
        </w:rPr>
        <w:t>重大危险源相关各岗位人员职责。</w:t>
      </w:r>
    </w:p>
    <w:p w14:paraId="3D1E592B">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center"/>
        <w:rPr>
          <w:color w:val="000000"/>
          <w:sz w:val="28"/>
          <w:szCs w:val="28"/>
          <w:lang w:bidi="ar"/>
        </w:rPr>
      </w:pPr>
      <w:r>
        <w:rPr>
          <w:color w:val="000000"/>
          <w:sz w:val="28"/>
          <w:szCs w:val="28"/>
          <w:lang w:bidi="ar"/>
        </w:rPr>
        <w:t>安全操作规程方面</w:t>
      </w:r>
      <w:r>
        <w:rPr>
          <w:color w:val="000000"/>
          <w:sz w:val="28"/>
          <w:szCs w:val="28"/>
        </w:rPr>
        <w:t>，制定了涉及重大危险源相关各岗位的安全操作规程，包括：</w:t>
      </w:r>
      <w:r>
        <w:rPr>
          <w:rFonts w:hint="eastAsia"/>
          <w:color w:val="000000"/>
          <w:sz w:val="28"/>
          <w:szCs w:val="28"/>
          <w:lang w:bidi="ar"/>
        </w:rPr>
        <w:t>《云南瓮福祥丰分析规程》</w:t>
      </w:r>
      <w:r>
        <w:rPr>
          <w:color w:val="000000"/>
          <w:sz w:val="28"/>
          <w:szCs w:val="28"/>
          <w:lang w:bidi="ar"/>
        </w:rPr>
        <w:t>等。</w:t>
      </w:r>
      <w:r>
        <w:rPr>
          <w:rFonts w:hint="eastAsia"/>
          <w:color w:val="000000"/>
          <w:sz w:val="28"/>
          <w:szCs w:val="28"/>
          <w:lang w:bidi="ar"/>
        </w:rPr>
        <w:t>针对试生产期间可能遇到的问题和对策措施，制定了《工艺参数控制范围、风险分析和纠正措施》、《装置异常现象的原因及处理方法》。</w:t>
      </w:r>
    </w:p>
    <w:p w14:paraId="1BAD9963">
      <w:pPr>
        <w:keepNext w:val="0"/>
        <w:keepLines w:val="0"/>
        <w:pageBreakBefore w:val="0"/>
        <w:widowControl w:val="0"/>
        <w:kinsoku/>
        <w:wordWrap/>
        <w:overflowPunct/>
        <w:topLinePunct w:val="0"/>
        <w:autoSpaceDE/>
        <w:autoSpaceDN/>
        <w:bidi w:val="0"/>
        <w:adjustRightInd/>
        <w:snapToGrid w:val="0"/>
        <w:spacing w:line="360" w:lineRule="auto"/>
        <w:ind w:firstLine="560" w:firstLineChars="200"/>
        <w:rPr>
          <w:snapToGrid w:val="0"/>
          <w:color w:val="000000"/>
          <w:kern w:val="0"/>
          <w:sz w:val="28"/>
          <w:szCs w:val="28"/>
          <w:lang w:bidi="ar"/>
        </w:rPr>
      </w:pPr>
      <w:r>
        <w:rPr>
          <w:rFonts w:hint="eastAsia"/>
          <w:color w:val="000000"/>
          <w:sz w:val="28"/>
          <w:szCs w:val="28"/>
        </w:rPr>
        <w:t>《全员</w:t>
      </w:r>
      <w:r>
        <w:rPr>
          <w:bCs/>
          <w:color w:val="000000"/>
          <w:sz w:val="28"/>
          <w:szCs w:val="28"/>
        </w:rPr>
        <w:t>安全生产责任制</w:t>
      </w:r>
      <w:r>
        <w:rPr>
          <w:rFonts w:hint="eastAsia"/>
          <w:color w:val="000000"/>
          <w:sz w:val="28"/>
          <w:szCs w:val="28"/>
        </w:rPr>
        <w:t>》、</w:t>
      </w:r>
      <w:r>
        <w:rPr>
          <w:rFonts w:hint="eastAsia"/>
          <w:color w:val="000000"/>
          <w:sz w:val="28"/>
          <w:szCs w:val="28"/>
          <w:lang w:val="en-US" w:eastAsia="zh-CN"/>
        </w:rPr>
        <w:t>管理制度台账、</w:t>
      </w:r>
      <w:r>
        <w:rPr>
          <w:rFonts w:hint="eastAsia"/>
          <w:bCs/>
          <w:color w:val="000000"/>
          <w:sz w:val="28"/>
          <w:szCs w:val="28"/>
        </w:rPr>
        <w:t>《危险化学品</w:t>
      </w:r>
      <w:r>
        <w:rPr>
          <w:bCs/>
          <w:color w:val="000000"/>
          <w:sz w:val="28"/>
          <w:szCs w:val="28"/>
        </w:rPr>
        <w:t>重大危险源管理</w:t>
      </w:r>
      <w:r>
        <w:rPr>
          <w:rFonts w:hint="eastAsia"/>
          <w:bCs/>
          <w:color w:val="000000"/>
          <w:sz w:val="28"/>
          <w:szCs w:val="28"/>
        </w:rPr>
        <w:t>办法》</w:t>
      </w:r>
      <w:r>
        <w:rPr>
          <w:bCs/>
          <w:color w:val="000000"/>
          <w:sz w:val="28"/>
          <w:szCs w:val="28"/>
        </w:rPr>
        <w:t>、</w:t>
      </w:r>
      <w:r>
        <w:rPr>
          <w:rFonts w:hint="eastAsia"/>
          <w:bCs/>
          <w:color w:val="000000"/>
          <w:sz w:val="28"/>
          <w:szCs w:val="28"/>
        </w:rPr>
        <w:t>《</w:t>
      </w:r>
      <w:r>
        <w:rPr>
          <w:bCs/>
          <w:color w:val="000000"/>
          <w:sz w:val="28"/>
          <w:szCs w:val="28"/>
        </w:rPr>
        <w:t>重大危险源包保责任制管理</w:t>
      </w:r>
      <w:r>
        <w:rPr>
          <w:rFonts w:hint="eastAsia"/>
          <w:bCs/>
          <w:color w:val="000000"/>
          <w:sz w:val="28"/>
          <w:szCs w:val="28"/>
        </w:rPr>
        <w:t>办法》</w:t>
      </w:r>
      <w:r>
        <w:rPr>
          <w:rFonts w:hint="eastAsia"/>
          <w:color w:val="000000"/>
          <w:sz w:val="28"/>
          <w:szCs w:val="28"/>
          <w:lang w:bidi="ar"/>
        </w:rPr>
        <w:t>、《云南瓮福祥丰分析规程》等文件的封面、目录</w:t>
      </w:r>
      <w:r>
        <w:rPr>
          <w:color w:val="000000"/>
          <w:sz w:val="28"/>
          <w:szCs w:val="28"/>
          <w:lang w:bidi="ar"/>
        </w:rPr>
        <w:t>见</w:t>
      </w:r>
      <w:r>
        <w:rPr>
          <w:snapToGrid w:val="0"/>
          <w:color w:val="000000"/>
          <w:kern w:val="0"/>
          <w:sz w:val="28"/>
          <w:szCs w:val="28"/>
          <w:lang w:bidi="ar"/>
        </w:rPr>
        <w:t>报告</w:t>
      </w:r>
      <w:r>
        <w:rPr>
          <w:color w:val="000000"/>
          <w:sz w:val="28"/>
          <w:szCs w:val="28"/>
          <w:lang w:bidi="ar"/>
        </w:rPr>
        <w:t>附件“</w:t>
      </w:r>
      <w:r>
        <w:rPr>
          <w:rFonts w:hint="eastAsia"/>
          <w:color w:val="000000"/>
          <w:sz w:val="28"/>
          <w:szCs w:val="28"/>
          <w:lang w:bidi="ar"/>
        </w:rPr>
        <w:t>附件资料</w:t>
      </w:r>
      <w:r>
        <w:rPr>
          <w:color w:val="000000"/>
          <w:sz w:val="28"/>
          <w:szCs w:val="28"/>
          <w:lang w:bidi="ar"/>
        </w:rPr>
        <w:t>”</w:t>
      </w:r>
      <w:r>
        <w:rPr>
          <w:snapToGrid w:val="0"/>
          <w:color w:val="000000"/>
          <w:kern w:val="0"/>
          <w:sz w:val="28"/>
          <w:szCs w:val="28"/>
          <w:lang w:bidi="ar"/>
        </w:rPr>
        <w:t>。</w:t>
      </w:r>
    </w:p>
    <w:p w14:paraId="433A6AAC">
      <w:pPr>
        <w:pStyle w:val="5"/>
        <w:numPr>
          <w:ilvl w:val="2"/>
          <w:numId w:val="1"/>
        </w:numPr>
        <w:adjustRightInd w:val="0"/>
        <w:spacing w:before="120" w:after="120"/>
        <w:jc w:val="both"/>
        <w:rPr>
          <w:rFonts w:hint="default" w:ascii="Times New Roman" w:hAnsi="Times New Roman" w:eastAsia="黑体" w:cs="Times New Roman"/>
          <w:snapToGrid w:val="0"/>
          <w:color w:val="000000"/>
          <w:kern w:val="0"/>
          <w:sz w:val="32"/>
          <w:lang w:val="en-US" w:eastAsia="zh-CN"/>
        </w:rPr>
      </w:pPr>
      <w:bookmarkStart w:id="315" w:name="_Toc32212"/>
      <w:r>
        <w:rPr>
          <w:rFonts w:hint="default" w:ascii="Times New Roman" w:hAnsi="Times New Roman" w:eastAsia="黑体" w:cs="Times New Roman"/>
          <w:snapToGrid w:val="0"/>
          <w:color w:val="000000"/>
          <w:kern w:val="0"/>
          <w:sz w:val="32"/>
          <w:lang w:val="en-US" w:eastAsia="zh-CN"/>
        </w:rPr>
        <w:t>安全管理台帐</w:t>
      </w:r>
      <w:bookmarkEnd w:id="315"/>
    </w:p>
    <w:p w14:paraId="3593512B">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center"/>
        <w:rPr>
          <w:rFonts w:hint="eastAsia" w:ascii="宋体" w:hAnsi="Times New Roman" w:eastAsia="宋体" w:cs="宋体"/>
          <w:color w:val="000000"/>
          <w:sz w:val="28"/>
          <w:szCs w:val="28"/>
          <w:lang w:bidi="ar"/>
        </w:rPr>
      </w:pPr>
      <w:r>
        <w:rPr>
          <w:rFonts w:hint="eastAsia" w:ascii="宋体" w:hAnsi="Times New Roman" w:eastAsia="宋体" w:cs="宋体"/>
          <w:color w:val="000000"/>
          <w:sz w:val="28"/>
          <w:szCs w:val="28"/>
          <w:lang w:bidi="ar"/>
        </w:rPr>
        <w:t>云南瓮福祥丰氟硅新材料有限公司根据该公司的实际需求建立了培训签到表、劳动防护用品发放签到表、体检报告领取单、应急演练记录、投料试车系统运行参数记录表、动设备巡检记录表、静设备巡检记录表、原料或产品分析记录表、化工投料试车过程记录表等安全管理台账。</w:t>
      </w:r>
    </w:p>
    <w:p w14:paraId="786B0246">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center"/>
        <w:rPr>
          <w:rFonts w:hint="eastAsia" w:ascii="宋体" w:hAnsi="Times New Roman" w:eastAsia="宋体" w:cs="宋体"/>
          <w:color w:val="000000"/>
          <w:sz w:val="28"/>
          <w:szCs w:val="28"/>
          <w:lang w:bidi="ar"/>
        </w:rPr>
      </w:pPr>
      <w:r>
        <w:rPr>
          <w:rFonts w:hint="eastAsia" w:ascii="宋体" w:hAnsi="Times New Roman" w:eastAsia="宋体" w:cs="宋体"/>
          <w:color w:val="000000"/>
          <w:sz w:val="28"/>
          <w:szCs w:val="28"/>
          <w:lang w:bidi="ar"/>
        </w:rPr>
        <w:t>另外，该公司针对特殊作业方面还建立了动火、高处、断路、吊装、受限空间、临时用电、动土、盲板抽堵安全作业证等票证台账。</w:t>
      </w:r>
    </w:p>
    <w:p w14:paraId="6C452C4F">
      <w:pPr>
        <w:pStyle w:val="5"/>
        <w:numPr>
          <w:ilvl w:val="2"/>
          <w:numId w:val="1"/>
        </w:numPr>
        <w:adjustRightInd w:val="0"/>
        <w:spacing w:before="120" w:after="120"/>
        <w:jc w:val="both"/>
        <w:rPr>
          <w:rFonts w:hint="default" w:ascii="Times New Roman" w:hAnsi="Times New Roman" w:eastAsia="黑体" w:cs="Times New Roman"/>
          <w:snapToGrid w:val="0"/>
          <w:color w:val="000000"/>
          <w:kern w:val="0"/>
          <w:sz w:val="32"/>
          <w:lang w:val="en-US" w:eastAsia="zh-CN"/>
        </w:rPr>
      </w:pPr>
      <w:bookmarkStart w:id="316" w:name="_Toc24240"/>
      <w:r>
        <w:rPr>
          <w:rFonts w:hint="default" w:ascii="Times New Roman" w:hAnsi="Times New Roman" w:eastAsia="黑体" w:cs="Times New Roman"/>
          <w:snapToGrid w:val="0"/>
          <w:color w:val="000000"/>
          <w:kern w:val="0"/>
          <w:sz w:val="32"/>
          <w:lang w:val="en-US" w:eastAsia="zh-CN"/>
        </w:rPr>
        <w:t>事故应急预案及应急救援物资配备情况</w:t>
      </w:r>
      <w:bookmarkEnd w:id="316"/>
    </w:p>
    <w:p w14:paraId="54BC0AB3">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center"/>
        <w:rPr>
          <w:rFonts w:hint="eastAsia" w:ascii="宋体" w:hAnsi="Times New Roman" w:eastAsia="宋体" w:cs="宋体"/>
          <w:color w:val="000000"/>
          <w:sz w:val="28"/>
          <w:szCs w:val="28"/>
          <w:lang w:bidi="ar"/>
        </w:rPr>
      </w:pPr>
      <w:r>
        <w:rPr>
          <w:rFonts w:hint="eastAsia" w:ascii="宋体" w:hAnsi="Times New Roman" w:eastAsia="宋体" w:cs="宋体"/>
          <w:color w:val="000000"/>
          <w:sz w:val="28"/>
          <w:szCs w:val="28"/>
          <w:lang w:bidi="ar"/>
        </w:rPr>
        <w:t>云南瓮福祥丰氟硅新材料有限公司于2024年10月编制了《云南瓮福祥丰氟硅新材料有限公司生产安全事故应急预案》，包括综合应急预案、专项应急预案（含</w:t>
      </w:r>
      <w:r>
        <w:rPr>
          <w:rFonts w:hint="eastAsia" w:ascii="宋体" w:hAnsi="Times New Roman" w:eastAsia="宋体" w:cs="宋体"/>
          <w:color w:val="000000"/>
          <w:sz w:val="28"/>
          <w:szCs w:val="28"/>
          <w:lang w:val="en-US" w:eastAsia="zh-CN" w:bidi="ar"/>
        </w:rPr>
        <w:t>073外管廊专项应急预案</w:t>
      </w:r>
      <w:r>
        <w:rPr>
          <w:rFonts w:hint="eastAsia" w:ascii="宋体" w:hAnsi="Times New Roman" w:eastAsia="宋体" w:cs="宋体"/>
          <w:color w:val="000000"/>
          <w:sz w:val="28"/>
          <w:szCs w:val="28"/>
          <w:lang w:bidi="ar"/>
        </w:rPr>
        <w:t>）、现场处置方案等，经专家评审通过。于2024年10月30日经安宁市应急管理局同意备案，并出具了《应急预案备案登记表》（备案编号：530181-2024-WH071）。该公司于2024年10月组织了无水氟化氢泄漏应急演练、浓硫酸泄漏演练、浓氟硅酸泄漏应急演练等。应急预案封面、目录、评审意见、备案登记表、演练记录等相关资料见附件。</w:t>
      </w:r>
    </w:p>
    <w:p w14:paraId="32A639B3">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center"/>
        <w:rPr>
          <w:rFonts w:hint="eastAsia" w:ascii="宋体" w:hAnsi="Times New Roman" w:eastAsia="宋体" w:cs="宋体"/>
          <w:color w:val="000000"/>
          <w:sz w:val="28"/>
          <w:szCs w:val="28"/>
          <w:lang w:bidi="ar"/>
        </w:rPr>
      </w:pPr>
      <w:r>
        <w:rPr>
          <w:rFonts w:hint="eastAsia" w:ascii="宋体" w:hAnsi="Times New Roman" w:eastAsia="宋体" w:cs="宋体"/>
          <w:color w:val="000000"/>
          <w:sz w:val="28"/>
          <w:szCs w:val="28"/>
          <w:lang w:val="en-US" w:eastAsia="zh-CN" w:bidi="ar"/>
        </w:rPr>
        <w:t>本项目依托主生产项目应急物资</w:t>
      </w:r>
      <w:r>
        <w:rPr>
          <w:rFonts w:hint="eastAsia" w:ascii="宋体" w:hAnsi="Times New Roman" w:eastAsia="宋体" w:cs="宋体"/>
          <w:color w:val="000000"/>
          <w:sz w:val="28"/>
          <w:szCs w:val="28"/>
          <w:lang w:bidi="ar"/>
        </w:rPr>
        <w:t>，情况如下表所示。</w:t>
      </w:r>
    </w:p>
    <w:p w14:paraId="5A9B9980">
      <w:pPr>
        <w:ind w:left="480"/>
        <w:jc w:val="center"/>
        <w:rPr>
          <w:b/>
          <w:bCs/>
          <w:snapToGrid w:val="0"/>
          <w:color w:val="000000"/>
          <w:sz w:val="24"/>
        </w:rPr>
      </w:pPr>
      <w:r>
        <w:rPr>
          <w:rFonts w:hint="eastAsia"/>
          <w:b/>
          <w:bCs/>
          <w:snapToGrid w:val="0"/>
          <w:color w:val="000000"/>
          <w:sz w:val="24"/>
        </w:rPr>
        <w:t>表2</w:t>
      </w:r>
      <w:r>
        <w:rPr>
          <w:rFonts w:hint="eastAsia"/>
          <w:b/>
          <w:bCs/>
          <w:snapToGrid w:val="0"/>
          <w:color w:val="000000"/>
          <w:sz w:val="24"/>
          <w:lang w:val="en-US" w:eastAsia="zh-CN"/>
        </w:rPr>
        <w:t>.2</w:t>
      </w:r>
      <w:r>
        <w:rPr>
          <w:rFonts w:hint="eastAsia"/>
          <w:b/>
          <w:bCs/>
          <w:snapToGrid w:val="0"/>
          <w:color w:val="000000"/>
          <w:sz w:val="24"/>
        </w:rPr>
        <w:t>-</w:t>
      </w:r>
      <w:r>
        <w:rPr>
          <w:rFonts w:hint="eastAsia"/>
          <w:b/>
          <w:bCs/>
          <w:snapToGrid w:val="0"/>
          <w:color w:val="000000"/>
          <w:sz w:val="24"/>
          <w:lang w:val="en-US" w:eastAsia="zh-CN"/>
        </w:rPr>
        <w:t>8</w:t>
      </w:r>
      <w:r>
        <w:rPr>
          <w:rFonts w:hint="eastAsia"/>
          <w:b/>
          <w:bCs/>
          <w:snapToGrid w:val="0"/>
          <w:color w:val="000000"/>
          <w:sz w:val="24"/>
        </w:rPr>
        <w:t xml:space="preserve"> 应急物资情况表</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2501"/>
        <w:gridCol w:w="1087"/>
        <w:gridCol w:w="687"/>
        <w:gridCol w:w="1863"/>
        <w:gridCol w:w="2373"/>
      </w:tblGrid>
      <w:tr w14:paraId="009CE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368ADC30">
            <w:pPr>
              <w:keepNext w:val="0"/>
              <w:keepLines w:val="0"/>
              <w:pageBreakBefore w:val="0"/>
              <w:widowControl w:val="0"/>
              <w:kinsoku/>
              <w:wordWrap/>
              <w:overflowPunct/>
              <w:topLinePunct w:val="0"/>
              <w:autoSpaceDE/>
              <w:autoSpaceDN/>
              <w:bidi w:val="0"/>
              <w:snapToGrid w:val="0"/>
              <w:spacing w:line="240" w:lineRule="auto"/>
              <w:jc w:val="center"/>
              <w:textAlignment w:val="auto"/>
              <w:rPr>
                <w:b/>
                <w:color w:val="000000"/>
                <w:sz w:val="21"/>
                <w:szCs w:val="21"/>
              </w:rPr>
            </w:pPr>
            <w:r>
              <w:rPr>
                <w:b/>
                <w:color w:val="000000"/>
                <w:sz w:val="21"/>
                <w:szCs w:val="21"/>
                <w:lang w:bidi="ar"/>
              </w:rPr>
              <w:t>序号</w:t>
            </w:r>
          </w:p>
        </w:tc>
        <w:tc>
          <w:tcPr>
            <w:tcW w:w="2420" w:type="dxa"/>
            <w:tcBorders>
              <w:top w:val="single" w:color="auto" w:sz="4" w:space="0"/>
              <w:left w:val="single" w:color="auto" w:sz="4" w:space="0"/>
              <w:bottom w:val="single" w:color="auto" w:sz="4" w:space="0"/>
              <w:right w:val="single" w:color="auto" w:sz="4" w:space="0"/>
            </w:tcBorders>
            <w:noWrap w:val="0"/>
            <w:vAlign w:val="center"/>
          </w:tcPr>
          <w:p w14:paraId="685D2608">
            <w:pPr>
              <w:keepNext w:val="0"/>
              <w:keepLines w:val="0"/>
              <w:pageBreakBefore w:val="0"/>
              <w:widowControl w:val="0"/>
              <w:kinsoku/>
              <w:wordWrap/>
              <w:overflowPunct/>
              <w:topLinePunct w:val="0"/>
              <w:autoSpaceDE/>
              <w:autoSpaceDN/>
              <w:bidi w:val="0"/>
              <w:snapToGrid w:val="0"/>
              <w:spacing w:line="240" w:lineRule="auto"/>
              <w:jc w:val="center"/>
              <w:textAlignment w:val="auto"/>
              <w:rPr>
                <w:b/>
                <w:color w:val="000000"/>
                <w:sz w:val="21"/>
                <w:szCs w:val="21"/>
              </w:rPr>
            </w:pPr>
            <w:r>
              <w:rPr>
                <w:b/>
                <w:color w:val="000000"/>
                <w:sz w:val="21"/>
                <w:szCs w:val="21"/>
                <w:lang w:bidi="ar"/>
              </w:rPr>
              <w:t>物资名称</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51500113">
            <w:pPr>
              <w:keepNext w:val="0"/>
              <w:keepLines w:val="0"/>
              <w:pageBreakBefore w:val="0"/>
              <w:widowControl w:val="0"/>
              <w:kinsoku/>
              <w:wordWrap/>
              <w:overflowPunct/>
              <w:topLinePunct w:val="0"/>
              <w:autoSpaceDE/>
              <w:autoSpaceDN/>
              <w:bidi w:val="0"/>
              <w:snapToGrid w:val="0"/>
              <w:spacing w:line="240" w:lineRule="auto"/>
              <w:jc w:val="center"/>
              <w:textAlignment w:val="auto"/>
              <w:rPr>
                <w:b/>
                <w:color w:val="000000"/>
                <w:sz w:val="21"/>
                <w:szCs w:val="21"/>
              </w:rPr>
            </w:pPr>
            <w:r>
              <w:rPr>
                <w:b/>
                <w:color w:val="000000"/>
                <w:sz w:val="21"/>
                <w:szCs w:val="21"/>
                <w:lang w:bidi="ar"/>
              </w:rPr>
              <w:t>单位</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52A738D1">
            <w:pPr>
              <w:keepNext w:val="0"/>
              <w:keepLines w:val="0"/>
              <w:pageBreakBefore w:val="0"/>
              <w:widowControl w:val="0"/>
              <w:kinsoku/>
              <w:wordWrap/>
              <w:overflowPunct/>
              <w:topLinePunct w:val="0"/>
              <w:autoSpaceDE/>
              <w:autoSpaceDN/>
              <w:bidi w:val="0"/>
              <w:snapToGrid w:val="0"/>
              <w:spacing w:line="240" w:lineRule="auto"/>
              <w:jc w:val="center"/>
              <w:textAlignment w:val="auto"/>
              <w:rPr>
                <w:b/>
                <w:color w:val="000000"/>
                <w:sz w:val="21"/>
                <w:szCs w:val="21"/>
              </w:rPr>
            </w:pPr>
            <w:r>
              <w:rPr>
                <w:b/>
                <w:color w:val="000000"/>
                <w:sz w:val="21"/>
                <w:szCs w:val="21"/>
                <w:lang w:bidi="ar"/>
              </w:rPr>
              <w:t>数量</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179444BA">
            <w:pPr>
              <w:keepNext w:val="0"/>
              <w:keepLines w:val="0"/>
              <w:pageBreakBefore w:val="0"/>
              <w:widowControl w:val="0"/>
              <w:kinsoku/>
              <w:wordWrap/>
              <w:overflowPunct/>
              <w:topLinePunct w:val="0"/>
              <w:autoSpaceDE/>
              <w:autoSpaceDN/>
              <w:bidi w:val="0"/>
              <w:snapToGrid w:val="0"/>
              <w:spacing w:line="240" w:lineRule="auto"/>
              <w:jc w:val="center"/>
              <w:textAlignment w:val="auto"/>
              <w:rPr>
                <w:b/>
                <w:color w:val="000000"/>
                <w:sz w:val="21"/>
                <w:szCs w:val="21"/>
              </w:rPr>
            </w:pPr>
            <w:r>
              <w:rPr>
                <w:b/>
                <w:color w:val="000000"/>
                <w:sz w:val="21"/>
                <w:szCs w:val="21"/>
                <w:lang w:bidi="ar"/>
              </w:rPr>
              <w:t>存放地点</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0524A424">
            <w:pPr>
              <w:keepNext w:val="0"/>
              <w:keepLines w:val="0"/>
              <w:pageBreakBefore w:val="0"/>
              <w:widowControl w:val="0"/>
              <w:kinsoku/>
              <w:wordWrap/>
              <w:overflowPunct/>
              <w:topLinePunct w:val="0"/>
              <w:autoSpaceDE/>
              <w:autoSpaceDN/>
              <w:bidi w:val="0"/>
              <w:snapToGrid w:val="0"/>
              <w:spacing w:line="240" w:lineRule="auto"/>
              <w:jc w:val="center"/>
              <w:textAlignment w:val="auto"/>
              <w:rPr>
                <w:b/>
                <w:color w:val="000000"/>
                <w:sz w:val="21"/>
                <w:szCs w:val="21"/>
                <w:lang w:bidi="ar"/>
              </w:rPr>
            </w:pPr>
            <w:r>
              <w:rPr>
                <w:b/>
                <w:color w:val="000000"/>
                <w:sz w:val="21"/>
                <w:szCs w:val="21"/>
                <w:lang w:bidi="ar"/>
              </w:rPr>
              <w:t>管理责任人及电话</w:t>
            </w:r>
          </w:p>
        </w:tc>
      </w:tr>
      <w:tr w14:paraId="063C4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95" w:type="dxa"/>
            <w:gridSpan w:val="6"/>
            <w:tcBorders>
              <w:top w:val="single" w:color="auto" w:sz="4" w:space="0"/>
              <w:left w:val="single" w:color="auto" w:sz="4" w:space="0"/>
              <w:bottom w:val="single" w:color="auto" w:sz="4" w:space="0"/>
              <w:right w:val="single" w:color="auto" w:sz="4" w:space="0"/>
            </w:tcBorders>
            <w:noWrap w:val="0"/>
            <w:vAlign w:val="center"/>
          </w:tcPr>
          <w:p w14:paraId="15388E50">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一、装车站</w:t>
            </w:r>
          </w:p>
        </w:tc>
      </w:tr>
      <w:tr w14:paraId="18E77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5932E5F8">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0308F495">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应急柜</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1A3CB0EC">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个</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3F08A3CA">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1</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287E7FCC">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bCs/>
                <w:color w:val="000000"/>
                <w:sz w:val="21"/>
                <w:szCs w:val="21"/>
                <w:lang w:bidi="ar"/>
              </w:rPr>
              <w:t>装车站</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40E6B020">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马帅18795396947</w:t>
            </w:r>
          </w:p>
        </w:tc>
      </w:tr>
      <w:tr w14:paraId="682B4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7212C5E4">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19FEE686">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药品箱</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65752706">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个</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1EECD0E4">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1</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4D30A733">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bCs/>
                <w:color w:val="000000"/>
                <w:sz w:val="21"/>
                <w:szCs w:val="21"/>
                <w:lang w:bidi="ar"/>
              </w:rPr>
              <w:t>装车站</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6F44496E">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马帅18795396947</w:t>
            </w:r>
          </w:p>
        </w:tc>
      </w:tr>
      <w:tr w14:paraId="54CEE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03E6B057">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79B400B6">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重型防化服</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72E1A3A9">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套</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3E79DC97">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2</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336A1DBB">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bCs/>
                <w:color w:val="000000"/>
                <w:sz w:val="21"/>
                <w:szCs w:val="21"/>
                <w:lang w:bidi="ar"/>
              </w:rPr>
              <w:t>装车站</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343FF2EE">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马帅18795396947</w:t>
            </w:r>
          </w:p>
        </w:tc>
      </w:tr>
      <w:tr w14:paraId="13A7D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193195DC">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61EC6657">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轻型防化服</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3225D90C">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套</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675E2CDC">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2</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3C930B3F">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装车站</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7322F78C">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马帅18795396947</w:t>
            </w:r>
          </w:p>
        </w:tc>
      </w:tr>
      <w:tr w14:paraId="0DC77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5A934A0F">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38E421FB">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正压式空气呼吸器</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47485A44">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套</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21B128CD">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2</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18440987">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bCs/>
                <w:color w:val="000000"/>
                <w:sz w:val="21"/>
                <w:szCs w:val="21"/>
                <w:lang w:bidi="ar"/>
              </w:rPr>
              <w:t>装车站</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25582641">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马帅18795396947</w:t>
            </w:r>
          </w:p>
        </w:tc>
      </w:tr>
      <w:tr w14:paraId="50CCC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7CBD3691">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21768C86">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六氟灵500ml</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0068A8DF">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瓶</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7AC654B7">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1</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77BC84B0">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bCs/>
                <w:color w:val="000000"/>
                <w:sz w:val="21"/>
                <w:szCs w:val="21"/>
                <w:lang w:bidi="ar"/>
              </w:rPr>
              <w:t>装车站</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5066B4DD">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马帅18795396947</w:t>
            </w:r>
          </w:p>
        </w:tc>
      </w:tr>
      <w:tr w14:paraId="06BFB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4164C576">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16AF6FD8">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六氟灵5L</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4E3BFDE9">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瓶</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4852687B">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1</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2F726089">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rPr>
            </w:pPr>
            <w:r>
              <w:rPr>
                <w:bCs/>
                <w:color w:val="000000"/>
                <w:sz w:val="21"/>
                <w:szCs w:val="21"/>
                <w:lang w:bidi="ar"/>
              </w:rPr>
              <w:t>装车站</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19EB0BDC">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马帅18795396947</w:t>
            </w:r>
          </w:p>
        </w:tc>
      </w:tr>
      <w:tr w14:paraId="2ED29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5FF7A544">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361875C0">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葡萄糖酸钙凝胶</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1EBBA6B0">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瓶</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1053EEB5">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1</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12EDDF61">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rPr>
            </w:pPr>
            <w:r>
              <w:rPr>
                <w:bCs/>
                <w:color w:val="000000"/>
                <w:sz w:val="21"/>
                <w:szCs w:val="21"/>
                <w:lang w:bidi="ar"/>
              </w:rPr>
              <w:t>装车站</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3ADA28A1">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马帅18795396947</w:t>
            </w:r>
          </w:p>
        </w:tc>
      </w:tr>
      <w:tr w14:paraId="4BE0D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2A9369D1">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31928A03">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固定式应急滑梯</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51E7E11A">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架</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264DBF58">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2</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328E8DD4">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rPr>
            </w:pPr>
            <w:r>
              <w:rPr>
                <w:bCs/>
                <w:color w:val="000000"/>
                <w:sz w:val="21"/>
                <w:szCs w:val="21"/>
                <w:lang w:bidi="ar"/>
              </w:rPr>
              <w:t>装车站</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5D2CB63C">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马帅18795396947</w:t>
            </w:r>
          </w:p>
        </w:tc>
      </w:tr>
      <w:tr w14:paraId="2B408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95" w:type="dxa"/>
            <w:gridSpan w:val="6"/>
            <w:tcBorders>
              <w:top w:val="single" w:color="auto" w:sz="4" w:space="0"/>
              <w:left w:val="single" w:color="auto" w:sz="4" w:space="0"/>
              <w:bottom w:val="single" w:color="auto" w:sz="4" w:space="0"/>
              <w:right w:val="single" w:color="auto" w:sz="4" w:space="0"/>
            </w:tcBorders>
            <w:noWrap w:val="0"/>
            <w:vAlign w:val="center"/>
          </w:tcPr>
          <w:p w14:paraId="533CE9D0">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二、742主装置</w:t>
            </w:r>
          </w:p>
        </w:tc>
      </w:tr>
      <w:tr w14:paraId="0340B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00C9BF25">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70194BFE">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六氟灵500ml</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2628A437">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瓶</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55D9ED6F">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6</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75DE7884">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rPr>
            </w:pPr>
            <w:r>
              <w:rPr>
                <w:bCs/>
                <w:color w:val="000000"/>
                <w:sz w:val="21"/>
                <w:szCs w:val="21"/>
                <w:lang w:bidi="ar"/>
              </w:rPr>
              <w:t>742主装置</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3BC81D55">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马帅18795396947</w:t>
            </w:r>
          </w:p>
        </w:tc>
      </w:tr>
      <w:tr w14:paraId="60F00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4B09BCFB">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4F805942">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敌腐特灵500ml</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69BE1C39">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瓶</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63B71F63">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6</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66D88370">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rPr>
            </w:pPr>
            <w:r>
              <w:rPr>
                <w:bCs/>
                <w:color w:val="000000"/>
                <w:sz w:val="21"/>
                <w:szCs w:val="21"/>
                <w:lang w:bidi="ar"/>
              </w:rPr>
              <w:t>742主装置</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2D0F48D7">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马帅18795396947</w:t>
            </w:r>
          </w:p>
        </w:tc>
      </w:tr>
      <w:tr w14:paraId="489AF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05F0EE7E">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535461C0">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葡萄糖酸钙凝胶</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102CB9C9">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瓶</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0D6573C0">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6</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0799357F">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rPr>
            </w:pPr>
            <w:r>
              <w:rPr>
                <w:bCs/>
                <w:color w:val="000000"/>
                <w:sz w:val="21"/>
                <w:szCs w:val="21"/>
                <w:lang w:bidi="ar"/>
              </w:rPr>
              <w:t>742主装置</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18DA2A89">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马帅18795396947</w:t>
            </w:r>
          </w:p>
        </w:tc>
      </w:tr>
      <w:tr w14:paraId="1625E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44FEBD7D">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457AE5C1">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应急箱</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0D0D6164">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个</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1E589129">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6</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1B9857C5">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rPr>
            </w:pPr>
            <w:r>
              <w:rPr>
                <w:bCs/>
                <w:color w:val="000000"/>
                <w:sz w:val="21"/>
                <w:szCs w:val="21"/>
                <w:lang w:bidi="ar"/>
              </w:rPr>
              <w:t>742主装置</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4680D98C">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马帅18795396947</w:t>
            </w:r>
          </w:p>
        </w:tc>
      </w:tr>
      <w:tr w14:paraId="60CB9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95" w:type="dxa"/>
            <w:gridSpan w:val="6"/>
            <w:tcBorders>
              <w:top w:val="single" w:color="auto" w:sz="4" w:space="0"/>
              <w:left w:val="single" w:color="auto" w:sz="4" w:space="0"/>
              <w:bottom w:val="single" w:color="auto" w:sz="4" w:space="0"/>
              <w:right w:val="single" w:color="auto" w:sz="4" w:space="0"/>
            </w:tcBorders>
            <w:noWrap w:val="0"/>
            <w:vAlign w:val="center"/>
          </w:tcPr>
          <w:p w14:paraId="6B2D49AB">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三、743装置</w:t>
            </w:r>
          </w:p>
        </w:tc>
      </w:tr>
      <w:tr w14:paraId="3D636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65293C2A">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4B8DC610">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应急柜</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683F135C">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个</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145E64EC">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1</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7D66B023">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743装置</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453489C4">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马帅18795396947</w:t>
            </w:r>
          </w:p>
        </w:tc>
      </w:tr>
      <w:tr w14:paraId="10505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419C5426">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0FB50D18">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应急箱</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1BD35317">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个</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3096574E">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1</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68038AD8">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743装置</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520B0B93">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马帅18795396947</w:t>
            </w:r>
          </w:p>
        </w:tc>
      </w:tr>
      <w:tr w14:paraId="67640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5EC739B5">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400FCF05">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药品箱</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3F198C61">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个</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593C9489">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1</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15C45821">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743装置</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7B504D30">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马帅18795396947</w:t>
            </w:r>
          </w:p>
        </w:tc>
      </w:tr>
      <w:tr w14:paraId="770EE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283BCD91">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60B86F1C">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空气呼吸器</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7F88B28A">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套</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06E9F464">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2</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28591D29">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743装置</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57F9A632">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马帅18795396947</w:t>
            </w:r>
          </w:p>
        </w:tc>
      </w:tr>
      <w:tr w14:paraId="24EBB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0C760844">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341D7E6A">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重型防化服</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627CB4AB">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套</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5F774842">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2</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24CA1E2C">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743装置</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21AC4A5D">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马帅18795396947</w:t>
            </w:r>
          </w:p>
        </w:tc>
      </w:tr>
      <w:tr w14:paraId="7F737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05CE8EEA">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7872C8A5">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轻型防化服</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67B3B274">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套</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0413134F">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2</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5B914E04">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743装置</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4BBB815D">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马帅18795396947</w:t>
            </w:r>
          </w:p>
        </w:tc>
      </w:tr>
      <w:tr w14:paraId="6DB43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215B2FA4">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63F60EBE">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六氟灵500ml</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46996646">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瓶</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0BD517DE">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2</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55E6AB77">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743装置</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3C02BC21">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马帅18795396947</w:t>
            </w:r>
          </w:p>
        </w:tc>
      </w:tr>
      <w:tr w14:paraId="58E7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645B6EEB">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08875F19">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葡萄糖酸钙凝胶</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12C01DA1">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瓶</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79CFF66C">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2</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6C550FA4">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743装置</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6EF746E2">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马帅18795396947</w:t>
            </w:r>
          </w:p>
        </w:tc>
      </w:tr>
      <w:tr w14:paraId="16EA7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95" w:type="dxa"/>
            <w:gridSpan w:val="6"/>
            <w:tcBorders>
              <w:top w:val="single" w:color="auto" w:sz="4" w:space="0"/>
              <w:left w:val="single" w:color="auto" w:sz="4" w:space="0"/>
              <w:bottom w:val="single" w:color="auto" w:sz="4" w:space="0"/>
              <w:right w:val="single" w:color="auto" w:sz="4" w:space="0"/>
            </w:tcBorders>
            <w:noWrap w:val="0"/>
            <w:vAlign w:val="center"/>
          </w:tcPr>
          <w:p w14:paraId="101098D9">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三、气防室应急物资及器材</w:t>
            </w:r>
          </w:p>
        </w:tc>
      </w:tr>
      <w:tr w14:paraId="31249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CC957F9">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FE80AED">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救援担架</w:t>
            </w:r>
          </w:p>
        </w:tc>
        <w:tc>
          <w:tcPr>
            <w:tcW w:w="105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6371EB5">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护</w:t>
            </w:r>
          </w:p>
        </w:tc>
        <w:tc>
          <w:tcPr>
            <w:tcW w:w="66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2DAA89B">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2</w:t>
            </w:r>
          </w:p>
        </w:tc>
        <w:tc>
          <w:tcPr>
            <w:tcW w:w="1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95CA8B1">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气防室</w:t>
            </w:r>
          </w:p>
        </w:tc>
        <w:tc>
          <w:tcPr>
            <w:tcW w:w="229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E93785F">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bCs/>
                <w:color w:val="000000"/>
                <w:sz w:val="21"/>
                <w:szCs w:val="21"/>
                <w:lang w:bidi="ar"/>
              </w:rPr>
              <w:t>马帅18795396947</w:t>
            </w:r>
          </w:p>
        </w:tc>
      </w:tr>
      <w:tr w14:paraId="54E09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7591C2C2">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0874B7A9">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空气呼吸器</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2EDAC995">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套</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1FDEF904">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2</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6C79B8F9">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气防室</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0696C45A">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bCs/>
                <w:color w:val="000000"/>
                <w:sz w:val="21"/>
                <w:szCs w:val="21"/>
                <w:lang w:bidi="ar"/>
              </w:rPr>
              <w:t>马帅18795396947</w:t>
            </w:r>
          </w:p>
        </w:tc>
      </w:tr>
      <w:tr w14:paraId="59F28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2D27B5F4">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3F1DEE1D">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移动供气装置</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19FC7179">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套</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24C4264E">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1台</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073A31BA">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气防室</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015CF3B1">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bCs/>
                <w:color w:val="000000"/>
                <w:sz w:val="21"/>
                <w:szCs w:val="21"/>
                <w:lang w:bidi="ar"/>
              </w:rPr>
              <w:t>马帅18795396947</w:t>
            </w:r>
          </w:p>
        </w:tc>
      </w:tr>
      <w:tr w14:paraId="4CB17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2E2D5D33">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4B8C884B">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消防水带</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546A5B7E">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卷</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2D55E32E">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10</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74305893">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气防室</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4A6F0A8E">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bCs/>
                <w:color w:val="000000"/>
                <w:sz w:val="21"/>
                <w:szCs w:val="21"/>
                <w:lang w:bidi="ar"/>
              </w:rPr>
              <w:t>马帅18795396947</w:t>
            </w:r>
          </w:p>
        </w:tc>
      </w:tr>
      <w:tr w14:paraId="73551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75345041">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7F5F75AC">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警戒线</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2BD8E5FF">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卷</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384C4F02">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5</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66965DC2">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气防室</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384605CB">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bCs/>
                <w:color w:val="000000"/>
                <w:sz w:val="21"/>
                <w:szCs w:val="21"/>
                <w:lang w:bidi="ar"/>
              </w:rPr>
              <w:t>马帅18795396947</w:t>
            </w:r>
          </w:p>
        </w:tc>
      </w:tr>
      <w:tr w14:paraId="0211C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679D4E06">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067CA027">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highlight w:val="yellow"/>
              </w:rPr>
            </w:pPr>
            <w:r>
              <w:rPr>
                <w:color w:val="000000"/>
                <w:sz w:val="21"/>
                <w:szCs w:val="21"/>
                <w:lang w:bidi="ar"/>
              </w:rPr>
              <w:t>安全绳20m</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36834B7A">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highlight w:val="yellow"/>
              </w:rPr>
            </w:pPr>
            <w:r>
              <w:rPr>
                <w:color w:val="000000"/>
                <w:sz w:val="21"/>
                <w:szCs w:val="21"/>
                <w:lang w:bidi="ar"/>
              </w:rPr>
              <w:t>条</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253D7A82">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highlight w:val="yellow"/>
              </w:rPr>
            </w:pPr>
            <w:r>
              <w:rPr>
                <w:color w:val="000000"/>
                <w:sz w:val="21"/>
                <w:szCs w:val="21"/>
                <w:lang w:bidi="ar"/>
              </w:rPr>
              <w:t>2</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697BEE61">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highlight w:val="yellow"/>
              </w:rPr>
            </w:pPr>
            <w:r>
              <w:rPr>
                <w:color w:val="000000"/>
                <w:sz w:val="21"/>
                <w:szCs w:val="21"/>
                <w:lang w:bidi="ar"/>
              </w:rPr>
              <w:t>气防室</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5C8600CA">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highlight w:val="yellow"/>
                <w:lang w:bidi="ar"/>
              </w:rPr>
            </w:pPr>
            <w:r>
              <w:rPr>
                <w:bCs/>
                <w:color w:val="000000"/>
                <w:sz w:val="21"/>
                <w:szCs w:val="21"/>
                <w:lang w:bidi="ar"/>
              </w:rPr>
              <w:t>马帅18795396947</w:t>
            </w:r>
          </w:p>
        </w:tc>
      </w:tr>
      <w:tr w14:paraId="08AAD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76C27145">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058A8629">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安全绳50m</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273993D2">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条</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6C3552DE">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2</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6914F580">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气防室</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4CEC888A">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bCs/>
                <w:color w:val="000000"/>
                <w:sz w:val="21"/>
                <w:szCs w:val="21"/>
                <w:lang w:bidi="ar"/>
              </w:rPr>
              <w:t>马帅18795396947</w:t>
            </w:r>
          </w:p>
        </w:tc>
      </w:tr>
      <w:tr w14:paraId="3149E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6DD88132">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0B90A754">
            <w:pPr>
              <w:pStyle w:val="1777"/>
              <w:keepNext w:val="0"/>
              <w:keepLines w:val="0"/>
              <w:pageBreakBefore w:val="0"/>
              <w:widowControl w:val="0"/>
              <w:kinsoku/>
              <w:wordWrap/>
              <w:overflowPunct/>
              <w:topLinePunct w:val="0"/>
              <w:autoSpaceDE/>
              <w:autoSpaceDN/>
              <w:bidi w:val="0"/>
              <w:snapToGrid w:val="0"/>
              <w:spacing w:line="240" w:lineRule="auto"/>
              <w:textAlignment w:val="auto"/>
              <w:rPr>
                <w:rFonts w:cs="Times New Roman"/>
                <w:color w:val="000000"/>
                <w:sz w:val="21"/>
                <w:szCs w:val="21"/>
                <w:lang w:bidi="ar"/>
              </w:rPr>
            </w:pPr>
            <w:r>
              <w:rPr>
                <w:rFonts w:cs="Times New Roman"/>
                <w:color w:val="000000"/>
                <w:sz w:val="21"/>
                <w:szCs w:val="21"/>
              </w:rPr>
              <w:t>便携式有毒气体检测报警仪</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54D749A4">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台</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4530C12E">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4</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0F50A051">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气防室</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03995EAF">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马帅18795396947</w:t>
            </w:r>
          </w:p>
        </w:tc>
      </w:tr>
      <w:tr w14:paraId="2AD64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34545160">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1F7A4F3F">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rPr>
              <w:t>便携式氧浓度检测仪</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220CF20E">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bCs/>
                <w:color w:val="000000"/>
                <w:sz w:val="21"/>
                <w:szCs w:val="21"/>
                <w:lang w:bidi="ar"/>
              </w:rPr>
              <w:t>台</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0E4BC694">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2</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29EFD186">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气防室</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31B2795C">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马帅18795396947</w:t>
            </w:r>
          </w:p>
        </w:tc>
      </w:tr>
      <w:tr w14:paraId="79FD2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69FC776A">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1C3D4585">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六氟灵500ml</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3AC056AE">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瓶</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5F593229">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rPr>
              <w:t>2</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1FAF0066">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气防室</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2B222C5E">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bCs/>
                <w:color w:val="000000"/>
                <w:sz w:val="21"/>
                <w:szCs w:val="21"/>
                <w:lang w:bidi="ar"/>
              </w:rPr>
              <w:t>马帅18795396947</w:t>
            </w:r>
          </w:p>
        </w:tc>
      </w:tr>
      <w:tr w14:paraId="5406C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05935659">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3F2D8C8D">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敌腐特灵500ml</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7A082CE6">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瓶</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5E8E1DDC">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2</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637D7E0F">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气防室</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0A308230">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马帅18795396947</w:t>
            </w:r>
          </w:p>
        </w:tc>
      </w:tr>
      <w:tr w14:paraId="0AC28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5BC99824">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2F15B89F">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六氟灵5L</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24AD95FD">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瓶</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79EF5A57">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1</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3EBF6B9C">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气防室</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57549B29">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马帅18795396947</w:t>
            </w:r>
          </w:p>
        </w:tc>
      </w:tr>
      <w:tr w14:paraId="232D8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5FE9BF67">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50B003FA">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空气呼吸器气瓶</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089060BD">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个</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4A22F356">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8</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370E34DC">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气防室</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253FF91A">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马帅18795396947</w:t>
            </w:r>
          </w:p>
        </w:tc>
      </w:tr>
      <w:tr w14:paraId="3B770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797BC84E">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392ED403">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电动送风式长管呼吸器</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66A35448">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套</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04F4A207">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2</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6E71DCC3">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气防室</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0FAACB40">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马帅18795396947</w:t>
            </w:r>
          </w:p>
        </w:tc>
      </w:tr>
      <w:tr w14:paraId="45940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95" w:type="dxa"/>
            <w:gridSpan w:val="6"/>
            <w:tcBorders>
              <w:top w:val="single" w:color="auto" w:sz="4" w:space="0"/>
              <w:left w:val="single" w:color="auto" w:sz="4" w:space="0"/>
              <w:bottom w:val="single" w:color="auto" w:sz="4" w:space="0"/>
              <w:right w:val="single" w:color="auto" w:sz="4" w:space="0"/>
            </w:tcBorders>
            <w:noWrap w:val="0"/>
            <w:vAlign w:val="center"/>
          </w:tcPr>
          <w:p w14:paraId="1CABBF0B">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四、微型消防站</w:t>
            </w:r>
          </w:p>
        </w:tc>
      </w:tr>
      <w:tr w14:paraId="49127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644790E4">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7D8CD70C">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微型消防柜</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0A792712">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rPr>
              <w:t>个</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1D168BAF">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rPr>
              <w:t>1</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34FD628E">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bCs/>
                <w:color w:val="000000"/>
                <w:sz w:val="21"/>
                <w:szCs w:val="21"/>
                <w:lang w:bidi="ar"/>
              </w:rPr>
              <w:t>微型消防站</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3C974E4E">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马帅18795396947</w:t>
            </w:r>
          </w:p>
        </w:tc>
      </w:tr>
      <w:tr w14:paraId="60421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01CCF203">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726F66D1">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避火服</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2AA4EF8F">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套</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31E9A77E">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4</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0B8A9BD7">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微型消防站</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1CFC1F7D">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马帅18795396947</w:t>
            </w:r>
          </w:p>
        </w:tc>
      </w:tr>
      <w:tr w14:paraId="1D220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2AE3F2CF">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041C7AAA">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速降自锁装置</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4887C65D">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个</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0BD95045">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2</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7687F068">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微型消防站</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19D34C90">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马帅18795396947</w:t>
            </w:r>
          </w:p>
        </w:tc>
      </w:tr>
      <w:tr w14:paraId="026DC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0A5B0942">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12AFCB49">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对讲机</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46ABE5E7">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rPr>
              <w:t>个</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50C862EA">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rPr>
              <w:t>6</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52C60B60">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rPr>
            </w:pPr>
            <w:r>
              <w:rPr>
                <w:bCs/>
                <w:color w:val="000000"/>
                <w:sz w:val="21"/>
                <w:szCs w:val="21"/>
                <w:lang w:bidi="ar"/>
              </w:rPr>
              <w:t>微型消防站</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4AD69671">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马帅18795396947</w:t>
            </w:r>
          </w:p>
        </w:tc>
      </w:tr>
      <w:tr w14:paraId="026A2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692FE46A">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36984DF9">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消防腰斧</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703E4AF3">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rPr>
              <w:t>把</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69912B9F">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rPr>
              <w:t>2</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3B9780B2">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bCs/>
                <w:color w:val="000000"/>
                <w:sz w:val="21"/>
                <w:szCs w:val="21"/>
                <w:lang w:bidi="ar"/>
              </w:rPr>
              <w:t>微型消防站</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3D353E2F">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马帅18795396947</w:t>
            </w:r>
          </w:p>
        </w:tc>
      </w:tr>
      <w:tr w14:paraId="47F1B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266F7C0E">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09FCF961">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消防救援头盔</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7E4E9B01">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rPr>
              <w:t>顶</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2193381B">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rPr>
              <w:t>4</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72487389">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微型消防站</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0AD0A6E5">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马帅18795396947</w:t>
            </w:r>
          </w:p>
        </w:tc>
      </w:tr>
      <w:tr w14:paraId="0EBAE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5A1465AF">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7ECEC6F1">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消防栓专用扳手</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72BA1D95">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rPr>
              <w:t>把</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27F9187E">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rPr>
              <w:t>1</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67167F6E">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微型消防站</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706618C6">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马帅18795396947</w:t>
            </w:r>
          </w:p>
        </w:tc>
      </w:tr>
      <w:tr w14:paraId="19E4D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5026772F">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352047E8">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消防救援靴</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3EF666F2">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rPr>
              <w:t>双</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4F462F89">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rPr>
              <w:t>4</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2B0DEC81">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微型消防站</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7D646068">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马帅18795396947</w:t>
            </w:r>
          </w:p>
        </w:tc>
      </w:tr>
      <w:tr w14:paraId="536EE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0327D40A">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5002459F">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消防手套</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05698BD7">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rPr>
              <w:t>护</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2D669169">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rPr>
              <w:t>4</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35F3EE52">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rPr>
            </w:pPr>
            <w:r>
              <w:rPr>
                <w:bCs/>
                <w:color w:val="000000"/>
                <w:sz w:val="21"/>
                <w:szCs w:val="21"/>
                <w:lang w:bidi="ar"/>
              </w:rPr>
              <w:t>微型消防站</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59FF629D">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马帅18795396947</w:t>
            </w:r>
          </w:p>
        </w:tc>
      </w:tr>
      <w:tr w14:paraId="57046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95" w:type="dxa"/>
            <w:gridSpan w:val="6"/>
            <w:tcBorders>
              <w:top w:val="single" w:color="auto" w:sz="4" w:space="0"/>
              <w:left w:val="single" w:color="auto" w:sz="4" w:space="0"/>
              <w:bottom w:val="single" w:color="auto" w:sz="4" w:space="0"/>
              <w:right w:val="single" w:color="auto" w:sz="4" w:space="0"/>
            </w:tcBorders>
            <w:noWrap w:val="0"/>
            <w:vAlign w:val="center"/>
          </w:tcPr>
          <w:p w14:paraId="16253914">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六、库房应急物资及器材</w:t>
            </w:r>
          </w:p>
        </w:tc>
      </w:tr>
      <w:tr w14:paraId="009AA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3B2DF9F4">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08A086CF">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片碱</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5E7A2646">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t</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696E5026">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10</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66E783EE">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rPr>
            </w:pPr>
            <w:r>
              <w:rPr>
                <w:color w:val="000000"/>
                <w:sz w:val="21"/>
                <w:szCs w:val="21"/>
                <w:lang w:bidi="ar"/>
              </w:rPr>
              <w:t>瓮福祥丰应急物资库</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573D290F">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bCs/>
                <w:color w:val="000000"/>
                <w:sz w:val="21"/>
                <w:szCs w:val="21"/>
                <w:lang w:bidi="ar"/>
              </w:rPr>
              <w:t>余恒</w:t>
            </w:r>
            <w:r>
              <w:rPr>
                <w:bCs/>
                <w:color w:val="000000"/>
                <w:sz w:val="21"/>
                <w:szCs w:val="21"/>
              </w:rPr>
              <w:t>15288008592</w:t>
            </w:r>
          </w:p>
        </w:tc>
      </w:tr>
      <w:tr w14:paraId="3D965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68D5A08F">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690A4EDD">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石灰</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63C39DE8">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t</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485DC298">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5</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47B2CFD8">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rPr>
            </w:pPr>
            <w:r>
              <w:rPr>
                <w:color w:val="000000"/>
                <w:sz w:val="21"/>
                <w:szCs w:val="21"/>
                <w:lang w:bidi="ar"/>
              </w:rPr>
              <w:t>瓮福祥丰应急物资库</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345A92F3">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bCs/>
                <w:color w:val="000000"/>
                <w:sz w:val="21"/>
                <w:szCs w:val="21"/>
                <w:lang w:bidi="ar"/>
              </w:rPr>
              <w:t>余恒</w:t>
            </w:r>
            <w:r>
              <w:rPr>
                <w:bCs/>
                <w:color w:val="000000"/>
                <w:sz w:val="21"/>
                <w:szCs w:val="21"/>
              </w:rPr>
              <w:t>15288008592</w:t>
            </w:r>
          </w:p>
        </w:tc>
      </w:tr>
      <w:tr w14:paraId="44897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7F20880C">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25426101">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编织袋</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03957429">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个</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39E1F9C0">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100</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27446BF2">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rPr>
            </w:pPr>
            <w:r>
              <w:rPr>
                <w:color w:val="000000"/>
                <w:sz w:val="21"/>
                <w:szCs w:val="21"/>
                <w:lang w:bidi="ar"/>
              </w:rPr>
              <w:t>瓮福祥丰应急物资库</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3F926263">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bCs/>
                <w:color w:val="000000"/>
                <w:sz w:val="21"/>
                <w:szCs w:val="21"/>
                <w:lang w:bidi="ar"/>
              </w:rPr>
              <w:t>余恒</w:t>
            </w:r>
            <w:r>
              <w:rPr>
                <w:bCs/>
                <w:color w:val="000000"/>
                <w:sz w:val="21"/>
                <w:szCs w:val="21"/>
              </w:rPr>
              <w:t>15288008592</w:t>
            </w:r>
          </w:p>
        </w:tc>
      </w:tr>
      <w:tr w14:paraId="07A4D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3A1597B4">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01874BD4">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潜水泵</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5DC06B8F">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个</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1EF1048B">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2</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67843218">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rPr>
            </w:pPr>
            <w:r>
              <w:rPr>
                <w:color w:val="000000"/>
                <w:sz w:val="21"/>
                <w:szCs w:val="21"/>
                <w:lang w:bidi="ar"/>
              </w:rPr>
              <w:t>瓮福祥丰应急物资库</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4382E23A">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bCs/>
                <w:color w:val="000000"/>
                <w:sz w:val="21"/>
                <w:szCs w:val="21"/>
                <w:lang w:bidi="ar"/>
              </w:rPr>
              <w:t>余恒</w:t>
            </w:r>
            <w:r>
              <w:rPr>
                <w:bCs/>
                <w:color w:val="000000"/>
                <w:sz w:val="21"/>
                <w:szCs w:val="21"/>
              </w:rPr>
              <w:t>15288008592</w:t>
            </w:r>
          </w:p>
        </w:tc>
      </w:tr>
      <w:tr w14:paraId="74819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6F6AF769">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394DA43D">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柴油</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6E391FAA">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桶</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1F5F2C7C">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1</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4276B467">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600柴油间</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14B1AAA1">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bCs/>
                <w:color w:val="000000"/>
                <w:sz w:val="21"/>
                <w:szCs w:val="21"/>
                <w:lang w:bidi="ar"/>
              </w:rPr>
              <w:t>余恒</w:t>
            </w:r>
            <w:r>
              <w:rPr>
                <w:bCs/>
                <w:color w:val="000000"/>
                <w:sz w:val="21"/>
                <w:szCs w:val="21"/>
              </w:rPr>
              <w:t>15288008592</w:t>
            </w:r>
          </w:p>
        </w:tc>
      </w:tr>
      <w:tr w14:paraId="50A48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95" w:type="dxa"/>
            <w:gridSpan w:val="6"/>
            <w:tcBorders>
              <w:top w:val="single" w:color="auto" w:sz="4" w:space="0"/>
              <w:left w:val="single" w:color="auto" w:sz="4" w:space="0"/>
              <w:bottom w:val="single" w:color="auto" w:sz="4" w:space="0"/>
              <w:right w:val="single" w:color="auto" w:sz="4" w:space="0"/>
            </w:tcBorders>
            <w:noWrap w:val="0"/>
            <w:vAlign w:val="center"/>
          </w:tcPr>
          <w:p w14:paraId="4E4FEEFC">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七、其他应急设施</w:t>
            </w:r>
          </w:p>
        </w:tc>
      </w:tr>
      <w:tr w14:paraId="6BC51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28590C05">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2A0BF982">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洗眼器</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0312E767">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个</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4EC14438">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15</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5E81B9CB">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742主装置</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1AE57010">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bCs/>
                <w:color w:val="000000"/>
                <w:sz w:val="21"/>
                <w:szCs w:val="21"/>
                <w:lang w:bidi="ar"/>
              </w:rPr>
              <w:t>余恒</w:t>
            </w:r>
            <w:r>
              <w:rPr>
                <w:bCs/>
                <w:color w:val="000000"/>
                <w:sz w:val="21"/>
                <w:szCs w:val="21"/>
              </w:rPr>
              <w:t>15288008592</w:t>
            </w:r>
          </w:p>
        </w:tc>
      </w:tr>
      <w:tr w14:paraId="04B9B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42C27946">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0B2251F4">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洗眼器</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5438EFAA">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个</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1C73F146">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2</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1C9F410C">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分析室</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1170EE4F">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bCs/>
                <w:color w:val="000000"/>
                <w:sz w:val="21"/>
                <w:szCs w:val="21"/>
                <w:lang w:bidi="ar"/>
              </w:rPr>
              <w:t>余恒</w:t>
            </w:r>
            <w:r>
              <w:rPr>
                <w:bCs/>
                <w:color w:val="000000"/>
                <w:sz w:val="21"/>
                <w:szCs w:val="21"/>
              </w:rPr>
              <w:t>15288008592</w:t>
            </w:r>
          </w:p>
        </w:tc>
      </w:tr>
      <w:tr w14:paraId="434D5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7B184C4C">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7A216958">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洗眼器</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0D23D7E4">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个</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63E1BCD8">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4</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63A164D5">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743主装置</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59743B31">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余恒</w:t>
            </w:r>
            <w:r>
              <w:rPr>
                <w:bCs/>
                <w:color w:val="000000"/>
                <w:sz w:val="21"/>
                <w:szCs w:val="21"/>
              </w:rPr>
              <w:t>15288008592</w:t>
            </w:r>
          </w:p>
        </w:tc>
      </w:tr>
      <w:tr w14:paraId="44DEE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262907CB">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6C0D5106">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洗眼器</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65E6BD9B">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个</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667AAC2E">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1</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04AFA279">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lang w:bidi="ar"/>
              </w:rPr>
              <w:t>AHF 装车站</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0C835D5F">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bCs/>
                <w:color w:val="000000"/>
                <w:sz w:val="21"/>
                <w:szCs w:val="21"/>
                <w:lang w:bidi="ar"/>
              </w:rPr>
              <w:t>余恒</w:t>
            </w:r>
            <w:r>
              <w:rPr>
                <w:bCs/>
                <w:color w:val="000000"/>
                <w:sz w:val="21"/>
                <w:szCs w:val="21"/>
              </w:rPr>
              <w:t>15288008592</w:t>
            </w:r>
          </w:p>
        </w:tc>
      </w:tr>
      <w:tr w14:paraId="65486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4E8AB34B">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779742AD">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洗眼器</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2004BA93">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个</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41C565AC">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2</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02003C47">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191A罐区</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517D27B4">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余恒</w:t>
            </w:r>
            <w:r>
              <w:rPr>
                <w:bCs/>
                <w:color w:val="000000"/>
                <w:sz w:val="21"/>
                <w:szCs w:val="21"/>
              </w:rPr>
              <w:t>15288008592</w:t>
            </w:r>
          </w:p>
        </w:tc>
      </w:tr>
      <w:tr w14:paraId="38507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5CDA40CB">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5C7B8DA0">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洗眼器</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7F295DCD">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个</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29D17432">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2</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25046A49">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191B罐区</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7DFBC962">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余恒</w:t>
            </w:r>
            <w:r>
              <w:rPr>
                <w:bCs/>
                <w:color w:val="000000"/>
                <w:sz w:val="21"/>
                <w:szCs w:val="21"/>
              </w:rPr>
              <w:t>15288008592</w:t>
            </w:r>
          </w:p>
        </w:tc>
      </w:tr>
      <w:tr w14:paraId="0485B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1FA871E6">
            <w:pPr>
              <w:keepNext w:val="0"/>
              <w:keepLines w:val="0"/>
              <w:pageBreakBefore w:val="0"/>
              <w:widowControl w:val="0"/>
              <w:numPr>
                <w:ilvl w:val="0"/>
                <w:numId w:val="19"/>
              </w:numPr>
              <w:kinsoku/>
              <w:wordWrap/>
              <w:overflowPunct/>
              <w:topLinePunct w:val="0"/>
              <w:autoSpaceDE/>
              <w:autoSpaceDN/>
              <w:bidi w:val="0"/>
              <w:snapToGrid w:val="0"/>
              <w:spacing w:line="240" w:lineRule="auto"/>
              <w:jc w:val="center"/>
              <w:textAlignment w:val="auto"/>
              <w:rPr>
                <w:color w:val="000000"/>
                <w:sz w:val="21"/>
                <w:szCs w:val="21"/>
              </w:rPr>
            </w:pPr>
          </w:p>
        </w:tc>
        <w:tc>
          <w:tcPr>
            <w:tcW w:w="2420" w:type="dxa"/>
            <w:tcBorders>
              <w:top w:val="single" w:color="auto" w:sz="4" w:space="0"/>
              <w:left w:val="single" w:color="auto" w:sz="4" w:space="0"/>
              <w:bottom w:val="single" w:color="auto" w:sz="4" w:space="0"/>
              <w:right w:val="single" w:color="auto" w:sz="4" w:space="0"/>
            </w:tcBorders>
            <w:noWrap w:val="0"/>
            <w:vAlign w:val="center"/>
          </w:tcPr>
          <w:p w14:paraId="1E76DC0D">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rPr>
              <w:t>防静电安全鞋</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5109C320">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双</w:t>
            </w:r>
          </w:p>
        </w:tc>
        <w:tc>
          <w:tcPr>
            <w:tcW w:w="665" w:type="dxa"/>
            <w:tcBorders>
              <w:top w:val="single" w:color="auto" w:sz="4" w:space="0"/>
              <w:left w:val="single" w:color="auto" w:sz="4" w:space="0"/>
              <w:bottom w:val="single" w:color="auto" w:sz="4" w:space="0"/>
              <w:right w:val="single" w:color="auto" w:sz="4" w:space="0"/>
            </w:tcBorders>
            <w:noWrap w:val="0"/>
            <w:vAlign w:val="center"/>
          </w:tcPr>
          <w:p w14:paraId="7DF7768A">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2</w:t>
            </w:r>
          </w:p>
        </w:tc>
        <w:tc>
          <w:tcPr>
            <w:tcW w:w="1803" w:type="dxa"/>
            <w:tcBorders>
              <w:top w:val="single" w:color="auto" w:sz="4" w:space="0"/>
              <w:left w:val="single" w:color="auto" w:sz="4" w:space="0"/>
              <w:bottom w:val="single" w:color="auto" w:sz="4" w:space="0"/>
              <w:right w:val="single" w:color="auto" w:sz="4" w:space="0"/>
            </w:tcBorders>
            <w:noWrap w:val="0"/>
            <w:vAlign w:val="center"/>
          </w:tcPr>
          <w:p w14:paraId="6EB2F54B">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lang w:bidi="ar"/>
              </w:rPr>
            </w:pPr>
            <w:r>
              <w:rPr>
                <w:color w:val="000000"/>
                <w:sz w:val="21"/>
                <w:szCs w:val="21"/>
                <w:lang w:bidi="ar"/>
              </w:rPr>
              <w:t>302配电室</w:t>
            </w:r>
          </w:p>
        </w:tc>
        <w:tc>
          <w:tcPr>
            <w:tcW w:w="2295" w:type="dxa"/>
            <w:tcBorders>
              <w:top w:val="single" w:color="auto" w:sz="4" w:space="0"/>
              <w:left w:val="single" w:color="auto" w:sz="4" w:space="0"/>
              <w:bottom w:val="single" w:color="auto" w:sz="4" w:space="0"/>
              <w:right w:val="single" w:color="auto" w:sz="4" w:space="0"/>
            </w:tcBorders>
            <w:noWrap w:val="0"/>
            <w:vAlign w:val="center"/>
          </w:tcPr>
          <w:p w14:paraId="507EFCBD">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lang w:bidi="ar"/>
              </w:rPr>
            </w:pPr>
            <w:r>
              <w:rPr>
                <w:bCs/>
                <w:color w:val="000000"/>
                <w:sz w:val="21"/>
                <w:szCs w:val="21"/>
                <w:lang w:bidi="ar"/>
              </w:rPr>
              <w:t>余恒</w:t>
            </w:r>
            <w:r>
              <w:rPr>
                <w:bCs/>
                <w:color w:val="000000"/>
                <w:sz w:val="21"/>
                <w:szCs w:val="21"/>
              </w:rPr>
              <w:t>15288008592</w:t>
            </w:r>
          </w:p>
        </w:tc>
      </w:tr>
    </w:tbl>
    <w:p w14:paraId="3F7F2554">
      <w:pPr>
        <w:pStyle w:val="4"/>
        <w:spacing w:before="193"/>
        <w:jc w:val="left"/>
        <w:rPr>
          <w:rFonts w:hint="default" w:ascii="黑体" w:hAnsi="黑体" w:eastAsia="黑体" w:cs="黑体"/>
          <w:b/>
          <w:bCs w:val="0"/>
          <w:color w:val="auto"/>
          <w:sz w:val="36"/>
          <w:szCs w:val="36"/>
          <w:lang w:val="en-US" w:eastAsia="zh-CN"/>
        </w:rPr>
      </w:pPr>
      <w:bookmarkStart w:id="317" w:name="_Toc29492"/>
      <w:r>
        <w:rPr>
          <w:rFonts w:hint="eastAsia" w:ascii="黑体" w:hAnsi="黑体" w:eastAsia="黑体" w:cs="黑体"/>
          <w:b/>
          <w:bCs w:val="0"/>
          <w:color w:val="auto"/>
          <w:sz w:val="36"/>
          <w:szCs w:val="36"/>
          <w:lang w:val="en-US" w:eastAsia="zh-CN"/>
        </w:rPr>
        <w:t>试生产情况</w:t>
      </w:r>
      <w:bookmarkEnd w:id="317"/>
    </w:p>
    <w:bookmarkEnd w:id="164"/>
    <w:bookmarkEnd w:id="165"/>
    <w:bookmarkEnd w:id="166"/>
    <w:bookmarkEnd w:id="167"/>
    <w:p w14:paraId="35183B0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snapToGrid w:val="0"/>
          <w:color w:val="000000"/>
          <w:kern w:val="0"/>
          <w:sz w:val="28"/>
          <w:szCs w:val="28"/>
        </w:rPr>
      </w:pPr>
      <w:r>
        <w:rPr>
          <w:rFonts w:hint="eastAsia"/>
          <w:snapToGrid w:val="0"/>
          <w:color w:val="000000"/>
          <w:kern w:val="0"/>
          <w:sz w:val="28"/>
          <w:szCs w:val="28"/>
          <w:lang w:bidi="ar"/>
        </w:rPr>
        <w:t>试生产前，</w:t>
      </w:r>
      <w:r>
        <w:rPr>
          <w:snapToGrid w:val="0"/>
          <w:color w:val="000000"/>
          <w:kern w:val="0"/>
          <w:sz w:val="28"/>
          <w:szCs w:val="28"/>
          <w:lang w:bidi="ar"/>
        </w:rPr>
        <w:t>该公司</w:t>
      </w:r>
      <w:r>
        <w:rPr>
          <w:color w:val="000000"/>
          <w:sz w:val="28"/>
          <w:szCs w:val="28"/>
          <w:lang w:bidi="ar"/>
        </w:rPr>
        <w:t>组织相关人员</w:t>
      </w:r>
      <w:r>
        <w:rPr>
          <w:color w:val="000000"/>
          <w:sz w:val="28"/>
          <w:szCs w:val="28"/>
        </w:rPr>
        <w:t>编制了《</w:t>
      </w:r>
      <w:r>
        <w:rPr>
          <w:rFonts w:hint="eastAsia"/>
          <w:color w:val="000000"/>
          <w:sz w:val="28"/>
          <w:szCs w:val="28"/>
        </w:rPr>
        <w:t>云南瓮福祥丰氟硅新材料有限公司3万吨/年无水氟化氢和2万吨/年电子级氢氟酸项目化工投料试车方案</w:t>
      </w:r>
      <w:r>
        <w:rPr>
          <w:color w:val="000000"/>
          <w:sz w:val="28"/>
          <w:szCs w:val="28"/>
        </w:rPr>
        <w:t>》</w:t>
      </w:r>
      <w:r>
        <w:rPr>
          <w:rFonts w:hint="eastAsia"/>
          <w:color w:val="000000"/>
          <w:sz w:val="28"/>
          <w:szCs w:val="28"/>
          <w:lang w:eastAsia="zh-CN"/>
        </w:rPr>
        <w:t>（</w:t>
      </w:r>
      <w:r>
        <w:rPr>
          <w:rFonts w:hint="eastAsia"/>
          <w:color w:val="000000"/>
          <w:sz w:val="28"/>
          <w:szCs w:val="28"/>
          <w:lang w:val="en-US" w:eastAsia="zh-CN"/>
        </w:rPr>
        <w:t>含厂区外管廊）</w:t>
      </w:r>
      <w:r>
        <w:rPr>
          <w:rFonts w:hint="eastAsia"/>
          <w:color w:val="000000"/>
          <w:sz w:val="28"/>
          <w:szCs w:val="28"/>
        </w:rPr>
        <w:t>、</w:t>
      </w:r>
      <w:r>
        <w:rPr>
          <w:color w:val="000000"/>
          <w:sz w:val="28"/>
          <w:szCs w:val="28"/>
        </w:rPr>
        <w:t>于</w:t>
      </w:r>
      <w:r>
        <w:rPr>
          <w:rFonts w:hint="eastAsia"/>
          <w:color w:val="000000"/>
          <w:sz w:val="28"/>
          <w:szCs w:val="28"/>
        </w:rPr>
        <w:t>2024</w:t>
      </w:r>
      <w:r>
        <w:rPr>
          <w:color w:val="000000"/>
          <w:sz w:val="28"/>
          <w:szCs w:val="28"/>
        </w:rPr>
        <w:t>年</w:t>
      </w:r>
      <w:r>
        <w:rPr>
          <w:rFonts w:hint="eastAsia"/>
          <w:color w:val="000000"/>
          <w:sz w:val="28"/>
          <w:szCs w:val="28"/>
        </w:rPr>
        <w:t>10</w:t>
      </w:r>
      <w:r>
        <w:rPr>
          <w:color w:val="000000"/>
          <w:sz w:val="28"/>
          <w:szCs w:val="28"/>
        </w:rPr>
        <w:t>月</w:t>
      </w:r>
      <w:r>
        <w:rPr>
          <w:rFonts w:hint="eastAsia"/>
          <w:color w:val="000000"/>
          <w:sz w:val="28"/>
          <w:szCs w:val="28"/>
        </w:rPr>
        <w:t>16</w:t>
      </w:r>
      <w:r>
        <w:rPr>
          <w:color w:val="000000"/>
          <w:sz w:val="28"/>
          <w:szCs w:val="28"/>
        </w:rPr>
        <w:t>日</w:t>
      </w:r>
      <w:r>
        <w:rPr>
          <w:rFonts w:hint="eastAsia"/>
          <w:color w:val="000000"/>
          <w:sz w:val="28"/>
          <w:szCs w:val="28"/>
        </w:rPr>
        <w:t>通过</w:t>
      </w:r>
      <w:r>
        <w:rPr>
          <w:color w:val="000000"/>
          <w:sz w:val="28"/>
          <w:szCs w:val="28"/>
        </w:rPr>
        <w:t>专家评审</w:t>
      </w:r>
      <w:r>
        <w:rPr>
          <w:rFonts w:hint="eastAsia"/>
          <w:color w:val="000000"/>
          <w:sz w:val="28"/>
          <w:szCs w:val="28"/>
          <w:lang w:bidi="ar"/>
        </w:rPr>
        <w:t>，并取得安宁市应急管理局出具的《危险化学品建设项目试生产（使用）方案备案告知书》</w:t>
      </w:r>
      <w:r>
        <w:rPr>
          <w:rFonts w:hint="eastAsia"/>
          <w:color w:val="000000"/>
          <w:sz w:val="28"/>
          <w:szCs w:val="28"/>
          <w:lang w:eastAsia="zh-CN" w:bidi="ar"/>
        </w:rPr>
        <w:t>，</w:t>
      </w:r>
      <w:r>
        <w:rPr>
          <w:rFonts w:hint="eastAsia"/>
          <w:color w:val="000000"/>
          <w:sz w:val="28"/>
          <w:szCs w:val="28"/>
          <w:lang w:val="en-US" w:eastAsia="zh-CN" w:bidi="ar"/>
        </w:rPr>
        <w:t>2025年3月21日经安宁市应急管理局同意无水氟化氢装置试生产时间延期至2025年7月24日、电子级氢氟酸装置试生产时间延期至2025年8月14日</w:t>
      </w:r>
      <w:r>
        <w:rPr>
          <w:color w:val="000000"/>
          <w:sz w:val="28"/>
          <w:szCs w:val="28"/>
          <w:lang w:bidi="ar"/>
        </w:rPr>
        <w:t>；试</w:t>
      </w:r>
      <w:r>
        <w:rPr>
          <w:rFonts w:hint="eastAsia"/>
          <w:color w:val="000000"/>
          <w:sz w:val="28"/>
          <w:szCs w:val="28"/>
          <w:lang w:bidi="ar"/>
        </w:rPr>
        <w:t>生产</w:t>
      </w:r>
      <w:r>
        <w:rPr>
          <w:color w:val="000000"/>
          <w:sz w:val="28"/>
          <w:szCs w:val="28"/>
          <w:lang w:bidi="ar"/>
        </w:rPr>
        <w:t>过程中，</w:t>
      </w:r>
      <w:r>
        <w:rPr>
          <w:snapToGrid w:val="0"/>
          <w:color w:val="000000"/>
          <w:kern w:val="0"/>
          <w:sz w:val="28"/>
          <w:szCs w:val="28"/>
          <w:lang w:bidi="ar"/>
        </w:rPr>
        <w:t>进一步对项目涉及的安全设施进行了排查和完善，</w:t>
      </w:r>
      <w:r>
        <w:rPr>
          <w:rFonts w:hint="eastAsia"/>
          <w:snapToGrid w:val="0"/>
          <w:color w:val="000000"/>
          <w:kern w:val="0"/>
          <w:sz w:val="28"/>
          <w:szCs w:val="28"/>
          <w:lang w:bidi="ar"/>
        </w:rPr>
        <w:t>试</w:t>
      </w:r>
      <w:r>
        <w:rPr>
          <w:rFonts w:hint="eastAsia"/>
          <w:color w:val="000000"/>
          <w:sz w:val="28"/>
          <w:szCs w:val="28"/>
          <w:lang w:bidi="ar"/>
        </w:rPr>
        <w:t>生产</w:t>
      </w:r>
      <w:r>
        <w:rPr>
          <w:color w:val="000000"/>
          <w:sz w:val="28"/>
          <w:szCs w:val="28"/>
          <w:lang w:bidi="ar"/>
        </w:rPr>
        <w:t>正常后编制了</w:t>
      </w:r>
      <w:r>
        <w:rPr>
          <w:rFonts w:hint="eastAsia"/>
          <w:color w:val="000000"/>
          <w:sz w:val="28"/>
          <w:szCs w:val="28"/>
          <w:lang w:bidi="ar"/>
        </w:rPr>
        <w:t>《云南瓮福祥丰氟硅新材料有限公司</w:t>
      </w:r>
      <w:r>
        <w:rPr>
          <w:rFonts w:hint="eastAsia"/>
          <w:color w:val="000000"/>
          <w:sz w:val="28"/>
          <w:szCs w:val="28"/>
        </w:rPr>
        <w:t>3万吨/年无水氟化氢和2万吨/年电子级氢氟酸项目试生产总结报告</w:t>
      </w:r>
      <w:r>
        <w:rPr>
          <w:rFonts w:hint="eastAsia"/>
          <w:color w:val="000000"/>
          <w:sz w:val="28"/>
          <w:szCs w:val="28"/>
          <w:lang w:bidi="ar"/>
        </w:rPr>
        <w:t>》</w:t>
      </w:r>
      <w:r>
        <w:rPr>
          <w:rFonts w:hint="eastAsia"/>
          <w:color w:val="000000"/>
          <w:sz w:val="28"/>
          <w:szCs w:val="28"/>
          <w:lang w:eastAsia="zh-CN"/>
        </w:rPr>
        <w:t>（</w:t>
      </w:r>
      <w:r>
        <w:rPr>
          <w:rFonts w:hint="eastAsia"/>
          <w:color w:val="000000"/>
          <w:sz w:val="28"/>
          <w:szCs w:val="28"/>
          <w:lang w:val="en-US" w:eastAsia="zh-CN"/>
        </w:rPr>
        <w:t>含厂区外管廊）</w:t>
      </w:r>
      <w:r>
        <w:rPr>
          <w:color w:val="000000"/>
          <w:sz w:val="28"/>
          <w:szCs w:val="28"/>
          <w:lang w:bidi="ar"/>
        </w:rPr>
        <w:t>。</w:t>
      </w:r>
      <w:r>
        <w:rPr>
          <w:snapToGrid w:val="0"/>
          <w:color w:val="000000"/>
          <w:kern w:val="0"/>
          <w:sz w:val="28"/>
          <w:szCs w:val="28"/>
          <w:lang w:bidi="ar"/>
        </w:rPr>
        <w:t>根据企业提供的</w:t>
      </w:r>
      <w:r>
        <w:rPr>
          <w:rFonts w:hint="eastAsia"/>
          <w:color w:val="000000"/>
          <w:sz w:val="28"/>
          <w:szCs w:val="28"/>
        </w:rPr>
        <w:t>化工投料试车方案</w:t>
      </w:r>
      <w:r>
        <w:rPr>
          <w:rFonts w:hint="eastAsia"/>
          <w:snapToGrid w:val="0"/>
          <w:color w:val="000000"/>
          <w:kern w:val="0"/>
          <w:sz w:val="28"/>
          <w:szCs w:val="28"/>
          <w:lang w:bidi="ar"/>
        </w:rPr>
        <w:t>、</w:t>
      </w:r>
      <w:r>
        <w:rPr>
          <w:rFonts w:hint="eastAsia"/>
          <w:color w:val="000000"/>
          <w:sz w:val="28"/>
          <w:szCs w:val="28"/>
        </w:rPr>
        <w:t>试生产总结报告</w:t>
      </w:r>
      <w:r>
        <w:rPr>
          <w:snapToGrid w:val="0"/>
          <w:color w:val="000000"/>
          <w:kern w:val="0"/>
          <w:sz w:val="28"/>
          <w:szCs w:val="28"/>
          <w:lang w:bidi="ar"/>
        </w:rPr>
        <w:t>以及现场检查情况，该项目试生产情况如下：</w:t>
      </w:r>
    </w:p>
    <w:p w14:paraId="72C23611">
      <w:pPr>
        <w:keepNext w:val="0"/>
        <w:keepLines w:val="0"/>
        <w:pageBreakBefore w:val="0"/>
        <w:widowControl w:val="0"/>
        <w:numPr>
          <w:ilvl w:val="0"/>
          <w:numId w:val="20"/>
        </w:numPr>
        <w:tabs>
          <w:tab w:val="left" w:pos="0"/>
        </w:tabs>
        <w:kinsoku/>
        <w:wordWrap/>
        <w:overflowPunct/>
        <w:topLinePunct w:val="0"/>
        <w:autoSpaceDE/>
        <w:autoSpaceDN/>
        <w:bidi w:val="0"/>
        <w:adjustRightInd w:val="0"/>
        <w:snapToGrid w:val="0"/>
        <w:spacing w:line="360" w:lineRule="auto"/>
        <w:ind w:left="0" w:firstLine="560" w:firstLineChars="200"/>
        <w:textAlignment w:val="auto"/>
        <w:rPr>
          <w:snapToGrid w:val="0"/>
          <w:color w:val="000000"/>
          <w:kern w:val="0"/>
          <w:sz w:val="28"/>
          <w:szCs w:val="28"/>
        </w:rPr>
      </w:pPr>
      <w:r>
        <w:rPr>
          <w:snapToGrid w:val="0"/>
          <w:color w:val="000000"/>
          <w:kern w:val="0"/>
          <w:sz w:val="28"/>
          <w:szCs w:val="28"/>
          <w:lang w:bidi="ar"/>
        </w:rPr>
        <w:t>试生产前，成立了试</w:t>
      </w:r>
      <w:r>
        <w:rPr>
          <w:rFonts w:hint="eastAsia"/>
          <w:snapToGrid w:val="0"/>
          <w:color w:val="000000"/>
          <w:kern w:val="0"/>
          <w:sz w:val="28"/>
          <w:szCs w:val="28"/>
          <w:lang w:bidi="ar"/>
        </w:rPr>
        <w:t>生产机构</w:t>
      </w:r>
      <w:r>
        <w:rPr>
          <w:snapToGrid w:val="0"/>
          <w:color w:val="000000"/>
          <w:kern w:val="0"/>
          <w:sz w:val="28"/>
          <w:szCs w:val="28"/>
          <w:lang w:bidi="ar"/>
        </w:rPr>
        <w:t>，完成</w:t>
      </w:r>
      <w:r>
        <w:rPr>
          <w:rFonts w:hint="eastAsia"/>
          <w:color w:val="000000"/>
          <w:sz w:val="28"/>
          <w:szCs w:val="28"/>
        </w:rPr>
        <w:t>化工投料试车方案</w:t>
      </w:r>
      <w:r>
        <w:rPr>
          <w:snapToGrid w:val="0"/>
          <w:color w:val="000000"/>
          <w:kern w:val="0"/>
          <w:sz w:val="28"/>
          <w:szCs w:val="28"/>
          <w:lang w:bidi="ar"/>
        </w:rPr>
        <w:t>编写、审评并下发组织人员培训学习；</w:t>
      </w:r>
      <w:r>
        <w:rPr>
          <w:color w:val="000000"/>
          <w:sz w:val="28"/>
          <w:szCs w:val="28"/>
          <w:lang w:bidi="ar"/>
        </w:rPr>
        <w:t>主要负责人、安全管理人员、操作人员均接受相应培训</w:t>
      </w:r>
      <w:r>
        <w:rPr>
          <w:rFonts w:hint="eastAsia"/>
          <w:color w:val="000000"/>
          <w:sz w:val="28"/>
          <w:szCs w:val="28"/>
          <w:lang w:bidi="ar"/>
        </w:rPr>
        <w:t>教育</w:t>
      </w:r>
      <w:r>
        <w:rPr>
          <w:snapToGrid w:val="0"/>
          <w:color w:val="000000"/>
          <w:kern w:val="0"/>
          <w:sz w:val="28"/>
          <w:szCs w:val="28"/>
          <w:lang w:bidi="ar"/>
        </w:rPr>
        <w:t>，熟悉现场，</w:t>
      </w:r>
      <w:r>
        <w:rPr>
          <w:rFonts w:hint="eastAsia"/>
          <w:snapToGrid w:val="0"/>
          <w:color w:val="000000"/>
          <w:kern w:val="0"/>
          <w:sz w:val="28"/>
          <w:szCs w:val="28"/>
          <w:lang w:bidi="ar"/>
        </w:rPr>
        <w:t>完成了</w:t>
      </w:r>
      <w:r>
        <w:rPr>
          <w:snapToGrid w:val="0"/>
          <w:color w:val="000000"/>
          <w:kern w:val="0"/>
          <w:sz w:val="28"/>
          <w:szCs w:val="28"/>
          <w:lang w:bidi="ar"/>
        </w:rPr>
        <w:t>设备的调试</w:t>
      </w:r>
      <w:r>
        <w:rPr>
          <w:rFonts w:hint="eastAsia"/>
          <w:snapToGrid w:val="0"/>
          <w:color w:val="000000"/>
          <w:kern w:val="0"/>
          <w:sz w:val="28"/>
          <w:szCs w:val="28"/>
          <w:lang w:bidi="ar"/>
        </w:rPr>
        <w:t>及</w:t>
      </w:r>
      <w:r>
        <w:rPr>
          <w:snapToGrid w:val="0"/>
          <w:color w:val="000000"/>
          <w:kern w:val="0"/>
          <w:sz w:val="28"/>
          <w:szCs w:val="28"/>
          <w:lang w:bidi="ar"/>
        </w:rPr>
        <w:t>管道的</w:t>
      </w:r>
      <w:r>
        <w:rPr>
          <w:rFonts w:hint="eastAsia"/>
          <w:snapToGrid w:val="0"/>
          <w:color w:val="000000"/>
          <w:kern w:val="0"/>
          <w:sz w:val="28"/>
          <w:szCs w:val="28"/>
          <w:lang w:bidi="ar"/>
        </w:rPr>
        <w:t>试压、吹扫、气密性试验</w:t>
      </w:r>
      <w:r>
        <w:rPr>
          <w:snapToGrid w:val="0"/>
          <w:color w:val="000000"/>
          <w:kern w:val="0"/>
          <w:sz w:val="28"/>
          <w:szCs w:val="28"/>
          <w:lang w:bidi="ar"/>
        </w:rPr>
        <w:t>等工作，了解设备的结构、性能等，学习</w:t>
      </w:r>
      <w:r>
        <w:rPr>
          <w:rFonts w:hint="eastAsia"/>
          <w:snapToGrid w:val="0"/>
          <w:color w:val="000000"/>
          <w:kern w:val="0"/>
          <w:sz w:val="28"/>
          <w:szCs w:val="28"/>
          <w:lang w:bidi="ar"/>
        </w:rPr>
        <w:t>试生产过程中可能出现的异常及对策、</w:t>
      </w:r>
      <w:r>
        <w:rPr>
          <w:snapToGrid w:val="0"/>
          <w:color w:val="000000"/>
          <w:kern w:val="0"/>
          <w:sz w:val="28"/>
          <w:szCs w:val="28"/>
          <w:lang w:bidi="ar"/>
        </w:rPr>
        <w:t>操作规程</w:t>
      </w:r>
      <w:r>
        <w:rPr>
          <w:color w:val="000000"/>
          <w:sz w:val="28"/>
          <w:szCs w:val="28"/>
          <w:lang w:bidi="ar"/>
        </w:rPr>
        <w:t>。</w:t>
      </w:r>
    </w:p>
    <w:p w14:paraId="0CAFBA48">
      <w:pPr>
        <w:keepNext w:val="0"/>
        <w:keepLines w:val="0"/>
        <w:pageBreakBefore w:val="0"/>
        <w:widowControl w:val="0"/>
        <w:numPr>
          <w:ilvl w:val="0"/>
          <w:numId w:val="20"/>
        </w:numPr>
        <w:tabs>
          <w:tab w:val="left" w:pos="0"/>
        </w:tabs>
        <w:kinsoku/>
        <w:wordWrap/>
        <w:overflowPunct/>
        <w:topLinePunct w:val="0"/>
        <w:autoSpaceDE/>
        <w:autoSpaceDN/>
        <w:bidi w:val="0"/>
        <w:adjustRightInd w:val="0"/>
        <w:snapToGrid w:val="0"/>
        <w:spacing w:line="360" w:lineRule="auto"/>
        <w:ind w:left="0" w:firstLine="560" w:firstLineChars="200"/>
        <w:textAlignment w:val="auto"/>
        <w:rPr>
          <w:snapToGrid w:val="0"/>
          <w:color w:val="000000"/>
          <w:kern w:val="0"/>
          <w:sz w:val="28"/>
          <w:szCs w:val="28"/>
        </w:rPr>
      </w:pPr>
      <w:r>
        <w:rPr>
          <w:snapToGrid w:val="0"/>
          <w:color w:val="000000"/>
          <w:kern w:val="0"/>
          <w:sz w:val="28"/>
          <w:szCs w:val="28"/>
          <w:lang w:bidi="ar"/>
        </w:rPr>
        <w:t>试生产前，进行单机试车及联动试车，确认前期准备工作完成；设备装置系统严格试漏后</w:t>
      </w:r>
      <w:r>
        <w:rPr>
          <w:rFonts w:hint="eastAsia"/>
          <w:snapToGrid w:val="0"/>
          <w:color w:val="000000"/>
          <w:kern w:val="0"/>
          <w:sz w:val="28"/>
          <w:szCs w:val="28"/>
          <w:lang w:bidi="ar"/>
        </w:rPr>
        <w:t>联动试车</w:t>
      </w:r>
      <w:r>
        <w:rPr>
          <w:snapToGrid w:val="0"/>
          <w:color w:val="000000"/>
          <w:kern w:val="0"/>
          <w:sz w:val="28"/>
          <w:szCs w:val="28"/>
          <w:lang w:bidi="ar"/>
        </w:rPr>
        <w:t>合格；规章制度、记录表格齐全，</w:t>
      </w:r>
      <w:r>
        <w:rPr>
          <w:rFonts w:hint="eastAsia"/>
          <w:snapToGrid w:val="0"/>
          <w:color w:val="000000"/>
          <w:kern w:val="0"/>
          <w:sz w:val="28"/>
          <w:szCs w:val="28"/>
          <w:lang w:bidi="ar"/>
        </w:rPr>
        <w:t>明确了试车注意事项、试生产过程中</w:t>
      </w:r>
      <w:r>
        <w:rPr>
          <w:snapToGrid w:val="0"/>
          <w:color w:val="000000"/>
          <w:kern w:val="0"/>
          <w:sz w:val="28"/>
          <w:szCs w:val="28"/>
          <w:lang w:bidi="ar"/>
        </w:rPr>
        <w:t>和</w:t>
      </w:r>
      <w:r>
        <w:rPr>
          <w:rFonts w:hint="eastAsia"/>
          <w:snapToGrid w:val="0"/>
          <w:color w:val="000000"/>
          <w:kern w:val="0"/>
          <w:sz w:val="28"/>
          <w:szCs w:val="28"/>
          <w:lang w:bidi="ar"/>
        </w:rPr>
        <w:t>可能出现的异常及对策，</w:t>
      </w:r>
      <w:r>
        <w:rPr>
          <w:snapToGrid w:val="0"/>
          <w:color w:val="000000"/>
          <w:kern w:val="0"/>
          <w:sz w:val="28"/>
          <w:szCs w:val="28"/>
          <w:lang w:bidi="ar"/>
        </w:rPr>
        <w:t>相关人员熟悉掌握操作要点、确认培训合格；</w:t>
      </w:r>
      <w:r>
        <w:rPr>
          <w:rFonts w:hint="eastAsia"/>
          <w:snapToGrid w:val="0"/>
          <w:color w:val="000000"/>
          <w:kern w:val="0"/>
          <w:sz w:val="28"/>
          <w:szCs w:val="28"/>
          <w:lang w:bidi="ar"/>
        </w:rPr>
        <w:t>仪表</w:t>
      </w:r>
      <w:r>
        <w:rPr>
          <w:snapToGrid w:val="0"/>
          <w:color w:val="000000"/>
          <w:kern w:val="0"/>
          <w:sz w:val="28"/>
          <w:szCs w:val="28"/>
          <w:lang w:bidi="ar"/>
        </w:rPr>
        <w:t>调试正常</w:t>
      </w:r>
      <w:r>
        <w:rPr>
          <w:rFonts w:hint="eastAsia"/>
          <w:snapToGrid w:val="0"/>
          <w:color w:val="000000"/>
          <w:kern w:val="0"/>
          <w:sz w:val="28"/>
          <w:szCs w:val="28"/>
          <w:lang w:bidi="ar"/>
        </w:rPr>
        <w:t>；消防水管供水正常；现场设置有灭火器；设置了部分安全警示标志；装置的安全、环保和消防等各类设施已正常投入使用；现场安全通道畅通，并定期做好了检查</w:t>
      </w:r>
      <w:r>
        <w:rPr>
          <w:snapToGrid w:val="0"/>
          <w:color w:val="000000"/>
          <w:kern w:val="0"/>
          <w:sz w:val="28"/>
          <w:szCs w:val="28"/>
          <w:lang w:bidi="ar"/>
        </w:rPr>
        <w:t>。</w:t>
      </w:r>
    </w:p>
    <w:p w14:paraId="63D6CF63">
      <w:pPr>
        <w:keepNext w:val="0"/>
        <w:keepLines w:val="0"/>
        <w:pageBreakBefore w:val="0"/>
        <w:widowControl w:val="0"/>
        <w:numPr>
          <w:ilvl w:val="0"/>
          <w:numId w:val="20"/>
        </w:numPr>
        <w:tabs>
          <w:tab w:val="left" w:pos="0"/>
        </w:tabs>
        <w:kinsoku/>
        <w:wordWrap/>
        <w:overflowPunct/>
        <w:topLinePunct w:val="0"/>
        <w:autoSpaceDE/>
        <w:autoSpaceDN/>
        <w:bidi w:val="0"/>
        <w:adjustRightInd w:val="0"/>
        <w:snapToGrid w:val="0"/>
        <w:spacing w:line="360" w:lineRule="auto"/>
        <w:ind w:left="0" w:firstLine="560" w:firstLineChars="200"/>
        <w:textAlignment w:val="auto"/>
        <w:rPr>
          <w:snapToGrid w:val="0"/>
          <w:color w:val="000000"/>
          <w:kern w:val="0"/>
          <w:sz w:val="28"/>
          <w:szCs w:val="28"/>
        </w:rPr>
      </w:pPr>
      <w:r>
        <w:rPr>
          <w:rFonts w:hint="eastAsia"/>
          <w:snapToGrid w:val="0"/>
          <w:color w:val="000000"/>
          <w:kern w:val="0"/>
          <w:sz w:val="28"/>
          <w:szCs w:val="28"/>
          <w:lang w:val="en-US" w:eastAsia="zh-CN" w:bidi="ar"/>
        </w:rPr>
        <w:t>无水氟化氢装置2024年10月25日开始试生产，电子级氢氟酸装置2024年11月15日开始试生产，</w:t>
      </w:r>
      <w:r>
        <w:rPr>
          <w:rFonts w:hint="eastAsia"/>
        </w:rPr>
        <w:t>本项目为云南瓮福祥丰氟硅新材料有限公司3万吨/年无水氟化氢和2万吨/年电子级氢氟酸项目配套的厂外公用工程管道设施</w:t>
      </w:r>
      <w:r>
        <w:rPr>
          <w:rFonts w:hint="eastAsia"/>
          <w:lang w:val="en-US" w:eastAsia="zh-CN"/>
        </w:rPr>
        <w:t>配套主项目同步试生产，项目外管廊于2024年10月24日完成所有管线的打压试漏及吹扫工作，于10月25日正式投入使用，化工投料试车时间自2024年10月26日16：00起</w:t>
      </w:r>
      <w:r>
        <w:rPr>
          <w:rFonts w:hint="eastAsia"/>
          <w:snapToGrid w:val="0"/>
          <w:color w:val="000000"/>
          <w:kern w:val="0"/>
          <w:sz w:val="28"/>
          <w:szCs w:val="28"/>
          <w:lang w:val="en-US" w:eastAsia="zh-CN" w:bidi="ar"/>
        </w:rPr>
        <w:t>。</w:t>
      </w:r>
      <w:r>
        <w:rPr>
          <w:snapToGrid w:val="0"/>
          <w:color w:val="000000"/>
          <w:kern w:val="0"/>
          <w:sz w:val="28"/>
          <w:szCs w:val="28"/>
          <w:lang w:bidi="ar"/>
        </w:rPr>
        <w:t>试生产期间，装置符合工艺流程的要求，</w:t>
      </w:r>
      <w:r>
        <w:rPr>
          <w:rFonts w:hint="eastAsia"/>
          <w:snapToGrid w:val="0"/>
          <w:color w:val="000000"/>
          <w:kern w:val="0"/>
          <w:sz w:val="28"/>
          <w:szCs w:val="28"/>
          <w:lang w:bidi="ar"/>
        </w:rPr>
        <w:t>主要指标</w:t>
      </w:r>
      <w:r>
        <w:rPr>
          <w:snapToGrid w:val="0"/>
          <w:color w:val="000000"/>
          <w:kern w:val="0"/>
          <w:sz w:val="28"/>
          <w:szCs w:val="28"/>
          <w:lang w:bidi="ar"/>
        </w:rPr>
        <w:t>达到设计要求，</w:t>
      </w:r>
      <w:r>
        <w:rPr>
          <w:color w:val="000000"/>
          <w:sz w:val="28"/>
          <w:szCs w:val="28"/>
          <w:lang w:bidi="ar"/>
        </w:rPr>
        <w:t>运行正常、有效</w:t>
      </w:r>
      <w:r>
        <w:rPr>
          <w:rFonts w:hint="eastAsia"/>
          <w:color w:val="000000"/>
          <w:sz w:val="28"/>
          <w:szCs w:val="28"/>
          <w:lang w:bidi="ar"/>
        </w:rPr>
        <w:t>，达到性能要求</w:t>
      </w:r>
      <w:r>
        <w:rPr>
          <w:snapToGrid w:val="0"/>
          <w:color w:val="000000"/>
          <w:kern w:val="0"/>
          <w:sz w:val="28"/>
          <w:szCs w:val="28"/>
          <w:lang w:bidi="ar"/>
        </w:rPr>
        <w:t>。</w:t>
      </w:r>
      <w:r>
        <w:rPr>
          <w:rFonts w:hint="eastAsia"/>
          <w:snapToGrid w:val="0"/>
          <w:color w:val="000000"/>
          <w:kern w:val="0"/>
          <w:sz w:val="28"/>
          <w:szCs w:val="28"/>
          <w:lang w:bidi="ar"/>
        </w:rPr>
        <w:t>进一步完善了生产区域内洗眼器、氧气气体检测报警设施、腐蚀性管道法兰连接处防喷溅设施、管道标识、安全标识、应急物资；自控</w:t>
      </w:r>
      <w:r>
        <w:rPr>
          <w:snapToGrid w:val="0"/>
          <w:color w:val="000000"/>
          <w:kern w:val="0"/>
          <w:sz w:val="28"/>
          <w:szCs w:val="28"/>
          <w:lang w:bidi="ar"/>
        </w:rPr>
        <w:t>系统</w:t>
      </w:r>
      <w:r>
        <w:rPr>
          <w:rFonts w:hint="eastAsia"/>
          <w:snapToGrid w:val="0"/>
          <w:color w:val="000000"/>
          <w:kern w:val="0"/>
          <w:sz w:val="28"/>
          <w:szCs w:val="28"/>
          <w:lang w:bidi="ar"/>
        </w:rPr>
        <w:t>运行</w:t>
      </w:r>
      <w:r>
        <w:rPr>
          <w:snapToGrid w:val="0"/>
          <w:color w:val="000000"/>
          <w:kern w:val="0"/>
          <w:sz w:val="28"/>
          <w:szCs w:val="28"/>
          <w:lang w:bidi="ar"/>
        </w:rPr>
        <w:t>正常</w:t>
      </w:r>
      <w:r>
        <w:rPr>
          <w:rFonts w:hint="eastAsia"/>
          <w:snapToGrid w:val="0"/>
          <w:color w:val="000000"/>
          <w:kern w:val="0"/>
          <w:sz w:val="28"/>
          <w:szCs w:val="28"/>
          <w:lang w:bidi="ar"/>
        </w:rPr>
        <w:t>。</w:t>
      </w:r>
    </w:p>
    <w:p w14:paraId="0491158C">
      <w:pPr>
        <w:keepNext w:val="0"/>
        <w:keepLines w:val="0"/>
        <w:pageBreakBefore w:val="0"/>
        <w:widowControl w:val="0"/>
        <w:numPr>
          <w:ilvl w:val="0"/>
          <w:numId w:val="20"/>
        </w:numPr>
        <w:tabs>
          <w:tab w:val="left" w:pos="0"/>
        </w:tabs>
        <w:kinsoku/>
        <w:wordWrap/>
        <w:overflowPunct/>
        <w:topLinePunct w:val="0"/>
        <w:autoSpaceDE/>
        <w:autoSpaceDN/>
        <w:bidi w:val="0"/>
        <w:adjustRightInd w:val="0"/>
        <w:snapToGrid w:val="0"/>
        <w:spacing w:line="360" w:lineRule="auto"/>
        <w:ind w:left="0" w:firstLine="560" w:firstLineChars="200"/>
        <w:textAlignment w:val="auto"/>
        <w:rPr>
          <w:snapToGrid w:val="0"/>
          <w:color w:val="000000"/>
          <w:kern w:val="0"/>
          <w:sz w:val="28"/>
          <w:szCs w:val="28"/>
        </w:rPr>
      </w:pPr>
      <w:r>
        <w:rPr>
          <w:snapToGrid w:val="0"/>
          <w:color w:val="000000"/>
          <w:kern w:val="0"/>
          <w:sz w:val="28"/>
          <w:szCs w:val="28"/>
          <w:lang w:bidi="ar"/>
        </w:rPr>
        <w:t>自试生产至</w:t>
      </w:r>
      <w:r>
        <w:rPr>
          <w:rFonts w:hint="eastAsia"/>
          <w:snapToGrid w:val="0"/>
          <w:color w:val="000000"/>
          <w:kern w:val="0"/>
          <w:sz w:val="28"/>
          <w:szCs w:val="28"/>
          <w:lang w:val="en-US" w:eastAsia="zh-CN" w:bidi="ar"/>
        </w:rPr>
        <w:t>评价基准日</w:t>
      </w:r>
      <w:r>
        <w:rPr>
          <w:snapToGrid w:val="0"/>
          <w:color w:val="000000"/>
          <w:kern w:val="0"/>
          <w:sz w:val="28"/>
          <w:szCs w:val="28"/>
          <w:lang w:bidi="ar"/>
        </w:rPr>
        <w:t>，各项安全设施总体运行情况良好</w:t>
      </w:r>
      <w:r>
        <w:rPr>
          <w:rFonts w:hint="eastAsia"/>
          <w:snapToGrid w:val="0"/>
          <w:color w:val="000000"/>
          <w:kern w:val="0"/>
          <w:sz w:val="28"/>
          <w:szCs w:val="28"/>
          <w:lang w:bidi="ar"/>
        </w:rPr>
        <w:t>，</w:t>
      </w:r>
      <w:r>
        <w:rPr>
          <w:snapToGrid w:val="0"/>
          <w:color w:val="000000"/>
          <w:kern w:val="0"/>
          <w:sz w:val="28"/>
          <w:szCs w:val="28"/>
          <w:lang w:bidi="ar"/>
        </w:rPr>
        <w:t>未发生</w:t>
      </w:r>
      <w:r>
        <w:rPr>
          <w:rFonts w:hint="eastAsia"/>
          <w:snapToGrid w:val="0"/>
          <w:color w:val="000000"/>
          <w:kern w:val="0"/>
          <w:sz w:val="28"/>
          <w:szCs w:val="28"/>
          <w:lang w:bidi="ar"/>
        </w:rPr>
        <w:t>生产</w:t>
      </w:r>
      <w:r>
        <w:rPr>
          <w:snapToGrid w:val="0"/>
          <w:color w:val="000000"/>
          <w:kern w:val="0"/>
          <w:sz w:val="28"/>
          <w:szCs w:val="28"/>
          <w:lang w:bidi="ar"/>
        </w:rPr>
        <w:t>安全事故</w:t>
      </w:r>
      <w:r>
        <w:rPr>
          <w:rFonts w:hint="eastAsia"/>
          <w:snapToGrid w:val="0"/>
          <w:color w:val="000000"/>
          <w:kern w:val="0"/>
          <w:sz w:val="28"/>
          <w:szCs w:val="28"/>
          <w:lang w:bidi="ar"/>
        </w:rPr>
        <w:t>，</w:t>
      </w:r>
      <w:r>
        <w:rPr>
          <w:snapToGrid w:val="0"/>
          <w:color w:val="000000"/>
          <w:kern w:val="0"/>
          <w:sz w:val="28"/>
          <w:szCs w:val="28"/>
          <w:lang w:bidi="ar"/>
        </w:rPr>
        <w:t>达到安全使用条件</w:t>
      </w:r>
      <w:r>
        <w:rPr>
          <w:rFonts w:hint="eastAsia"/>
          <w:snapToGrid w:val="0"/>
          <w:color w:val="000000"/>
          <w:kern w:val="0"/>
          <w:sz w:val="28"/>
          <w:szCs w:val="28"/>
          <w:lang w:eastAsia="zh-CN" w:bidi="ar"/>
        </w:rPr>
        <w:t>。</w:t>
      </w:r>
    </w:p>
    <w:p w14:paraId="4F96FF50">
      <w:pPr>
        <w:pStyle w:val="122"/>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color w:val="auto"/>
        </w:rPr>
        <w:sectPr>
          <w:pgSz w:w="11905" w:h="16838"/>
          <w:pgMar w:top="1417" w:right="1134" w:bottom="1134" w:left="1587" w:header="850" w:footer="680" w:gutter="0"/>
          <w:pgNumType w:fmt="decimal"/>
          <w:cols w:space="0" w:num="1"/>
          <w:rtlGutter w:val="0"/>
          <w:docGrid w:type="lines" w:linePitch="386" w:charSpace="0"/>
        </w:sectPr>
      </w:pPr>
      <w:r>
        <w:rPr>
          <w:rFonts w:hint="eastAsia"/>
          <w:snapToGrid w:val="0"/>
          <w:color w:val="000000"/>
          <w:kern w:val="0"/>
          <w:sz w:val="28"/>
          <w:szCs w:val="28"/>
          <w:lang w:val="en-US" w:eastAsia="zh-CN" w:bidi="ar"/>
        </w:rPr>
        <w:t>设计、施工、监理单位同意通过试生产，分别出具了试生产验收检查意见（详见本报告“附件资料”）</w:t>
      </w:r>
      <w:r>
        <w:rPr>
          <w:snapToGrid w:val="0"/>
          <w:color w:val="000000"/>
          <w:kern w:val="0"/>
          <w:sz w:val="28"/>
          <w:szCs w:val="28"/>
          <w:lang w:bidi="ar"/>
        </w:rPr>
        <w:t>。</w:t>
      </w:r>
    </w:p>
    <w:p w14:paraId="40B1A7E9">
      <w:pPr>
        <w:pStyle w:val="3"/>
        <w:numPr>
          <w:ilvl w:val="0"/>
          <w:numId w:val="1"/>
        </w:numPr>
        <w:tabs>
          <w:tab w:val="left" w:pos="420"/>
        </w:tabs>
        <w:adjustRightInd w:val="0"/>
        <w:spacing w:before="120" w:after="120"/>
        <w:ind w:left="0"/>
        <w:rPr>
          <w:rFonts w:hint="eastAsia" w:ascii="宋体" w:cs="宋体"/>
          <w:color w:val="auto"/>
          <w:sz w:val="44"/>
          <w:szCs w:val="44"/>
        </w:rPr>
      </w:pPr>
      <w:bookmarkStart w:id="318" w:name="_Toc6031"/>
      <w:bookmarkStart w:id="319" w:name="_Toc268336493"/>
      <w:bookmarkStart w:id="320" w:name="_Toc306879763"/>
      <w:bookmarkStart w:id="321" w:name="_Toc289592622"/>
      <w:bookmarkStart w:id="322" w:name="_Toc262829390"/>
      <w:bookmarkStart w:id="323" w:name="_Toc42596457"/>
      <w:bookmarkStart w:id="324" w:name="_Toc304199074"/>
      <w:bookmarkStart w:id="325" w:name="_Toc254345701"/>
      <w:bookmarkStart w:id="326" w:name="_Toc287427504"/>
      <w:bookmarkStart w:id="327" w:name="_Toc290983084"/>
      <w:bookmarkStart w:id="328" w:name="_Toc290726573"/>
      <w:bookmarkStart w:id="329" w:name="_Toc288896198"/>
      <w:bookmarkStart w:id="330" w:name="_Toc254179720"/>
      <w:bookmarkStart w:id="331" w:name="_Toc90911291"/>
      <w:bookmarkStart w:id="332" w:name="_Toc319053149"/>
      <w:bookmarkStart w:id="333" w:name="_Toc301507687"/>
      <w:bookmarkStart w:id="334" w:name="_Toc306872659"/>
      <w:bookmarkStart w:id="335" w:name="_Toc263347632"/>
      <w:bookmarkStart w:id="336" w:name="_Toc268336671"/>
      <w:bookmarkStart w:id="337" w:name="_Toc121910214"/>
      <w:bookmarkStart w:id="338" w:name="_Toc299363640"/>
      <w:bookmarkStart w:id="339" w:name="_Toc301597878"/>
      <w:bookmarkStart w:id="340" w:name="_Toc299440910"/>
      <w:r>
        <w:rPr>
          <w:rFonts w:hint="eastAsia" w:cs="宋体"/>
          <w:color w:val="auto"/>
          <w:sz w:val="44"/>
          <w:szCs w:val="44"/>
          <w:lang w:val="en-US" w:eastAsia="zh-CN"/>
        </w:rPr>
        <w:t>危险、有害因素辨识结果及依据说明</w:t>
      </w:r>
      <w:bookmarkEnd w:id="318"/>
    </w:p>
    <w:p w14:paraId="5E9ED414">
      <w:pPr>
        <w:pStyle w:val="4"/>
        <w:keepNext/>
        <w:keepLines/>
        <w:pageBreakBefore w:val="0"/>
        <w:widowControl w:val="0"/>
        <w:kinsoku/>
        <w:wordWrap/>
        <w:overflowPunct/>
        <w:topLinePunct w:val="0"/>
        <w:autoSpaceDE/>
        <w:autoSpaceDN/>
        <w:bidi w:val="0"/>
        <w:adjustRightInd/>
        <w:snapToGrid w:val="0"/>
        <w:spacing w:before="0" w:beforeLines="0"/>
        <w:jc w:val="left"/>
        <w:textAlignment w:val="auto"/>
        <w:rPr>
          <w:rFonts w:hint="eastAsia" w:ascii="黑体" w:hAnsi="黑体" w:eastAsia="黑体" w:cs="黑体"/>
          <w:b/>
          <w:bCs w:val="0"/>
          <w:color w:val="auto"/>
          <w:sz w:val="36"/>
          <w:szCs w:val="36"/>
          <w:lang w:val="en-US" w:eastAsia="zh-CN"/>
        </w:rPr>
      </w:pPr>
      <w:bookmarkStart w:id="341" w:name="_Toc12086"/>
      <w:r>
        <w:rPr>
          <w:rFonts w:hint="eastAsia" w:ascii="黑体" w:hAnsi="黑体" w:eastAsia="黑体" w:cs="黑体"/>
          <w:b/>
          <w:bCs w:val="0"/>
          <w:color w:val="auto"/>
          <w:sz w:val="36"/>
          <w:szCs w:val="36"/>
          <w:lang w:val="en-US" w:eastAsia="zh-CN"/>
        </w:rPr>
        <w:t>主要危险、有害因素辨识依据</w:t>
      </w:r>
      <w:bookmarkEnd w:id="341"/>
    </w:p>
    <w:p w14:paraId="15030E79">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rFonts w:hint="default" w:ascii="Times New Roman" w:hAnsi="Times New Roman" w:cs="Times New Roman"/>
          <w:color w:val="000000"/>
          <w:sz w:val="28"/>
          <w:szCs w:val="28"/>
        </w:rPr>
      </w:pPr>
      <w:bookmarkStart w:id="342" w:name="_Toc128380163"/>
      <w:bookmarkStart w:id="343" w:name="_Toc120845264"/>
      <w:bookmarkStart w:id="344" w:name="_Toc175448178"/>
      <w:bookmarkStart w:id="345" w:name="_Toc168477590"/>
      <w:bookmarkStart w:id="346" w:name="_Toc166406268"/>
      <w:bookmarkStart w:id="347" w:name="_Toc168475125"/>
      <w:bookmarkStart w:id="348" w:name="_Toc191444127"/>
      <w:bookmarkStart w:id="349" w:name="_Toc120845137"/>
      <w:bookmarkStart w:id="350" w:name="_Toc168476959"/>
      <w:bookmarkStart w:id="351" w:name="_Toc168458873"/>
      <w:bookmarkStart w:id="352" w:name="_Toc120845387"/>
      <w:r>
        <w:rPr>
          <w:rFonts w:hint="default" w:ascii="Times New Roman" w:hAnsi="Times New Roman" w:cs="Times New Roman"/>
          <w:color w:val="000000"/>
          <w:sz w:val="28"/>
          <w:szCs w:val="28"/>
        </w:rPr>
        <w:t>本报告对危险、有害因素的辨识方法，是根据</w:t>
      </w:r>
      <w:r>
        <w:rPr>
          <w:rFonts w:hint="default" w:ascii="Times New Roman" w:hAnsi="Times New Roman" w:cs="Times New Roman"/>
          <w:color w:val="000000"/>
          <w:sz w:val="28"/>
          <w:szCs w:val="28"/>
          <w:lang w:eastAsia="zh-CN"/>
        </w:rPr>
        <w:t>本</w:t>
      </w:r>
      <w:r>
        <w:rPr>
          <w:rFonts w:hint="default" w:ascii="Times New Roman" w:hAnsi="Times New Roman" w:cs="Times New Roman"/>
          <w:color w:val="000000"/>
          <w:sz w:val="28"/>
          <w:szCs w:val="28"/>
        </w:rPr>
        <w:t>项目在运行过程中涉及到的危险物质的理化性质和危险特性、工艺、设备和安全管理等方面进行分析，以辨识该项目在运行过程中存在的主要危险、有害因素。</w:t>
      </w:r>
    </w:p>
    <w:p w14:paraId="5574AD48">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根据《企业职工伤亡事故分类》（GB6441-1986），综合考虑起因物、引起事故的诱导性原因、致害物、伤害方式等，辨识该项目在运行过程中存在的主要危险有害因素。</w:t>
      </w:r>
    </w:p>
    <w:p w14:paraId="60591F4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根据《生产过程危险和有害因素分类与代码》（GB/T13861-2022）以导致事故的直接原因将生产过程中的危险有害因素分为：人的因素、物的因素、环境的因素、管理的因素四类。从上述四个方面，辨识该项目在运行过程中存在的主要危险有害因素。</w:t>
      </w:r>
    </w:p>
    <w:bookmarkEnd w:id="342"/>
    <w:bookmarkEnd w:id="343"/>
    <w:bookmarkEnd w:id="344"/>
    <w:bookmarkEnd w:id="345"/>
    <w:bookmarkEnd w:id="346"/>
    <w:bookmarkEnd w:id="347"/>
    <w:bookmarkEnd w:id="348"/>
    <w:bookmarkEnd w:id="349"/>
    <w:bookmarkEnd w:id="350"/>
    <w:bookmarkEnd w:id="351"/>
    <w:bookmarkEnd w:id="352"/>
    <w:p w14:paraId="7F3BC929">
      <w:pPr>
        <w:pStyle w:val="4"/>
        <w:keepNext/>
        <w:keepLines/>
        <w:pageBreakBefore w:val="0"/>
        <w:widowControl w:val="0"/>
        <w:kinsoku/>
        <w:wordWrap/>
        <w:overflowPunct/>
        <w:topLinePunct w:val="0"/>
        <w:autoSpaceDE/>
        <w:autoSpaceDN/>
        <w:bidi w:val="0"/>
        <w:snapToGrid w:val="0"/>
        <w:spacing w:before="0" w:beforeLines="0"/>
        <w:jc w:val="left"/>
        <w:textAlignment w:val="auto"/>
        <w:rPr>
          <w:rFonts w:hint="eastAsia" w:ascii="黑体" w:hAnsi="黑体" w:eastAsia="黑体" w:cs="黑体"/>
          <w:b/>
          <w:bCs w:val="0"/>
          <w:color w:val="auto"/>
          <w:sz w:val="36"/>
          <w:szCs w:val="36"/>
          <w:lang w:val="en-US" w:eastAsia="zh-CN"/>
        </w:rPr>
      </w:pPr>
      <w:bookmarkStart w:id="353" w:name="_Toc6856"/>
      <w:r>
        <w:rPr>
          <w:rFonts w:hint="eastAsia" w:ascii="黑体" w:hAnsi="黑体" w:eastAsia="黑体" w:cs="黑体"/>
          <w:b/>
          <w:bCs w:val="0"/>
          <w:color w:val="auto"/>
          <w:sz w:val="36"/>
          <w:szCs w:val="36"/>
          <w:lang w:val="en-US" w:eastAsia="zh-CN"/>
        </w:rPr>
        <w:t>主要危险、有害物质辨识结果</w:t>
      </w:r>
      <w:bookmarkEnd w:id="353"/>
    </w:p>
    <w:p w14:paraId="630D409D">
      <w:pPr>
        <w:pStyle w:val="5"/>
        <w:keepNext/>
        <w:keepLines/>
        <w:pageBreakBefore w:val="0"/>
        <w:widowControl w:val="0"/>
        <w:numPr>
          <w:ilvl w:val="2"/>
          <w:numId w:val="1"/>
        </w:numPr>
        <w:kinsoku/>
        <w:wordWrap/>
        <w:overflowPunct/>
        <w:topLinePunct w:val="0"/>
        <w:autoSpaceDE/>
        <w:autoSpaceDN/>
        <w:bidi w:val="0"/>
        <w:adjustRightInd w:val="0"/>
        <w:snapToGrid w:val="0"/>
        <w:jc w:val="both"/>
        <w:textAlignment w:val="auto"/>
        <w:rPr>
          <w:rFonts w:hint="default" w:ascii="Times New Roman" w:hAnsi="Times New Roman" w:eastAsia="黑体" w:cs="Times New Roman"/>
          <w:snapToGrid w:val="0"/>
          <w:color w:val="000000"/>
          <w:kern w:val="0"/>
          <w:sz w:val="32"/>
          <w:lang w:val="en-US" w:eastAsia="zh-CN"/>
        </w:rPr>
      </w:pPr>
      <w:bookmarkStart w:id="354" w:name="_Toc67390888"/>
      <w:bookmarkStart w:id="355" w:name="_Toc69680356"/>
      <w:bookmarkStart w:id="356" w:name="_Toc15983"/>
      <w:bookmarkStart w:id="357" w:name="_Toc67647120"/>
      <w:r>
        <w:rPr>
          <w:rFonts w:hint="eastAsia" w:ascii="Times New Roman" w:hAnsi="Times New Roman" w:eastAsia="黑体" w:cs="Times New Roman"/>
          <w:snapToGrid w:val="0"/>
          <w:color w:val="000000"/>
          <w:kern w:val="0"/>
          <w:sz w:val="32"/>
          <w:lang w:val="en-US" w:eastAsia="zh-CN"/>
        </w:rPr>
        <w:t>主要危险、有害物质及危险化学品辨识结果</w:t>
      </w:r>
      <w:bookmarkEnd w:id="354"/>
      <w:bookmarkEnd w:id="355"/>
      <w:bookmarkEnd w:id="356"/>
      <w:bookmarkEnd w:id="357"/>
    </w:p>
    <w:p w14:paraId="610CB2CC">
      <w:pPr>
        <w:ind w:firstLine="560"/>
      </w:pPr>
      <w:r>
        <w:rPr>
          <w:rFonts w:hint="eastAsia"/>
        </w:rPr>
        <w:t>本项目外管廊主要输送介质包含中压蒸汽、生活水、工艺水、脱盐水、消防水、氟硅酸、浓硫酸、再浆水、稀硫酸、渣浆水、过滤机洗水等。</w:t>
      </w:r>
    </w:p>
    <w:p w14:paraId="36B285BC">
      <w:pPr>
        <w:pStyle w:val="117"/>
        <w:adjustRightInd w:val="0"/>
        <w:ind w:firstLine="560" w:firstLineChars="200"/>
        <w:jc w:val="left"/>
        <w:rPr>
          <w:rFonts w:hint="eastAsia"/>
          <w:b w:val="0"/>
          <w:color w:val="auto"/>
        </w:rPr>
      </w:pPr>
      <w:r>
        <w:rPr>
          <w:b w:val="0"/>
          <w:color w:val="auto"/>
        </w:rPr>
        <w:t>根据《危险化学品目录（2022</w:t>
      </w:r>
      <w:r>
        <w:rPr>
          <w:rFonts w:hint="eastAsia"/>
          <w:b w:val="0"/>
          <w:color w:val="auto"/>
        </w:rPr>
        <w:t>调整</w:t>
      </w:r>
      <w:r>
        <w:rPr>
          <w:b w:val="0"/>
          <w:color w:val="auto"/>
        </w:rPr>
        <w:t>版）》，</w:t>
      </w:r>
      <w:r>
        <w:rPr>
          <w:rFonts w:hint="eastAsia"/>
          <w:b w:val="0"/>
          <w:color w:val="auto"/>
        </w:rPr>
        <w:t>本项目外管廊输送的物料涉及的危险化学品包括：氟硅酸、浓硫酸、稀硫酸。危险化学品理化特性见报告附件</w:t>
      </w:r>
      <w:r>
        <w:rPr>
          <w:rFonts w:hint="eastAsia"/>
          <w:b w:val="0"/>
          <w:color w:val="auto"/>
          <w:lang w:val="en-US" w:eastAsia="zh-CN"/>
        </w:rPr>
        <w:t>3.1.4</w:t>
      </w:r>
      <w:r>
        <w:rPr>
          <w:rFonts w:hint="eastAsia"/>
          <w:b w:val="0"/>
          <w:color w:val="auto"/>
        </w:rPr>
        <w:t>。</w:t>
      </w:r>
    </w:p>
    <w:p w14:paraId="6AC220C8">
      <w:pPr>
        <w:adjustRightInd w:val="0"/>
        <w:ind w:firstLine="560" w:firstLineChars="200"/>
        <w:rPr>
          <w:rFonts w:hint="eastAsia" w:ascii="宋体" w:hAnsi="Times New Roman" w:eastAsia="宋体" w:cs="宋体"/>
          <w:snapToGrid w:val="0"/>
          <w:color w:val="auto"/>
          <w:szCs w:val="28"/>
        </w:rPr>
      </w:pPr>
      <w:r>
        <w:rPr>
          <w:rFonts w:hint="eastAsia" w:ascii="宋体" w:hAnsi="Times New Roman" w:eastAsia="宋体" w:cs="宋体"/>
          <w:snapToGrid w:val="0"/>
          <w:color w:val="auto"/>
          <w:szCs w:val="28"/>
        </w:rPr>
        <w:t>（根据《高毒物品目录》，氟及其化合物属于高毒物品。根据《危险化学品分类信息表》，氟硅酸危险性类别为“皮肤腐蚀/刺激，类别1B；严重眼损伤/眼刺激，类别1”其危害特性主要表现为腐蚀性。同时，由于本项目使用18%wt的氟硅酸。经综合判定，本项目氟硅酸不属于高毒物品。）</w:t>
      </w:r>
    </w:p>
    <w:p w14:paraId="7D09BA36">
      <w:pPr>
        <w:pStyle w:val="5"/>
        <w:numPr>
          <w:ilvl w:val="2"/>
          <w:numId w:val="1"/>
        </w:numPr>
        <w:adjustRightInd w:val="0"/>
        <w:spacing w:before="120" w:after="120"/>
        <w:jc w:val="both"/>
        <w:rPr>
          <w:rFonts w:hint="eastAsia" w:ascii="Times New Roman" w:hAnsi="Times New Roman" w:eastAsia="黑体" w:cs="Times New Roman"/>
          <w:snapToGrid w:val="0"/>
          <w:color w:val="000000"/>
          <w:kern w:val="0"/>
          <w:sz w:val="32"/>
          <w:lang w:val="en-US" w:eastAsia="zh-CN"/>
        </w:rPr>
        <w:sectPr>
          <w:pgSz w:w="11906" w:h="16838"/>
          <w:pgMar w:top="1417" w:right="1134" w:bottom="1134" w:left="1587" w:header="851" w:footer="680" w:gutter="0"/>
          <w:pgNumType w:fmt="decimal"/>
          <w:cols w:space="720" w:num="1"/>
          <w:docGrid w:type="lines" w:linePitch="381" w:charSpace="0"/>
        </w:sectPr>
      </w:pPr>
      <w:bookmarkStart w:id="358" w:name="_Toc26261"/>
      <w:r>
        <w:rPr>
          <w:rFonts w:hint="eastAsia" w:ascii="Times New Roman" w:hAnsi="Times New Roman" w:eastAsia="黑体" w:cs="Times New Roman"/>
          <w:snapToGrid w:val="0"/>
          <w:color w:val="000000"/>
          <w:kern w:val="0"/>
          <w:sz w:val="32"/>
          <w:lang w:val="en-US" w:eastAsia="zh-CN"/>
        </w:rPr>
        <w:t>主要危险、有害物质的危险性及存在部位</w:t>
      </w:r>
      <w:bookmarkEnd w:id="358"/>
    </w:p>
    <w:p w14:paraId="78B980EA">
      <w:pPr>
        <w:adjustRightInd w:val="0"/>
        <w:snapToGrid w:val="0"/>
        <w:spacing w:line="500" w:lineRule="exact"/>
        <w:ind w:firstLine="482" w:firstLineChars="200"/>
        <w:jc w:val="center"/>
        <w:rPr>
          <w:b/>
          <w:bCs/>
          <w:color w:val="000000"/>
          <w:sz w:val="24"/>
        </w:rPr>
      </w:pPr>
      <w:r>
        <w:rPr>
          <w:b/>
          <w:bCs/>
          <w:color w:val="000000"/>
          <w:sz w:val="24"/>
          <w:lang w:bidi="ar"/>
        </w:rPr>
        <w:t>表3</w:t>
      </w:r>
      <w:r>
        <w:rPr>
          <w:rFonts w:hint="eastAsia"/>
          <w:b/>
          <w:bCs/>
          <w:color w:val="000000"/>
          <w:sz w:val="24"/>
          <w:lang w:val="en-US" w:eastAsia="zh-CN" w:bidi="ar"/>
        </w:rPr>
        <w:t>.2</w:t>
      </w:r>
      <w:r>
        <w:rPr>
          <w:b/>
          <w:bCs/>
          <w:color w:val="000000"/>
          <w:sz w:val="24"/>
          <w:lang w:bidi="ar"/>
        </w:rPr>
        <w:t>-1主要危险、有害物质的危险性及存在部位情况表</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81"/>
        <w:gridCol w:w="1230"/>
        <w:gridCol w:w="572"/>
        <w:gridCol w:w="1144"/>
        <w:gridCol w:w="572"/>
        <w:gridCol w:w="714"/>
        <w:gridCol w:w="717"/>
        <w:gridCol w:w="939"/>
        <w:gridCol w:w="1087"/>
        <w:gridCol w:w="831"/>
        <w:gridCol w:w="572"/>
        <w:gridCol w:w="856"/>
        <w:gridCol w:w="4515"/>
      </w:tblGrid>
      <w:tr w14:paraId="226AE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77" w:type="dxa"/>
            <w:vAlign w:val="center"/>
          </w:tcPr>
          <w:p w14:paraId="3D6D441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物料名称</w:t>
            </w:r>
          </w:p>
        </w:tc>
        <w:tc>
          <w:tcPr>
            <w:tcW w:w="1219" w:type="dxa"/>
            <w:vAlign w:val="center"/>
          </w:tcPr>
          <w:p w14:paraId="46B3630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危险化学品分类</w:t>
            </w:r>
          </w:p>
        </w:tc>
        <w:tc>
          <w:tcPr>
            <w:tcW w:w="567" w:type="dxa"/>
            <w:vAlign w:val="center"/>
          </w:tcPr>
          <w:p w14:paraId="3FB9588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相态</w:t>
            </w:r>
          </w:p>
        </w:tc>
        <w:tc>
          <w:tcPr>
            <w:tcW w:w="1134" w:type="dxa"/>
            <w:vAlign w:val="center"/>
          </w:tcPr>
          <w:p w14:paraId="3B36A69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密度</w:t>
            </w:r>
          </w:p>
        </w:tc>
        <w:tc>
          <w:tcPr>
            <w:tcW w:w="567" w:type="dxa"/>
            <w:vAlign w:val="center"/>
          </w:tcPr>
          <w:p w14:paraId="3BE419E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沸</w:t>
            </w:r>
          </w:p>
          <w:p w14:paraId="68A69AB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点</w:t>
            </w:r>
          </w:p>
          <w:p w14:paraId="55C0A1F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w:t>
            </w:r>
          </w:p>
        </w:tc>
        <w:tc>
          <w:tcPr>
            <w:tcW w:w="708" w:type="dxa"/>
            <w:vAlign w:val="center"/>
          </w:tcPr>
          <w:p w14:paraId="6EF2DCF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凝</w:t>
            </w:r>
          </w:p>
          <w:p w14:paraId="1B2FA01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点</w:t>
            </w:r>
          </w:p>
          <w:p w14:paraId="2C242B4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w:t>
            </w:r>
          </w:p>
        </w:tc>
        <w:tc>
          <w:tcPr>
            <w:tcW w:w="711" w:type="dxa"/>
            <w:vAlign w:val="center"/>
          </w:tcPr>
          <w:p w14:paraId="6F327AC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闪</w:t>
            </w:r>
          </w:p>
          <w:p w14:paraId="2901B07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点</w:t>
            </w:r>
          </w:p>
          <w:p w14:paraId="2C036D2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w:t>
            </w:r>
          </w:p>
        </w:tc>
        <w:tc>
          <w:tcPr>
            <w:tcW w:w="931" w:type="dxa"/>
            <w:vAlign w:val="center"/>
          </w:tcPr>
          <w:p w14:paraId="2233F53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自</w:t>
            </w:r>
          </w:p>
          <w:p w14:paraId="1E56C19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燃</w:t>
            </w:r>
          </w:p>
          <w:p w14:paraId="3AD5ED8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点</w:t>
            </w:r>
          </w:p>
          <w:p w14:paraId="0EF6C51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w:t>
            </w:r>
          </w:p>
        </w:tc>
        <w:tc>
          <w:tcPr>
            <w:tcW w:w="1078" w:type="dxa"/>
            <w:vAlign w:val="center"/>
          </w:tcPr>
          <w:p w14:paraId="6B03080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 xml:space="preserve">职业接触限值 </w:t>
            </w:r>
          </w:p>
          <w:p w14:paraId="3D96DB7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（mg／m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rPr>
              <w:t>）</w:t>
            </w:r>
          </w:p>
          <w:p w14:paraId="322B4DB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sz w:val="21"/>
                <w:szCs w:val="21"/>
              </w:rPr>
            </w:pPr>
          </w:p>
        </w:tc>
        <w:tc>
          <w:tcPr>
            <w:tcW w:w="824" w:type="dxa"/>
            <w:vAlign w:val="center"/>
          </w:tcPr>
          <w:p w14:paraId="6055816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毒性</w:t>
            </w:r>
          </w:p>
          <w:p w14:paraId="33B1F86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等级</w:t>
            </w:r>
          </w:p>
        </w:tc>
        <w:tc>
          <w:tcPr>
            <w:tcW w:w="567" w:type="dxa"/>
            <w:vAlign w:val="center"/>
          </w:tcPr>
          <w:p w14:paraId="0B22B2F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爆炸极限</w:t>
            </w:r>
          </w:p>
          <w:p w14:paraId="23CD6205">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v%</w:t>
            </w:r>
          </w:p>
        </w:tc>
        <w:tc>
          <w:tcPr>
            <w:tcW w:w="849" w:type="dxa"/>
            <w:vAlign w:val="center"/>
          </w:tcPr>
          <w:p w14:paraId="23EDD48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火灾危险性分类</w:t>
            </w:r>
          </w:p>
        </w:tc>
        <w:tc>
          <w:tcPr>
            <w:tcW w:w="4474" w:type="dxa"/>
            <w:vAlign w:val="center"/>
          </w:tcPr>
          <w:p w14:paraId="4D512CA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危害</w:t>
            </w:r>
          </w:p>
          <w:p w14:paraId="5944997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特性</w:t>
            </w:r>
          </w:p>
        </w:tc>
      </w:tr>
      <w:tr w14:paraId="4A4AC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77" w:type="dxa"/>
            <w:vAlign w:val="center"/>
          </w:tcPr>
          <w:p w14:paraId="3FBCB83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硫酸</w:t>
            </w:r>
          </w:p>
        </w:tc>
        <w:tc>
          <w:tcPr>
            <w:tcW w:w="1219" w:type="dxa"/>
            <w:vAlign w:val="center"/>
          </w:tcPr>
          <w:p w14:paraId="17251D5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皮肤腐蚀/刺激,类别1A</w:t>
            </w:r>
          </w:p>
          <w:p w14:paraId="5397845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严重眼损伤/眼刺激,类别1</w:t>
            </w:r>
          </w:p>
        </w:tc>
        <w:tc>
          <w:tcPr>
            <w:tcW w:w="567" w:type="dxa"/>
            <w:vAlign w:val="center"/>
          </w:tcPr>
          <w:p w14:paraId="24B44FA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液态</w:t>
            </w:r>
          </w:p>
        </w:tc>
        <w:tc>
          <w:tcPr>
            <w:tcW w:w="1134" w:type="dxa"/>
            <w:vAlign w:val="center"/>
          </w:tcPr>
          <w:p w14:paraId="0F04E1A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1.83</w:t>
            </w:r>
          </w:p>
        </w:tc>
        <w:tc>
          <w:tcPr>
            <w:tcW w:w="567" w:type="dxa"/>
            <w:vAlign w:val="center"/>
          </w:tcPr>
          <w:p w14:paraId="1231863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330</w:t>
            </w:r>
          </w:p>
        </w:tc>
        <w:tc>
          <w:tcPr>
            <w:tcW w:w="708" w:type="dxa"/>
            <w:vAlign w:val="center"/>
          </w:tcPr>
          <w:p w14:paraId="5F618B7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10.5</w:t>
            </w:r>
          </w:p>
        </w:tc>
        <w:tc>
          <w:tcPr>
            <w:tcW w:w="711" w:type="dxa"/>
            <w:vAlign w:val="center"/>
          </w:tcPr>
          <w:p w14:paraId="2ABCDE2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无意义</w:t>
            </w:r>
          </w:p>
        </w:tc>
        <w:tc>
          <w:tcPr>
            <w:tcW w:w="931" w:type="dxa"/>
            <w:vAlign w:val="center"/>
          </w:tcPr>
          <w:p w14:paraId="41A0EAE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无意义</w:t>
            </w:r>
          </w:p>
        </w:tc>
        <w:tc>
          <w:tcPr>
            <w:tcW w:w="1078" w:type="dxa"/>
            <w:vAlign w:val="center"/>
          </w:tcPr>
          <w:p w14:paraId="5728808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PC-TWA:1 PC-STEL:2</w:t>
            </w:r>
          </w:p>
        </w:tc>
        <w:tc>
          <w:tcPr>
            <w:tcW w:w="824" w:type="dxa"/>
            <w:vAlign w:val="center"/>
          </w:tcPr>
          <w:p w14:paraId="3C6DA98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（II-密封性 /Ⅰ级级）</w:t>
            </w:r>
          </w:p>
        </w:tc>
        <w:tc>
          <w:tcPr>
            <w:tcW w:w="567" w:type="dxa"/>
            <w:vAlign w:val="center"/>
          </w:tcPr>
          <w:p w14:paraId="50DE303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无意义</w:t>
            </w:r>
          </w:p>
        </w:tc>
        <w:tc>
          <w:tcPr>
            <w:tcW w:w="849" w:type="dxa"/>
            <w:vAlign w:val="center"/>
          </w:tcPr>
          <w:p w14:paraId="479EAEC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戊类</w:t>
            </w:r>
          </w:p>
        </w:tc>
        <w:tc>
          <w:tcPr>
            <w:tcW w:w="4474" w:type="dxa"/>
            <w:vAlign w:val="center"/>
          </w:tcPr>
          <w:p w14:paraId="489CF52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急性毒性：LD50：2140mg/kg（大鼠经口）LC50：510mg/m3,2小时（大鼠吸入）；320mg/m3,2小时（小鼠吸入）。</w:t>
            </w:r>
          </w:p>
          <w:p w14:paraId="6041BC2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危险特性：遇水大量放热, 可发生沸溅。与易燃物（如苯）和可燃物（如糖、纤维素等）接触会发生剧烈反应，甚至引起燃烧。遇电石、高氯酸盐、雷酸盐、硝酸盐、苦味酸盐、金属粉末等猛烈反应，发生爆炸或燃烧。有强烈的腐蚀性和吸水性。</w:t>
            </w:r>
          </w:p>
          <w:p w14:paraId="5514116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燃爆危险：本品具强腐蚀性、强刺激性，可致人体灼伤。</w:t>
            </w:r>
          </w:p>
          <w:p w14:paraId="214E97B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健康危害：对皮肤、粘膜等组织有强烈的刺激和腐蚀作用。蒸气或雾可引起结膜炎、结膜水肿、角膜混浊，以致失明；引起呼吸道刺激，重者发生呼吸困难和肺水肿；高浓度引起喉痉挛或声门水肿而窒息死亡。口服后引起消化道烧伤以致溃疡形成；严重者可能有胃穿孔、腹膜炎、肾损害、休克等。皮肤灼伤轻者出现红斑、重者形成溃疡，愈后癍痕收缩影响功能。溅入眼内可造成灼伤，甚至角膜穿孔、全眼炎以至失明。 慢性影响：牙齿酸蚀症、慢性支气管炎、肺气肿和肺硬化。</w:t>
            </w:r>
          </w:p>
          <w:p w14:paraId="0AFD547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环境危害：对环境有危害，对水体和土壤可造成污染。</w:t>
            </w:r>
          </w:p>
        </w:tc>
      </w:tr>
      <w:tr w14:paraId="1C160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77" w:type="dxa"/>
            <w:vAlign w:val="center"/>
          </w:tcPr>
          <w:p w14:paraId="5B92ADC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氟硅酸</w:t>
            </w:r>
          </w:p>
        </w:tc>
        <w:tc>
          <w:tcPr>
            <w:tcW w:w="1219" w:type="dxa"/>
            <w:vAlign w:val="center"/>
          </w:tcPr>
          <w:p w14:paraId="2FEDCF4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皮肤腐蚀/刺激，类别1B</w:t>
            </w:r>
          </w:p>
          <w:p w14:paraId="63714E4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严重眼损伤/眼刺激,类别1</w:t>
            </w:r>
          </w:p>
        </w:tc>
        <w:tc>
          <w:tcPr>
            <w:tcW w:w="567" w:type="dxa"/>
            <w:vAlign w:val="center"/>
          </w:tcPr>
          <w:p w14:paraId="0307391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液态</w:t>
            </w:r>
          </w:p>
        </w:tc>
        <w:tc>
          <w:tcPr>
            <w:tcW w:w="1134" w:type="dxa"/>
            <w:vAlign w:val="center"/>
          </w:tcPr>
          <w:p w14:paraId="537619D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1.32</w:t>
            </w:r>
          </w:p>
        </w:tc>
        <w:tc>
          <w:tcPr>
            <w:tcW w:w="567" w:type="dxa"/>
            <w:vAlign w:val="center"/>
          </w:tcPr>
          <w:p w14:paraId="67F7F32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108.5</w:t>
            </w:r>
          </w:p>
        </w:tc>
        <w:tc>
          <w:tcPr>
            <w:tcW w:w="708" w:type="dxa"/>
            <w:vAlign w:val="center"/>
          </w:tcPr>
          <w:p w14:paraId="049C8AC5">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无资料</w:t>
            </w:r>
          </w:p>
        </w:tc>
        <w:tc>
          <w:tcPr>
            <w:tcW w:w="711" w:type="dxa"/>
            <w:vAlign w:val="center"/>
          </w:tcPr>
          <w:p w14:paraId="2977BEA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无意义</w:t>
            </w:r>
          </w:p>
        </w:tc>
        <w:tc>
          <w:tcPr>
            <w:tcW w:w="931" w:type="dxa"/>
            <w:vAlign w:val="center"/>
          </w:tcPr>
          <w:p w14:paraId="0883BB3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无意义</w:t>
            </w:r>
          </w:p>
        </w:tc>
        <w:tc>
          <w:tcPr>
            <w:tcW w:w="1078" w:type="dxa"/>
            <w:vAlign w:val="center"/>
          </w:tcPr>
          <w:p w14:paraId="75F19C7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PC-TWA:2</w:t>
            </w:r>
          </w:p>
        </w:tc>
        <w:tc>
          <w:tcPr>
            <w:tcW w:w="824" w:type="dxa"/>
            <w:vAlign w:val="center"/>
          </w:tcPr>
          <w:p w14:paraId="77E5B9A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无资料</w:t>
            </w:r>
          </w:p>
        </w:tc>
        <w:tc>
          <w:tcPr>
            <w:tcW w:w="567" w:type="dxa"/>
            <w:vAlign w:val="center"/>
          </w:tcPr>
          <w:p w14:paraId="2D445FC5">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无意义</w:t>
            </w:r>
          </w:p>
        </w:tc>
        <w:tc>
          <w:tcPr>
            <w:tcW w:w="849" w:type="dxa"/>
            <w:vAlign w:val="center"/>
          </w:tcPr>
          <w:p w14:paraId="3826C3F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474" w:type="dxa"/>
            <w:vAlign w:val="center"/>
          </w:tcPr>
          <w:p w14:paraId="5522DF7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危险特性：受热分解放出有毒的氟化物气体。具有较强的腐蚀性。</w:t>
            </w:r>
          </w:p>
          <w:p w14:paraId="4EE3174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燃爆危险：本品不燃，具强腐蚀性，可致人体灼伤。</w:t>
            </w:r>
          </w:p>
          <w:p w14:paraId="4DAC24C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健康危害：皮肤直接接触，引起发红，局部有烧灼感，重者有溃疡形成。对机体的作用似氢氟酸，但较弱。</w:t>
            </w:r>
          </w:p>
        </w:tc>
      </w:tr>
    </w:tbl>
    <w:p w14:paraId="7BD5EA3B">
      <w:pPr>
        <w:spacing w:line="240" w:lineRule="auto"/>
        <w:ind w:firstLine="420"/>
        <w:rPr>
          <w:sz w:val="21"/>
          <w:szCs w:val="21"/>
        </w:rPr>
      </w:pPr>
      <w:r>
        <w:rPr>
          <w:rFonts w:hint="eastAsia"/>
          <w:sz w:val="21"/>
          <w:szCs w:val="21"/>
        </w:rPr>
        <w:t>注</w:t>
      </w:r>
      <w:r>
        <w:rPr>
          <w:sz w:val="21"/>
          <w:szCs w:val="21"/>
        </w:rPr>
        <w:t>1</w:t>
      </w:r>
      <w:r>
        <w:rPr>
          <w:rFonts w:hint="eastAsia"/>
          <w:sz w:val="21"/>
          <w:szCs w:val="21"/>
        </w:rPr>
        <w:t>：以上数据来源于《危险化学品安全技术全书》（MSDS）、《承压设备介质危害分类导则》GB/T 42594-2023。</w:t>
      </w:r>
    </w:p>
    <w:p w14:paraId="2949A9FE">
      <w:pPr>
        <w:spacing w:line="240" w:lineRule="auto"/>
        <w:ind w:firstLine="420"/>
        <w:rPr>
          <w:sz w:val="21"/>
          <w:szCs w:val="21"/>
        </w:rPr>
      </w:pPr>
      <w:r>
        <w:rPr>
          <w:rFonts w:hint="eastAsia"/>
          <w:sz w:val="21"/>
          <w:szCs w:val="21"/>
        </w:rPr>
        <w:t>注</w:t>
      </w:r>
      <w:r>
        <w:rPr>
          <w:sz w:val="21"/>
          <w:szCs w:val="21"/>
        </w:rPr>
        <w:t>2</w:t>
      </w:r>
      <w:r>
        <w:rPr>
          <w:rFonts w:hint="eastAsia"/>
          <w:sz w:val="21"/>
          <w:szCs w:val="21"/>
        </w:rPr>
        <w:t>：毒性等级该列"/"左侧的介质毒性危害程度等级是根据急性毒性的分类结果；"/"右侧的介质毒性危害程度等级是按照GBZ230进行分类的结果，适用于在室内相对密闭的环境中使的承压设备和事故状态等异常工况。若未分别列出，则表示根据急性毒性和GBZ230获得的介质毒性危害程度等级相同。该列中，"/"左侧括号内毒性危害等级是在确定设备的密封性、致密性等技术要求时，考虑致癌性后介质的毒性危害程度等级。</w:t>
      </w:r>
    </w:p>
    <w:p w14:paraId="4B407475">
      <w:pPr>
        <w:pStyle w:val="5"/>
        <w:sectPr>
          <w:pgSz w:w="16838" w:h="11906" w:orient="landscape"/>
          <w:pgMar w:top="1417" w:right="1134" w:bottom="1134" w:left="1587" w:header="851" w:footer="680" w:gutter="0"/>
          <w:pgNumType w:fmt="decimal"/>
          <w:cols w:space="720" w:num="1"/>
          <w:docGrid w:type="lines" w:linePitch="381" w:charSpace="0"/>
        </w:sectPr>
      </w:pPr>
    </w:p>
    <w:p w14:paraId="19A9DE61">
      <w:pPr>
        <w:pStyle w:val="4"/>
        <w:spacing w:before="193"/>
        <w:jc w:val="left"/>
        <w:rPr>
          <w:rFonts w:hint="default" w:ascii="黑体" w:hAnsi="黑体" w:eastAsia="黑体" w:cs="黑体"/>
          <w:b/>
          <w:bCs w:val="0"/>
          <w:color w:val="auto"/>
          <w:sz w:val="36"/>
          <w:szCs w:val="36"/>
          <w:lang w:val="en-US" w:eastAsia="zh-CN"/>
        </w:rPr>
      </w:pPr>
      <w:bookmarkStart w:id="359" w:name="_Toc195889309"/>
      <w:bookmarkStart w:id="360" w:name="_Toc207166160"/>
      <w:bookmarkStart w:id="361" w:name="_Toc296375973"/>
      <w:bookmarkStart w:id="362" w:name="_Toc19111"/>
      <w:bookmarkStart w:id="363" w:name="_Toc520019452"/>
      <w:bookmarkStart w:id="364" w:name="_Toc335511832"/>
      <w:bookmarkStart w:id="365" w:name="_Toc297653209"/>
      <w:bookmarkStart w:id="366" w:name="_Toc359319084"/>
      <w:bookmarkStart w:id="367" w:name="_Toc335599676"/>
      <w:r>
        <w:rPr>
          <w:rFonts w:hint="eastAsia" w:ascii="黑体" w:hAnsi="黑体" w:eastAsia="黑体" w:cs="黑体"/>
          <w:b/>
          <w:bCs w:val="0"/>
          <w:color w:val="auto"/>
          <w:sz w:val="36"/>
          <w:szCs w:val="36"/>
          <w:lang w:val="en-US" w:eastAsia="zh-CN"/>
        </w:rPr>
        <w:t>主要危险、有害因素</w:t>
      </w:r>
      <w:bookmarkEnd w:id="359"/>
      <w:bookmarkEnd w:id="360"/>
      <w:r>
        <w:rPr>
          <w:rFonts w:hint="eastAsia" w:ascii="黑体" w:hAnsi="黑体" w:eastAsia="黑体" w:cs="黑体"/>
          <w:b/>
          <w:bCs w:val="0"/>
          <w:color w:val="auto"/>
          <w:sz w:val="36"/>
          <w:szCs w:val="36"/>
          <w:lang w:val="en-US" w:eastAsia="zh-CN"/>
        </w:rPr>
        <w:t>分析结果</w:t>
      </w:r>
      <w:bookmarkEnd w:id="361"/>
      <w:bookmarkEnd w:id="362"/>
      <w:bookmarkEnd w:id="363"/>
      <w:bookmarkEnd w:id="364"/>
      <w:bookmarkEnd w:id="365"/>
      <w:bookmarkEnd w:id="366"/>
      <w:bookmarkEnd w:id="367"/>
    </w:p>
    <w:p w14:paraId="5E8DD917">
      <w:pPr>
        <w:ind w:firstLine="560" w:firstLineChars="200"/>
        <w:rPr>
          <w:rFonts w:hint="eastAsia" w:hAnsi="宋体"/>
          <w:color w:val="auto"/>
          <w:szCs w:val="28"/>
        </w:rPr>
      </w:pPr>
      <w:r>
        <w:rPr>
          <w:rFonts w:hint="eastAsia" w:hAnsi="宋体"/>
          <w:color w:val="auto"/>
          <w:szCs w:val="28"/>
        </w:rPr>
        <w:t>由报告附件</w:t>
      </w:r>
      <w:r>
        <w:rPr>
          <w:rFonts w:hint="eastAsia" w:hAnsi="宋体"/>
          <w:color w:val="auto"/>
          <w:szCs w:val="28"/>
          <w:lang w:val="en-US" w:eastAsia="zh-CN"/>
        </w:rPr>
        <w:t>3.1.5</w:t>
      </w:r>
      <w:r>
        <w:rPr>
          <w:rFonts w:hint="eastAsia" w:hAnsi="宋体"/>
          <w:color w:val="auto"/>
          <w:szCs w:val="28"/>
        </w:rPr>
        <w:t>节，本项目物料输送过程中存在的危险、有害因素为化学腐蚀、化学灼伤、高温烫伤、机械伤害、触电、高处坠落、火灾爆炸等。其次存在着地震、滑坡、坍塌等自然灾害。</w:t>
      </w:r>
    </w:p>
    <w:p w14:paraId="63ED49BD">
      <w:pPr>
        <w:pStyle w:val="4"/>
        <w:spacing w:before="193"/>
        <w:jc w:val="left"/>
        <w:rPr>
          <w:rFonts w:hint="default" w:ascii="黑体" w:hAnsi="黑体" w:eastAsia="黑体" w:cs="黑体"/>
          <w:b/>
          <w:bCs w:val="0"/>
          <w:color w:val="auto"/>
          <w:sz w:val="36"/>
          <w:szCs w:val="36"/>
          <w:lang w:val="en-US" w:eastAsia="zh-CN"/>
        </w:rPr>
      </w:pPr>
      <w:bookmarkStart w:id="368" w:name="_Toc6198"/>
      <w:r>
        <w:rPr>
          <w:rFonts w:hint="eastAsia" w:ascii="黑体" w:hAnsi="黑体" w:eastAsia="黑体" w:cs="黑体"/>
          <w:b/>
          <w:bCs w:val="0"/>
          <w:color w:val="auto"/>
          <w:sz w:val="36"/>
          <w:szCs w:val="36"/>
          <w:lang w:val="en-US" w:eastAsia="zh-CN"/>
        </w:rPr>
        <w:t>主要危险、有害因素发布汇总</w:t>
      </w:r>
      <w:bookmarkEnd w:id="368"/>
    </w:p>
    <w:p w14:paraId="3E084233">
      <w:pPr>
        <w:adjustRightInd w:val="0"/>
        <w:snapToGrid w:val="0"/>
        <w:spacing w:line="500" w:lineRule="exact"/>
        <w:ind w:firstLine="482" w:firstLineChars="200"/>
        <w:jc w:val="center"/>
        <w:rPr>
          <w:rFonts w:hint="default" w:ascii="宋体" w:hAnsi="Times New Roman" w:eastAsia="宋体" w:cs="宋体"/>
          <w:b/>
          <w:bCs/>
          <w:color w:val="000000"/>
          <w:sz w:val="24"/>
          <w:lang w:val="en-US" w:eastAsia="zh-CN" w:bidi="ar"/>
        </w:rPr>
      </w:pPr>
      <w:r>
        <w:rPr>
          <w:rFonts w:hint="default" w:ascii="宋体" w:hAnsi="Times New Roman" w:eastAsia="宋体" w:cs="宋体"/>
          <w:b/>
          <w:bCs/>
          <w:color w:val="000000"/>
          <w:sz w:val="24"/>
          <w:lang w:val="en-US" w:eastAsia="zh-CN" w:bidi="ar"/>
        </w:rPr>
        <w:t>表3.4-1 主要危险、有害因素分布汇总表</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1345"/>
        <w:gridCol w:w="3894"/>
        <w:gridCol w:w="4377"/>
      </w:tblGrid>
      <w:tr w14:paraId="736AD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67" w:hRule="atLeast"/>
          <w:tblHeader/>
          <w:jc w:val="center"/>
        </w:trPr>
        <w:tc>
          <w:tcPr>
            <w:tcW w:w="0" w:type="auto"/>
            <w:shd w:val="clear" w:color="auto" w:fill="auto"/>
            <w:tcMar>
              <w:top w:w="144" w:type="dxa"/>
              <w:left w:w="216" w:type="dxa"/>
              <w:bottom w:w="144" w:type="dxa"/>
              <w:right w:w="216" w:type="dxa"/>
            </w:tcMar>
            <w:vAlign w:val="center"/>
          </w:tcPr>
          <w:p w14:paraId="17BE52F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i w:val="0"/>
                <w:iCs w:val="0"/>
                <w:caps w:val="0"/>
                <w:color w:val="000000"/>
                <w:spacing w:val="0"/>
                <w:sz w:val="21"/>
                <w:szCs w:val="21"/>
              </w:rPr>
            </w:pPr>
            <w:r>
              <w:rPr>
                <w:rFonts w:hint="default" w:ascii="Times New Roman" w:hAnsi="Times New Roman" w:eastAsia="宋体" w:cs="Times New Roman"/>
                <w:b/>
                <w:bCs/>
                <w:i w:val="0"/>
                <w:iCs w:val="0"/>
                <w:caps w:val="0"/>
                <w:color w:val="000000"/>
                <w:spacing w:val="0"/>
                <w:kern w:val="0"/>
                <w:sz w:val="21"/>
                <w:szCs w:val="21"/>
                <w:lang w:val="en-US" w:eastAsia="zh-CN" w:bidi="ar"/>
              </w:rPr>
              <w:t>危险、有害因素类别</w:t>
            </w:r>
          </w:p>
        </w:tc>
        <w:tc>
          <w:tcPr>
            <w:tcW w:w="0" w:type="auto"/>
            <w:shd w:val="clear" w:color="auto" w:fill="auto"/>
            <w:tcMar>
              <w:top w:w="144" w:type="dxa"/>
              <w:left w:w="216" w:type="dxa"/>
              <w:bottom w:w="144" w:type="dxa"/>
              <w:right w:w="216" w:type="dxa"/>
            </w:tcMar>
            <w:vAlign w:val="center"/>
          </w:tcPr>
          <w:p w14:paraId="6AF11188">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i w:val="0"/>
                <w:iCs w:val="0"/>
                <w:caps w:val="0"/>
                <w:color w:val="000000"/>
                <w:spacing w:val="0"/>
                <w:sz w:val="21"/>
                <w:szCs w:val="21"/>
              </w:rPr>
            </w:pPr>
            <w:r>
              <w:rPr>
                <w:rFonts w:hint="default" w:ascii="Times New Roman" w:hAnsi="Times New Roman" w:eastAsia="宋体" w:cs="Times New Roman"/>
                <w:b/>
                <w:bCs/>
                <w:i w:val="0"/>
                <w:iCs w:val="0"/>
                <w:caps w:val="0"/>
                <w:color w:val="000000"/>
                <w:spacing w:val="0"/>
                <w:kern w:val="0"/>
                <w:sz w:val="21"/>
                <w:szCs w:val="21"/>
                <w:lang w:val="en-US" w:eastAsia="zh-CN" w:bidi="ar"/>
              </w:rPr>
              <w:t>具体表现形式</w:t>
            </w:r>
          </w:p>
        </w:tc>
        <w:tc>
          <w:tcPr>
            <w:tcW w:w="0" w:type="auto"/>
            <w:shd w:val="clear" w:color="auto" w:fill="auto"/>
            <w:tcMar>
              <w:top w:w="144" w:type="dxa"/>
              <w:left w:w="216" w:type="dxa"/>
              <w:bottom w:w="144" w:type="dxa"/>
              <w:right w:w="216" w:type="dxa"/>
            </w:tcMar>
            <w:vAlign w:val="center"/>
          </w:tcPr>
          <w:p w14:paraId="189B1EA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i w:val="0"/>
                <w:iCs w:val="0"/>
                <w:caps w:val="0"/>
                <w:color w:val="000000"/>
                <w:spacing w:val="0"/>
                <w:sz w:val="21"/>
                <w:szCs w:val="21"/>
              </w:rPr>
            </w:pPr>
            <w:r>
              <w:rPr>
                <w:rFonts w:hint="default" w:ascii="Times New Roman" w:hAnsi="Times New Roman" w:eastAsia="宋体" w:cs="Times New Roman"/>
                <w:b/>
                <w:bCs/>
                <w:i w:val="0"/>
                <w:iCs w:val="0"/>
                <w:caps w:val="0"/>
                <w:color w:val="000000"/>
                <w:spacing w:val="0"/>
                <w:kern w:val="0"/>
                <w:sz w:val="21"/>
                <w:szCs w:val="21"/>
                <w:lang w:val="en-US" w:eastAsia="zh-CN" w:bidi="ar"/>
              </w:rPr>
              <w:t>存在部位 / 操作过程</w:t>
            </w:r>
          </w:p>
        </w:tc>
      </w:tr>
      <w:tr w14:paraId="29AA6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67" w:hRule="atLeast"/>
          <w:jc w:val="center"/>
        </w:trPr>
        <w:tc>
          <w:tcPr>
            <w:tcW w:w="0" w:type="auto"/>
            <w:shd w:val="clear" w:color="auto" w:fill="auto"/>
            <w:tcMar>
              <w:top w:w="144" w:type="dxa"/>
              <w:left w:w="216" w:type="dxa"/>
              <w:bottom w:w="144" w:type="dxa"/>
              <w:right w:w="216" w:type="dxa"/>
            </w:tcMar>
            <w:vAlign w:val="center"/>
          </w:tcPr>
          <w:p w14:paraId="1C48FA9B">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Style w:val="92"/>
                <w:rFonts w:hint="default" w:ascii="Times New Roman" w:hAnsi="Times New Roman" w:eastAsia="宋体" w:cs="Times New Roman"/>
                <w:b/>
                <w:bCs/>
                <w:i w:val="0"/>
                <w:iCs w:val="0"/>
                <w:caps w:val="0"/>
                <w:color w:val="000000"/>
                <w:spacing w:val="0"/>
                <w:kern w:val="0"/>
                <w:sz w:val="21"/>
                <w:szCs w:val="21"/>
                <w:lang w:val="en-US" w:eastAsia="zh-CN" w:bidi="ar"/>
              </w:rPr>
            </w:pPr>
            <w:r>
              <w:rPr>
                <w:rStyle w:val="92"/>
                <w:rFonts w:hint="eastAsia" w:ascii="Times New Roman" w:hAnsi="Times New Roman" w:eastAsia="宋体" w:cs="Times New Roman"/>
                <w:b/>
                <w:bCs/>
                <w:i w:val="0"/>
                <w:iCs w:val="0"/>
                <w:caps w:val="0"/>
                <w:color w:val="000000"/>
                <w:spacing w:val="0"/>
                <w:kern w:val="0"/>
                <w:sz w:val="21"/>
                <w:szCs w:val="21"/>
                <w:lang w:val="en-US" w:eastAsia="zh-CN" w:bidi="ar"/>
              </w:rPr>
              <w:t>火灾、爆炸</w:t>
            </w:r>
          </w:p>
        </w:tc>
        <w:tc>
          <w:tcPr>
            <w:tcW w:w="0" w:type="auto"/>
            <w:shd w:val="clear" w:color="auto" w:fill="auto"/>
            <w:tcMar>
              <w:top w:w="144" w:type="dxa"/>
              <w:left w:w="216" w:type="dxa"/>
              <w:bottom w:w="144" w:type="dxa"/>
              <w:right w:w="216" w:type="dxa"/>
            </w:tcMar>
            <w:vAlign w:val="center"/>
          </w:tcPr>
          <w:p w14:paraId="54820650">
            <w:pPr>
              <w:keepNext w:val="0"/>
              <w:keepLines w:val="0"/>
              <w:pageBreakBefore w:val="0"/>
              <w:widowControl/>
              <w:numPr>
                <w:ilvl w:val="0"/>
                <w:numId w:val="21"/>
              </w:numPr>
              <w:suppressLineNumbers w:val="0"/>
              <w:kinsoku/>
              <w:wordWrap/>
              <w:overflowPunct/>
              <w:topLinePunct w:val="0"/>
              <w:autoSpaceDE/>
              <w:autoSpaceDN/>
              <w:bidi w:val="0"/>
              <w:adjustRightInd/>
              <w:snapToGrid w:val="0"/>
              <w:spacing w:line="240" w:lineRule="auto"/>
              <w:jc w:val="left"/>
              <w:textAlignment w:val="auto"/>
              <w:rPr>
                <w:rFonts w:hint="eastAsia" w:ascii="Times New Roman" w:hAnsi="Times New Roman" w:eastAsia="宋体" w:cs="Times New Roman"/>
                <w:i w:val="0"/>
                <w:iCs w:val="0"/>
                <w:caps w:val="0"/>
                <w:color w:val="000000"/>
                <w:spacing w:val="0"/>
                <w:kern w:val="0"/>
                <w:sz w:val="21"/>
                <w:szCs w:val="21"/>
                <w:lang w:val="en-US" w:eastAsia="zh-CN" w:bidi="ar"/>
              </w:rPr>
            </w:pPr>
            <w:r>
              <w:rPr>
                <w:rFonts w:hint="eastAsia" w:ascii="Times New Roman" w:hAnsi="Times New Roman" w:eastAsia="宋体" w:cs="Times New Roman"/>
                <w:i w:val="0"/>
                <w:iCs w:val="0"/>
                <w:caps w:val="0"/>
                <w:color w:val="000000"/>
                <w:spacing w:val="0"/>
                <w:kern w:val="0"/>
                <w:sz w:val="21"/>
                <w:szCs w:val="21"/>
                <w:lang w:val="en-US" w:eastAsia="zh-CN" w:bidi="ar"/>
              </w:rPr>
              <w:t>硫酸、氟硅酸泄漏后与金属反应生成氢气并发生氢气集聚，遇点火源可能导致氢气火灾、爆炸事故</w:t>
            </w:r>
          </w:p>
          <w:p w14:paraId="0B6922BD">
            <w:pPr>
              <w:keepNext w:val="0"/>
              <w:keepLines w:val="0"/>
              <w:pageBreakBefore w:val="0"/>
              <w:widowControl/>
              <w:numPr>
                <w:ilvl w:val="0"/>
                <w:numId w:val="21"/>
              </w:numPr>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spacing w:val="0"/>
                <w:kern w:val="0"/>
                <w:sz w:val="21"/>
                <w:szCs w:val="21"/>
                <w:lang w:val="en-US" w:eastAsia="zh-CN" w:bidi="ar"/>
              </w:rPr>
            </w:pPr>
            <w:r>
              <w:rPr>
                <w:rFonts w:hint="default" w:ascii="Times New Roman" w:hAnsi="Times New Roman" w:eastAsia="宋体" w:cs="Times New Roman"/>
                <w:i w:val="0"/>
                <w:iCs w:val="0"/>
                <w:caps w:val="0"/>
                <w:color w:val="000000"/>
                <w:spacing w:val="0"/>
                <w:kern w:val="0"/>
                <w:sz w:val="21"/>
                <w:szCs w:val="21"/>
                <w:lang w:val="en-US" w:eastAsia="zh-CN" w:bidi="ar"/>
              </w:rPr>
              <w:t>可燃物接触高温或明火</w:t>
            </w:r>
          </w:p>
        </w:tc>
        <w:tc>
          <w:tcPr>
            <w:tcW w:w="0" w:type="auto"/>
            <w:shd w:val="clear" w:color="auto" w:fill="auto"/>
            <w:tcMar>
              <w:top w:w="144" w:type="dxa"/>
              <w:left w:w="216" w:type="dxa"/>
              <w:bottom w:w="144" w:type="dxa"/>
              <w:right w:w="216" w:type="dxa"/>
            </w:tcMar>
            <w:vAlign w:val="center"/>
          </w:tcPr>
          <w:p w14:paraId="00554C0D">
            <w:pPr>
              <w:keepNext w:val="0"/>
              <w:keepLines w:val="0"/>
              <w:pageBreakBefore w:val="0"/>
              <w:widowControl/>
              <w:numPr>
                <w:ilvl w:val="0"/>
                <w:numId w:val="22"/>
              </w:numPr>
              <w:suppressLineNumbers w:val="0"/>
              <w:kinsoku/>
              <w:wordWrap/>
              <w:overflowPunct/>
              <w:topLinePunct w:val="0"/>
              <w:autoSpaceDE/>
              <w:autoSpaceDN/>
              <w:bidi w:val="0"/>
              <w:adjustRightInd/>
              <w:snapToGrid w:val="0"/>
              <w:spacing w:line="240" w:lineRule="auto"/>
              <w:jc w:val="left"/>
              <w:textAlignment w:val="auto"/>
              <w:rPr>
                <w:rFonts w:hint="eastAsia" w:ascii="Times New Roman" w:hAnsi="Times New Roman" w:eastAsia="宋体" w:cs="Times New Roman"/>
                <w:i w:val="0"/>
                <w:iCs w:val="0"/>
                <w:caps w:val="0"/>
                <w:color w:val="000000"/>
                <w:spacing w:val="0"/>
                <w:kern w:val="0"/>
                <w:sz w:val="21"/>
                <w:szCs w:val="21"/>
                <w:lang w:val="en-US" w:eastAsia="zh-CN" w:bidi="ar"/>
              </w:rPr>
            </w:pPr>
            <w:r>
              <w:rPr>
                <w:rFonts w:hint="eastAsia" w:ascii="Times New Roman" w:hAnsi="Times New Roman" w:eastAsia="宋体" w:cs="Times New Roman"/>
                <w:i w:val="0"/>
                <w:iCs w:val="0"/>
                <w:caps w:val="0"/>
                <w:color w:val="000000"/>
                <w:spacing w:val="0"/>
                <w:kern w:val="0"/>
                <w:sz w:val="21"/>
                <w:szCs w:val="21"/>
                <w:lang w:val="en-US" w:eastAsia="zh-CN" w:bidi="ar"/>
              </w:rPr>
              <w:t>储存及输送过程中泄漏，管道、管件、仪表等由于长期使用或选材不当被腐蚀引起泄漏；</w:t>
            </w:r>
          </w:p>
          <w:p w14:paraId="08D75AA7">
            <w:pPr>
              <w:keepNext w:val="0"/>
              <w:keepLines w:val="0"/>
              <w:pageBreakBefore w:val="0"/>
              <w:widowControl/>
              <w:numPr>
                <w:ilvl w:val="0"/>
                <w:numId w:val="22"/>
              </w:numPr>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spacing w:val="0"/>
                <w:kern w:val="0"/>
                <w:sz w:val="21"/>
                <w:szCs w:val="21"/>
                <w:lang w:val="en-US" w:eastAsia="zh-CN" w:bidi="ar"/>
              </w:rPr>
            </w:pPr>
            <w:r>
              <w:rPr>
                <w:rFonts w:hint="default" w:ascii="Times New Roman" w:hAnsi="Times New Roman" w:eastAsia="宋体" w:cs="Times New Roman"/>
                <w:i w:val="0"/>
                <w:iCs w:val="0"/>
                <w:caps w:val="0"/>
                <w:color w:val="000000"/>
                <w:spacing w:val="0"/>
                <w:kern w:val="0"/>
                <w:sz w:val="21"/>
                <w:szCs w:val="21"/>
                <w:lang w:val="en-US" w:eastAsia="zh-CN" w:bidi="ar"/>
              </w:rPr>
              <w:t>浓硫酸与可燃物（如木材、棉纱）接触（泄漏后遇高温引发燃烧）；</w:t>
            </w:r>
            <w:r>
              <w:rPr>
                <w:rFonts w:hint="default" w:ascii="Times New Roman" w:hAnsi="Times New Roman" w:eastAsia="宋体" w:cs="Times New Roman"/>
                <w:i w:val="0"/>
                <w:iCs w:val="0"/>
                <w:caps w:val="0"/>
                <w:color w:val="000000"/>
                <w:spacing w:val="0"/>
                <w:kern w:val="0"/>
                <w:sz w:val="21"/>
                <w:szCs w:val="21"/>
                <w:lang w:val="en-US" w:eastAsia="zh-CN" w:bidi="ar"/>
              </w:rPr>
              <w:br w:type="textWrapping"/>
            </w:r>
            <w:r>
              <w:rPr>
                <w:rFonts w:hint="eastAsia" w:ascii="Times New Roman" w:hAnsi="Times New Roman" w:eastAsia="宋体" w:cs="Times New Roman"/>
                <w:i w:val="0"/>
                <w:iCs w:val="0"/>
                <w:caps w:val="0"/>
                <w:color w:val="000000"/>
                <w:spacing w:val="0"/>
                <w:kern w:val="0"/>
                <w:sz w:val="21"/>
                <w:szCs w:val="21"/>
                <w:lang w:val="en-US" w:eastAsia="zh-CN" w:bidi="ar"/>
              </w:rPr>
              <w:t>3、</w:t>
            </w:r>
            <w:r>
              <w:rPr>
                <w:rFonts w:hint="default" w:ascii="Times New Roman" w:hAnsi="Times New Roman" w:eastAsia="宋体" w:cs="Times New Roman"/>
                <w:i w:val="0"/>
                <w:iCs w:val="0"/>
                <w:caps w:val="0"/>
                <w:color w:val="000000"/>
                <w:spacing w:val="0"/>
                <w:kern w:val="0"/>
                <w:sz w:val="21"/>
                <w:szCs w:val="21"/>
                <w:lang w:val="en-US" w:eastAsia="zh-CN" w:bidi="ar"/>
              </w:rPr>
              <w:t>电气线路短路（电缆老化或过载）。</w:t>
            </w:r>
          </w:p>
        </w:tc>
      </w:tr>
      <w:tr w14:paraId="69BD1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jc w:val="center"/>
        </w:trPr>
        <w:tc>
          <w:tcPr>
            <w:tcW w:w="0" w:type="auto"/>
            <w:shd w:val="clear" w:color="auto" w:fill="auto"/>
            <w:tcMar>
              <w:top w:w="144" w:type="dxa"/>
              <w:left w:w="216" w:type="dxa"/>
              <w:bottom w:w="144" w:type="dxa"/>
              <w:right w:w="216" w:type="dxa"/>
            </w:tcMar>
            <w:vAlign w:val="center"/>
          </w:tcPr>
          <w:p w14:paraId="69C27242">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spacing w:val="0"/>
                <w:sz w:val="21"/>
                <w:szCs w:val="21"/>
              </w:rPr>
            </w:pPr>
            <w:r>
              <w:rPr>
                <w:rStyle w:val="92"/>
                <w:rFonts w:hint="default" w:ascii="Times New Roman" w:hAnsi="Times New Roman" w:eastAsia="宋体" w:cs="Times New Roman"/>
                <w:b/>
                <w:bCs/>
                <w:i w:val="0"/>
                <w:iCs w:val="0"/>
                <w:caps w:val="0"/>
                <w:color w:val="000000"/>
                <w:spacing w:val="0"/>
                <w:kern w:val="0"/>
                <w:sz w:val="21"/>
                <w:szCs w:val="21"/>
                <w:lang w:val="en-US" w:eastAsia="zh-CN" w:bidi="ar"/>
              </w:rPr>
              <w:t>化学腐蚀与灼伤</w:t>
            </w:r>
          </w:p>
        </w:tc>
        <w:tc>
          <w:tcPr>
            <w:tcW w:w="0" w:type="auto"/>
            <w:shd w:val="clear" w:color="auto" w:fill="auto"/>
            <w:tcMar>
              <w:top w:w="144" w:type="dxa"/>
              <w:left w:w="216" w:type="dxa"/>
              <w:bottom w:w="144" w:type="dxa"/>
              <w:right w:w="216" w:type="dxa"/>
            </w:tcMar>
            <w:vAlign w:val="center"/>
          </w:tcPr>
          <w:p w14:paraId="1DAB7E2E">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spacing w:val="0"/>
                <w:sz w:val="21"/>
                <w:szCs w:val="21"/>
              </w:rPr>
            </w:pPr>
            <w:r>
              <w:rPr>
                <w:rFonts w:hint="default" w:ascii="Times New Roman" w:hAnsi="Times New Roman" w:eastAsia="宋体" w:cs="Times New Roman"/>
                <w:i w:val="0"/>
                <w:iCs w:val="0"/>
                <w:caps w:val="0"/>
                <w:color w:val="000000"/>
                <w:spacing w:val="0"/>
                <w:kern w:val="0"/>
                <w:sz w:val="21"/>
                <w:szCs w:val="21"/>
                <w:lang w:val="en-US" w:eastAsia="zh-CN" w:bidi="ar"/>
              </w:rPr>
              <w:t>皮肤 / 黏膜腐蚀、化学灼伤</w:t>
            </w:r>
          </w:p>
        </w:tc>
        <w:tc>
          <w:tcPr>
            <w:tcW w:w="0" w:type="auto"/>
            <w:shd w:val="clear" w:color="auto" w:fill="auto"/>
            <w:tcMar>
              <w:top w:w="144" w:type="dxa"/>
              <w:left w:w="216" w:type="dxa"/>
              <w:bottom w:w="144" w:type="dxa"/>
              <w:right w:w="216" w:type="dxa"/>
            </w:tcMar>
            <w:vAlign w:val="center"/>
          </w:tcPr>
          <w:p w14:paraId="61868BC0">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spacing w:val="0"/>
                <w:sz w:val="21"/>
                <w:szCs w:val="21"/>
              </w:rPr>
            </w:pPr>
            <w:r>
              <w:rPr>
                <w:rFonts w:hint="default" w:ascii="Times New Roman" w:hAnsi="Times New Roman" w:eastAsia="宋体" w:cs="Times New Roman"/>
                <w:i w:val="0"/>
                <w:iCs w:val="0"/>
                <w:caps w:val="0"/>
                <w:color w:val="000000"/>
                <w:spacing w:val="0"/>
                <w:kern w:val="0"/>
                <w:sz w:val="21"/>
                <w:szCs w:val="21"/>
                <w:lang w:val="en-US" w:eastAsia="zh-CN" w:bidi="ar"/>
              </w:rPr>
              <w:t>1. 氟硅酸管道（DN150，钢衬超高分子量聚乙烯材质）及输送泵（祥丰金麦厂区）；</w:t>
            </w:r>
            <w:r>
              <w:rPr>
                <w:rFonts w:hint="default" w:ascii="Times New Roman" w:hAnsi="Times New Roman" w:eastAsia="宋体" w:cs="Times New Roman"/>
                <w:i w:val="0"/>
                <w:iCs w:val="0"/>
                <w:caps w:val="0"/>
                <w:color w:val="000000"/>
                <w:spacing w:val="0"/>
                <w:kern w:val="0"/>
                <w:sz w:val="21"/>
                <w:szCs w:val="21"/>
                <w:lang w:val="en-US" w:eastAsia="zh-CN" w:bidi="ar"/>
              </w:rPr>
              <w:br w:type="textWrapping"/>
            </w:r>
            <w:r>
              <w:rPr>
                <w:rFonts w:hint="default" w:ascii="Times New Roman" w:hAnsi="Times New Roman" w:eastAsia="宋体" w:cs="Times New Roman"/>
                <w:i w:val="0"/>
                <w:iCs w:val="0"/>
                <w:caps w:val="0"/>
                <w:color w:val="000000"/>
                <w:spacing w:val="0"/>
                <w:kern w:val="0"/>
                <w:sz w:val="21"/>
                <w:szCs w:val="21"/>
                <w:lang w:val="en-US" w:eastAsia="zh-CN" w:bidi="ar"/>
              </w:rPr>
              <w:t>2. 浓硫酸管道（DN200，不锈钢 304 材质）及输送泵（祥丰金麦厂区）；</w:t>
            </w:r>
            <w:r>
              <w:rPr>
                <w:rFonts w:hint="default" w:ascii="Times New Roman" w:hAnsi="Times New Roman" w:eastAsia="宋体" w:cs="Times New Roman"/>
                <w:i w:val="0"/>
                <w:iCs w:val="0"/>
                <w:caps w:val="0"/>
                <w:color w:val="000000"/>
                <w:spacing w:val="0"/>
                <w:kern w:val="0"/>
                <w:sz w:val="21"/>
                <w:szCs w:val="21"/>
                <w:lang w:val="en-US" w:eastAsia="zh-CN" w:bidi="ar"/>
              </w:rPr>
              <w:br w:type="textWrapping"/>
            </w:r>
            <w:r>
              <w:rPr>
                <w:rFonts w:hint="default" w:ascii="Times New Roman" w:hAnsi="Times New Roman" w:eastAsia="宋体" w:cs="Times New Roman"/>
                <w:i w:val="0"/>
                <w:iCs w:val="0"/>
                <w:caps w:val="0"/>
                <w:color w:val="000000"/>
                <w:spacing w:val="0"/>
                <w:kern w:val="0"/>
                <w:sz w:val="21"/>
                <w:szCs w:val="21"/>
                <w:lang w:val="en-US" w:eastAsia="zh-CN" w:bidi="ar"/>
              </w:rPr>
              <w:t>3. 稀硫酸管道（DN200，钢骨架复合 PE 材质）及输送泵（瓮福祥丰 AHF 厂区）；</w:t>
            </w:r>
            <w:r>
              <w:rPr>
                <w:rFonts w:hint="default" w:ascii="Times New Roman" w:hAnsi="Times New Roman" w:eastAsia="宋体" w:cs="Times New Roman"/>
                <w:i w:val="0"/>
                <w:iCs w:val="0"/>
                <w:caps w:val="0"/>
                <w:color w:val="000000"/>
                <w:spacing w:val="0"/>
                <w:kern w:val="0"/>
                <w:sz w:val="21"/>
                <w:szCs w:val="21"/>
                <w:lang w:val="en-US" w:eastAsia="zh-CN" w:bidi="ar"/>
              </w:rPr>
              <w:br w:type="textWrapping"/>
            </w:r>
            <w:r>
              <w:rPr>
                <w:rFonts w:hint="default" w:ascii="Times New Roman" w:hAnsi="Times New Roman" w:eastAsia="宋体" w:cs="Times New Roman"/>
                <w:i w:val="0"/>
                <w:iCs w:val="0"/>
                <w:caps w:val="0"/>
                <w:color w:val="000000"/>
                <w:spacing w:val="0"/>
                <w:kern w:val="0"/>
                <w:sz w:val="21"/>
                <w:szCs w:val="21"/>
                <w:lang w:val="en-US" w:eastAsia="zh-CN" w:bidi="ar"/>
              </w:rPr>
              <w:t>4. 管道法兰、阀门连接处（可能因密封失效泄漏）。</w:t>
            </w:r>
          </w:p>
        </w:tc>
      </w:tr>
      <w:tr w14:paraId="77728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jc w:val="center"/>
        </w:trPr>
        <w:tc>
          <w:tcPr>
            <w:tcW w:w="0" w:type="auto"/>
            <w:shd w:val="clear" w:color="auto" w:fill="auto"/>
            <w:tcMar>
              <w:top w:w="144" w:type="dxa"/>
              <w:left w:w="216" w:type="dxa"/>
              <w:bottom w:w="144" w:type="dxa"/>
              <w:right w:w="216" w:type="dxa"/>
            </w:tcMar>
            <w:vAlign w:val="center"/>
          </w:tcPr>
          <w:p w14:paraId="54ADF6B5">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spacing w:val="0"/>
                <w:sz w:val="21"/>
                <w:szCs w:val="21"/>
              </w:rPr>
            </w:pPr>
            <w:r>
              <w:rPr>
                <w:rStyle w:val="92"/>
                <w:rFonts w:hint="default" w:ascii="Times New Roman" w:hAnsi="Times New Roman" w:eastAsia="宋体" w:cs="Times New Roman"/>
                <w:b/>
                <w:bCs/>
                <w:i w:val="0"/>
                <w:iCs w:val="0"/>
                <w:caps w:val="0"/>
                <w:color w:val="000000"/>
                <w:spacing w:val="0"/>
                <w:kern w:val="0"/>
                <w:sz w:val="21"/>
                <w:szCs w:val="21"/>
                <w:lang w:val="en-US" w:eastAsia="zh-CN" w:bidi="ar"/>
              </w:rPr>
              <w:t>高温烫伤</w:t>
            </w:r>
          </w:p>
        </w:tc>
        <w:tc>
          <w:tcPr>
            <w:tcW w:w="0" w:type="auto"/>
            <w:shd w:val="clear" w:color="auto" w:fill="auto"/>
            <w:tcMar>
              <w:top w:w="144" w:type="dxa"/>
              <w:left w:w="216" w:type="dxa"/>
              <w:bottom w:w="144" w:type="dxa"/>
              <w:right w:w="216" w:type="dxa"/>
            </w:tcMar>
            <w:vAlign w:val="center"/>
          </w:tcPr>
          <w:p w14:paraId="69F4CB2B">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spacing w:val="0"/>
                <w:sz w:val="21"/>
                <w:szCs w:val="21"/>
              </w:rPr>
            </w:pPr>
            <w:r>
              <w:rPr>
                <w:rFonts w:hint="default" w:ascii="Times New Roman" w:hAnsi="Times New Roman" w:eastAsia="宋体" w:cs="Times New Roman"/>
                <w:i w:val="0"/>
                <w:iCs w:val="0"/>
                <w:caps w:val="0"/>
                <w:color w:val="000000"/>
                <w:spacing w:val="0"/>
                <w:kern w:val="0"/>
                <w:sz w:val="21"/>
                <w:szCs w:val="21"/>
                <w:lang w:val="en-US" w:eastAsia="zh-CN" w:bidi="ar"/>
              </w:rPr>
              <w:t>高温蒸汽接触导致皮肤灼伤</w:t>
            </w:r>
          </w:p>
        </w:tc>
        <w:tc>
          <w:tcPr>
            <w:tcW w:w="0" w:type="auto"/>
            <w:shd w:val="clear" w:color="auto" w:fill="auto"/>
            <w:tcMar>
              <w:top w:w="144" w:type="dxa"/>
              <w:left w:w="216" w:type="dxa"/>
              <w:bottom w:w="144" w:type="dxa"/>
              <w:right w:w="216" w:type="dxa"/>
            </w:tcMar>
            <w:vAlign w:val="center"/>
          </w:tcPr>
          <w:p w14:paraId="7DCBF1F9">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spacing w:val="0"/>
                <w:sz w:val="21"/>
                <w:szCs w:val="21"/>
              </w:rPr>
            </w:pPr>
            <w:r>
              <w:rPr>
                <w:rFonts w:hint="default" w:ascii="Times New Roman" w:hAnsi="Times New Roman" w:eastAsia="宋体" w:cs="Times New Roman"/>
                <w:i w:val="0"/>
                <w:iCs w:val="0"/>
                <w:caps w:val="0"/>
                <w:color w:val="000000"/>
                <w:spacing w:val="0"/>
                <w:kern w:val="0"/>
                <w:sz w:val="21"/>
                <w:szCs w:val="21"/>
                <w:lang w:val="en-US" w:eastAsia="zh-CN" w:bidi="ar"/>
              </w:rPr>
              <w:t>1. 饱和蒸汽管道（DN250，20# 碳钢材质，192℃/1.2MPa）；</w:t>
            </w:r>
            <w:r>
              <w:rPr>
                <w:rFonts w:hint="default" w:ascii="Times New Roman" w:hAnsi="Times New Roman" w:eastAsia="宋体" w:cs="Times New Roman"/>
                <w:i w:val="0"/>
                <w:iCs w:val="0"/>
                <w:caps w:val="0"/>
                <w:color w:val="000000"/>
                <w:spacing w:val="0"/>
                <w:kern w:val="0"/>
                <w:sz w:val="21"/>
                <w:szCs w:val="21"/>
                <w:lang w:val="en-US" w:eastAsia="zh-CN" w:bidi="ar"/>
              </w:rPr>
              <w:br w:type="textWrapping"/>
            </w:r>
            <w:r>
              <w:rPr>
                <w:rFonts w:hint="default" w:ascii="Times New Roman" w:hAnsi="Times New Roman" w:eastAsia="宋体" w:cs="Times New Roman"/>
                <w:i w:val="0"/>
                <w:iCs w:val="0"/>
                <w:caps w:val="0"/>
                <w:color w:val="000000"/>
                <w:spacing w:val="0"/>
                <w:kern w:val="0"/>
                <w:sz w:val="21"/>
                <w:szCs w:val="21"/>
                <w:lang w:val="en-US" w:eastAsia="zh-CN" w:bidi="ar"/>
              </w:rPr>
              <w:t>2. 蒸汽阀门及疏水装置（可能因保温层破损或泄漏直接接触）。</w:t>
            </w:r>
          </w:p>
        </w:tc>
      </w:tr>
      <w:tr w14:paraId="649DB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67" w:hRule="atLeast"/>
          <w:jc w:val="center"/>
        </w:trPr>
        <w:tc>
          <w:tcPr>
            <w:tcW w:w="0" w:type="auto"/>
            <w:shd w:val="clear" w:color="auto" w:fill="auto"/>
            <w:tcMar>
              <w:top w:w="144" w:type="dxa"/>
              <w:left w:w="216" w:type="dxa"/>
              <w:bottom w:w="144" w:type="dxa"/>
              <w:right w:w="216" w:type="dxa"/>
            </w:tcMar>
            <w:vAlign w:val="center"/>
          </w:tcPr>
          <w:p w14:paraId="16100C0B">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spacing w:val="0"/>
                <w:sz w:val="21"/>
                <w:szCs w:val="21"/>
              </w:rPr>
            </w:pPr>
            <w:r>
              <w:rPr>
                <w:rStyle w:val="92"/>
                <w:rFonts w:hint="default" w:ascii="Times New Roman" w:hAnsi="Times New Roman" w:eastAsia="宋体" w:cs="Times New Roman"/>
                <w:b/>
                <w:bCs/>
                <w:i w:val="0"/>
                <w:iCs w:val="0"/>
                <w:caps w:val="0"/>
                <w:color w:val="000000"/>
                <w:spacing w:val="0"/>
                <w:kern w:val="0"/>
                <w:sz w:val="21"/>
                <w:szCs w:val="21"/>
                <w:lang w:val="en-US" w:eastAsia="zh-CN" w:bidi="ar"/>
              </w:rPr>
              <w:t>机械伤害</w:t>
            </w:r>
          </w:p>
        </w:tc>
        <w:tc>
          <w:tcPr>
            <w:tcW w:w="0" w:type="auto"/>
            <w:shd w:val="clear" w:color="auto" w:fill="auto"/>
            <w:tcMar>
              <w:top w:w="144" w:type="dxa"/>
              <w:left w:w="216" w:type="dxa"/>
              <w:bottom w:w="144" w:type="dxa"/>
              <w:right w:w="216" w:type="dxa"/>
            </w:tcMar>
            <w:vAlign w:val="center"/>
          </w:tcPr>
          <w:p w14:paraId="01D017C4">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spacing w:val="0"/>
                <w:sz w:val="21"/>
                <w:szCs w:val="21"/>
              </w:rPr>
            </w:pPr>
            <w:r>
              <w:rPr>
                <w:rFonts w:hint="default" w:ascii="Times New Roman" w:hAnsi="Times New Roman" w:eastAsia="宋体" w:cs="Times New Roman"/>
                <w:i w:val="0"/>
                <w:iCs w:val="0"/>
                <w:caps w:val="0"/>
                <w:color w:val="000000"/>
                <w:spacing w:val="0"/>
                <w:kern w:val="0"/>
                <w:sz w:val="21"/>
                <w:szCs w:val="21"/>
                <w:lang w:val="en-US" w:eastAsia="zh-CN" w:bidi="ar"/>
              </w:rPr>
              <w:t>转动部件卷入、挤压</w:t>
            </w:r>
          </w:p>
        </w:tc>
        <w:tc>
          <w:tcPr>
            <w:tcW w:w="0" w:type="auto"/>
            <w:shd w:val="clear" w:color="auto" w:fill="auto"/>
            <w:tcMar>
              <w:top w:w="144" w:type="dxa"/>
              <w:left w:w="216" w:type="dxa"/>
              <w:bottom w:w="144" w:type="dxa"/>
              <w:right w:w="216" w:type="dxa"/>
            </w:tcMar>
            <w:vAlign w:val="center"/>
          </w:tcPr>
          <w:p w14:paraId="7C01782C">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spacing w:val="0"/>
                <w:sz w:val="21"/>
                <w:szCs w:val="21"/>
              </w:rPr>
            </w:pPr>
            <w:r>
              <w:rPr>
                <w:rFonts w:hint="default" w:ascii="Times New Roman" w:hAnsi="Times New Roman" w:eastAsia="宋体" w:cs="Times New Roman"/>
                <w:i w:val="0"/>
                <w:iCs w:val="0"/>
                <w:caps w:val="0"/>
                <w:color w:val="000000"/>
                <w:spacing w:val="0"/>
                <w:kern w:val="0"/>
                <w:sz w:val="21"/>
                <w:szCs w:val="21"/>
                <w:lang w:val="en-US" w:eastAsia="zh-CN" w:bidi="ar"/>
              </w:rPr>
              <w:t>1. 氟硅酸输送泵（YE4-225M-2 型）的联轴器、电机转动部位；</w:t>
            </w:r>
            <w:r>
              <w:rPr>
                <w:rFonts w:hint="default" w:ascii="Times New Roman" w:hAnsi="Times New Roman" w:eastAsia="宋体" w:cs="Times New Roman"/>
                <w:i w:val="0"/>
                <w:iCs w:val="0"/>
                <w:caps w:val="0"/>
                <w:color w:val="000000"/>
                <w:spacing w:val="0"/>
                <w:kern w:val="0"/>
                <w:sz w:val="21"/>
                <w:szCs w:val="21"/>
                <w:lang w:val="en-US" w:eastAsia="zh-CN" w:bidi="ar"/>
              </w:rPr>
              <w:br w:type="textWrapping"/>
            </w:r>
            <w:r>
              <w:rPr>
                <w:rFonts w:hint="default" w:ascii="Times New Roman" w:hAnsi="Times New Roman" w:eastAsia="宋体" w:cs="Times New Roman"/>
                <w:i w:val="0"/>
                <w:iCs w:val="0"/>
                <w:caps w:val="0"/>
                <w:color w:val="000000"/>
                <w:spacing w:val="0"/>
                <w:kern w:val="0"/>
                <w:sz w:val="21"/>
                <w:szCs w:val="21"/>
                <w:lang w:val="en-US" w:eastAsia="zh-CN" w:bidi="ar"/>
              </w:rPr>
              <w:t>2. 浓硫酸输送泵（YE4-280S-2 型）的传动部件（防护罩缺失或损坏时）。</w:t>
            </w:r>
          </w:p>
        </w:tc>
      </w:tr>
      <w:tr w14:paraId="1B19A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67" w:hRule="atLeast"/>
          <w:jc w:val="center"/>
        </w:trPr>
        <w:tc>
          <w:tcPr>
            <w:tcW w:w="0" w:type="auto"/>
            <w:shd w:val="clear" w:color="auto" w:fill="auto"/>
            <w:tcMar>
              <w:top w:w="144" w:type="dxa"/>
              <w:left w:w="216" w:type="dxa"/>
              <w:bottom w:w="144" w:type="dxa"/>
              <w:right w:w="216" w:type="dxa"/>
            </w:tcMar>
            <w:vAlign w:val="center"/>
          </w:tcPr>
          <w:p w14:paraId="50AE20C3">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spacing w:val="0"/>
                <w:sz w:val="21"/>
                <w:szCs w:val="21"/>
              </w:rPr>
            </w:pPr>
            <w:r>
              <w:rPr>
                <w:rStyle w:val="92"/>
                <w:rFonts w:hint="default" w:ascii="Times New Roman" w:hAnsi="Times New Roman" w:eastAsia="宋体" w:cs="Times New Roman"/>
                <w:b/>
                <w:bCs/>
                <w:i w:val="0"/>
                <w:iCs w:val="0"/>
                <w:caps w:val="0"/>
                <w:color w:val="000000"/>
                <w:spacing w:val="0"/>
                <w:kern w:val="0"/>
                <w:sz w:val="21"/>
                <w:szCs w:val="21"/>
                <w:lang w:val="en-US" w:eastAsia="zh-CN" w:bidi="ar"/>
              </w:rPr>
              <w:t>触电</w:t>
            </w:r>
          </w:p>
        </w:tc>
        <w:tc>
          <w:tcPr>
            <w:tcW w:w="0" w:type="auto"/>
            <w:shd w:val="clear" w:color="auto" w:fill="auto"/>
            <w:tcMar>
              <w:top w:w="144" w:type="dxa"/>
              <w:left w:w="216" w:type="dxa"/>
              <w:bottom w:w="144" w:type="dxa"/>
              <w:right w:w="216" w:type="dxa"/>
            </w:tcMar>
            <w:vAlign w:val="center"/>
          </w:tcPr>
          <w:p w14:paraId="644E4D4F">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spacing w:val="0"/>
                <w:sz w:val="21"/>
                <w:szCs w:val="21"/>
              </w:rPr>
            </w:pPr>
            <w:r>
              <w:rPr>
                <w:rFonts w:hint="default" w:ascii="Times New Roman" w:hAnsi="Times New Roman" w:eastAsia="宋体" w:cs="Times New Roman"/>
                <w:i w:val="0"/>
                <w:iCs w:val="0"/>
                <w:caps w:val="0"/>
                <w:color w:val="000000"/>
                <w:spacing w:val="0"/>
                <w:kern w:val="0"/>
                <w:sz w:val="21"/>
                <w:szCs w:val="21"/>
                <w:lang w:val="en-US" w:eastAsia="zh-CN" w:bidi="ar"/>
              </w:rPr>
              <w:t>电气设备漏电、短路</w:t>
            </w:r>
          </w:p>
        </w:tc>
        <w:tc>
          <w:tcPr>
            <w:tcW w:w="0" w:type="auto"/>
            <w:shd w:val="clear" w:color="auto" w:fill="auto"/>
            <w:tcMar>
              <w:top w:w="144" w:type="dxa"/>
              <w:left w:w="216" w:type="dxa"/>
              <w:bottom w:w="144" w:type="dxa"/>
              <w:right w:w="216" w:type="dxa"/>
            </w:tcMar>
            <w:vAlign w:val="center"/>
          </w:tcPr>
          <w:p w14:paraId="589335EB">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spacing w:val="0"/>
                <w:sz w:val="21"/>
                <w:szCs w:val="21"/>
              </w:rPr>
            </w:pPr>
            <w:r>
              <w:rPr>
                <w:rFonts w:hint="default" w:ascii="Times New Roman" w:hAnsi="Times New Roman" w:eastAsia="宋体" w:cs="Times New Roman"/>
                <w:i w:val="0"/>
                <w:iCs w:val="0"/>
                <w:caps w:val="0"/>
                <w:color w:val="000000"/>
                <w:spacing w:val="0"/>
                <w:kern w:val="0"/>
                <w:sz w:val="21"/>
                <w:szCs w:val="21"/>
                <w:lang w:val="en-US" w:eastAsia="zh-CN" w:bidi="ar"/>
              </w:rPr>
              <w:t>1. 输送泵电机接线端子（绝缘层破损）；</w:t>
            </w:r>
            <w:r>
              <w:rPr>
                <w:rFonts w:hint="default" w:ascii="Times New Roman" w:hAnsi="Times New Roman" w:eastAsia="宋体" w:cs="Times New Roman"/>
                <w:i w:val="0"/>
                <w:iCs w:val="0"/>
                <w:caps w:val="0"/>
                <w:color w:val="000000"/>
                <w:spacing w:val="0"/>
                <w:kern w:val="0"/>
                <w:sz w:val="21"/>
                <w:szCs w:val="21"/>
                <w:lang w:val="en-US" w:eastAsia="zh-CN" w:bidi="ar"/>
              </w:rPr>
              <w:br w:type="textWrapping"/>
            </w:r>
            <w:r>
              <w:rPr>
                <w:rFonts w:hint="default" w:ascii="Times New Roman" w:hAnsi="Times New Roman" w:eastAsia="宋体" w:cs="Times New Roman"/>
                <w:i w:val="0"/>
                <w:iCs w:val="0"/>
                <w:caps w:val="0"/>
                <w:color w:val="000000"/>
                <w:spacing w:val="0"/>
                <w:kern w:val="0"/>
                <w:sz w:val="21"/>
                <w:szCs w:val="21"/>
                <w:lang w:val="en-US" w:eastAsia="zh-CN" w:bidi="ar"/>
              </w:rPr>
              <w:t>2. 电缆桥架（腐蚀导致绝缘失效）；</w:t>
            </w:r>
            <w:r>
              <w:rPr>
                <w:rFonts w:hint="default" w:ascii="Times New Roman" w:hAnsi="Times New Roman" w:eastAsia="宋体" w:cs="Times New Roman"/>
                <w:i w:val="0"/>
                <w:iCs w:val="0"/>
                <w:caps w:val="0"/>
                <w:color w:val="000000"/>
                <w:spacing w:val="0"/>
                <w:kern w:val="0"/>
                <w:sz w:val="21"/>
                <w:szCs w:val="21"/>
                <w:lang w:val="en-US" w:eastAsia="zh-CN" w:bidi="ar"/>
              </w:rPr>
              <w:br w:type="textWrapping"/>
            </w:r>
            <w:r>
              <w:rPr>
                <w:rFonts w:hint="default" w:ascii="Times New Roman" w:hAnsi="Times New Roman" w:eastAsia="宋体" w:cs="Times New Roman"/>
                <w:i w:val="0"/>
                <w:iCs w:val="0"/>
                <w:caps w:val="0"/>
                <w:color w:val="000000"/>
                <w:spacing w:val="0"/>
                <w:kern w:val="0"/>
                <w:sz w:val="21"/>
                <w:szCs w:val="21"/>
                <w:lang w:val="en-US" w:eastAsia="zh-CN" w:bidi="ar"/>
              </w:rPr>
              <w:t>3. 临时用电检修线路（未按规范接地）。</w:t>
            </w:r>
          </w:p>
        </w:tc>
      </w:tr>
      <w:tr w14:paraId="041F5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67" w:hRule="atLeast"/>
          <w:jc w:val="center"/>
        </w:trPr>
        <w:tc>
          <w:tcPr>
            <w:tcW w:w="0" w:type="auto"/>
            <w:shd w:val="clear" w:color="auto" w:fill="auto"/>
            <w:tcMar>
              <w:top w:w="144" w:type="dxa"/>
              <w:left w:w="216" w:type="dxa"/>
              <w:bottom w:w="144" w:type="dxa"/>
              <w:right w:w="216" w:type="dxa"/>
            </w:tcMar>
            <w:vAlign w:val="center"/>
          </w:tcPr>
          <w:p w14:paraId="5BEE3B00">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spacing w:val="0"/>
                <w:sz w:val="21"/>
                <w:szCs w:val="21"/>
              </w:rPr>
            </w:pPr>
            <w:r>
              <w:rPr>
                <w:rStyle w:val="92"/>
                <w:rFonts w:hint="default" w:ascii="Times New Roman" w:hAnsi="Times New Roman" w:eastAsia="宋体" w:cs="Times New Roman"/>
                <w:b/>
                <w:bCs/>
                <w:i w:val="0"/>
                <w:iCs w:val="0"/>
                <w:caps w:val="0"/>
                <w:color w:val="000000"/>
                <w:spacing w:val="0"/>
                <w:kern w:val="0"/>
                <w:sz w:val="21"/>
                <w:szCs w:val="21"/>
                <w:lang w:val="en-US" w:eastAsia="zh-CN" w:bidi="ar"/>
              </w:rPr>
              <w:t>高处坠落</w:t>
            </w:r>
          </w:p>
        </w:tc>
        <w:tc>
          <w:tcPr>
            <w:tcW w:w="0" w:type="auto"/>
            <w:shd w:val="clear" w:color="auto" w:fill="auto"/>
            <w:tcMar>
              <w:top w:w="144" w:type="dxa"/>
              <w:left w:w="216" w:type="dxa"/>
              <w:bottom w:w="144" w:type="dxa"/>
              <w:right w:w="216" w:type="dxa"/>
            </w:tcMar>
            <w:vAlign w:val="center"/>
          </w:tcPr>
          <w:p w14:paraId="36BD1669">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spacing w:val="0"/>
                <w:sz w:val="21"/>
                <w:szCs w:val="21"/>
              </w:rPr>
            </w:pPr>
            <w:r>
              <w:rPr>
                <w:rFonts w:hint="default" w:ascii="Times New Roman" w:hAnsi="Times New Roman" w:eastAsia="宋体" w:cs="Times New Roman"/>
                <w:i w:val="0"/>
                <w:iCs w:val="0"/>
                <w:caps w:val="0"/>
                <w:color w:val="000000"/>
                <w:spacing w:val="0"/>
                <w:kern w:val="0"/>
                <w:sz w:val="21"/>
                <w:szCs w:val="21"/>
                <w:lang w:val="en-US" w:eastAsia="zh-CN" w:bidi="ar"/>
              </w:rPr>
              <w:t>管廊巡检或维修时坠落</w:t>
            </w:r>
          </w:p>
        </w:tc>
        <w:tc>
          <w:tcPr>
            <w:tcW w:w="0" w:type="auto"/>
            <w:shd w:val="clear" w:color="auto" w:fill="auto"/>
            <w:tcMar>
              <w:top w:w="144" w:type="dxa"/>
              <w:left w:w="216" w:type="dxa"/>
              <w:bottom w:w="144" w:type="dxa"/>
              <w:right w:w="216" w:type="dxa"/>
            </w:tcMar>
            <w:vAlign w:val="center"/>
          </w:tcPr>
          <w:p w14:paraId="2DD15A85">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spacing w:val="0"/>
                <w:sz w:val="21"/>
                <w:szCs w:val="21"/>
              </w:rPr>
            </w:pPr>
            <w:r>
              <w:rPr>
                <w:rFonts w:hint="default" w:ascii="Times New Roman" w:hAnsi="Times New Roman" w:eastAsia="宋体" w:cs="Times New Roman"/>
                <w:i w:val="0"/>
                <w:iCs w:val="0"/>
                <w:caps w:val="0"/>
                <w:color w:val="000000"/>
                <w:spacing w:val="0"/>
                <w:kern w:val="0"/>
                <w:sz w:val="21"/>
                <w:szCs w:val="21"/>
                <w:lang w:val="en-US" w:eastAsia="zh-CN" w:bidi="ar"/>
              </w:rPr>
              <w:t>1. 管廊二层平台（高度 7.8m）及钢梯（防护栏缺失、松动）；</w:t>
            </w:r>
            <w:r>
              <w:rPr>
                <w:rFonts w:hint="default" w:ascii="Times New Roman" w:hAnsi="Times New Roman" w:eastAsia="宋体" w:cs="Times New Roman"/>
                <w:i w:val="0"/>
                <w:iCs w:val="0"/>
                <w:caps w:val="0"/>
                <w:color w:val="000000"/>
                <w:spacing w:val="0"/>
                <w:kern w:val="0"/>
                <w:sz w:val="21"/>
                <w:szCs w:val="21"/>
                <w:lang w:val="en-US" w:eastAsia="zh-CN" w:bidi="ar"/>
              </w:rPr>
              <w:br w:type="textWrapping"/>
            </w:r>
            <w:r>
              <w:rPr>
                <w:rFonts w:hint="default" w:ascii="Times New Roman" w:hAnsi="Times New Roman" w:eastAsia="宋体" w:cs="Times New Roman"/>
                <w:i w:val="0"/>
                <w:iCs w:val="0"/>
                <w:caps w:val="0"/>
                <w:color w:val="000000"/>
                <w:spacing w:val="0"/>
                <w:kern w:val="0"/>
                <w:sz w:val="21"/>
                <w:szCs w:val="21"/>
                <w:lang w:val="en-US" w:eastAsia="zh-CN" w:bidi="ar"/>
              </w:rPr>
              <w:t>2. 跨越道路的管廊桁架（净空 5.5m，未设置安全绳固定点）。</w:t>
            </w:r>
          </w:p>
        </w:tc>
      </w:tr>
      <w:tr w14:paraId="2939D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jc w:val="center"/>
        </w:trPr>
        <w:tc>
          <w:tcPr>
            <w:tcW w:w="0" w:type="auto"/>
            <w:shd w:val="clear" w:color="auto" w:fill="auto"/>
            <w:tcMar>
              <w:top w:w="144" w:type="dxa"/>
              <w:left w:w="216" w:type="dxa"/>
              <w:bottom w:w="144" w:type="dxa"/>
              <w:right w:w="216" w:type="dxa"/>
            </w:tcMar>
            <w:vAlign w:val="center"/>
          </w:tcPr>
          <w:p w14:paraId="752C9B77">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spacing w:val="0"/>
                <w:sz w:val="21"/>
                <w:szCs w:val="21"/>
              </w:rPr>
            </w:pPr>
            <w:r>
              <w:rPr>
                <w:rStyle w:val="92"/>
                <w:rFonts w:hint="default" w:ascii="Times New Roman" w:hAnsi="Times New Roman" w:eastAsia="宋体" w:cs="Times New Roman"/>
                <w:b/>
                <w:bCs/>
                <w:i w:val="0"/>
                <w:iCs w:val="0"/>
                <w:caps w:val="0"/>
                <w:color w:val="000000"/>
                <w:spacing w:val="0"/>
                <w:kern w:val="0"/>
                <w:sz w:val="21"/>
                <w:szCs w:val="21"/>
                <w:lang w:val="en-US" w:eastAsia="zh-CN" w:bidi="ar"/>
              </w:rPr>
              <w:t>坍塌</w:t>
            </w:r>
          </w:p>
        </w:tc>
        <w:tc>
          <w:tcPr>
            <w:tcW w:w="0" w:type="auto"/>
            <w:shd w:val="clear" w:color="auto" w:fill="auto"/>
            <w:tcMar>
              <w:top w:w="144" w:type="dxa"/>
              <w:left w:w="216" w:type="dxa"/>
              <w:bottom w:w="144" w:type="dxa"/>
              <w:right w:w="216" w:type="dxa"/>
            </w:tcMar>
            <w:vAlign w:val="center"/>
          </w:tcPr>
          <w:p w14:paraId="5BBEE59E">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spacing w:val="0"/>
                <w:sz w:val="21"/>
                <w:szCs w:val="21"/>
              </w:rPr>
            </w:pPr>
            <w:r>
              <w:rPr>
                <w:rFonts w:hint="default" w:ascii="Times New Roman" w:hAnsi="Times New Roman" w:eastAsia="宋体" w:cs="Times New Roman"/>
                <w:i w:val="0"/>
                <w:iCs w:val="0"/>
                <w:caps w:val="0"/>
                <w:color w:val="000000"/>
                <w:spacing w:val="0"/>
                <w:kern w:val="0"/>
                <w:sz w:val="21"/>
                <w:szCs w:val="21"/>
                <w:lang w:val="en-US" w:eastAsia="zh-CN" w:bidi="ar"/>
              </w:rPr>
              <w:t>管架倾斜、基础沉降</w:t>
            </w:r>
          </w:p>
        </w:tc>
        <w:tc>
          <w:tcPr>
            <w:tcW w:w="0" w:type="auto"/>
            <w:shd w:val="clear" w:color="auto" w:fill="auto"/>
            <w:tcMar>
              <w:top w:w="144" w:type="dxa"/>
              <w:left w:w="216" w:type="dxa"/>
              <w:bottom w:w="144" w:type="dxa"/>
              <w:right w:w="216" w:type="dxa"/>
            </w:tcMar>
            <w:vAlign w:val="center"/>
          </w:tcPr>
          <w:p w14:paraId="778509A4">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spacing w:val="0"/>
                <w:sz w:val="21"/>
                <w:szCs w:val="21"/>
              </w:rPr>
            </w:pPr>
            <w:r>
              <w:rPr>
                <w:rFonts w:hint="default" w:ascii="Times New Roman" w:hAnsi="Times New Roman" w:eastAsia="宋体" w:cs="Times New Roman"/>
                <w:i w:val="0"/>
                <w:iCs w:val="0"/>
                <w:caps w:val="0"/>
                <w:color w:val="000000"/>
                <w:spacing w:val="0"/>
                <w:kern w:val="0"/>
                <w:sz w:val="21"/>
                <w:szCs w:val="21"/>
                <w:lang w:val="en-US" w:eastAsia="zh-CN" w:bidi="ar"/>
              </w:rPr>
              <w:t>1. 管廊钢结构（D 段、E 段，荷载 1000-1400kg/m，焊接节点腐蚀）；</w:t>
            </w:r>
            <w:r>
              <w:rPr>
                <w:rFonts w:hint="default" w:ascii="Times New Roman" w:hAnsi="Times New Roman" w:eastAsia="宋体" w:cs="Times New Roman"/>
                <w:i w:val="0"/>
                <w:iCs w:val="0"/>
                <w:caps w:val="0"/>
                <w:color w:val="000000"/>
                <w:spacing w:val="0"/>
                <w:kern w:val="0"/>
                <w:sz w:val="21"/>
                <w:szCs w:val="21"/>
                <w:lang w:val="en-US" w:eastAsia="zh-CN" w:bidi="ar"/>
              </w:rPr>
              <w:br w:type="textWrapping"/>
            </w:r>
            <w:r>
              <w:rPr>
                <w:rFonts w:hint="default" w:ascii="Times New Roman" w:hAnsi="Times New Roman" w:eastAsia="宋体" w:cs="Times New Roman"/>
                <w:i w:val="0"/>
                <w:iCs w:val="0"/>
                <w:caps w:val="0"/>
                <w:color w:val="000000"/>
                <w:spacing w:val="0"/>
                <w:kern w:val="0"/>
                <w:sz w:val="21"/>
                <w:szCs w:val="21"/>
                <w:lang w:val="en-US" w:eastAsia="zh-CN" w:bidi="ar"/>
              </w:rPr>
              <w:t>2. 地基（回填土不实或边坡滑坡影响基础稳定性）。</w:t>
            </w:r>
          </w:p>
        </w:tc>
      </w:tr>
      <w:tr w14:paraId="24698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jc w:val="center"/>
        </w:trPr>
        <w:tc>
          <w:tcPr>
            <w:tcW w:w="0" w:type="auto"/>
            <w:shd w:val="clear" w:color="auto" w:fill="auto"/>
            <w:tcMar>
              <w:top w:w="144" w:type="dxa"/>
              <w:left w:w="216" w:type="dxa"/>
              <w:bottom w:w="144" w:type="dxa"/>
              <w:right w:w="216" w:type="dxa"/>
            </w:tcMar>
            <w:vAlign w:val="center"/>
          </w:tcPr>
          <w:p w14:paraId="37C70284">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spacing w:val="0"/>
                <w:sz w:val="21"/>
                <w:szCs w:val="21"/>
              </w:rPr>
            </w:pPr>
            <w:r>
              <w:rPr>
                <w:rStyle w:val="92"/>
                <w:rFonts w:hint="default" w:ascii="Times New Roman" w:hAnsi="Times New Roman" w:eastAsia="宋体" w:cs="Times New Roman"/>
                <w:b/>
                <w:bCs/>
                <w:i w:val="0"/>
                <w:iCs w:val="0"/>
                <w:caps w:val="0"/>
                <w:color w:val="000000"/>
                <w:spacing w:val="0"/>
                <w:kern w:val="0"/>
                <w:sz w:val="21"/>
                <w:szCs w:val="21"/>
                <w:lang w:val="en-US" w:eastAsia="zh-CN" w:bidi="ar"/>
              </w:rPr>
              <w:t>火灾</w:t>
            </w:r>
          </w:p>
        </w:tc>
        <w:tc>
          <w:tcPr>
            <w:tcW w:w="0" w:type="auto"/>
            <w:shd w:val="clear" w:color="auto" w:fill="auto"/>
            <w:tcMar>
              <w:top w:w="144" w:type="dxa"/>
              <w:left w:w="216" w:type="dxa"/>
              <w:bottom w:w="144" w:type="dxa"/>
              <w:right w:w="216" w:type="dxa"/>
            </w:tcMar>
            <w:vAlign w:val="center"/>
          </w:tcPr>
          <w:p w14:paraId="6EDAB134">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spacing w:val="0"/>
                <w:sz w:val="21"/>
                <w:szCs w:val="21"/>
              </w:rPr>
            </w:pPr>
            <w:r>
              <w:rPr>
                <w:rFonts w:hint="default" w:ascii="Times New Roman" w:hAnsi="Times New Roman" w:eastAsia="宋体" w:cs="Times New Roman"/>
                <w:i w:val="0"/>
                <w:iCs w:val="0"/>
                <w:caps w:val="0"/>
                <w:color w:val="000000"/>
                <w:spacing w:val="0"/>
                <w:kern w:val="0"/>
                <w:sz w:val="21"/>
                <w:szCs w:val="21"/>
                <w:lang w:val="en-US" w:eastAsia="zh-CN" w:bidi="ar"/>
              </w:rPr>
              <w:t>可燃物接触高温或明火</w:t>
            </w:r>
          </w:p>
        </w:tc>
        <w:tc>
          <w:tcPr>
            <w:tcW w:w="0" w:type="auto"/>
            <w:shd w:val="clear" w:color="auto" w:fill="auto"/>
            <w:tcMar>
              <w:top w:w="144" w:type="dxa"/>
              <w:left w:w="216" w:type="dxa"/>
              <w:bottom w:w="144" w:type="dxa"/>
              <w:right w:w="216" w:type="dxa"/>
            </w:tcMar>
            <w:vAlign w:val="center"/>
          </w:tcPr>
          <w:p w14:paraId="7302CA4F">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spacing w:val="0"/>
                <w:sz w:val="21"/>
                <w:szCs w:val="21"/>
              </w:rPr>
            </w:pPr>
            <w:r>
              <w:rPr>
                <w:rFonts w:hint="default" w:ascii="Times New Roman" w:hAnsi="Times New Roman" w:eastAsia="宋体" w:cs="Times New Roman"/>
                <w:i w:val="0"/>
                <w:iCs w:val="0"/>
                <w:caps w:val="0"/>
                <w:color w:val="000000"/>
                <w:spacing w:val="0"/>
                <w:kern w:val="0"/>
                <w:sz w:val="21"/>
                <w:szCs w:val="21"/>
                <w:lang w:val="en-US" w:eastAsia="zh-CN" w:bidi="ar"/>
              </w:rPr>
              <w:t>1. 浓硫酸与可燃物（如木材、棉纱）接触（泄漏后遇高温引发燃烧）；</w:t>
            </w:r>
            <w:r>
              <w:rPr>
                <w:rFonts w:hint="default" w:ascii="Times New Roman" w:hAnsi="Times New Roman" w:eastAsia="宋体" w:cs="Times New Roman"/>
                <w:i w:val="0"/>
                <w:iCs w:val="0"/>
                <w:caps w:val="0"/>
                <w:color w:val="000000"/>
                <w:spacing w:val="0"/>
                <w:kern w:val="0"/>
                <w:sz w:val="21"/>
                <w:szCs w:val="21"/>
                <w:lang w:val="en-US" w:eastAsia="zh-CN" w:bidi="ar"/>
              </w:rPr>
              <w:br w:type="textWrapping"/>
            </w:r>
            <w:r>
              <w:rPr>
                <w:rFonts w:hint="default" w:ascii="Times New Roman" w:hAnsi="Times New Roman" w:eastAsia="宋体" w:cs="Times New Roman"/>
                <w:i w:val="0"/>
                <w:iCs w:val="0"/>
                <w:caps w:val="0"/>
                <w:color w:val="000000"/>
                <w:spacing w:val="0"/>
                <w:kern w:val="0"/>
                <w:sz w:val="21"/>
                <w:szCs w:val="21"/>
                <w:lang w:val="en-US" w:eastAsia="zh-CN" w:bidi="ar"/>
              </w:rPr>
              <w:t>2. 电气线路短路（电缆老化或过载）。</w:t>
            </w:r>
          </w:p>
        </w:tc>
      </w:tr>
      <w:tr w14:paraId="170AD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67" w:hRule="atLeast"/>
          <w:jc w:val="center"/>
        </w:trPr>
        <w:tc>
          <w:tcPr>
            <w:tcW w:w="0" w:type="auto"/>
            <w:shd w:val="clear" w:color="auto" w:fill="auto"/>
            <w:tcMar>
              <w:top w:w="144" w:type="dxa"/>
              <w:left w:w="216" w:type="dxa"/>
              <w:bottom w:w="144" w:type="dxa"/>
              <w:right w:w="216" w:type="dxa"/>
            </w:tcMar>
            <w:vAlign w:val="center"/>
          </w:tcPr>
          <w:p w14:paraId="1D5CF72E">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spacing w:val="0"/>
                <w:sz w:val="21"/>
                <w:szCs w:val="21"/>
              </w:rPr>
            </w:pPr>
            <w:r>
              <w:rPr>
                <w:rStyle w:val="92"/>
                <w:rFonts w:hint="default" w:ascii="Times New Roman" w:hAnsi="Times New Roman" w:eastAsia="宋体" w:cs="Times New Roman"/>
                <w:b/>
                <w:bCs/>
                <w:i w:val="0"/>
                <w:iCs w:val="0"/>
                <w:caps w:val="0"/>
                <w:color w:val="000000"/>
                <w:spacing w:val="0"/>
                <w:kern w:val="0"/>
                <w:sz w:val="21"/>
                <w:szCs w:val="21"/>
                <w:lang w:val="en-US" w:eastAsia="zh-CN" w:bidi="ar"/>
              </w:rPr>
              <w:t>自然灾害</w:t>
            </w:r>
          </w:p>
        </w:tc>
        <w:tc>
          <w:tcPr>
            <w:tcW w:w="0" w:type="auto"/>
            <w:shd w:val="clear" w:color="auto" w:fill="auto"/>
            <w:tcMar>
              <w:top w:w="144" w:type="dxa"/>
              <w:left w:w="216" w:type="dxa"/>
              <w:bottom w:w="144" w:type="dxa"/>
              <w:right w:w="216" w:type="dxa"/>
            </w:tcMar>
            <w:vAlign w:val="center"/>
          </w:tcPr>
          <w:p w14:paraId="092E083A">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spacing w:val="0"/>
                <w:sz w:val="21"/>
                <w:szCs w:val="21"/>
              </w:rPr>
            </w:pPr>
            <w:r>
              <w:rPr>
                <w:rFonts w:hint="default" w:ascii="Times New Roman" w:hAnsi="Times New Roman" w:eastAsia="宋体" w:cs="Times New Roman"/>
                <w:i w:val="0"/>
                <w:iCs w:val="0"/>
                <w:caps w:val="0"/>
                <w:color w:val="000000"/>
                <w:spacing w:val="0"/>
                <w:kern w:val="0"/>
                <w:sz w:val="21"/>
                <w:szCs w:val="21"/>
                <w:lang w:val="en-US" w:eastAsia="zh-CN" w:bidi="ar"/>
              </w:rPr>
              <w:t>地震、暴雨、雷击</w:t>
            </w:r>
          </w:p>
        </w:tc>
        <w:tc>
          <w:tcPr>
            <w:tcW w:w="0" w:type="auto"/>
            <w:shd w:val="clear" w:color="auto" w:fill="auto"/>
            <w:tcMar>
              <w:top w:w="144" w:type="dxa"/>
              <w:left w:w="216" w:type="dxa"/>
              <w:bottom w:w="144" w:type="dxa"/>
              <w:right w:w="216" w:type="dxa"/>
            </w:tcMar>
            <w:vAlign w:val="center"/>
          </w:tcPr>
          <w:p w14:paraId="468B5942">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spacing w:val="0"/>
                <w:sz w:val="21"/>
                <w:szCs w:val="21"/>
              </w:rPr>
            </w:pPr>
            <w:r>
              <w:rPr>
                <w:rFonts w:hint="default" w:ascii="Times New Roman" w:hAnsi="Times New Roman" w:eastAsia="宋体" w:cs="Times New Roman"/>
                <w:i w:val="0"/>
                <w:iCs w:val="0"/>
                <w:caps w:val="0"/>
                <w:color w:val="000000"/>
                <w:spacing w:val="0"/>
                <w:kern w:val="0"/>
                <w:sz w:val="21"/>
                <w:szCs w:val="21"/>
                <w:lang w:val="en-US" w:eastAsia="zh-CN" w:bidi="ar"/>
              </w:rPr>
              <w:t>1. 地震（设防烈度 Ⅷ 度，可能导致管架变形）；</w:t>
            </w:r>
            <w:r>
              <w:rPr>
                <w:rFonts w:hint="default" w:ascii="Times New Roman" w:hAnsi="Times New Roman" w:eastAsia="宋体" w:cs="Times New Roman"/>
                <w:i w:val="0"/>
                <w:iCs w:val="0"/>
                <w:caps w:val="0"/>
                <w:color w:val="000000"/>
                <w:spacing w:val="0"/>
                <w:kern w:val="0"/>
                <w:sz w:val="21"/>
                <w:szCs w:val="21"/>
                <w:lang w:val="en-US" w:eastAsia="zh-CN" w:bidi="ar"/>
              </w:rPr>
              <w:br w:type="textWrapping"/>
            </w:r>
            <w:r>
              <w:rPr>
                <w:rFonts w:hint="default" w:ascii="Times New Roman" w:hAnsi="Times New Roman" w:eastAsia="宋体" w:cs="Times New Roman"/>
                <w:i w:val="0"/>
                <w:iCs w:val="0"/>
                <w:caps w:val="0"/>
                <w:color w:val="000000"/>
                <w:spacing w:val="0"/>
                <w:kern w:val="0"/>
                <w:sz w:val="21"/>
                <w:szCs w:val="21"/>
                <w:lang w:val="en-US" w:eastAsia="zh-CN" w:bidi="ar"/>
              </w:rPr>
              <w:t>2. 暴雨（场地排水不畅引发管架基础浸泡）；</w:t>
            </w:r>
            <w:r>
              <w:rPr>
                <w:rFonts w:hint="default" w:ascii="Times New Roman" w:hAnsi="Times New Roman" w:eastAsia="宋体" w:cs="Times New Roman"/>
                <w:i w:val="0"/>
                <w:iCs w:val="0"/>
                <w:caps w:val="0"/>
                <w:color w:val="000000"/>
                <w:spacing w:val="0"/>
                <w:kern w:val="0"/>
                <w:sz w:val="21"/>
                <w:szCs w:val="21"/>
                <w:lang w:val="en-US" w:eastAsia="zh-CN" w:bidi="ar"/>
              </w:rPr>
              <w:br w:type="textWrapping"/>
            </w:r>
            <w:r>
              <w:rPr>
                <w:rFonts w:hint="default" w:ascii="Times New Roman" w:hAnsi="Times New Roman" w:eastAsia="宋体" w:cs="Times New Roman"/>
                <w:i w:val="0"/>
                <w:iCs w:val="0"/>
                <w:caps w:val="0"/>
                <w:color w:val="000000"/>
                <w:spacing w:val="0"/>
                <w:kern w:val="0"/>
                <w:sz w:val="21"/>
                <w:szCs w:val="21"/>
                <w:lang w:val="en-US" w:eastAsia="zh-CN" w:bidi="ar"/>
              </w:rPr>
              <w:t>3. 雷击（防雷装置失效导致设备损坏或火灾）。</w:t>
            </w:r>
          </w:p>
        </w:tc>
      </w:tr>
      <w:tr w14:paraId="209AA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jc w:val="center"/>
        </w:trPr>
        <w:tc>
          <w:tcPr>
            <w:tcW w:w="0" w:type="auto"/>
            <w:shd w:val="clear" w:color="auto" w:fill="auto"/>
            <w:tcMar>
              <w:top w:w="144" w:type="dxa"/>
              <w:left w:w="216" w:type="dxa"/>
              <w:bottom w:w="144" w:type="dxa"/>
              <w:right w:w="216" w:type="dxa"/>
            </w:tcMar>
            <w:vAlign w:val="center"/>
          </w:tcPr>
          <w:p w14:paraId="2CA3F57C">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spacing w:val="0"/>
                <w:sz w:val="21"/>
                <w:szCs w:val="21"/>
              </w:rPr>
            </w:pPr>
            <w:r>
              <w:rPr>
                <w:rStyle w:val="92"/>
                <w:rFonts w:hint="default" w:ascii="Times New Roman" w:hAnsi="Times New Roman" w:eastAsia="宋体" w:cs="Times New Roman"/>
                <w:b/>
                <w:bCs/>
                <w:i w:val="0"/>
                <w:iCs w:val="0"/>
                <w:caps w:val="0"/>
                <w:color w:val="000000"/>
                <w:spacing w:val="0"/>
                <w:kern w:val="0"/>
                <w:sz w:val="21"/>
                <w:szCs w:val="21"/>
                <w:lang w:val="en-US" w:eastAsia="zh-CN" w:bidi="ar"/>
              </w:rPr>
              <w:t>中毒</w:t>
            </w:r>
          </w:p>
        </w:tc>
        <w:tc>
          <w:tcPr>
            <w:tcW w:w="0" w:type="auto"/>
            <w:shd w:val="clear" w:color="auto" w:fill="auto"/>
            <w:tcMar>
              <w:top w:w="144" w:type="dxa"/>
              <w:left w:w="216" w:type="dxa"/>
              <w:bottom w:w="144" w:type="dxa"/>
              <w:right w:w="216" w:type="dxa"/>
            </w:tcMar>
            <w:vAlign w:val="center"/>
          </w:tcPr>
          <w:p w14:paraId="376602D7">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spacing w:val="0"/>
                <w:sz w:val="21"/>
                <w:szCs w:val="21"/>
              </w:rPr>
            </w:pPr>
            <w:r>
              <w:rPr>
                <w:rFonts w:hint="default" w:ascii="Times New Roman" w:hAnsi="Times New Roman" w:eastAsia="宋体" w:cs="Times New Roman"/>
                <w:i w:val="0"/>
                <w:iCs w:val="0"/>
                <w:caps w:val="0"/>
                <w:color w:val="000000"/>
                <w:spacing w:val="0"/>
                <w:kern w:val="0"/>
                <w:sz w:val="21"/>
                <w:szCs w:val="21"/>
                <w:lang w:val="en-US" w:eastAsia="zh-CN" w:bidi="ar"/>
              </w:rPr>
              <w:t>有毒气体吸入</w:t>
            </w:r>
          </w:p>
        </w:tc>
        <w:tc>
          <w:tcPr>
            <w:tcW w:w="0" w:type="auto"/>
            <w:shd w:val="clear" w:color="auto" w:fill="auto"/>
            <w:tcMar>
              <w:top w:w="144" w:type="dxa"/>
              <w:left w:w="216" w:type="dxa"/>
              <w:bottom w:w="144" w:type="dxa"/>
              <w:right w:w="216" w:type="dxa"/>
            </w:tcMar>
            <w:vAlign w:val="center"/>
          </w:tcPr>
          <w:p w14:paraId="4AD58A6F">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i w:val="0"/>
                <w:iCs w:val="0"/>
                <w:caps w:val="0"/>
                <w:color w:val="000000"/>
                <w:spacing w:val="0"/>
                <w:sz w:val="21"/>
                <w:szCs w:val="21"/>
              </w:rPr>
            </w:pPr>
            <w:r>
              <w:rPr>
                <w:rFonts w:hint="default" w:ascii="Times New Roman" w:hAnsi="Times New Roman" w:eastAsia="宋体" w:cs="Times New Roman"/>
                <w:i w:val="0"/>
                <w:iCs w:val="0"/>
                <w:caps w:val="0"/>
                <w:color w:val="000000"/>
                <w:spacing w:val="0"/>
                <w:kern w:val="0"/>
                <w:sz w:val="21"/>
                <w:szCs w:val="21"/>
                <w:lang w:val="en-US" w:eastAsia="zh-CN" w:bidi="ar"/>
              </w:rPr>
              <w:t>1. 氟硅酸受热分解产生氟化氢气体（泄漏后挥发）；</w:t>
            </w:r>
            <w:r>
              <w:rPr>
                <w:rFonts w:hint="default" w:ascii="Times New Roman" w:hAnsi="Times New Roman" w:eastAsia="宋体" w:cs="Times New Roman"/>
                <w:i w:val="0"/>
                <w:iCs w:val="0"/>
                <w:caps w:val="0"/>
                <w:color w:val="000000"/>
                <w:spacing w:val="0"/>
                <w:kern w:val="0"/>
                <w:sz w:val="21"/>
                <w:szCs w:val="21"/>
                <w:lang w:val="en-US" w:eastAsia="zh-CN" w:bidi="ar"/>
              </w:rPr>
              <w:br w:type="textWrapping"/>
            </w:r>
            <w:r>
              <w:rPr>
                <w:rFonts w:hint="default" w:ascii="Times New Roman" w:hAnsi="Times New Roman" w:eastAsia="宋体" w:cs="Times New Roman"/>
                <w:i w:val="0"/>
                <w:iCs w:val="0"/>
                <w:caps w:val="0"/>
                <w:color w:val="000000"/>
                <w:spacing w:val="0"/>
                <w:kern w:val="0"/>
                <w:sz w:val="21"/>
                <w:szCs w:val="21"/>
                <w:lang w:val="en-US" w:eastAsia="zh-CN" w:bidi="ar"/>
              </w:rPr>
              <w:t>2. 浓硫酸雾滴（高浓度时刺激呼吸道）。</w:t>
            </w:r>
          </w:p>
        </w:tc>
      </w:tr>
    </w:tbl>
    <w:p w14:paraId="5BAB721C">
      <w:pPr>
        <w:pStyle w:val="4"/>
        <w:spacing w:before="193"/>
        <w:jc w:val="left"/>
        <w:rPr>
          <w:rFonts w:hint="eastAsia" w:ascii="黑体" w:hAnsi="黑体" w:eastAsia="黑体" w:cs="黑体"/>
          <w:b/>
          <w:bCs w:val="0"/>
          <w:color w:val="auto"/>
          <w:sz w:val="36"/>
          <w:szCs w:val="36"/>
          <w:lang w:val="en-US" w:eastAsia="zh-CN"/>
        </w:rPr>
      </w:pPr>
      <w:bookmarkStart w:id="369" w:name="_Toc4181"/>
      <w:r>
        <w:rPr>
          <w:rFonts w:hint="eastAsia" w:ascii="黑体" w:hAnsi="黑体" w:eastAsia="黑体" w:cs="黑体"/>
          <w:b/>
          <w:bCs w:val="0"/>
          <w:color w:val="auto"/>
          <w:sz w:val="36"/>
          <w:szCs w:val="36"/>
          <w:lang w:val="en-US" w:eastAsia="zh-CN"/>
        </w:rPr>
        <w:t>剧毒化学品、易制毒化学品、监控化学品、易制爆危险化学品、重点监管的危险化学品以及特别管控危险化学品辨识结果</w:t>
      </w:r>
      <w:bookmarkEnd w:id="369"/>
    </w:p>
    <w:p w14:paraId="560240B8">
      <w:pPr>
        <w:adjustRightInd w:val="0"/>
        <w:ind w:firstLine="560" w:firstLineChars="200"/>
        <w:rPr>
          <w:rFonts w:hint="eastAsia" w:ascii="宋体" w:hAnsi="Times New Roman" w:eastAsia="宋体" w:cs="宋体"/>
          <w:snapToGrid w:val="0"/>
          <w:color w:val="auto"/>
          <w:szCs w:val="28"/>
        </w:rPr>
      </w:pPr>
      <w:r>
        <w:rPr>
          <w:rFonts w:hint="eastAsia" w:hAnsi="宋体"/>
          <w:color w:val="auto"/>
          <w:szCs w:val="28"/>
        </w:rPr>
        <w:t>由报告附件</w:t>
      </w:r>
      <w:r>
        <w:rPr>
          <w:rFonts w:hint="eastAsia" w:hAnsi="宋体"/>
          <w:color w:val="auto"/>
          <w:szCs w:val="28"/>
          <w:lang w:val="en-US" w:eastAsia="zh-CN"/>
        </w:rPr>
        <w:t>3.1.6</w:t>
      </w:r>
      <w:r>
        <w:rPr>
          <w:rFonts w:hint="eastAsia" w:hAnsi="宋体"/>
          <w:color w:val="auto"/>
          <w:szCs w:val="28"/>
        </w:rPr>
        <w:t>节，本项目涉及的危险化学品为</w:t>
      </w:r>
      <w:r>
        <w:rPr>
          <w:rFonts w:hint="eastAsia" w:ascii="Times New Roman"/>
          <w:color w:val="auto"/>
          <w:kern w:val="3"/>
          <w:szCs w:val="28"/>
        </w:rPr>
        <w:t>氟硅酸、浓硫酸、稀硫酸</w:t>
      </w:r>
      <w:r>
        <w:rPr>
          <w:rFonts w:hint="eastAsia"/>
          <w:snapToGrid w:val="0"/>
          <w:color w:val="auto"/>
          <w:szCs w:val="28"/>
        </w:rPr>
        <w:t>；不涉及剧毒化学品，</w:t>
      </w:r>
      <w:r>
        <w:rPr>
          <w:rFonts w:hint="eastAsia"/>
          <w:color w:val="auto"/>
          <w:kern w:val="3"/>
          <w:szCs w:val="28"/>
        </w:rPr>
        <w:t>硫酸</w:t>
      </w:r>
      <w:r>
        <w:rPr>
          <w:rFonts w:ascii="Times New Roman"/>
          <w:color w:val="auto"/>
          <w:szCs w:val="28"/>
        </w:rPr>
        <w:t>为易制毒化学品，</w:t>
      </w:r>
      <w:r>
        <w:rPr>
          <w:rFonts w:hint="eastAsia" w:ascii="Times New Roman"/>
          <w:color w:val="auto"/>
        </w:rPr>
        <w:t>不涉及监控危险化学品</w:t>
      </w:r>
      <w:bookmarkStart w:id="370" w:name="_Toc210062836"/>
      <w:bookmarkStart w:id="371" w:name="_Toc238231141"/>
      <w:bookmarkStart w:id="372" w:name="_Toc198837947"/>
      <w:bookmarkStart w:id="373" w:name="_Toc216116266"/>
      <w:bookmarkStart w:id="374" w:name="_Toc230529442"/>
      <w:bookmarkStart w:id="375" w:name="_Toc195889453"/>
      <w:bookmarkStart w:id="376" w:name="_Toc238230950"/>
      <w:bookmarkStart w:id="377" w:name="_Toc195889310"/>
      <w:bookmarkStart w:id="378" w:name="_Toc238230567"/>
      <w:r>
        <w:rPr>
          <w:rFonts w:hint="eastAsia"/>
          <w:snapToGrid w:val="0"/>
          <w:color w:val="auto"/>
          <w:szCs w:val="28"/>
        </w:rPr>
        <w:t>，不涉</w:t>
      </w:r>
      <w:r>
        <w:rPr>
          <w:rFonts w:hint="eastAsia" w:ascii="宋体" w:hAnsi="Times New Roman" w:eastAsia="宋体" w:cs="宋体"/>
          <w:snapToGrid w:val="0"/>
          <w:color w:val="auto"/>
          <w:szCs w:val="28"/>
        </w:rPr>
        <w:t>及易制爆危险化学品，不涉及重点监管的危险化学品，不涉及特别管控危险化学品。</w:t>
      </w:r>
    </w:p>
    <w:p w14:paraId="66772822">
      <w:pPr>
        <w:pStyle w:val="4"/>
        <w:spacing w:before="193"/>
        <w:jc w:val="left"/>
        <w:rPr>
          <w:rFonts w:hint="eastAsia" w:ascii="黑体" w:hAnsi="黑体" w:eastAsia="黑体" w:cs="黑体"/>
          <w:b/>
          <w:bCs w:val="0"/>
          <w:color w:val="auto"/>
          <w:sz w:val="36"/>
          <w:szCs w:val="36"/>
          <w:lang w:val="en-US" w:eastAsia="zh-CN"/>
        </w:rPr>
      </w:pPr>
      <w:bookmarkStart w:id="379" w:name="_Toc460364935"/>
      <w:bookmarkStart w:id="380" w:name="_Toc340446868"/>
      <w:bookmarkStart w:id="381" w:name="_Toc349511636"/>
      <w:bookmarkStart w:id="382" w:name="_Toc354667460"/>
      <w:bookmarkStart w:id="383" w:name="_Toc354667692"/>
      <w:bookmarkStart w:id="384" w:name="_Toc387488512"/>
      <w:bookmarkStart w:id="385" w:name="_Toc324380393"/>
      <w:bookmarkStart w:id="386" w:name="_Toc330852619"/>
      <w:bookmarkStart w:id="387" w:name="_Toc346708598"/>
      <w:bookmarkStart w:id="388" w:name="_Toc47119793"/>
      <w:bookmarkStart w:id="389" w:name="_Toc340447062"/>
      <w:bookmarkStart w:id="390" w:name="_Toc9730"/>
      <w:bookmarkStart w:id="391" w:name="_Toc47119935"/>
      <w:bookmarkStart w:id="392" w:name="_Toc387703502"/>
      <w:r>
        <w:rPr>
          <w:rFonts w:hint="eastAsia" w:ascii="黑体" w:hAnsi="黑体" w:eastAsia="黑体" w:cs="黑体"/>
          <w:b/>
          <w:bCs w:val="0"/>
          <w:color w:val="auto"/>
          <w:sz w:val="36"/>
          <w:szCs w:val="36"/>
          <w:lang w:val="en-US" w:eastAsia="zh-CN"/>
        </w:rPr>
        <w:t>重点监管危险化工工艺和淘汰工艺、淘汰设备辨识结果</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63BF72F7">
      <w:pPr>
        <w:adjustRightInd w:val="0"/>
        <w:ind w:firstLine="560" w:firstLineChars="200"/>
        <w:rPr>
          <w:rFonts w:hAnsi="宋体"/>
          <w:snapToGrid w:val="0"/>
          <w:color w:val="auto"/>
        </w:rPr>
      </w:pPr>
      <w:r>
        <w:rPr>
          <w:rFonts w:hint="eastAsia" w:ascii="Times New Roman"/>
          <w:color w:val="auto"/>
        </w:rPr>
        <w:t>由报告附件</w:t>
      </w:r>
      <w:r>
        <w:rPr>
          <w:rFonts w:hint="eastAsia" w:ascii="Times New Roman"/>
          <w:color w:val="auto"/>
          <w:lang w:val="en-US" w:eastAsia="zh-CN"/>
        </w:rPr>
        <w:t>3.1.6</w:t>
      </w:r>
      <w:r>
        <w:rPr>
          <w:rFonts w:hint="eastAsia" w:ascii="Times New Roman"/>
          <w:color w:val="auto"/>
        </w:rPr>
        <w:t>节，</w:t>
      </w:r>
      <w:r>
        <w:rPr>
          <w:rFonts w:hint="eastAsia" w:ascii="Times New Roman" w:hAnsi="宋体"/>
          <w:snapToGrid w:val="0"/>
          <w:color w:val="auto"/>
        </w:rPr>
        <w:t>本项目生产工艺不属于重点监管危险化工工艺</w:t>
      </w:r>
      <w:r>
        <w:rPr>
          <w:rFonts w:hint="eastAsia" w:ascii="Times New Roman" w:hAnsi="宋体"/>
          <w:snapToGrid w:val="0"/>
          <w:color w:val="auto"/>
          <w:lang w:eastAsia="zh-CN"/>
        </w:rPr>
        <w:t>，</w:t>
      </w:r>
      <w:r>
        <w:rPr>
          <w:rFonts w:hint="eastAsia" w:ascii="Times New Roman" w:hAnsi="宋体"/>
          <w:snapToGrid w:val="0"/>
          <w:color w:val="auto"/>
          <w:lang w:val="en-US" w:eastAsia="zh-CN"/>
        </w:rPr>
        <w:t>不涉及淘汰工艺和淘汰设备</w:t>
      </w:r>
      <w:r>
        <w:rPr>
          <w:rFonts w:hint="eastAsia" w:hAnsi="宋体"/>
          <w:snapToGrid w:val="0"/>
          <w:color w:val="auto"/>
        </w:rPr>
        <w:t>。</w:t>
      </w:r>
    </w:p>
    <w:bookmarkEnd w:id="370"/>
    <w:bookmarkEnd w:id="371"/>
    <w:bookmarkEnd w:id="372"/>
    <w:bookmarkEnd w:id="373"/>
    <w:bookmarkEnd w:id="374"/>
    <w:bookmarkEnd w:id="375"/>
    <w:bookmarkEnd w:id="376"/>
    <w:bookmarkEnd w:id="377"/>
    <w:bookmarkEnd w:id="378"/>
    <w:p w14:paraId="71DA1D53">
      <w:pPr>
        <w:pStyle w:val="4"/>
        <w:spacing w:before="193"/>
        <w:jc w:val="left"/>
        <w:rPr>
          <w:rFonts w:hint="eastAsia" w:ascii="黑体" w:hAnsi="黑体" w:eastAsia="黑体" w:cs="黑体"/>
          <w:b/>
          <w:bCs w:val="0"/>
          <w:color w:val="auto"/>
          <w:sz w:val="36"/>
          <w:szCs w:val="36"/>
          <w:lang w:val="en-US" w:eastAsia="zh-CN"/>
        </w:rPr>
      </w:pPr>
      <w:bookmarkStart w:id="393" w:name="_Toc18834"/>
      <w:bookmarkStart w:id="394" w:name="_Toc387488028"/>
      <w:bookmarkStart w:id="395" w:name="_Toc47119918"/>
      <w:bookmarkStart w:id="396" w:name="_Toc340447128"/>
      <w:bookmarkStart w:id="397" w:name="_Toc330852735"/>
      <w:bookmarkStart w:id="398" w:name="_Toc460364905"/>
      <w:bookmarkStart w:id="399" w:name="_Toc387703583"/>
      <w:bookmarkStart w:id="400" w:name="_Toc47119776"/>
      <w:bookmarkStart w:id="401" w:name="_Toc346708681"/>
      <w:bookmarkStart w:id="402" w:name="_Toc340446934"/>
      <w:bookmarkStart w:id="403" w:name="_Toc354667547"/>
      <w:bookmarkStart w:id="404" w:name="_Toc387790905"/>
      <w:bookmarkStart w:id="405" w:name="_Toc330844404"/>
      <w:bookmarkStart w:id="406" w:name="_Toc349511172"/>
      <w:r>
        <w:rPr>
          <w:rFonts w:hint="eastAsia" w:ascii="黑体" w:hAnsi="黑体" w:eastAsia="黑体" w:cs="黑体"/>
          <w:b/>
          <w:bCs w:val="0"/>
          <w:color w:val="auto"/>
          <w:sz w:val="36"/>
          <w:szCs w:val="36"/>
          <w:lang w:val="en-US" w:eastAsia="zh-CN"/>
        </w:rPr>
        <w:t>重大危险源辨识结果</w:t>
      </w:r>
      <w:bookmarkEnd w:id="393"/>
    </w:p>
    <w:p w14:paraId="55705EAB">
      <w:pPr>
        <w:ind w:firstLine="560" w:firstLineChars="200"/>
        <w:jc w:val="left"/>
        <w:rPr>
          <w:rFonts w:hint="eastAsia" w:hAnsi="宋体"/>
          <w:color w:val="auto"/>
          <w:kern w:val="2"/>
        </w:rPr>
        <w:sectPr>
          <w:pgSz w:w="11905" w:h="16838"/>
          <w:pgMar w:top="1417" w:right="1134" w:bottom="1134" w:left="1587" w:header="850" w:footer="680" w:gutter="0"/>
          <w:pgNumType w:fmt="decimal"/>
          <w:cols w:space="0" w:num="1"/>
          <w:rtlGutter w:val="0"/>
          <w:docGrid w:type="lines" w:linePitch="386" w:charSpace="0"/>
        </w:sectPr>
      </w:pPr>
      <w:r>
        <w:rPr>
          <w:rFonts w:hint="eastAsia" w:hAnsi="宋体"/>
          <w:color w:val="auto"/>
        </w:rPr>
        <w:t>根据《危险化学品重大危险源辨识》(GB18218-2018)的规定，本项目物料输送外管廊属于管道输送，不属于危险化学品的生产、加工、使用或储存，不在</w:t>
      </w:r>
      <w:r>
        <w:rPr>
          <w:rFonts w:hint="eastAsia" w:hAnsi="宋体"/>
          <w:color w:val="auto"/>
          <w:szCs w:val="28"/>
        </w:rPr>
        <w:t>危险化学品重大危险源辨识范围内</w:t>
      </w:r>
      <w:r>
        <w:rPr>
          <w:rFonts w:hint="eastAsia" w:hAnsi="宋体"/>
          <w:color w:val="auto"/>
        </w:rPr>
        <w:t>，云南瓮福祥丰氟硅新材料有限公司3万吨/年无水氟化氢和2万吨/年电子级氢氟酸厂外公用工程管架建设项目不构成重大危险源。具体辨识过程详见报告附件</w:t>
      </w:r>
      <w:r>
        <w:rPr>
          <w:rFonts w:hint="eastAsia" w:hAnsi="宋体"/>
          <w:color w:val="auto"/>
          <w:lang w:val="en-US" w:eastAsia="zh-CN"/>
        </w:rPr>
        <w:t>3.1.7</w:t>
      </w:r>
      <w:r>
        <w:rPr>
          <w:rFonts w:hint="eastAsia" w:hAnsi="宋体"/>
          <w:color w:val="auto"/>
        </w:rPr>
        <w:t>节“重大危险源辨识”</w:t>
      </w:r>
      <w:r>
        <w:rPr>
          <w:rFonts w:hint="eastAsia" w:hAnsi="宋体"/>
          <w:color w:val="auto"/>
          <w:kern w:val="2"/>
        </w:rPr>
        <w:t>。</w:t>
      </w:r>
    </w:p>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94"/>
    <w:bookmarkEnd w:id="395"/>
    <w:bookmarkEnd w:id="396"/>
    <w:bookmarkEnd w:id="397"/>
    <w:bookmarkEnd w:id="398"/>
    <w:bookmarkEnd w:id="399"/>
    <w:bookmarkEnd w:id="400"/>
    <w:bookmarkEnd w:id="401"/>
    <w:bookmarkEnd w:id="402"/>
    <w:bookmarkEnd w:id="403"/>
    <w:bookmarkEnd w:id="404"/>
    <w:bookmarkEnd w:id="405"/>
    <w:bookmarkEnd w:id="406"/>
    <w:p w14:paraId="2793580E">
      <w:pPr>
        <w:pStyle w:val="3"/>
        <w:numPr>
          <w:ilvl w:val="0"/>
          <w:numId w:val="1"/>
        </w:numPr>
        <w:tabs>
          <w:tab w:val="left" w:pos="420"/>
        </w:tabs>
        <w:adjustRightInd w:val="0"/>
        <w:spacing w:before="120" w:after="120"/>
        <w:ind w:left="0"/>
        <w:rPr>
          <w:rFonts w:hint="eastAsia" w:ascii="宋体" w:cs="宋体"/>
          <w:color w:val="auto"/>
          <w:sz w:val="44"/>
          <w:szCs w:val="44"/>
        </w:rPr>
      </w:pPr>
      <w:bookmarkStart w:id="407" w:name="_Toc21769"/>
      <w:bookmarkStart w:id="408" w:name="_Toc154980445"/>
      <w:bookmarkStart w:id="409" w:name="_Toc387703515"/>
      <w:bookmarkStart w:id="410" w:name="_Toc335511848"/>
      <w:bookmarkStart w:id="411" w:name="_Toc47119806"/>
      <w:bookmarkStart w:id="412" w:name="_Toc272135081"/>
      <w:bookmarkStart w:id="413" w:name="_Toc264151393"/>
      <w:bookmarkStart w:id="414" w:name="_Toc297653231"/>
      <w:bookmarkStart w:id="415" w:name="_Toc272134766"/>
      <w:bookmarkStart w:id="416" w:name="_Toc171060808"/>
      <w:bookmarkStart w:id="417" w:name="_Toc195889313"/>
      <w:bookmarkStart w:id="418" w:name="_Toc264151543"/>
      <w:bookmarkStart w:id="419" w:name="_Toc292639463"/>
      <w:bookmarkStart w:id="420" w:name="_Toc349511649"/>
      <w:bookmarkStart w:id="421" w:name="_Toc264149314"/>
      <w:bookmarkStart w:id="422" w:name="_Toc297416384"/>
      <w:bookmarkStart w:id="423" w:name="_Toc354667473"/>
      <w:bookmarkStart w:id="424" w:name="_Toc292639646"/>
      <w:bookmarkStart w:id="425" w:name="_Toc335599693"/>
      <w:bookmarkStart w:id="426" w:name="_Toc47119948"/>
      <w:bookmarkStart w:id="427" w:name="_Toc460364951"/>
      <w:bookmarkStart w:id="428" w:name="_Toc297452843"/>
      <w:bookmarkStart w:id="429" w:name="_Toc354667705"/>
      <w:bookmarkStart w:id="430" w:name="_Toc387488525"/>
      <w:bookmarkStart w:id="431" w:name="_Toc192270212"/>
      <w:bookmarkStart w:id="432" w:name="_Toc154980442"/>
      <w:bookmarkStart w:id="433" w:name="_Toc171060805"/>
      <w:r>
        <w:rPr>
          <w:rFonts w:hint="eastAsia" w:ascii="宋体" w:cs="宋体"/>
          <w:color w:val="auto"/>
          <w:sz w:val="44"/>
          <w:szCs w:val="44"/>
          <w:lang w:val="en-US" w:eastAsia="zh-CN"/>
        </w:rPr>
        <w:t>安全</w:t>
      </w:r>
      <w:r>
        <w:rPr>
          <w:rFonts w:hint="eastAsia" w:ascii="宋体" w:cs="宋体"/>
          <w:color w:val="auto"/>
          <w:sz w:val="44"/>
          <w:szCs w:val="44"/>
        </w:rPr>
        <w:t>评价单元</w:t>
      </w:r>
      <w:r>
        <w:rPr>
          <w:rFonts w:hint="eastAsia" w:ascii="宋体" w:cs="宋体"/>
          <w:color w:val="auto"/>
          <w:sz w:val="44"/>
          <w:szCs w:val="44"/>
          <w:lang w:val="en-US" w:eastAsia="zh-CN"/>
        </w:rPr>
        <w:t>的</w:t>
      </w:r>
      <w:r>
        <w:rPr>
          <w:rFonts w:hint="eastAsia" w:ascii="宋体" w:cs="宋体"/>
          <w:color w:val="auto"/>
          <w:sz w:val="44"/>
          <w:szCs w:val="44"/>
        </w:rPr>
        <w:t>划分</w:t>
      </w:r>
      <w:r>
        <w:rPr>
          <w:rFonts w:hint="eastAsia" w:ascii="宋体" w:cs="宋体"/>
          <w:color w:val="auto"/>
          <w:sz w:val="44"/>
          <w:szCs w:val="44"/>
          <w:lang w:val="en-US" w:eastAsia="zh-CN"/>
        </w:rPr>
        <w:t>结果</w:t>
      </w:r>
      <w:r>
        <w:rPr>
          <w:rFonts w:hint="eastAsia" w:ascii="宋体" w:cs="宋体"/>
          <w:color w:val="auto"/>
          <w:sz w:val="44"/>
          <w:szCs w:val="44"/>
        </w:rPr>
        <w:t>及</w:t>
      </w:r>
      <w:r>
        <w:rPr>
          <w:rFonts w:hint="eastAsia" w:ascii="宋体" w:cs="宋体"/>
          <w:color w:val="auto"/>
          <w:sz w:val="44"/>
          <w:szCs w:val="44"/>
          <w:lang w:val="en-US" w:eastAsia="zh-CN"/>
        </w:rPr>
        <w:t>理由说明</w:t>
      </w:r>
      <w:bookmarkEnd w:id="407"/>
    </w:p>
    <w:p w14:paraId="15B518FF">
      <w:pPr>
        <w:pStyle w:val="4"/>
        <w:spacing w:before="193"/>
        <w:jc w:val="left"/>
        <w:rPr>
          <w:rFonts w:hint="eastAsia" w:ascii="黑体" w:hAnsi="黑体" w:eastAsia="黑体" w:cs="黑体"/>
          <w:b/>
          <w:bCs w:val="0"/>
          <w:color w:val="auto"/>
          <w:sz w:val="36"/>
          <w:szCs w:val="36"/>
          <w:lang w:val="en-US" w:eastAsia="zh-CN"/>
        </w:rPr>
      </w:pPr>
      <w:bookmarkStart w:id="434" w:name="_Toc9309"/>
      <w:r>
        <w:rPr>
          <w:rFonts w:hint="eastAsia" w:ascii="黑体" w:hAnsi="黑体" w:eastAsia="黑体" w:cs="黑体"/>
          <w:b/>
          <w:bCs w:val="0"/>
          <w:color w:val="auto"/>
          <w:sz w:val="36"/>
          <w:szCs w:val="36"/>
          <w:lang w:val="en-US" w:eastAsia="zh-CN"/>
        </w:rPr>
        <w:t>评价单元的划分</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r>
        <w:rPr>
          <w:rFonts w:hint="eastAsia" w:ascii="黑体" w:hAnsi="黑体" w:eastAsia="黑体" w:cs="黑体"/>
          <w:b/>
          <w:bCs w:val="0"/>
          <w:color w:val="auto"/>
          <w:sz w:val="36"/>
          <w:szCs w:val="36"/>
          <w:lang w:val="en-US" w:eastAsia="zh-CN"/>
        </w:rPr>
        <w:t>理由</w:t>
      </w:r>
      <w:bookmarkEnd w:id="434"/>
    </w:p>
    <w:p w14:paraId="55B9F40B">
      <w:pPr>
        <w:pStyle w:val="5"/>
        <w:numPr>
          <w:ilvl w:val="2"/>
          <w:numId w:val="1"/>
        </w:numPr>
        <w:adjustRightInd w:val="0"/>
        <w:spacing w:before="120" w:after="120"/>
        <w:jc w:val="both"/>
        <w:rPr>
          <w:rFonts w:hint="eastAsia" w:ascii="Times New Roman" w:hAnsi="Times New Roman" w:eastAsia="黑体" w:cs="Times New Roman"/>
          <w:snapToGrid w:val="0"/>
          <w:color w:val="000000"/>
          <w:kern w:val="0"/>
          <w:sz w:val="32"/>
          <w:lang w:val="en-US" w:eastAsia="zh-CN"/>
        </w:rPr>
      </w:pPr>
      <w:bookmarkStart w:id="435" w:name="_Toc354667706"/>
      <w:bookmarkStart w:id="436" w:name="_Toc297452844"/>
      <w:bookmarkStart w:id="437" w:name="_Toc387488526"/>
      <w:bookmarkStart w:id="438" w:name="_Toc335599694"/>
      <w:bookmarkStart w:id="439" w:name="_Toc47119807"/>
      <w:bookmarkStart w:id="440" w:name="_Toc460364952"/>
      <w:bookmarkStart w:id="441" w:name="_Toc47119949"/>
      <w:bookmarkStart w:id="442" w:name="_Toc387703516"/>
      <w:bookmarkStart w:id="443" w:name="_Toc349511650"/>
      <w:bookmarkStart w:id="444" w:name="_Toc297653232"/>
      <w:bookmarkStart w:id="445" w:name="_Toc297416385"/>
      <w:bookmarkStart w:id="446" w:name="_Toc9380"/>
      <w:bookmarkStart w:id="447" w:name="_Toc335511849"/>
      <w:bookmarkStart w:id="448" w:name="_Toc292639647"/>
      <w:bookmarkStart w:id="449" w:name="_Toc292639464"/>
      <w:bookmarkStart w:id="450" w:name="_Toc354667474"/>
      <w:r>
        <w:rPr>
          <w:rFonts w:hint="eastAsia" w:ascii="Times New Roman" w:hAnsi="Times New Roman" w:eastAsia="黑体" w:cs="Times New Roman"/>
          <w:snapToGrid w:val="0"/>
          <w:color w:val="000000"/>
          <w:kern w:val="0"/>
          <w:sz w:val="32"/>
          <w:lang w:val="en-US" w:eastAsia="zh-CN"/>
        </w:rPr>
        <w:t>评价单元划分原则</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6C52FC5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snapToGrid w:val="0"/>
          <w:color w:val="000000"/>
          <w:kern w:val="0"/>
          <w:sz w:val="28"/>
          <w:szCs w:val="28"/>
        </w:rPr>
      </w:pPr>
      <w:bookmarkStart w:id="451" w:name="_Toc387703517"/>
      <w:bookmarkStart w:id="452" w:name="_Toc387488527"/>
      <w:bookmarkStart w:id="453" w:name="_Toc354667707"/>
      <w:bookmarkStart w:id="454" w:name="_Toc292639648"/>
      <w:bookmarkStart w:id="455" w:name="_Toc47119808"/>
      <w:bookmarkStart w:id="456" w:name="_Toc460364953"/>
      <w:bookmarkStart w:id="457" w:name="_Toc47119950"/>
      <w:bookmarkStart w:id="458" w:name="_Toc354667475"/>
      <w:bookmarkStart w:id="459" w:name="_Toc335599695"/>
      <w:bookmarkStart w:id="460" w:name="_Toc349511651"/>
      <w:bookmarkStart w:id="461" w:name="_Toc297653233"/>
      <w:bookmarkStart w:id="462" w:name="_Toc297416386"/>
      <w:bookmarkStart w:id="463" w:name="_Toc292639465"/>
      <w:bookmarkStart w:id="464" w:name="_Toc335511850"/>
      <w:bookmarkStart w:id="465" w:name="_Toc297452845"/>
      <w:r>
        <w:rPr>
          <w:snapToGrid w:val="0"/>
          <w:color w:val="000000"/>
          <w:kern w:val="0"/>
          <w:sz w:val="28"/>
          <w:szCs w:val="28"/>
          <w:lang w:bidi="ar"/>
        </w:rPr>
        <w:t>评价单元划分是在对危险、有害因素辨析的基础上，根据评价目的和评价方法的需要，将系统分成若干子单元需要评价的单元，以提高评价的客观性和准确性。</w:t>
      </w:r>
    </w:p>
    <w:p w14:paraId="14F6C288">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snapToGrid w:val="0"/>
          <w:color w:val="000000"/>
          <w:kern w:val="0"/>
          <w:sz w:val="28"/>
          <w:szCs w:val="28"/>
          <w:lang w:bidi="ar"/>
        </w:rPr>
      </w:pPr>
      <w:r>
        <w:rPr>
          <w:snapToGrid w:val="0"/>
          <w:color w:val="000000"/>
          <w:kern w:val="0"/>
          <w:sz w:val="28"/>
          <w:szCs w:val="28"/>
          <w:lang w:bidi="ar"/>
        </w:rPr>
        <w:t>评价单元的划分，一般将生产工艺、工艺装置、物料的特性及危险、有害因素类别、分布状况综合考虑后，进行划分。</w:t>
      </w:r>
    </w:p>
    <w:p w14:paraId="24F082CD">
      <w:pPr>
        <w:pStyle w:val="5"/>
        <w:numPr>
          <w:ilvl w:val="2"/>
          <w:numId w:val="1"/>
        </w:numPr>
        <w:adjustRightInd w:val="0"/>
        <w:spacing w:before="120" w:after="120"/>
        <w:jc w:val="both"/>
        <w:rPr>
          <w:rFonts w:hint="eastAsia" w:ascii="Times New Roman" w:hAnsi="Times New Roman" w:eastAsia="黑体" w:cs="Times New Roman"/>
          <w:snapToGrid w:val="0"/>
          <w:color w:val="000000"/>
          <w:kern w:val="0"/>
          <w:sz w:val="32"/>
          <w:lang w:val="en-US" w:eastAsia="zh-CN"/>
        </w:rPr>
      </w:pPr>
      <w:bookmarkStart w:id="466" w:name="_Toc20153"/>
      <w:r>
        <w:rPr>
          <w:rFonts w:hint="eastAsia" w:ascii="Times New Roman" w:hAnsi="Times New Roman" w:eastAsia="黑体" w:cs="Times New Roman"/>
          <w:snapToGrid w:val="0"/>
          <w:color w:val="000000"/>
          <w:kern w:val="0"/>
          <w:sz w:val="32"/>
          <w:lang w:val="en-US" w:eastAsia="zh-CN"/>
        </w:rPr>
        <w:t>评价单元划分</w:t>
      </w:r>
      <w:r>
        <w:rPr>
          <w:rFonts w:hint="eastAsia" w:ascii="Times New Roman" w:hAnsi="Times New Roman" w:cs="Times New Roman"/>
          <w:snapToGrid w:val="0"/>
          <w:color w:val="000000"/>
          <w:kern w:val="0"/>
          <w:sz w:val="32"/>
          <w:lang w:val="en-US" w:eastAsia="zh-CN"/>
        </w:rPr>
        <w:t>方法</w:t>
      </w:r>
      <w:bookmarkEnd w:id="466"/>
    </w:p>
    <w:p w14:paraId="56584B3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snapToGrid w:val="0"/>
          <w:color w:val="000000"/>
          <w:kern w:val="0"/>
          <w:sz w:val="28"/>
          <w:szCs w:val="28"/>
        </w:rPr>
      </w:pPr>
      <w:r>
        <w:rPr>
          <w:snapToGrid w:val="0"/>
          <w:color w:val="000000"/>
          <w:kern w:val="0"/>
          <w:sz w:val="28"/>
          <w:szCs w:val="28"/>
          <w:lang w:bidi="ar"/>
        </w:rPr>
        <w:t>常用的评价单元划分方法有：</w:t>
      </w:r>
    </w:p>
    <w:p w14:paraId="7C43DD4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snapToGrid w:val="0"/>
          <w:color w:val="000000"/>
          <w:kern w:val="0"/>
          <w:sz w:val="28"/>
          <w:szCs w:val="28"/>
        </w:rPr>
      </w:pPr>
      <w:r>
        <w:rPr>
          <w:snapToGrid w:val="0"/>
          <w:color w:val="000000"/>
          <w:kern w:val="0"/>
          <w:sz w:val="28"/>
          <w:szCs w:val="28"/>
          <w:lang w:bidi="ar"/>
        </w:rPr>
        <w:t>1.以危险、有害因素的类别为主划分评价单元。</w:t>
      </w:r>
    </w:p>
    <w:p w14:paraId="7DAD35B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snapToGrid w:val="0"/>
          <w:color w:val="000000"/>
          <w:kern w:val="0"/>
          <w:sz w:val="28"/>
          <w:szCs w:val="28"/>
        </w:rPr>
      </w:pPr>
      <w:r>
        <w:rPr>
          <w:snapToGrid w:val="0"/>
          <w:color w:val="000000"/>
          <w:kern w:val="0"/>
          <w:sz w:val="28"/>
          <w:szCs w:val="28"/>
          <w:lang w:bidi="ar"/>
        </w:rPr>
        <w:t>1）对工艺方案、总体布置及自然条件、环境对系统影响等综合方面的危险、有害因素的分析和评价，可将整个系统作为一个评价单元；</w:t>
      </w:r>
    </w:p>
    <w:p w14:paraId="6C31058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snapToGrid w:val="0"/>
          <w:color w:val="000000"/>
          <w:kern w:val="0"/>
          <w:sz w:val="28"/>
          <w:szCs w:val="28"/>
        </w:rPr>
      </w:pPr>
      <w:r>
        <w:rPr>
          <w:snapToGrid w:val="0"/>
          <w:color w:val="000000"/>
          <w:kern w:val="0"/>
          <w:sz w:val="28"/>
          <w:szCs w:val="28"/>
          <w:lang w:bidi="ar"/>
        </w:rPr>
        <w:t>2）将具有共性危险因素、有害因素的场所和装置划为一个单元。</w:t>
      </w:r>
    </w:p>
    <w:p w14:paraId="2702F88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snapToGrid w:val="0"/>
          <w:color w:val="000000"/>
          <w:kern w:val="0"/>
          <w:sz w:val="28"/>
          <w:szCs w:val="28"/>
        </w:rPr>
      </w:pPr>
      <w:r>
        <w:rPr>
          <w:snapToGrid w:val="0"/>
          <w:color w:val="000000"/>
          <w:kern w:val="0"/>
          <w:sz w:val="28"/>
          <w:szCs w:val="28"/>
          <w:lang w:bidi="ar"/>
        </w:rPr>
        <w:t>2.以装置和物质特征划分评价单元。</w:t>
      </w:r>
    </w:p>
    <w:p w14:paraId="1E33BA3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snapToGrid w:val="0"/>
          <w:color w:val="000000"/>
          <w:kern w:val="0"/>
          <w:sz w:val="28"/>
          <w:szCs w:val="28"/>
        </w:rPr>
      </w:pPr>
      <w:r>
        <w:rPr>
          <w:snapToGrid w:val="0"/>
          <w:color w:val="000000"/>
          <w:kern w:val="0"/>
          <w:sz w:val="28"/>
          <w:szCs w:val="28"/>
          <w:lang w:bidi="ar"/>
        </w:rPr>
        <w:t>1）按装置工艺功能划分；</w:t>
      </w:r>
    </w:p>
    <w:p w14:paraId="7AE182E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snapToGrid w:val="0"/>
          <w:color w:val="000000"/>
          <w:kern w:val="0"/>
          <w:sz w:val="28"/>
          <w:szCs w:val="28"/>
        </w:rPr>
      </w:pPr>
      <w:r>
        <w:rPr>
          <w:snapToGrid w:val="0"/>
          <w:color w:val="000000"/>
          <w:kern w:val="0"/>
          <w:sz w:val="28"/>
          <w:szCs w:val="28"/>
          <w:lang w:bidi="ar"/>
        </w:rPr>
        <w:t>2）按布置的相对独立性划分；</w:t>
      </w:r>
    </w:p>
    <w:p w14:paraId="1D591BF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snapToGrid w:val="0"/>
          <w:color w:val="000000"/>
          <w:kern w:val="0"/>
          <w:sz w:val="28"/>
          <w:szCs w:val="28"/>
        </w:rPr>
      </w:pPr>
      <w:r>
        <w:rPr>
          <w:snapToGrid w:val="0"/>
          <w:color w:val="000000"/>
          <w:kern w:val="0"/>
          <w:sz w:val="28"/>
          <w:szCs w:val="28"/>
          <w:lang w:bidi="ar"/>
        </w:rPr>
        <w:t>3）按工艺条件划分评价单元；</w:t>
      </w:r>
    </w:p>
    <w:p w14:paraId="2B13BDA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snapToGrid w:val="0"/>
          <w:color w:val="000000"/>
          <w:kern w:val="0"/>
          <w:sz w:val="28"/>
          <w:szCs w:val="28"/>
        </w:rPr>
      </w:pPr>
      <w:r>
        <w:rPr>
          <w:snapToGrid w:val="0"/>
          <w:color w:val="000000"/>
          <w:kern w:val="0"/>
          <w:sz w:val="28"/>
          <w:szCs w:val="28"/>
          <w:lang w:bidi="ar"/>
        </w:rPr>
        <w:t>4）按贮存、处理危险物品的潜在化学能、毒性和危险物品的数量划分评价单元；</w:t>
      </w:r>
    </w:p>
    <w:p w14:paraId="4ECD955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snapToGrid w:val="0"/>
          <w:color w:val="000000"/>
          <w:kern w:val="0"/>
          <w:sz w:val="28"/>
          <w:szCs w:val="28"/>
        </w:rPr>
      </w:pPr>
      <w:r>
        <w:rPr>
          <w:snapToGrid w:val="0"/>
          <w:color w:val="000000"/>
          <w:kern w:val="0"/>
          <w:sz w:val="28"/>
          <w:szCs w:val="28"/>
          <w:lang w:bidi="ar"/>
        </w:rPr>
        <w:t>5）根据以往事故资料，将发生事故能导致停产、波及范围大、造成巨大损失和伤害的关键设备作为一个单元；</w:t>
      </w:r>
    </w:p>
    <w:p w14:paraId="1EDF284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snapToGrid w:val="0"/>
          <w:color w:val="000000"/>
          <w:kern w:val="0"/>
          <w:sz w:val="28"/>
          <w:szCs w:val="28"/>
        </w:rPr>
      </w:pPr>
      <w:r>
        <w:rPr>
          <w:snapToGrid w:val="0"/>
          <w:color w:val="000000"/>
          <w:kern w:val="0"/>
          <w:sz w:val="28"/>
          <w:szCs w:val="28"/>
          <w:lang w:bidi="ar"/>
        </w:rPr>
        <w:t>6）将危险性大且资金密度大的区域作为一个评价单元；</w:t>
      </w:r>
    </w:p>
    <w:p w14:paraId="4DC0898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snapToGrid w:val="0"/>
          <w:color w:val="000000"/>
          <w:kern w:val="0"/>
          <w:sz w:val="28"/>
          <w:szCs w:val="28"/>
        </w:rPr>
      </w:pPr>
      <w:r>
        <w:rPr>
          <w:snapToGrid w:val="0"/>
          <w:color w:val="000000"/>
          <w:kern w:val="0"/>
          <w:sz w:val="28"/>
          <w:szCs w:val="28"/>
          <w:lang w:bidi="ar"/>
        </w:rPr>
        <w:t>7）将危险性特别大的区域、装置作为一个评价单元；</w:t>
      </w:r>
    </w:p>
    <w:p w14:paraId="55D05AB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snapToGrid w:val="0"/>
          <w:color w:val="000000"/>
          <w:kern w:val="0"/>
          <w:sz w:val="28"/>
          <w:szCs w:val="28"/>
        </w:rPr>
      </w:pPr>
      <w:r>
        <w:rPr>
          <w:snapToGrid w:val="0"/>
          <w:color w:val="000000"/>
          <w:kern w:val="0"/>
          <w:sz w:val="28"/>
          <w:szCs w:val="28"/>
          <w:lang w:bidi="ar"/>
        </w:rPr>
        <w:t>8）将具有类似危险性潜能的单元合并为一个大单元。</w:t>
      </w:r>
    </w:p>
    <w:bookmarkEnd w:id="432"/>
    <w:bookmarkEnd w:id="433"/>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14:paraId="41AFBEBC">
      <w:pPr>
        <w:pStyle w:val="4"/>
        <w:spacing w:before="193"/>
        <w:jc w:val="left"/>
        <w:rPr>
          <w:rFonts w:hint="eastAsia" w:ascii="黑体" w:hAnsi="黑体" w:eastAsia="黑体" w:cs="黑体"/>
          <w:b/>
          <w:bCs w:val="0"/>
          <w:color w:val="auto"/>
          <w:sz w:val="36"/>
          <w:szCs w:val="36"/>
          <w:lang w:val="en-US" w:eastAsia="zh-CN"/>
        </w:rPr>
      </w:pPr>
      <w:bookmarkStart w:id="467" w:name="_Toc387703519"/>
      <w:bookmarkStart w:id="468" w:name="_Toc292639650"/>
      <w:bookmarkStart w:id="469" w:name="_Toc297653241"/>
      <w:bookmarkStart w:id="470" w:name="_Toc354667477"/>
      <w:bookmarkStart w:id="471" w:name="_Toc297452853"/>
      <w:bookmarkStart w:id="472" w:name="_Toc297416394"/>
      <w:bookmarkStart w:id="473" w:name="_Toc460364955"/>
      <w:bookmarkStart w:id="474" w:name="_Toc292639467"/>
      <w:bookmarkStart w:id="475" w:name="_Toc264151545"/>
      <w:bookmarkStart w:id="476" w:name="_Toc47119810"/>
      <w:bookmarkStart w:id="477" w:name="_Toc349511653"/>
      <w:bookmarkStart w:id="478" w:name="_Toc263633826"/>
      <w:bookmarkStart w:id="479" w:name="_Toc47119952"/>
      <w:bookmarkStart w:id="480" w:name="_Toc272134768"/>
      <w:bookmarkStart w:id="481" w:name="_Toc272135083"/>
      <w:bookmarkStart w:id="482" w:name="_Toc263633084"/>
      <w:bookmarkStart w:id="483" w:name="_Toc387488529"/>
      <w:bookmarkStart w:id="484" w:name="_Toc335599697"/>
      <w:bookmarkStart w:id="485" w:name="_Toc354667709"/>
      <w:bookmarkStart w:id="486" w:name="_Toc264151395"/>
      <w:bookmarkStart w:id="487" w:name="_Toc335511852"/>
      <w:bookmarkStart w:id="488" w:name="_Toc11946"/>
      <w:r>
        <w:rPr>
          <w:rFonts w:hint="eastAsia" w:ascii="黑体" w:hAnsi="黑体" w:eastAsia="黑体" w:cs="黑体"/>
          <w:b/>
          <w:bCs w:val="0"/>
          <w:color w:val="auto"/>
          <w:sz w:val="36"/>
          <w:szCs w:val="36"/>
          <w:lang w:val="en-US" w:eastAsia="zh-CN"/>
        </w:rPr>
        <w:t>评价单元</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r>
        <w:rPr>
          <w:rFonts w:hint="eastAsia" w:ascii="黑体" w:hAnsi="黑体" w:eastAsia="黑体" w:cs="黑体"/>
          <w:b/>
          <w:bCs w:val="0"/>
          <w:color w:val="auto"/>
          <w:sz w:val="36"/>
          <w:szCs w:val="36"/>
          <w:lang w:val="en-US" w:eastAsia="zh-CN"/>
        </w:rPr>
        <w:t>划分结果</w:t>
      </w:r>
      <w:bookmarkEnd w:id="488"/>
    </w:p>
    <w:p w14:paraId="0A778524">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cs="Times New Roman"/>
          <w:snapToGrid w:val="0"/>
          <w:color w:val="000000"/>
          <w:kern w:val="0"/>
          <w:sz w:val="28"/>
        </w:rPr>
      </w:pPr>
      <w:r>
        <w:rPr>
          <w:rFonts w:hint="default" w:ascii="Times New Roman" w:hAnsi="Times New Roman" w:cs="Times New Roman"/>
          <w:snapToGrid w:val="0"/>
          <w:color w:val="000000"/>
          <w:kern w:val="0"/>
          <w:sz w:val="28"/>
        </w:rPr>
        <w:t>根据上述安全评价单元的划分原则和方法，将</w:t>
      </w:r>
      <w:r>
        <w:rPr>
          <w:rFonts w:hint="default" w:ascii="Times New Roman" w:hAnsi="Times New Roman" w:cs="Times New Roman"/>
          <w:snapToGrid w:val="0"/>
          <w:color w:val="000000"/>
          <w:kern w:val="0"/>
          <w:sz w:val="28"/>
          <w:lang w:eastAsia="zh-CN"/>
        </w:rPr>
        <w:t>本</w:t>
      </w:r>
      <w:r>
        <w:rPr>
          <w:rFonts w:hint="default" w:ascii="Times New Roman" w:hAnsi="Times New Roman" w:cs="Times New Roman"/>
          <w:snapToGrid w:val="0"/>
          <w:color w:val="000000"/>
          <w:kern w:val="0"/>
          <w:sz w:val="28"/>
        </w:rPr>
        <w:t>项目划为以下评价单元进行</w:t>
      </w:r>
      <w:r>
        <w:rPr>
          <w:rFonts w:hint="default" w:ascii="Times New Roman" w:hAnsi="Times New Roman" w:cs="Times New Roman"/>
          <w:snapToGrid w:val="0"/>
          <w:color w:val="000000"/>
          <w:kern w:val="0"/>
          <w:sz w:val="28"/>
          <w:lang w:eastAsia="zh-CN"/>
        </w:rPr>
        <w:t>安全验收评价</w:t>
      </w:r>
      <w:r>
        <w:rPr>
          <w:rFonts w:hint="default" w:ascii="Times New Roman" w:hAnsi="Times New Roman" w:cs="Times New Roman"/>
          <w:snapToGrid w:val="0"/>
          <w:color w:val="000000"/>
          <w:kern w:val="0"/>
          <w:sz w:val="28"/>
        </w:rPr>
        <w:t>：</w:t>
      </w:r>
    </w:p>
    <w:p w14:paraId="50AED374">
      <w:pPr>
        <w:keepNext w:val="0"/>
        <w:keepLines w:val="0"/>
        <w:pageBreakBefore w:val="0"/>
        <w:widowControl w:val="0"/>
        <w:kinsoku/>
        <w:wordWrap/>
        <w:overflowPunct/>
        <w:topLinePunct w:val="0"/>
        <w:autoSpaceDE/>
        <w:autoSpaceDN/>
        <w:bidi w:val="0"/>
        <w:snapToGrid w:val="0"/>
        <w:spacing w:line="360" w:lineRule="auto"/>
        <w:ind w:firstLine="560" w:firstLineChars="200"/>
        <w:jc w:val="both"/>
        <w:textAlignment w:val="auto"/>
        <w:rPr>
          <w:rFonts w:hAnsi="宋体"/>
          <w:bCs/>
          <w:snapToGrid w:val="0"/>
          <w:color w:val="auto"/>
        </w:rPr>
      </w:pPr>
      <w:r>
        <w:rPr>
          <w:rFonts w:hAnsi="宋体"/>
          <w:bCs/>
          <w:snapToGrid w:val="0"/>
          <w:color w:val="auto"/>
        </w:rPr>
        <w:t>针对本项目特点，</w:t>
      </w:r>
      <w:r>
        <w:rPr>
          <w:rFonts w:hint="eastAsia" w:hAnsi="宋体"/>
          <w:bCs/>
          <w:snapToGrid w:val="0"/>
          <w:color w:val="auto"/>
        </w:rPr>
        <w:t>本报告</w:t>
      </w:r>
      <w:r>
        <w:rPr>
          <w:rFonts w:hAnsi="宋体"/>
          <w:bCs/>
          <w:snapToGrid w:val="0"/>
          <w:color w:val="auto"/>
        </w:rPr>
        <w:t>将评价划分为</w:t>
      </w:r>
      <w:r>
        <w:rPr>
          <w:rFonts w:hint="eastAsia" w:hAnsi="宋体"/>
          <w:bCs/>
          <w:snapToGrid w:val="0"/>
          <w:color w:val="auto"/>
          <w:lang w:val="en-US" w:eastAsia="zh-CN"/>
        </w:rPr>
        <w:t>8</w:t>
      </w:r>
      <w:r>
        <w:rPr>
          <w:rFonts w:hint="eastAsia" w:hAnsi="宋体"/>
          <w:bCs/>
          <w:snapToGrid w:val="0"/>
          <w:color w:val="auto"/>
        </w:rPr>
        <w:t>个</w:t>
      </w:r>
      <w:r>
        <w:rPr>
          <w:rFonts w:hAnsi="宋体"/>
          <w:bCs/>
          <w:snapToGrid w:val="0"/>
          <w:color w:val="auto"/>
        </w:rPr>
        <w:t>单元：</w:t>
      </w:r>
    </w:p>
    <w:p w14:paraId="1CE939BA">
      <w:pPr>
        <w:pStyle w:val="117"/>
        <w:keepNext w:val="0"/>
        <w:keepLines w:val="0"/>
        <w:pageBreakBefore w:val="0"/>
        <w:widowControl w:val="0"/>
        <w:numPr>
          <w:ilvl w:val="0"/>
          <w:numId w:val="23"/>
        </w:numPr>
        <w:kinsoku/>
        <w:wordWrap/>
        <w:overflowPunct/>
        <w:topLinePunct w:val="0"/>
        <w:autoSpaceDE/>
        <w:autoSpaceDN/>
        <w:bidi w:val="0"/>
        <w:adjustRightInd w:val="0"/>
        <w:snapToGrid w:val="0"/>
        <w:spacing w:line="360" w:lineRule="auto"/>
        <w:ind w:firstLine="560" w:firstLineChars="200"/>
        <w:jc w:val="both"/>
        <w:textAlignment w:val="auto"/>
        <w:rPr>
          <w:rFonts w:hint="eastAsia"/>
          <w:b w:val="0"/>
          <w:color w:val="auto"/>
          <w:lang w:val="en-US" w:eastAsia="zh-CN"/>
        </w:rPr>
      </w:pPr>
      <w:r>
        <w:rPr>
          <w:rFonts w:hint="eastAsia"/>
          <w:b w:val="0"/>
          <w:color w:val="auto"/>
          <w:lang w:val="en-US" w:eastAsia="zh-CN"/>
        </w:rPr>
        <w:t>外部安全条件评价单元</w:t>
      </w:r>
    </w:p>
    <w:p w14:paraId="5DA77EA7">
      <w:pPr>
        <w:pStyle w:val="117"/>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b w:val="0"/>
          <w:color w:val="auto"/>
        </w:rPr>
      </w:pPr>
      <w:r>
        <w:rPr>
          <w:b w:val="0"/>
          <w:color w:val="auto"/>
        </w:rPr>
        <w:t>2</w:t>
      </w:r>
      <w:r>
        <w:rPr>
          <w:rFonts w:hint="eastAsia"/>
          <w:b w:val="0"/>
          <w:color w:val="auto"/>
        </w:rPr>
        <w:t>、管廊、总平面布置评价单元</w:t>
      </w:r>
    </w:p>
    <w:p w14:paraId="7A6704F1">
      <w:pPr>
        <w:pStyle w:val="117"/>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Times New Roman" w:eastAsia="宋体" w:cs="Times New Roman"/>
          <w:b w:val="0"/>
          <w:color w:val="auto"/>
        </w:rPr>
      </w:pPr>
      <w:r>
        <w:rPr>
          <w:rFonts w:hint="eastAsia" w:ascii="宋体" w:hAnsi="Times New Roman" w:eastAsia="宋体" w:cs="Times New Roman"/>
          <w:b w:val="0"/>
          <w:color w:val="auto"/>
        </w:rPr>
        <w:t>3、</w:t>
      </w:r>
      <w:r>
        <w:rPr>
          <w:rFonts w:hint="eastAsia" w:ascii="宋体" w:hAnsi="Times New Roman" w:eastAsia="宋体" w:cs="Times New Roman"/>
          <w:b w:val="0"/>
          <w:color w:val="auto"/>
          <w:lang w:val="en-US" w:eastAsia="zh-CN"/>
        </w:rPr>
        <w:t>工艺及</w:t>
      </w:r>
      <w:r>
        <w:rPr>
          <w:rFonts w:hint="eastAsia" w:ascii="宋体" w:hAnsi="Times New Roman" w:eastAsia="宋体" w:cs="Times New Roman"/>
          <w:b w:val="0"/>
          <w:color w:val="auto"/>
        </w:rPr>
        <w:t>装置评价单元</w:t>
      </w:r>
    </w:p>
    <w:p w14:paraId="3AFC1294">
      <w:pPr>
        <w:pStyle w:val="117"/>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Times New Roman" w:eastAsia="宋体" w:cs="Times New Roman"/>
          <w:b w:val="0"/>
          <w:color w:val="auto"/>
        </w:rPr>
      </w:pPr>
      <w:r>
        <w:rPr>
          <w:rFonts w:hint="eastAsia" w:ascii="宋体" w:hAnsi="Times New Roman" w:eastAsia="宋体" w:cs="Times New Roman"/>
          <w:b w:val="0"/>
          <w:color w:val="auto"/>
        </w:rPr>
        <w:t>4、安全设施评价单元</w:t>
      </w:r>
    </w:p>
    <w:p w14:paraId="0BECF9E4">
      <w:pPr>
        <w:pStyle w:val="117"/>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Times New Roman" w:eastAsia="宋体" w:cs="Times New Roman"/>
          <w:b w:val="0"/>
          <w:color w:val="auto"/>
        </w:rPr>
      </w:pPr>
      <w:r>
        <w:rPr>
          <w:rFonts w:hint="eastAsia" w:ascii="宋体" w:hAnsi="Times New Roman" w:eastAsia="宋体" w:cs="Times New Roman"/>
          <w:b w:val="0"/>
          <w:color w:val="auto"/>
        </w:rPr>
        <w:t>5、公用工程评价单元</w:t>
      </w:r>
    </w:p>
    <w:p w14:paraId="7068ED29">
      <w:pPr>
        <w:pStyle w:val="117"/>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宋体" w:hAnsi="Times New Roman" w:eastAsia="宋体" w:cs="Times New Roman"/>
          <w:b w:val="0"/>
          <w:color w:val="auto"/>
          <w:lang w:val="en-US" w:eastAsia="zh-CN"/>
        </w:rPr>
      </w:pPr>
      <w:r>
        <w:rPr>
          <w:rFonts w:hint="eastAsia" w:ascii="宋体" w:hAnsi="Times New Roman" w:eastAsia="宋体" w:cs="Times New Roman"/>
          <w:b w:val="0"/>
          <w:color w:val="auto"/>
          <w:lang w:val="en-US" w:eastAsia="zh-CN"/>
        </w:rPr>
        <w:t>6、</w:t>
      </w:r>
      <w:r>
        <w:rPr>
          <w:rFonts w:hint="default" w:ascii="宋体" w:hAnsi="Times New Roman" w:eastAsia="宋体" w:cs="Times New Roman"/>
          <w:b w:val="0"/>
          <w:color w:val="auto"/>
          <w:lang w:val="en-US" w:eastAsia="zh-CN"/>
        </w:rPr>
        <w:t>重大生产安全事故隐患判定单元</w:t>
      </w:r>
    </w:p>
    <w:p w14:paraId="76CE6EF5">
      <w:pPr>
        <w:pStyle w:val="117"/>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Times New Roman" w:eastAsia="宋体" w:cs="Times New Roman"/>
          <w:b w:val="0"/>
          <w:color w:val="auto"/>
        </w:rPr>
      </w:pPr>
      <w:r>
        <w:rPr>
          <w:rFonts w:hint="eastAsia" w:ascii="宋体" w:hAnsi="Times New Roman" w:eastAsia="宋体" w:cs="Times New Roman"/>
          <w:b w:val="0"/>
          <w:color w:val="auto"/>
          <w:lang w:val="en-US" w:eastAsia="zh-CN"/>
        </w:rPr>
        <w:t>7、</w:t>
      </w:r>
      <w:r>
        <w:rPr>
          <w:rFonts w:hint="eastAsia" w:ascii="宋体" w:hAnsi="Times New Roman" w:eastAsia="宋体" w:cs="Times New Roman"/>
          <w:b w:val="0"/>
          <w:color w:val="auto"/>
        </w:rPr>
        <w:t>安全管理评价单元</w:t>
      </w:r>
    </w:p>
    <w:p w14:paraId="2E359B68">
      <w:pPr>
        <w:pStyle w:val="117"/>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Times New Roman" w:eastAsia="宋体" w:cs="Times New Roman"/>
          <w:b w:val="0"/>
          <w:color w:val="auto"/>
        </w:rPr>
      </w:pPr>
      <w:r>
        <w:rPr>
          <w:rFonts w:hint="eastAsia" w:ascii="宋体" w:hAnsi="Times New Roman" w:eastAsia="宋体" w:cs="Times New Roman"/>
          <w:b w:val="0"/>
          <w:color w:val="auto"/>
          <w:lang w:val="en-US" w:eastAsia="zh-CN"/>
        </w:rPr>
        <w:t>8、三同时符合性安全评价单元</w:t>
      </w:r>
    </w:p>
    <w:p w14:paraId="252242D0">
      <w:pPr>
        <w:pStyle w:val="117"/>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Times New Roman" w:eastAsia="宋体" w:cs="Times New Roman"/>
          <w:b w:val="0"/>
          <w:color w:val="auto"/>
        </w:rPr>
      </w:pPr>
      <w:r>
        <w:rPr>
          <w:rFonts w:hint="eastAsia" w:ascii="宋体" w:hAnsi="Times New Roman" w:eastAsia="宋体" w:cs="Times New Roman"/>
          <w:b w:val="0"/>
          <w:color w:val="auto"/>
        </w:rPr>
        <w:t>1）</w:t>
      </w:r>
      <w:r>
        <w:rPr>
          <w:rFonts w:ascii="宋体" w:hAnsi="Times New Roman" w:eastAsia="宋体" w:cs="Times New Roman"/>
          <w:b w:val="0"/>
          <w:color w:val="auto"/>
        </w:rPr>
        <w:t>“三同时”符合性安全评价</w:t>
      </w:r>
      <w:r>
        <w:rPr>
          <w:rFonts w:hint="eastAsia" w:ascii="宋体" w:hAnsi="Times New Roman" w:eastAsia="宋体" w:cs="Times New Roman"/>
          <w:b w:val="0"/>
          <w:color w:val="auto"/>
        </w:rPr>
        <w:t>子单元</w:t>
      </w:r>
    </w:p>
    <w:p w14:paraId="3997FF48">
      <w:pPr>
        <w:pStyle w:val="117"/>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Times New Roman" w:eastAsia="宋体" w:cs="Times New Roman"/>
          <w:b w:val="0"/>
          <w:color w:val="auto"/>
        </w:rPr>
      </w:pPr>
      <w:r>
        <w:rPr>
          <w:rFonts w:hint="eastAsia" w:ascii="宋体" w:hAnsi="Times New Roman" w:eastAsia="宋体" w:cs="Times New Roman"/>
          <w:b w:val="0"/>
          <w:color w:val="auto"/>
        </w:rPr>
        <w:t>2）建设项目采取（用）的安全设施安全评价子单元</w:t>
      </w:r>
    </w:p>
    <w:p w14:paraId="146CB167">
      <w:pPr>
        <w:pStyle w:val="117"/>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宋体" w:hAnsi="Times New Roman" w:eastAsia="宋体" w:cs="Times New Roman"/>
          <w:b w:val="0"/>
          <w:color w:val="auto"/>
        </w:rPr>
        <w:sectPr>
          <w:pgSz w:w="11905" w:h="16838"/>
          <w:pgMar w:top="1417" w:right="1134" w:bottom="1134" w:left="1587" w:header="850" w:footer="680" w:gutter="0"/>
          <w:pgNumType w:fmt="decimal"/>
          <w:cols w:space="0" w:num="1"/>
          <w:rtlGutter w:val="0"/>
          <w:docGrid w:type="lines" w:linePitch="386" w:charSpace="0"/>
        </w:sectPr>
      </w:pPr>
      <w:r>
        <w:rPr>
          <w:rFonts w:hint="eastAsia" w:ascii="宋体" w:hAnsi="Times New Roman" w:eastAsia="宋体" w:cs="Times New Roman"/>
          <w:b w:val="0"/>
          <w:color w:val="auto"/>
        </w:rPr>
        <w:t>3）竣工验收条件安全评价子单元</w:t>
      </w:r>
    </w:p>
    <w:p w14:paraId="00C9C7E0">
      <w:pPr>
        <w:pStyle w:val="3"/>
        <w:numPr>
          <w:ilvl w:val="0"/>
          <w:numId w:val="1"/>
        </w:numPr>
        <w:tabs>
          <w:tab w:val="left" w:pos="420"/>
        </w:tabs>
        <w:adjustRightInd w:val="0"/>
        <w:spacing w:before="120" w:after="120"/>
        <w:ind w:left="0"/>
        <w:rPr>
          <w:rFonts w:hint="default" w:ascii="宋体" w:hAnsi="Times New Roman" w:cs="宋体"/>
          <w:color w:val="auto"/>
          <w:sz w:val="44"/>
          <w:szCs w:val="44"/>
          <w:lang w:val="en-US" w:eastAsia="zh-CN"/>
        </w:rPr>
      </w:pPr>
      <w:bookmarkStart w:id="489" w:name="_Toc28065"/>
      <w:bookmarkStart w:id="490" w:name="_Toc6011"/>
      <w:r>
        <w:rPr>
          <w:rFonts w:hint="default" w:ascii="宋体" w:hAnsi="Times New Roman" w:cs="宋体"/>
          <w:color w:val="auto"/>
          <w:sz w:val="44"/>
          <w:szCs w:val="44"/>
          <w:lang w:val="en-US" w:eastAsia="zh-CN"/>
        </w:rPr>
        <w:t>采用的安全评价方法及理由说明</w:t>
      </w:r>
      <w:bookmarkEnd w:id="489"/>
      <w:bookmarkEnd w:id="490"/>
    </w:p>
    <w:p w14:paraId="2A8C7A37">
      <w:pPr>
        <w:pStyle w:val="4"/>
        <w:spacing w:before="193"/>
        <w:jc w:val="left"/>
        <w:rPr>
          <w:rFonts w:hint="eastAsia" w:ascii="黑体" w:hAnsi="黑体" w:eastAsia="黑体" w:cs="黑体"/>
          <w:b/>
          <w:bCs w:val="0"/>
          <w:color w:val="auto"/>
          <w:sz w:val="36"/>
          <w:szCs w:val="36"/>
          <w:lang w:val="en-US" w:eastAsia="zh-CN"/>
        </w:rPr>
      </w:pPr>
      <w:bookmarkStart w:id="491" w:name="_Toc21621"/>
      <w:bookmarkStart w:id="492" w:name="_Toc235587850"/>
      <w:bookmarkStart w:id="493" w:name="_Toc231983431"/>
      <w:bookmarkStart w:id="494" w:name="_Toc13007"/>
      <w:bookmarkStart w:id="495" w:name="_Toc231836005"/>
      <w:bookmarkStart w:id="496" w:name="_Toc377137378"/>
      <w:bookmarkStart w:id="497" w:name="_Toc370243016"/>
      <w:bookmarkStart w:id="498" w:name="_Toc275618862"/>
      <w:bookmarkStart w:id="499" w:name="_Toc1551"/>
      <w:bookmarkStart w:id="500" w:name="_Toc316395700"/>
      <w:bookmarkStart w:id="501" w:name="_Toc26077"/>
      <w:bookmarkStart w:id="502" w:name="_Toc312072727"/>
      <w:bookmarkStart w:id="503" w:name="_Toc316739948"/>
      <w:bookmarkStart w:id="504" w:name="_Toc233515746"/>
      <w:bookmarkStart w:id="505" w:name="_Toc331424064"/>
      <w:bookmarkStart w:id="506" w:name="_Toc275620023"/>
      <w:bookmarkStart w:id="507" w:name="_Toc330324036"/>
      <w:bookmarkStart w:id="508" w:name="_Toc504482246"/>
      <w:bookmarkStart w:id="509" w:name="_Toc248220563"/>
      <w:bookmarkStart w:id="510" w:name="_Toc472686306"/>
      <w:bookmarkStart w:id="511" w:name="_Toc231982122"/>
      <w:bookmarkStart w:id="512" w:name="_Toc282522332"/>
      <w:bookmarkStart w:id="513" w:name="_Toc331671030"/>
      <w:bookmarkStart w:id="514" w:name="_Toc275268764"/>
      <w:bookmarkStart w:id="515" w:name="_Toc6544"/>
      <w:bookmarkStart w:id="516" w:name="_Toc283296175"/>
      <w:bookmarkStart w:id="517" w:name="_Toc384729683"/>
      <w:bookmarkStart w:id="518" w:name="_Toc312921125"/>
      <w:bookmarkStart w:id="519" w:name="_Toc236123714"/>
      <w:bookmarkStart w:id="520" w:name="_Toc369180215"/>
      <w:bookmarkStart w:id="521" w:name="_Toc276977862"/>
      <w:bookmarkStart w:id="522" w:name="_Toc232084169"/>
      <w:bookmarkStart w:id="523" w:name="_Toc339981287"/>
      <w:r>
        <w:rPr>
          <w:rFonts w:hint="eastAsia" w:ascii="黑体" w:hAnsi="黑体" w:eastAsia="黑体" w:cs="黑体"/>
          <w:b/>
          <w:bCs w:val="0"/>
          <w:color w:val="auto"/>
          <w:sz w:val="36"/>
          <w:szCs w:val="36"/>
          <w:lang w:val="en-US" w:eastAsia="zh-CN"/>
        </w:rPr>
        <w:t>评价方法的选择</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14:paraId="20810F3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snapToGrid w:val="0"/>
          <w:color w:val="000000"/>
          <w:kern w:val="0"/>
          <w:sz w:val="28"/>
          <w:szCs w:val="28"/>
        </w:rPr>
      </w:pPr>
      <w:r>
        <w:rPr>
          <w:snapToGrid w:val="0"/>
          <w:color w:val="000000"/>
          <w:kern w:val="0"/>
          <w:sz w:val="28"/>
          <w:szCs w:val="28"/>
          <w:lang w:bidi="ar"/>
        </w:rPr>
        <w:t>安全评价方法是对系统的危险因素、危害因素及其危险、危害程度进行分析、评价的方法。目前，已开发出数十种不同特点、不同适用范围和应用条件的评价方法。按其特性可分为定性安全评价和定量安全评价。</w:t>
      </w:r>
    </w:p>
    <w:p w14:paraId="41AE852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snapToGrid w:val="0"/>
          <w:color w:val="000000"/>
          <w:kern w:val="0"/>
          <w:sz w:val="28"/>
          <w:szCs w:val="28"/>
        </w:rPr>
      </w:pPr>
      <w:r>
        <w:rPr>
          <w:snapToGrid w:val="0"/>
          <w:color w:val="000000"/>
          <w:kern w:val="0"/>
          <w:sz w:val="28"/>
          <w:szCs w:val="28"/>
          <w:lang w:bidi="ar"/>
        </w:rPr>
        <w:t>评价组根据该项目安全预评价报告及结合该项目的实际情况，选择评价方法时，主要采用安全检查表法（SCA）进行分析评价法进行分析评价。</w:t>
      </w:r>
      <w:bookmarkStart w:id="524" w:name="_Toc195156257"/>
      <w:bookmarkStart w:id="525" w:name="_Toc211864371"/>
      <w:bookmarkStart w:id="526" w:name="_Toc463658438"/>
      <w:bookmarkStart w:id="527" w:name="_Toc218439907"/>
      <w:bookmarkStart w:id="528" w:name="_Toc281246097"/>
    </w:p>
    <w:p w14:paraId="0D1AF055">
      <w:pPr>
        <w:pStyle w:val="4"/>
        <w:spacing w:before="193"/>
        <w:jc w:val="left"/>
        <w:rPr>
          <w:rFonts w:hint="eastAsia" w:ascii="黑体" w:hAnsi="黑体" w:eastAsia="黑体" w:cs="黑体"/>
          <w:b/>
          <w:bCs w:val="0"/>
          <w:color w:val="auto"/>
          <w:sz w:val="36"/>
          <w:szCs w:val="36"/>
          <w:lang w:val="en-US" w:eastAsia="zh-CN"/>
        </w:rPr>
      </w:pPr>
      <w:bookmarkStart w:id="529" w:name="_Toc218439910"/>
      <w:bookmarkStart w:id="530" w:name="_Toc212539432"/>
      <w:bookmarkStart w:id="531" w:name="_Toc463658439"/>
      <w:bookmarkStart w:id="532" w:name="_Toc13919"/>
      <w:bookmarkStart w:id="533" w:name="_Toc6762"/>
      <w:bookmarkStart w:id="534" w:name="_Toc212489278"/>
      <w:bookmarkStart w:id="535" w:name="_Toc281246100"/>
      <w:r>
        <w:rPr>
          <w:rFonts w:hint="eastAsia" w:ascii="黑体" w:hAnsi="黑体" w:eastAsia="黑体" w:cs="黑体"/>
          <w:b/>
          <w:bCs w:val="0"/>
          <w:color w:val="auto"/>
          <w:sz w:val="36"/>
          <w:szCs w:val="36"/>
          <w:lang w:val="en-US" w:eastAsia="zh-CN"/>
        </w:rPr>
        <w:t>各评价单元采用的评价方法</w:t>
      </w:r>
      <w:bookmarkEnd w:id="529"/>
      <w:bookmarkEnd w:id="530"/>
      <w:bookmarkEnd w:id="531"/>
      <w:bookmarkEnd w:id="532"/>
      <w:bookmarkEnd w:id="533"/>
      <w:bookmarkEnd w:id="534"/>
      <w:bookmarkEnd w:id="535"/>
    </w:p>
    <w:p w14:paraId="23A6954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ascii="宋体" w:hAnsi="Times New Roman" w:eastAsia="宋体" w:cs="宋体"/>
          <w:snapToGrid w:val="0"/>
          <w:color w:val="000000"/>
          <w:kern w:val="0"/>
          <w:sz w:val="28"/>
          <w:szCs w:val="28"/>
          <w:lang w:bidi="ar"/>
        </w:rPr>
      </w:pPr>
      <w:r>
        <w:rPr>
          <w:rFonts w:ascii="宋体" w:hAnsi="Times New Roman" w:eastAsia="宋体" w:cs="宋体"/>
          <w:snapToGrid w:val="0"/>
          <w:color w:val="000000"/>
          <w:kern w:val="0"/>
          <w:sz w:val="28"/>
          <w:szCs w:val="28"/>
          <w:lang w:bidi="ar"/>
        </w:rPr>
        <w:t>根据评价方法选取应遵循充分性、适应性、系统性、针对性和合理性的原则，结合</w:t>
      </w:r>
      <w:r>
        <w:rPr>
          <w:rFonts w:hint="eastAsia" w:ascii="宋体" w:hAnsi="Times New Roman" w:eastAsia="宋体" w:cs="宋体"/>
          <w:snapToGrid w:val="0"/>
          <w:color w:val="000000"/>
          <w:kern w:val="0"/>
          <w:sz w:val="28"/>
          <w:szCs w:val="28"/>
          <w:lang w:bidi="ar"/>
        </w:rPr>
        <w:t>该项目</w:t>
      </w:r>
      <w:r>
        <w:rPr>
          <w:rFonts w:ascii="宋体" w:hAnsi="Times New Roman" w:eastAsia="宋体" w:cs="宋体"/>
          <w:snapToGrid w:val="0"/>
          <w:color w:val="000000"/>
          <w:kern w:val="0"/>
          <w:sz w:val="28"/>
          <w:szCs w:val="28"/>
          <w:lang w:bidi="ar"/>
        </w:rPr>
        <w:t>的特点，本报告各评价单元选用的评价方法见表5-1。</w:t>
      </w:r>
    </w:p>
    <w:p w14:paraId="6AA62357">
      <w:pPr>
        <w:keepNext w:val="0"/>
        <w:keepLines w:val="0"/>
        <w:pageBreakBefore w:val="0"/>
        <w:widowControl w:val="0"/>
        <w:kinsoku/>
        <w:wordWrap/>
        <w:overflowPunct/>
        <w:topLinePunct w:val="0"/>
        <w:autoSpaceDE/>
        <w:autoSpaceDN/>
        <w:bidi w:val="0"/>
        <w:adjustRightInd w:val="0"/>
        <w:snapToGrid w:val="0"/>
        <w:spacing w:line="360" w:lineRule="auto"/>
        <w:ind w:left="0"/>
        <w:jc w:val="center"/>
        <w:textAlignment w:val="auto"/>
        <w:rPr>
          <w:b/>
          <w:bCs/>
          <w:color w:val="000000"/>
          <w:sz w:val="24"/>
          <w:lang w:val="zh-CN"/>
        </w:rPr>
      </w:pPr>
      <w:r>
        <w:rPr>
          <w:b/>
          <w:bCs/>
          <w:color w:val="000000"/>
          <w:sz w:val="24"/>
          <w:lang w:val="zh-CN" w:bidi="ar"/>
        </w:rPr>
        <w:t>表5-1 各评价单元采用的评价方法</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2651"/>
        <w:gridCol w:w="4012"/>
        <w:gridCol w:w="2001"/>
      </w:tblGrid>
      <w:tr w14:paraId="77085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6" w:type="dxa"/>
            <w:tcBorders>
              <w:top w:val="single" w:color="auto" w:sz="4" w:space="0"/>
              <w:left w:val="single" w:color="auto" w:sz="4" w:space="0"/>
              <w:bottom w:val="single" w:color="auto" w:sz="4" w:space="0"/>
              <w:right w:val="single" w:color="auto" w:sz="4" w:space="0"/>
            </w:tcBorders>
            <w:noWrap w:val="0"/>
            <w:vAlign w:val="center"/>
          </w:tcPr>
          <w:p w14:paraId="6BBED30B">
            <w:pPr>
              <w:pStyle w:val="130"/>
              <w:widowControl/>
              <w:spacing w:line="240" w:lineRule="exact"/>
              <w:rPr>
                <w:rFonts w:hint="default" w:ascii="Times New Roman" w:hAnsi="Times New Roman"/>
                <w:b/>
                <w:bCs/>
                <w:color w:val="000000"/>
                <w:kern w:val="2"/>
                <w:sz w:val="21"/>
                <w:lang w:bidi="ar"/>
              </w:rPr>
            </w:pPr>
            <w:r>
              <w:rPr>
                <w:rFonts w:hint="default" w:ascii="Times New Roman" w:hAnsi="Times New Roman"/>
                <w:b/>
                <w:bCs/>
                <w:color w:val="000000"/>
                <w:kern w:val="2"/>
                <w:sz w:val="21"/>
                <w:lang w:bidi="ar"/>
              </w:rPr>
              <w:t>序号</w:t>
            </w:r>
          </w:p>
        </w:tc>
        <w:tc>
          <w:tcPr>
            <w:tcW w:w="2651" w:type="dxa"/>
            <w:tcBorders>
              <w:top w:val="single" w:color="auto" w:sz="4" w:space="0"/>
              <w:left w:val="single" w:color="auto" w:sz="4" w:space="0"/>
              <w:bottom w:val="single" w:color="auto" w:sz="4" w:space="0"/>
              <w:right w:val="single" w:color="auto" w:sz="4" w:space="0"/>
            </w:tcBorders>
            <w:noWrap w:val="0"/>
            <w:vAlign w:val="center"/>
          </w:tcPr>
          <w:p w14:paraId="046129DC">
            <w:pPr>
              <w:pStyle w:val="130"/>
              <w:widowControl/>
              <w:spacing w:line="240" w:lineRule="exact"/>
              <w:rPr>
                <w:rFonts w:hint="default" w:ascii="Times New Roman" w:hAnsi="Times New Roman"/>
                <w:b/>
                <w:bCs/>
                <w:color w:val="000000"/>
                <w:kern w:val="2"/>
                <w:sz w:val="21"/>
                <w:lang w:bidi="ar"/>
              </w:rPr>
            </w:pPr>
            <w:r>
              <w:rPr>
                <w:rFonts w:hint="default" w:ascii="Times New Roman" w:hAnsi="Times New Roman"/>
                <w:b/>
                <w:bCs/>
                <w:color w:val="000000"/>
                <w:kern w:val="2"/>
                <w:sz w:val="21"/>
                <w:lang w:bidi="ar"/>
              </w:rPr>
              <w:t>评价单元</w:t>
            </w:r>
          </w:p>
        </w:tc>
        <w:tc>
          <w:tcPr>
            <w:tcW w:w="4012" w:type="dxa"/>
            <w:tcBorders>
              <w:top w:val="single" w:color="auto" w:sz="4" w:space="0"/>
              <w:left w:val="single" w:color="auto" w:sz="4" w:space="0"/>
              <w:bottom w:val="single" w:color="auto" w:sz="4" w:space="0"/>
              <w:right w:val="single" w:color="auto" w:sz="4" w:space="0"/>
            </w:tcBorders>
            <w:noWrap w:val="0"/>
            <w:vAlign w:val="center"/>
          </w:tcPr>
          <w:p w14:paraId="5C8175DE">
            <w:pPr>
              <w:pStyle w:val="130"/>
              <w:widowControl/>
              <w:spacing w:line="240" w:lineRule="exact"/>
              <w:rPr>
                <w:rFonts w:hint="default" w:ascii="Times New Roman" w:hAnsi="Times New Roman"/>
                <w:b/>
                <w:bCs/>
                <w:color w:val="000000"/>
                <w:kern w:val="2"/>
                <w:sz w:val="21"/>
                <w:lang w:bidi="ar"/>
              </w:rPr>
            </w:pPr>
            <w:r>
              <w:rPr>
                <w:rFonts w:hint="default" w:ascii="Times New Roman" w:hAnsi="Times New Roman"/>
                <w:b/>
                <w:bCs/>
                <w:color w:val="000000"/>
                <w:kern w:val="2"/>
                <w:sz w:val="21"/>
                <w:lang w:bidi="ar"/>
              </w:rPr>
              <w:t>评价子单元</w:t>
            </w:r>
          </w:p>
        </w:tc>
        <w:tc>
          <w:tcPr>
            <w:tcW w:w="2001" w:type="dxa"/>
            <w:tcBorders>
              <w:top w:val="single" w:color="auto" w:sz="4" w:space="0"/>
              <w:left w:val="single" w:color="auto" w:sz="4" w:space="0"/>
              <w:bottom w:val="single" w:color="auto" w:sz="4" w:space="0"/>
              <w:right w:val="single" w:color="auto" w:sz="4" w:space="0"/>
            </w:tcBorders>
            <w:noWrap w:val="0"/>
            <w:vAlign w:val="center"/>
          </w:tcPr>
          <w:p w14:paraId="7E339B42">
            <w:pPr>
              <w:pStyle w:val="130"/>
              <w:widowControl/>
              <w:spacing w:line="240" w:lineRule="exact"/>
              <w:rPr>
                <w:rFonts w:hint="default" w:ascii="Times New Roman" w:hAnsi="Times New Roman"/>
                <w:b/>
                <w:bCs/>
                <w:color w:val="000000"/>
                <w:kern w:val="2"/>
                <w:sz w:val="21"/>
                <w:lang w:bidi="ar"/>
              </w:rPr>
            </w:pPr>
            <w:r>
              <w:rPr>
                <w:rFonts w:hint="default" w:ascii="Times New Roman" w:hAnsi="Times New Roman"/>
                <w:b/>
                <w:bCs/>
                <w:color w:val="000000"/>
                <w:kern w:val="2"/>
                <w:sz w:val="21"/>
                <w:lang w:bidi="ar"/>
              </w:rPr>
              <w:t>选择的评价方法</w:t>
            </w:r>
          </w:p>
        </w:tc>
      </w:tr>
      <w:tr w14:paraId="37042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6" w:type="dxa"/>
            <w:tcBorders>
              <w:top w:val="single" w:color="auto" w:sz="4" w:space="0"/>
              <w:left w:val="single" w:color="auto" w:sz="4" w:space="0"/>
              <w:bottom w:val="single" w:color="auto" w:sz="4" w:space="0"/>
              <w:right w:val="single" w:color="auto" w:sz="4" w:space="0"/>
            </w:tcBorders>
            <w:noWrap w:val="0"/>
            <w:vAlign w:val="center"/>
          </w:tcPr>
          <w:p w14:paraId="423475EB">
            <w:pPr>
              <w:pStyle w:val="130"/>
              <w:widowControl/>
              <w:spacing w:line="240" w:lineRule="exact"/>
              <w:rPr>
                <w:rFonts w:hint="default" w:ascii="Times New Roman" w:hAnsi="Times New Roman"/>
                <w:color w:val="000000"/>
                <w:kern w:val="2"/>
                <w:sz w:val="21"/>
                <w:lang w:bidi="ar"/>
              </w:rPr>
            </w:pPr>
            <w:r>
              <w:rPr>
                <w:rFonts w:hint="default" w:ascii="Times New Roman" w:hAnsi="Times New Roman"/>
                <w:color w:val="000000"/>
                <w:kern w:val="2"/>
                <w:sz w:val="21"/>
                <w:lang w:bidi="ar"/>
              </w:rPr>
              <w:t>1</w:t>
            </w:r>
          </w:p>
        </w:tc>
        <w:tc>
          <w:tcPr>
            <w:tcW w:w="2651" w:type="dxa"/>
            <w:tcBorders>
              <w:top w:val="single" w:color="auto" w:sz="4" w:space="0"/>
              <w:left w:val="single" w:color="auto" w:sz="4" w:space="0"/>
              <w:bottom w:val="single" w:color="auto" w:sz="4" w:space="0"/>
              <w:right w:val="single" w:color="auto" w:sz="4" w:space="0"/>
            </w:tcBorders>
            <w:noWrap w:val="0"/>
            <w:vAlign w:val="center"/>
          </w:tcPr>
          <w:p w14:paraId="034C0209">
            <w:pPr>
              <w:pStyle w:val="130"/>
              <w:widowControl/>
              <w:spacing w:line="240" w:lineRule="exact"/>
              <w:rPr>
                <w:rFonts w:hint="default" w:ascii="Times New Roman" w:hAnsi="Times New Roman"/>
                <w:color w:val="000000"/>
                <w:kern w:val="2"/>
                <w:sz w:val="21"/>
                <w:lang w:bidi="ar"/>
              </w:rPr>
            </w:pPr>
            <w:r>
              <w:rPr>
                <w:rFonts w:hint="default" w:ascii="Times New Roman" w:hAnsi="Times New Roman"/>
                <w:color w:val="000000"/>
                <w:kern w:val="2"/>
                <w:sz w:val="21"/>
                <w:lang w:bidi="ar"/>
              </w:rPr>
              <w:t>外部安全条件评价单元</w:t>
            </w:r>
          </w:p>
        </w:tc>
        <w:tc>
          <w:tcPr>
            <w:tcW w:w="4012" w:type="dxa"/>
            <w:tcBorders>
              <w:top w:val="single" w:color="auto" w:sz="4" w:space="0"/>
              <w:left w:val="single" w:color="auto" w:sz="4" w:space="0"/>
              <w:bottom w:val="single" w:color="auto" w:sz="4" w:space="0"/>
              <w:right w:val="single" w:color="auto" w:sz="4" w:space="0"/>
            </w:tcBorders>
            <w:noWrap w:val="0"/>
            <w:vAlign w:val="center"/>
          </w:tcPr>
          <w:p w14:paraId="7ECAB130">
            <w:pPr>
              <w:pStyle w:val="130"/>
              <w:widowControl/>
              <w:spacing w:line="240" w:lineRule="exact"/>
              <w:rPr>
                <w:rFonts w:hint="default" w:ascii="Times New Roman" w:hAnsi="Times New Roman"/>
                <w:color w:val="000000"/>
                <w:kern w:val="2"/>
                <w:sz w:val="21"/>
                <w:lang w:bidi="ar"/>
              </w:rPr>
            </w:pPr>
            <w:r>
              <w:rPr>
                <w:rFonts w:hint="default" w:ascii="Times New Roman" w:hAnsi="Times New Roman"/>
                <w:color w:val="000000"/>
                <w:kern w:val="2"/>
                <w:sz w:val="21"/>
                <w:lang w:bidi="ar"/>
              </w:rPr>
              <w:t>-</w:t>
            </w:r>
          </w:p>
        </w:tc>
        <w:tc>
          <w:tcPr>
            <w:tcW w:w="2001" w:type="dxa"/>
            <w:tcBorders>
              <w:top w:val="single" w:color="auto" w:sz="4" w:space="0"/>
              <w:left w:val="single" w:color="auto" w:sz="4" w:space="0"/>
              <w:bottom w:val="single" w:color="auto" w:sz="4" w:space="0"/>
              <w:right w:val="single" w:color="auto" w:sz="4" w:space="0"/>
            </w:tcBorders>
            <w:noWrap w:val="0"/>
            <w:vAlign w:val="center"/>
          </w:tcPr>
          <w:p w14:paraId="272A49CC">
            <w:pPr>
              <w:pStyle w:val="130"/>
              <w:widowControl/>
              <w:spacing w:line="240" w:lineRule="exact"/>
              <w:rPr>
                <w:rFonts w:hint="default" w:ascii="Times New Roman" w:hAnsi="Times New Roman"/>
                <w:color w:val="000000"/>
                <w:kern w:val="2"/>
                <w:sz w:val="21"/>
                <w:lang w:bidi="ar"/>
              </w:rPr>
            </w:pPr>
            <w:r>
              <w:rPr>
                <w:rFonts w:hint="default" w:ascii="Times New Roman" w:hAnsi="Times New Roman"/>
                <w:color w:val="000000"/>
                <w:kern w:val="2"/>
                <w:sz w:val="21"/>
                <w:lang w:bidi="ar"/>
              </w:rPr>
              <w:t>安全检查表法</w:t>
            </w:r>
          </w:p>
        </w:tc>
      </w:tr>
      <w:tr w14:paraId="03B2F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6" w:type="dxa"/>
            <w:tcBorders>
              <w:top w:val="single" w:color="auto" w:sz="4" w:space="0"/>
              <w:left w:val="single" w:color="auto" w:sz="4" w:space="0"/>
              <w:bottom w:val="single" w:color="auto" w:sz="4" w:space="0"/>
              <w:right w:val="single" w:color="auto" w:sz="4" w:space="0"/>
            </w:tcBorders>
            <w:noWrap w:val="0"/>
            <w:vAlign w:val="center"/>
          </w:tcPr>
          <w:p w14:paraId="1CAEB913">
            <w:pPr>
              <w:pStyle w:val="130"/>
              <w:widowControl/>
              <w:spacing w:line="240" w:lineRule="exact"/>
              <w:rPr>
                <w:rFonts w:hint="eastAsia" w:ascii="Times New Roman" w:hAnsi="Times New Roman"/>
                <w:color w:val="000000"/>
                <w:kern w:val="2"/>
                <w:sz w:val="21"/>
                <w:lang w:eastAsia="zh-CN" w:bidi="ar"/>
              </w:rPr>
            </w:pPr>
            <w:r>
              <w:rPr>
                <w:rFonts w:hint="eastAsia" w:ascii="Times New Roman" w:hAnsi="Times New Roman"/>
                <w:color w:val="000000"/>
                <w:kern w:val="2"/>
                <w:sz w:val="21"/>
                <w:lang w:val="en-US" w:eastAsia="zh-CN" w:bidi="ar"/>
              </w:rPr>
              <w:t>2</w:t>
            </w:r>
          </w:p>
        </w:tc>
        <w:tc>
          <w:tcPr>
            <w:tcW w:w="2651" w:type="dxa"/>
            <w:tcBorders>
              <w:top w:val="single" w:color="auto" w:sz="4" w:space="0"/>
              <w:left w:val="single" w:color="auto" w:sz="4" w:space="0"/>
              <w:bottom w:val="single" w:color="auto" w:sz="4" w:space="0"/>
              <w:right w:val="single" w:color="auto" w:sz="4" w:space="0"/>
            </w:tcBorders>
            <w:noWrap w:val="0"/>
            <w:vAlign w:val="center"/>
          </w:tcPr>
          <w:p w14:paraId="0F9BAE62">
            <w:pPr>
              <w:pStyle w:val="130"/>
              <w:widowControl/>
              <w:spacing w:line="240" w:lineRule="exact"/>
              <w:rPr>
                <w:rFonts w:hint="default" w:ascii="Times New Roman" w:hAnsi="Times New Roman"/>
                <w:color w:val="000000"/>
                <w:kern w:val="2"/>
                <w:sz w:val="21"/>
                <w:lang w:bidi="ar"/>
              </w:rPr>
            </w:pPr>
            <w:r>
              <w:rPr>
                <w:rFonts w:hint="eastAsia"/>
                <w:b w:val="0"/>
                <w:color w:val="auto"/>
                <w:lang w:val="en-US" w:eastAsia="zh-CN"/>
              </w:rPr>
              <w:t>选址及</w:t>
            </w:r>
            <w:r>
              <w:rPr>
                <w:rFonts w:hint="eastAsia"/>
                <w:b w:val="0"/>
                <w:color w:val="auto"/>
              </w:rPr>
              <w:t>总平面布置评价单元</w:t>
            </w:r>
          </w:p>
        </w:tc>
        <w:tc>
          <w:tcPr>
            <w:tcW w:w="4012" w:type="dxa"/>
            <w:tcBorders>
              <w:top w:val="single" w:color="auto" w:sz="4" w:space="0"/>
              <w:left w:val="single" w:color="auto" w:sz="4" w:space="0"/>
              <w:bottom w:val="single" w:color="auto" w:sz="4" w:space="0"/>
              <w:right w:val="single" w:color="auto" w:sz="4" w:space="0"/>
            </w:tcBorders>
            <w:noWrap w:val="0"/>
            <w:vAlign w:val="center"/>
          </w:tcPr>
          <w:p w14:paraId="1AA85492">
            <w:pPr>
              <w:pStyle w:val="130"/>
              <w:widowControl/>
              <w:spacing w:line="240" w:lineRule="exact"/>
              <w:rPr>
                <w:rFonts w:hint="default" w:ascii="Times New Roman" w:hAnsi="Times New Roman"/>
                <w:color w:val="000000"/>
                <w:kern w:val="2"/>
                <w:sz w:val="21"/>
                <w:lang w:bidi="ar"/>
              </w:rPr>
            </w:pPr>
            <w:r>
              <w:rPr>
                <w:rFonts w:hint="default" w:ascii="Times New Roman" w:hAnsi="Times New Roman"/>
                <w:color w:val="000000"/>
                <w:kern w:val="2"/>
                <w:sz w:val="21"/>
                <w:lang w:bidi="ar"/>
              </w:rPr>
              <w:t>-</w:t>
            </w:r>
          </w:p>
        </w:tc>
        <w:tc>
          <w:tcPr>
            <w:tcW w:w="2001" w:type="dxa"/>
            <w:tcBorders>
              <w:top w:val="single" w:color="auto" w:sz="4" w:space="0"/>
              <w:left w:val="single" w:color="auto" w:sz="4" w:space="0"/>
              <w:bottom w:val="single" w:color="auto" w:sz="4" w:space="0"/>
              <w:right w:val="single" w:color="auto" w:sz="4" w:space="0"/>
            </w:tcBorders>
            <w:noWrap w:val="0"/>
            <w:vAlign w:val="center"/>
          </w:tcPr>
          <w:p w14:paraId="42D7D22D">
            <w:pPr>
              <w:pStyle w:val="130"/>
              <w:widowControl/>
              <w:spacing w:line="240" w:lineRule="exact"/>
              <w:rPr>
                <w:rFonts w:hint="default" w:ascii="Times New Roman" w:hAnsi="Times New Roman"/>
                <w:color w:val="000000"/>
                <w:kern w:val="2"/>
                <w:sz w:val="21"/>
                <w:lang w:bidi="ar"/>
              </w:rPr>
            </w:pPr>
            <w:r>
              <w:rPr>
                <w:rFonts w:hint="default" w:ascii="Times New Roman" w:hAnsi="Times New Roman"/>
                <w:color w:val="000000"/>
                <w:kern w:val="2"/>
                <w:sz w:val="21"/>
                <w:lang w:bidi="ar"/>
              </w:rPr>
              <w:t>安全检查表法</w:t>
            </w:r>
          </w:p>
        </w:tc>
      </w:tr>
      <w:tr w14:paraId="5BE74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6" w:type="dxa"/>
            <w:tcBorders>
              <w:top w:val="single" w:color="auto" w:sz="4" w:space="0"/>
              <w:left w:val="single" w:color="auto" w:sz="4" w:space="0"/>
              <w:bottom w:val="single" w:color="auto" w:sz="4" w:space="0"/>
              <w:right w:val="single" w:color="auto" w:sz="4" w:space="0"/>
            </w:tcBorders>
            <w:noWrap w:val="0"/>
            <w:vAlign w:val="center"/>
          </w:tcPr>
          <w:p w14:paraId="3029B903">
            <w:pPr>
              <w:pStyle w:val="130"/>
              <w:widowControl/>
              <w:spacing w:line="240" w:lineRule="exact"/>
              <w:rPr>
                <w:rFonts w:hint="eastAsia" w:ascii="Times New Roman" w:hAnsi="Times New Roman"/>
                <w:color w:val="000000"/>
                <w:kern w:val="2"/>
                <w:sz w:val="21"/>
                <w:lang w:val="en-US" w:eastAsia="zh-CN" w:bidi="ar"/>
              </w:rPr>
            </w:pPr>
            <w:r>
              <w:rPr>
                <w:rFonts w:hint="eastAsia" w:ascii="Times New Roman" w:hAnsi="Times New Roman"/>
                <w:color w:val="000000"/>
                <w:kern w:val="2"/>
                <w:sz w:val="21"/>
                <w:lang w:val="en-US" w:eastAsia="zh-CN" w:bidi="ar"/>
              </w:rPr>
              <w:t>3</w:t>
            </w:r>
          </w:p>
        </w:tc>
        <w:tc>
          <w:tcPr>
            <w:tcW w:w="2651" w:type="dxa"/>
            <w:tcBorders>
              <w:top w:val="single" w:color="auto" w:sz="4" w:space="0"/>
              <w:left w:val="single" w:color="auto" w:sz="4" w:space="0"/>
              <w:bottom w:val="single" w:color="auto" w:sz="4" w:space="0"/>
              <w:right w:val="single" w:color="auto" w:sz="4" w:space="0"/>
            </w:tcBorders>
            <w:noWrap w:val="0"/>
            <w:vAlign w:val="center"/>
          </w:tcPr>
          <w:p w14:paraId="6973C6D7">
            <w:pPr>
              <w:pStyle w:val="130"/>
              <w:widowControl/>
              <w:spacing w:line="240" w:lineRule="exact"/>
              <w:rPr>
                <w:rFonts w:hint="eastAsia"/>
                <w:b w:val="0"/>
                <w:color w:val="auto"/>
              </w:rPr>
            </w:pPr>
            <w:r>
              <w:rPr>
                <w:rFonts w:hint="default" w:ascii="Times New Roman" w:hAnsi="Times New Roman"/>
                <w:color w:val="000000"/>
                <w:kern w:val="2"/>
                <w:sz w:val="21"/>
                <w:lang w:bidi="ar"/>
              </w:rPr>
              <w:t>工艺及装置安全评价单元</w:t>
            </w:r>
          </w:p>
        </w:tc>
        <w:tc>
          <w:tcPr>
            <w:tcW w:w="4012" w:type="dxa"/>
            <w:tcBorders>
              <w:top w:val="single" w:color="auto" w:sz="4" w:space="0"/>
              <w:left w:val="single" w:color="auto" w:sz="4" w:space="0"/>
              <w:bottom w:val="single" w:color="auto" w:sz="4" w:space="0"/>
              <w:right w:val="single" w:color="auto" w:sz="4" w:space="0"/>
            </w:tcBorders>
            <w:noWrap w:val="0"/>
            <w:vAlign w:val="center"/>
          </w:tcPr>
          <w:p w14:paraId="6B2760EA">
            <w:pPr>
              <w:pStyle w:val="130"/>
              <w:widowControl/>
              <w:spacing w:line="240" w:lineRule="exact"/>
              <w:rPr>
                <w:rFonts w:hint="default" w:ascii="Times New Roman" w:hAnsi="Times New Roman"/>
                <w:color w:val="000000"/>
                <w:kern w:val="2"/>
                <w:sz w:val="21"/>
                <w:lang w:bidi="ar"/>
              </w:rPr>
            </w:pPr>
            <w:r>
              <w:rPr>
                <w:rFonts w:hint="default" w:ascii="Times New Roman" w:hAnsi="Times New Roman"/>
                <w:color w:val="000000"/>
                <w:kern w:val="2"/>
                <w:sz w:val="21"/>
                <w:lang w:bidi="ar"/>
              </w:rPr>
              <w:t>-</w:t>
            </w:r>
          </w:p>
        </w:tc>
        <w:tc>
          <w:tcPr>
            <w:tcW w:w="2001" w:type="dxa"/>
            <w:tcBorders>
              <w:top w:val="single" w:color="auto" w:sz="4" w:space="0"/>
              <w:left w:val="single" w:color="auto" w:sz="4" w:space="0"/>
              <w:bottom w:val="single" w:color="auto" w:sz="4" w:space="0"/>
              <w:right w:val="single" w:color="auto" w:sz="4" w:space="0"/>
            </w:tcBorders>
            <w:noWrap w:val="0"/>
            <w:vAlign w:val="center"/>
          </w:tcPr>
          <w:p w14:paraId="70F2774F">
            <w:pPr>
              <w:pStyle w:val="130"/>
              <w:widowControl/>
              <w:spacing w:line="240" w:lineRule="exact"/>
              <w:rPr>
                <w:rFonts w:hint="default" w:ascii="Times New Roman" w:hAnsi="Times New Roman" w:eastAsia="宋体"/>
                <w:color w:val="000000"/>
                <w:kern w:val="2"/>
                <w:sz w:val="21"/>
                <w:lang w:val="en-US" w:eastAsia="zh-CN" w:bidi="ar"/>
              </w:rPr>
            </w:pPr>
            <w:r>
              <w:rPr>
                <w:rFonts w:hint="default" w:ascii="Times New Roman" w:hAnsi="Times New Roman"/>
                <w:color w:val="000000"/>
                <w:kern w:val="2"/>
                <w:sz w:val="21"/>
                <w:lang w:bidi="ar"/>
              </w:rPr>
              <w:t>安全检查表法</w:t>
            </w:r>
            <w:r>
              <w:rPr>
                <w:rFonts w:hint="eastAsia" w:ascii="Times New Roman" w:hAnsi="Times New Roman"/>
                <w:color w:val="000000"/>
                <w:kern w:val="2"/>
                <w:sz w:val="21"/>
                <w:lang w:eastAsia="zh-CN" w:bidi="ar"/>
              </w:rPr>
              <w:t>、</w:t>
            </w:r>
            <w:r>
              <w:rPr>
                <w:rFonts w:hint="eastAsia" w:ascii="Times New Roman" w:hAnsi="Times New Roman"/>
                <w:color w:val="000000"/>
                <w:kern w:val="2"/>
                <w:sz w:val="21"/>
                <w:lang w:val="en-US" w:eastAsia="zh-CN" w:bidi="ar"/>
              </w:rPr>
              <w:t>事故树</w:t>
            </w:r>
          </w:p>
        </w:tc>
      </w:tr>
      <w:tr w14:paraId="13AD5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6" w:type="dxa"/>
            <w:tcBorders>
              <w:top w:val="single" w:color="auto" w:sz="4" w:space="0"/>
              <w:left w:val="single" w:color="auto" w:sz="4" w:space="0"/>
              <w:bottom w:val="single" w:color="auto" w:sz="4" w:space="0"/>
              <w:right w:val="single" w:color="auto" w:sz="4" w:space="0"/>
            </w:tcBorders>
            <w:noWrap w:val="0"/>
            <w:vAlign w:val="center"/>
          </w:tcPr>
          <w:p w14:paraId="48F04D1C">
            <w:pPr>
              <w:pStyle w:val="130"/>
              <w:widowControl/>
              <w:spacing w:line="240" w:lineRule="exact"/>
              <w:rPr>
                <w:rFonts w:hint="eastAsia" w:ascii="Times New Roman" w:hAnsi="Times New Roman"/>
                <w:color w:val="000000"/>
                <w:kern w:val="2"/>
                <w:sz w:val="21"/>
                <w:lang w:val="en-US" w:eastAsia="zh-CN" w:bidi="ar"/>
              </w:rPr>
            </w:pPr>
            <w:r>
              <w:rPr>
                <w:rFonts w:hint="eastAsia" w:ascii="Times New Roman" w:hAnsi="Times New Roman"/>
                <w:color w:val="000000"/>
                <w:kern w:val="2"/>
                <w:sz w:val="21"/>
                <w:lang w:val="en-US" w:eastAsia="zh-CN" w:bidi="ar"/>
              </w:rPr>
              <w:t>4</w:t>
            </w:r>
          </w:p>
        </w:tc>
        <w:tc>
          <w:tcPr>
            <w:tcW w:w="2651" w:type="dxa"/>
            <w:tcBorders>
              <w:top w:val="single" w:color="auto" w:sz="4" w:space="0"/>
              <w:left w:val="single" w:color="auto" w:sz="4" w:space="0"/>
              <w:bottom w:val="single" w:color="auto" w:sz="4" w:space="0"/>
              <w:right w:val="single" w:color="auto" w:sz="4" w:space="0"/>
            </w:tcBorders>
            <w:noWrap w:val="0"/>
            <w:vAlign w:val="center"/>
          </w:tcPr>
          <w:p w14:paraId="0933C91D">
            <w:pPr>
              <w:pStyle w:val="130"/>
              <w:widowControl/>
              <w:spacing w:line="240" w:lineRule="exact"/>
              <w:rPr>
                <w:rFonts w:hint="default" w:ascii="Times New Roman" w:hAnsi="Times New Roman"/>
                <w:color w:val="000000"/>
                <w:kern w:val="2"/>
                <w:sz w:val="21"/>
                <w:lang w:bidi="ar"/>
              </w:rPr>
            </w:pPr>
            <w:r>
              <w:rPr>
                <w:rFonts w:ascii="Times New Roman" w:hAnsi="Times New Roman"/>
                <w:color w:val="000000"/>
                <w:kern w:val="2"/>
                <w:sz w:val="21"/>
                <w:lang w:bidi="ar"/>
              </w:rPr>
              <w:t>安全设施安全评价单元</w:t>
            </w:r>
          </w:p>
        </w:tc>
        <w:tc>
          <w:tcPr>
            <w:tcW w:w="4012" w:type="dxa"/>
            <w:tcBorders>
              <w:top w:val="single" w:color="auto" w:sz="4" w:space="0"/>
              <w:left w:val="single" w:color="auto" w:sz="4" w:space="0"/>
              <w:bottom w:val="single" w:color="auto" w:sz="4" w:space="0"/>
              <w:right w:val="single" w:color="auto" w:sz="4" w:space="0"/>
            </w:tcBorders>
            <w:noWrap w:val="0"/>
            <w:vAlign w:val="center"/>
          </w:tcPr>
          <w:p w14:paraId="08412954">
            <w:pPr>
              <w:pStyle w:val="130"/>
              <w:widowControl/>
              <w:spacing w:line="240" w:lineRule="exact"/>
              <w:rPr>
                <w:rFonts w:hint="default" w:ascii="Times New Roman" w:hAnsi="Times New Roman"/>
                <w:color w:val="000000"/>
                <w:kern w:val="2"/>
                <w:sz w:val="21"/>
                <w:lang w:bidi="ar"/>
              </w:rPr>
            </w:pPr>
          </w:p>
        </w:tc>
        <w:tc>
          <w:tcPr>
            <w:tcW w:w="2001" w:type="dxa"/>
            <w:tcBorders>
              <w:top w:val="single" w:color="auto" w:sz="4" w:space="0"/>
              <w:left w:val="single" w:color="auto" w:sz="4" w:space="0"/>
              <w:bottom w:val="single" w:color="auto" w:sz="4" w:space="0"/>
              <w:right w:val="single" w:color="auto" w:sz="4" w:space="0"/>
            </w:tcBorders>
            <w:noWrap w:val="0"/>
            <w:vAlign w:val="center"/>
          </w:tcPr>
          <w:p w14:paraId="7FC0E05E">
            <w:pPr>
              <w:pStyle w:val="130"/>
              <w:widowControl/>
              <w:spacing w:line="240" w:lineRule="exact"/>
              <w:rPr>
                <w:rFonts w:hint="default" w:ascii="Times New Roman" w:hAnsi="Times New Roman"/>
                <w:color w:val="000000"/>
                <w:kern w:val="2"/>
                <w:sz w:val="21"/>
                <w:lang w:bidi="ar"/>
              </w:rPr>
            </w:pPr>
            <w:r>
              <w:rPr>
                <w:rFonts w:hint="default" w:ascii="Times New Roman" w:hAnsi="Times New Roman"/>
                <w:color w:val="000000"/>
                <w:kern w:val="2"/>
                <w:sz w:val="21"/>
                <w:lang w:bidi="ar"/>
              </w:rPr>
              <w:t>安全检查表法</w:t>
            </w:r>
          </w:p>
        </w:tc>
      </w:tr>
      <w:tr w14:paraId="5DB11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6" w:type="dxa"/>
            <w:tcBorders>
              <w:top w:val="single" w:color="auto" w:sz="4" w:space="0"/>
              <w:left w:val="single" w:color="auto" w:sz="4" w:space="0"/>
              <w:bottom w:val="single" w:color="auto" w:sz="4" w:space="0"/>
              <w:right w:val="single" w:color="auto" w:sz="4" w:space="0"/>
            </w:tcBorders>
            <w:noWrap w:val="0"/>
            <w:vAlign w:val="center"/>
          </w:tcPr>
          <w:p w14:paraId="6A43F92F">
            <w:pPr>
              <w:pStyle w:val="130"/>
              <w:widowControl/>
              <w:spacing w:line="240" w:lineRule="exact"/>
              <w:rPr>
                <w:rFonts w:hint="eastAsia" w:ascii="Times New Roman" w:hAnsi="Times New Roman"/>
                <w:color w:val="000000"/>
                <w:kern w:val="2"/>
                <w:sz w:val="21"/>
                <w:lang w:val="en-US" w:eastAsia="zh-CN" w:bidi="ar"/>
              </w:rPr>
            </w:pPr>
            <w:r>
              <w:rPr>
                <w:rFonts w:hint="eastAsia" w:ascii="Times New Roman" w:hAnsi="Times New Roman"/>
                <w:color w:val="000000"/>
                <w:kern w:val="2"/>
                <w:sz w:val="21"/>
                <w:lang w:val="en-US" w:eastAsia="zh-CN" w:bidi="ar"/>
              </w:rPr>
              <w:t>5</w:t>
            </w:r>
          </w:p>
        </w:tc>
        <w:tc>
          <w:tcPr>
            <w:tcW w:w="2651" w:type="dxa"/>
            <w:tcBorders>
              <w:top w:val="single" w:color="auto" w:sz="4" w:space="0"/>
              <w:left w:val="single" w:color="auto" w:sz="4" w:space="0"/>
              <w:bottom w:val="single" w:color="auto" w:sz="4" w:space="0"/>
              <w:right w:val="single" w:color="auto" w:sz="4" w:space="0"/>
            </w:tcBorders>
            <w:noWrap w:val="0"/>
            <w:vAlign w:val="center"/>
          </w:tcPr>
          <w:p w14:paraId="7EC700FF">
            <w:pPr>
              <w:pStyle w:val="130"/>
              <w:widowControl/>
              <w:spacing w:line="240" w:lineRule="exact"/>
              <w:rPr>
                <w:rFonts w:ascii="Times New Roman" w:hAnsi="Times New Roman"/>
                <w:color w:val="000000"/>
                <w:kern w:val="2"/>
                <w:sz w:val="21"/>
                <w:lang w:bidi="ar"/>
              </w:rPr>
            </w:pPr>
            <w:r>
              <w:rPr>
                <w:rFonts w:hint="default" w:ascii="Times New Roman" w:hAnsi="Times New Roman"/>
                <w:color w:val="000000"/>
                <w:kern w:val="2"/>
                <w:sz w:val="21"/>
                <w:lang w:bidi="ar"/>
              </w:rPr>
              <w:t>公用工程安全评价单元</w:t>
            </w:r>
          </w:p>
        </w:tc>
        <w:tc>
          <w:tcPr>
            <w:tcW w:w="4012" w:type="dxa"/>
            <w:tcBorders>
              <w:top w:val="single" w:color="auto" w:sz="4" w:space="0"/>
              <w:left w:val="single" w:color="auto" w:sz="4" w:space="0"/>
              <w:bottom w:val="single" w:color="auto" w:sz="4" w:space="0"/>
              <w:right w:val="single" w:color="auto" w:sz="4" w:space="0"/>
            </w:tcBorders>
            <w:noWrap w:val="0"/>
            <w:vAlign w:val="center"/>
          </w:tcPr>
          <w:p w14:paraId="5234F0A1">
            <w:pPr>
              <w:pStyle w:val="130"/>
              <w:widowControl/>
              <w:spacing w:line="240" w:lineRule="exact"/>
              <w:rPr>
                <w:rFonts w:hint="default" w:ascii="Times New Roman" w:hAnsi="Times New Roman"/>
                <w:color w:val="000000"/>
                <w:kern w:val="2"/>
                <w:sz w:val="21"/>
                <w:lang w:bidi="ar"/>
              </w:rPr>
            </w:pPr>
          </w:p>
        </w:tc>
        <w:tc>
          <w:tcPr>
            <w:tcW w:w="2001" w:type="dxa"/>
            <w:tcBorders>
              <w:top w:val="single" w:color="auto" w:sz="4" w:space="0"/>
              <w:left w:val="single" w:color="auto" w:sz="4" w:space="0"/>
              <w:bottom w:val="single" w:color="auto" w:sz="4" w:space="0"/>
              <w:right w:val="single" w:color="auto" w:sz="4" w:space="0"/>
            </w:tcBorders>
            <w:noWrap w:val="0"/>
            <w:vAlign w:val="center"/>
          </w:tcPr>
          <w:p w14:paraId="7F4F2205">
            <w:pPr>
              <w:pStyle w:val="130"/>
              <w:widowControl/>
              <w:spacing w:line="240" w:lineRule="exact"/>
              <w:rPr>
                <w:rFonts w:hint="default" w:ascii="Times New Roman" w:hAnsi="Times New Roman"/>
                <w:color w:val="000000"/>
                <w:kern w:val="2"/>
                <w:sz w:val="21"/>
                <w:lang w:bidi="ar"/>
              </w:rPr>
            </w:pPr>
            <w:r>
              <w:rPr>
                <w:rFonts w:hint="default" w:ascii="Times New Roman" w:hAnsi="Times New Roman"/>
                <w:color w:val="000000"/>
                <w:kern w:val="2"/>
                <w:sz w:val="21"/>
                <w:lang w:bidi="ar"/>
              </w:rPr>
              <w:t>安全检查法</w:t>
            </w:r>
          </w:p>
        </w:tc>
      </w:tr>
      <w:tr w14:paraId="7BE4E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6" w:type="dxa"/>
            <w:tcBorders>
              <w:top w:val="single" w:color="auto" w:sz="4" w:space="0"/>
              <w:left w:val="single" w:color="auto" w:sz="4" w:space="0"/>
              <w:bottom w:val="single" w:color="auto" w:sz="4" w:space="0"/>
              <w:right w:val="single" w:color="auto" w:sz="4" w:space="0"/>
            </w:tcBorders>
            <w:noWrap w:val="0"/>
            <w:vAlign w:val="center"/>
          </w:tcPr>
          <w:p w14:paraId="5625DCAE">
            <w:pPr>
              <w:pStyle w:val="130"/>
              <w:widowControl/>
              <w:spacing w:line="240" w:lineRule="exact"/>
              <w:rPr>
                <w:rFonts w:hint="eastAsia" w:ascii="Times New Roman" w:hAnsi="Times New Roman"/>
                <w:color w:val="000000"/>
                <w:kern w:val="2"/>
                <w:sz w:val="21"/>
                <w:lang w:eastAsia="zh-CN" w:bidi="ar"/>
              </w:rPr>
            </w:pPr>
            <w:r>
              <w:rPr>
                <w:rFonts w:hint="eastAsia" w:ascii="Times New Roman" w:hAnsi="Times New Roman"/>
                <w:color w:val="000000"/>
                <w:kern w:val="2"/>
                <w:sz w:val="21"/>
                <w:lang w:val="en-US" w:eastAsia="zh-CN" w:bidi="ar"/>
              </w:rPr>
              <w:t>6</w:t>
            </w:r>
          </w:p>
        </w:tc>
        <w:tc>
          <w:tcPr>
            <w:tcW w:w="2651" w:type="dxa"/>
            <w:tcBorders>
              <w:top w:val="single" w:color="auto" w:sz="4" w:space="0"/>
              <w:left w:val="single" w:color="auto" w:sz="4" w:space="0"/>
              <w:bottom w:val="single" w:color="auto" w:sz="4" w:space="0"/>
              <w:right w:val="single" w:color="auto" w:sz="4" w:space="0"/>
            </w:tcBorders>
            <w:noWrap w:val="0"/>
            <w:vAlign w:val="center"/>
          </w:tcPr>
          <w:p w14:paraId="229D83BB">
            <w:pPr>
              <w:pStyle w:val="130"/>
              <w:widowControl/>
              <w:spacing w:line="240" w:lineRule="exact"/>
              <w:rPr>
                <w:rFonts w:hint="default" w:ascii="Times New Roman" w:hAnsi="Times New Roman"/>
                <w:color w:val="000000"/>
                <w:szCs w:val="20"/>
              </w:rPr>
            </w:pPr>
            <w:r>
              <w:rPr>
                <w:rFonts w:hint="default" w:ascii="Times New Roman" w:hAnsi="Times New Roman"/>
                <w:color w:val="000000"/>
                <w:kern w:val="2"/>
                <w:sz w:val="21"/>
                <w:lang w:bidi="ar"/>
              </w:rPr>
              <w:t>安全管理</w:t>
            </w:r>
            <w:r>
              <w:rPr>
                <w:rFonts w:ascii="Times New Roman" w:hAnsi="Times New Roman"/>
                <w:color w:val="000000"/>
                <w:kern w:val="2"/>
                <w:sz w:val="21"/>
                <w:lang w:bidi="ar"/>
              </w:rPr>
              <w:t>安全</w:t>
            </w:r>
            <w:r>
              <w:rPr>
                <w:rFonts w:hint="default" w:ascii="Times New Roman" w:hAnsi="Times New Roman"/>
                <w:color w:val="000000"/>
                <w:kern w:val="2"/>
                <w:sz w:val="21"/>
                <w:lang w:bidi="ar"/>
              </w:rPr>
              <w:t>评价单元</w:t>
            </w:r>
          </w:p>
        </w:tc>
        <w:tc>
          <w:tcPr>
            <w:tcW w:w="4012" w:type="dxa"/>
            <w:tcBorders>
              <w:top w:val="single" w:color="auto" w:sz="4" w:space="0"/>
              <w:left w:val="single" w:color="auto" w:sz="4" w:space="0"/>
              <w:bottom w:val="single" w:color="auto" w:sz="4" w:space="0"/>
              <w:right w:val="single" w:color="auto" w:sz="4" w:space="0"/>
            </w:tcBorders>
            <w:noWrap w:val="0"/>
            <w:vAlign w:val="center"/>
          </w:tcPr>
          <w:p w14:paraId="5346EDDF">
            <w:pPr>
              <w:pStyle w:val="130"/>
              <w:widowControl/>
              <w:spacing w:line="240" w:lineRule="exact"/>
              <w:rPr>
                <w:rFonts w:hint="default" w:ascii="Times New Roman" w:hAnsi="Times New Roman"/>
                <w:color w:val="000000"/>
                <w:kern w:val="2"/>
                <w:sz w:val="21"/>
                <w:lang w:bidi="ar"/>
              </w:rPr>
            </w:pPr>
            <w:r>
              <w:rPr>
                <w:rFonts w:hint="default" w:ascii="Times New Roman" w:hAnsi="Times New Roman"/>
                <w:color w:val="000000"/>
                <w:kern w:val="2"/>
                <w:sz w:val="21"/>
                <w:lang w:bidi="ar"/>
              </w:rPr>
              <w:t>-</w:t>
            </w:r>
          </w:p>
        </w:tc>
        <w:tc>
          <w:tcPr>
            <w:tcW w:w="2001" w:type="dxa"/>
            <w:tcBorders>
              <w:top w:val="single" w:color="auto" w:sz="4" w:space="0"/>
              <w:left w:val="single" w:color="auto" w:sz="4" w:space="0"/>
              <w:bottom w:val="single" w:color="auto" w:sz="4" w:space="0"/>
              <w:right w:val="single" w:color="auto" w:sz="4" w:space="0"/>
            </w:tcBorders>
            <w:noWrap w:val="0"/>
            <w:vAlign w:val="center"/>
          </w:tcPr>
          <w:p w14:paraId="284C34CD">
            <w:pPr>
              <w:pStyle w:val="130"/>
              <w:widowControl/>
              <w:spacing w:line="240" w:lineRule="exact"/>
              <w:rPr>
                <w:rFonts w:hint="default" w:ascii="Times New Roman" w:hAnsi="Times New Roman"/>
                <w:color w:val="000000"/>
                <w:kern w:val="2"/>
                <w:sz w:val="21"/>
                <w:lang w:bidi="ar"/>
              </w:rPr>
            </w:pPr>
            <w:r>
              <w:rPr>
                <w:rFonts w:hint="default" w:ascii="Times New Roman" w:hAnsi="Times New Roman"/>
                <w:color w:val="000000"/>
                <w:kern w:val="2"/>
                <w:sz w:val="21"/>
                <w:lang w:bidi="ar"/>
              </w:rPr>
              <w:t>安全检查表法</w:t>
            </w:r>
          </w:p>
        </w:tc>
      </w:tr>
      <w:tr w14:paraId="743F6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6" w:type="dxa"/>
            <w:tcBorders>
              <w:top w:val="single" w:color="auto" w:sz="4" w:space="0"/>
              <w:left w:val="single" w:color="auto" w:sz="4" w:space="0"/>
              <w:bottom w:val="single" w:color="auto" w:sz="4" w:space="0"/>
              <w:right w:val="single" w:color="auto" w:sz="4" w:space="0"/>
            </w:tcBorders>
            <w:noWrap w:val="0"/>
            <w:vAlign w:val="center"/>
          </w:tcPr>
          <w:p w14:paraId="14E64213">
            <w:pPr>
              <w:pStyle w:val="130"/>
              <w:widowControl/>
              <w:spacing w:line="240" w:lineRule="exact"/>
              <w:rPr>
                <w:rFonts w:hint="eastAsia" w:ascii="Times New Roman" w:hAnsi="Times New Roman"/>
                <w:color w:val="000000"/>
                <w:kern w:val="2"/>
                <w:sz w:val="21"/>
                <w:lang w:val="en-US" w:eastAsia="zh-CN" w:bidi="ar"/>
              </w:rPr>
            </w:pPr>
            <w:bookmarkStart w:id="536" w:name="_Toc1188"/>
            <w:r>
              <w:rPr>
                <w:rFonts w:hint="eastAsia" w:ascii="Times New Roman" w:hAnsi="Times New Roman"/>
                <w:color w:val="000000"/>
                <w:kern w:val="2"/>
                <w:sz w:val="21"/>
                <w:lang w:val="en-US" w:eastAsia="zh-CN" w:bidi="ar"/>
              </w:rPr>
              <w:t>7</w:t>
            </w:r>
          </w:p>
        </w:tc>
        <w:tc>
          <w:tcPr>
            <w:tcW w:w="2651" w:type="dxa"/>
            <w:tcBorders>
              <w:top w:val="single" w:color="auto" w:sz="4" w:space="0"/>
              <w:left w:val="single" w:color="auto" w:sz="4" w:space="0"/>
              <w:bottom w:val="single" w:color="auto" w:sz="4" w:space="0"/>
              <w:right w:val="single" w:color="auto" w:sz="4" w:space="0"/>
            </w:tcBorders>
            <w:noWrap w:val="0"/>
            <w:vAlign w:val="center"/>
          </w:tcPr>
          <w:p w14:paraId="111A7308">
            <w:pPr>
              <w:pStyle w:val="130"/>
              <w:widowControl/>
              <w:spacing w:line="240" w:lineRule="exact"/>
              <w:rPr>
                <w:rFonts w:ascii="Times New Roman" w:hAnsi="Times New Roman"/>
                <w:color w:val="000000"/>
                <w:kern w:val="2"/>
                <w:sz w:val="21"/>
                <w:lang w:bidi="ar"/>
              </w:rPr>
            </w:pPr>
            <w:r>
              <w:rPr>
                <w:rFonts w:hint="default" w:ascii="宋体" w:hAnsi="Times New Roman" w:eastAsia="宋体" w:cs="Times New Roman"/>
                <w:b w:val="0"/>
                <w:color w:val="auto"/>
                <w:lang w:val="en-US" w:eastAsia="zh-CN"/>
              </w:rPr>
              <w:t>重大生产安全事故隐患判定单元</w:t>
            </w:r>
          </w:p>
        </w:tc>
        <w:tc>
          <w:tcPr>
            <w:tcW w:w="4012" w:type="dxa"/>
            <w:tcBorders>
              <w:top w:val="single" w:color="auto" w:sz="4" w:space="0"/>
              <w:left w:val="single" w:color="auto" w:sz="4" w:space="0"/>
              <w:bottom w:val="single" w:color="auto" w:sz="4" w:space="0"/>
              <w:right w:val="single" w:color="auto" w:sz="4" w:space="0"/>
            </w:tcBorders>
            <w:noWrap w:val="0"/>
            <w:vAlign w:val="center"/>
          </w:tcPr>
          <w:p w14:paraId="152646E0">
            <w:pPr>
              <w:pStyle w:val="130"/>
              <w:widowControl/>
              <w:spacing w:line="240" w:lineRule="exact"/>
              <w:rPr>
                <w:rFonts w:hint="default" w:ascii="Times New Roman" w:hAnsi="Times New Roman"/>
                <w:color w:val="000000"/>
                <w:kern w:val="2"/>
                <w:sz w:val="21"/>
                <w:lang w:bidi="ar"/>
              </w:rPr>
            </w:pPr>
          </w:p>
        </w:tc>
        <w:tc>
          <w:tcPr>
            <w:tcW w:w="2001" w:type="dxa"/>
            <w:tcBorders>
              <w:top w:val="single" w:color="auto" w:sz="4" w:space="0"/>
              <w:left w:val="single" w:color="auto" w:sz="4" w:space="0"/>
              <w:bottom w:val="single" w:color="auto" w:sz="4" w:space="0"/>
              <w:right w:val="single" w:color="auto" w:sz="4" w:space="0"/>
            </w:tcBorders>
            <w:noWrap w:val="0"/>
            <w:vAlign w:val="center"/>
          </w:tcPr>
          <w:p w14:paraId="5EF8E989">
            <w:pPr>
              <w:pStyle w:val="130"/>
              <w:widowControl/>
              <w:spacing w:line="240" w:lineRule="exact"/>
              <w:rPr>
                <w:rFonts w:hint="default" w:ascii="Times New Roman" w:hAnsi="Times New Roman"/>
                <w:color w:val="000000"/>
                <w:kern w:val="2"/>
                <w:sz w:val="21"/>
                <w:lang w:bidi="ar"/>
              </w:rPr>
            </w:pPr>
            <w:r>
              <w:rPr>
                <w:rFonts w:hint="default" w:ascii="Times New Roman" w:hAnsi="Times New Roman"/>
                <w:color w:val="000000"/>
                <w:kern w:val="2"/>
                <w:sz w:val="21"/>
                <w:lang w:bidi="ar"/>
              </w:rPr>
              <w:t>安全检查表法</w:t>
            </w:r>
          </w:p>
        </w:tc>
      </w:tr>
      <w:tr w14:paraId="580F7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6" w:type="dxa"/>
            <w:vMerge w:val="restart"/>
            <w:tcBorders>
              <w:top w:val="single" w:color="auto" w:sz="4" w:space="0"/>
              <w:left w:val="single" w:color="auto" w:sz="4" w:space="0"/>
              <w:right w:val="single" w:color="auto" w:sz="4" w:space="0"/>
            </w:tcBorders>
            <w:noWrap w:val="0"/>
            <w:vAlign w:val="center"/>
          </w:tcPr>
          <w:p w14:paraId="27326F00">
            <w:pPr>
              <w:pStyle w:val="130"/>
              <w:widowControl/>
              <w:spacing w:line="240" w:lineRule="exact"/>
              <w:rPr>
                <w:rFonts w:hint="eastAsia" w:ascii="Times New Roman" w:hAnsi="Times New Roman"/>
                <w:color w:val="000000"/>
                <w:kern w:val="2"/>
                <w:sz w:val="21"/>
                <w:lang w:val="en-US" w:eastAsia="zh-CN" w:bidi="ar"/>
              </w:rPr>
            </w:pPr>
            <w:r>
              <w:rPr>
                <w:rFonts w:hint="eastAsia" w:ascii="Times New Roman" w:hAnsi="Times New Roman"/>
                <w:color w:val="000000"/>
                <w:kern w:val="2"/>
                <w:sz w:val="21"/>
                <w:lang w:val="en-US" w:eastAsia="zh-CN" w:bidi="ar"/>
              </w:rPr>
              <w:t>8</w:t>
            </w:r>
          </w:p>
        </w:tc>
        <w:tc>
          <w:tcPr>
            <w:tcW w:w="2651" w:type="dxa"/>
            <w:vMerge w:val="restart"/>
            <w:tcBorders>
              <w:top w:val="single" w:color="auto" w:sz="4" w:space="0"/>
              <w:left w:val="single" w:color="auto" w:sz="4" w:space="0"/>
              <w:right w:val="single" w:color="auto" w:sz="4" w:space="0"/>
            </w:tcBorders>
            <w:noWrap w:val="0"/>
            <w:vAlign w:val="center"/>
          </w:tcPr>
          <w:p w14:paraId="6CF6690F">
            <w:pPr>
              <w:pStyle w:val="130"/>
              <w:widowControl/>
              <w:spacing w:line="240" w:lineRule="exact"/>
              <w:rPr>
                <w:rFonts w:ascii="Times New Roman" w:hAnsi="Times New Roman"/>
                <w:color w:val="000000"/>
                <w:kern w:val="2"/>
                <w:sz w:val="21"/>
                <w:lang w:bidi="ar"/>
              </w:rPr>
            </w:pPr>
            <w:r>
              <w:rPr>
                <w:rFonts w:hint="default" w:ascii="Times New Roman" w:hAnsi="Times New Roman"/>
                <w:color w:val="000000"/>
                <w:kern w:val="2"/>
                <w:sz w:val="21"/>
                <w:lang w:bidi="ar"/>
              </w:rPr>
              <w:t>“三同时”符合性安全评价单元</w:t>
            </w:r>
          </w:p>
        </w:tc>
        <w:tc>
          <w:tcPr>
            <w:tcW w:w="4012" w:type="dxa"/>
            <w:tcBorders>
              <w:top w:val="single" w:color="auto" w:sz="4" w:space="0"/>
              <w:left w:val="single" w:color="auto" w:sz="4" w:space="0"/>
              <w:bottom w:val="single" w:color="auto" w:sz="4" w:space="0"/>
              <w:right w:val="single" w:color="auto" w:sz="4" w:space="0"/>
            </w:tcBorders>
            <w:noWrap w:val="0"/>
            <w:vAlign w:val="center"/>
          </w:tcPr>
          <w:p w14:paraId="770D692E">
            <w:pPr>
              <w:pStyle w:val="130"/>
              <w:widowControl/>
              <w:spacing w:line="240" w:lineRule="exact"/>
              <w:rPr>
                <w:rFonts w:hint="default" w:ascii="Times New Roman" w:hAnsi="Times New Roman"/>
                <w:color w:val="000000"/>
                <w:kern w:val="2"/>
                <w:sz w:val="21"/>
                <w:lang w:bidi="ar"/>
              </w:rPr>
            </w:pPr>
            <w:r>
              <w:rPr>
                <w:rFonts w:hint="default" w:ascii="Times New Roman" w:hAnsi="Times New Roman"/>
                <w:color w:val="000000"/>
                <w:kern w:val="2"/>
                <w:sz w:val="21"/>
                <w:lang w:bidi="ar"/>
              </w:rPr>
              <w:t>“三同时”符合性安全评价子单元</w:t>
            </w:r>
          </w:p>
        </w:tc>
        <w:tc>
          <w:tcPr>
            <w:tcW w:w="2001" w:type="dxa"/>
            <w:tcBorders>
              <w:top w:val="single" w:color="auto" w:sz="4" w:space="0"/>
              <w:left w:val="single" w:color="auto" w:sz="4" w:space="0"/>
              <w:bottom w:val="single" w:color="auto" w:sz="4" w:space="0"/>
              <w:right w:val="single" w:color="auto" w:sz="4" w:space="0"/>
            </w:tcBorders>
            <w:noWrap w:val="0"/>
            <w:vAlign w:val="center"/>
          </w:tcPr>
          <w:p w14:paraId="36F46071">
            <w:pPr>
              <w:pStyle w:val="130"/>
              <w:widowControl/>
              <w:spacing w:line="240" w:lineRule="exact"/>
              <w:rPr>
                <w:rFonts w:hint="default" w:ascii="Times New Roman" w:hAnsi="Times New Roman"/>
                <w:color w:val="000000"/>
                <w:kern w:val="2"/>
                <w:sz w:val="21"/>
                <w:lang w:bidi="ar"/>
              </w:rPr>
            </w:pPr>
            <w:r>
              <w:rPr>
                <w:rFonts w:hint="default" w:ascii="Times New Roman" w:hAnsi="Times New Roman"/>
                <w:color w:val="000000"/>
                <w:kern w:val="2"/>
                <w:sz w:val="21"/>
                <w:lang w:bidi="ar"/>
              </w:rPr>
              <w:t>安全检查表法</w:t>
            </w:r>
          </w:p>
        </w:tc>
      </w:tr>
      <w:tr w14:paraId="5182E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6" w:type="dxa"/>
            <w:vMerge w:val="continue"/>
            <w:tcBorders>
              <w:left w:val="single" w:color="auto" w:sz="4" w:space="0"/>
              <w:right w:val="single" w:color="auto" w:sz="4" w:space="0"/>
            </w:tcBorders>
            <w:noWrap w:val="0"/>
            <w:vAlign w:val="center"/>
          </w:tcPr>
          <w:p w14:paraId="6410C327">
            <w:pPr>
              <w:jc w:val="center"/>
              <w:rPr>
                <w:rFonts w:hint="eastAsia"/>
                <w:color w:val="000000"/>
                <w:lang w:bidi="ar"/>
              </w:rPr>
            </w:pPr>
          </w:p>
        </w:tc>
        <w:tc>
          <w:tcPr>
            <w:tcW w:w="2651" w:type="dxa"/>
            <w:vMerge w:val="continue"/>
            <w:tcBorders>
              <w:left w:val="single" w:color="auto" w:sz="4" w:space="0"/>
              <w:right w:val="single" w:color="auto" w:sz="4" w:space="0"/>
            </w:tcBorders>
            <w:noWrap w:val="0"/>
            <w:vAlign w:val="center"/>
          </w:tcPr>
          <w:p w14:paraId="64DA2013">
            <w:pPr>
              <w:pStyle w:val="130"/>
              <w:widowControl/>
              <w:spacing w:line="240" w:lineRule="exact"/>
              <w:rPr>
                <w:rFonts w:ascii="Times New Roman" w:hAnsi="Times New Roman"/>
                <w:color w:val="000000"/>
                <w:kern w:val="2"/>
                <w:sz w:val="21"/>
                <w:lang w:bidi="ar"/>
              </w:rPr>
            </w:pPr>
          </w:p>
        </w:tc>
        <w:tc>
          <w:tcPr>
            <w:tcW w:w="4012" w:type="dxa"/>
            <w:tcBorders>
              <w:top w:val="single" w:color="auto" w:sz="4" w:space="0"/>
              <w:left w:val="single" w:color="auto" w:sz="4" w:space="0"/>
              <w:bottom w:val="single" w:color="auto" w:sz="4" w:space="0"/>
              <w:right w:val="single" w:color="auto" w:sz="4" w:space="0"/>
            </w:tcBorders>
            <w:noWrap w:val="0"/>
            <w:vAlign w:val="center"/>
          </w:tcPr>
          <w:p w14:paraId="1D322F4B">
            <w:pPr>
              <w:pStyle w:val="130"/>
              <w:widowControl/>
              <w:spacing w:line="240" w:lineRule="exact"/>
              <w:rPr>
                <w:rFonts w:hint="default" w:ascii="Times New Roman" w:hAnsi="Times New Roman"/>
                <w:color w:val="000000"/>
                <w:kern w:val="2"/>
                <w:sz w:val="21"/>
                <w:lang w:bidi="ar"/>
              </w:rPr>
            </w:pPr>
            <w:r>
              <w:rPr>
                <w:rFonts w:hint="default" w:ascii="Times New Roman" w:hAnsi="Times New Roman"/>
                <w:color w:val="000000"/>
                <w:kern w:val="2"/>
                <w:sz w:val="21"/>
                <w:lang w:bidi="ar"/>
              </w:rPr>
              <w:t>建设项目采取（用）的安全设施安全评价子单元</w:t>
            </w:r>
          </w:p>
        </w:tc>
        <w:tc>
          <w:tcPr>
            <w:tcW w:w="2001" w:type="dxa"/>
            <w:tcBorders>
              <w:top w:val="single" w:color="auto" w:sz="4" w:space="0"/>
              <w:left w:val="single" w:color="auto" w:sz="4" w:space="0"/>
              <w:bottom w:val="single" w:color="auto" w:sz="4" w:space="0"/>
              <w:right w:val="single" w:color="auto" w:sz="4" w:space="0"/>
            </w:tcBorders>
            <w:noWrap w:val="0"/>
            <w:vAlign w:val="center"/>
          </w:tcPr>
          <w:p w14:paraId="57FB8313">
            <w:pPr>
              <w:widowControl/>
              <w:spacing w:line="240" w:lineRule="exact"/>
              <w:jc w:val="center"/>
              <w:rPr>
                <w:rFonts w:hint="default" w:ascii="Times New Roman" w:hAnsi="Times New Roman"/>
                <w:color w:val="000000"/>
                <w:kern w:val="2"/>
                <w:sz w:val="21"/>
                <w:lang w:bidi="ar"/>
              </w:rPr>
            </w:pPr>
            <w:r>
              <w:rPr>
                <w:rFonts w:hint="default" w:ascii="Times New Roman" w:hAnsi="Times New Roman"/>
                <w:color w:val="000000"/>
                <w:kern w:val="2"/>
                <w:sz w:val="21"/>
                <w:lang w:bidi="ar"/>
              </w:rPr>
              <w:t>安全检查表法</w:t>
            </w:r>
          </w:p>
        </w:tc>
      </w:tr>
      <w:tr w14:paraId="3AE10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6" w:type="dxa"/>
            <w:vMerge w:val="continue"/>
            <w:tcBorders>
              <w:left w:val="single" w:color="auto" w:sz="4" w:space="0"/>
              <w:bottom w:val="single" w:color="auto" w:sz="4" w:space="0"/>
              <w:right w:val="single" w:color="auto" w:sz="4" w:space="0"/>
            </w:tcBorders>
            <w:noWrap w:val="0"/>
            <w:vAlign w:val="center"/>
          </w:tcPr>
          <w:p w14:paraId="52CF050A">
            <w:pPr>
              <w:jc w:val="center"/>
              <w:rPr>
                <w:rFonts w:hint="eastAsia"/>
                <w:color w:val="000000"/>
                <w:lang w:bidi="ar"/>
              </w:rPr>
            </w:pPr>
          </w:p>
        </w:tc>
        <w:tc>
          <w:tcPr>
            <w:tcW w:w="2651" w:type="dxa"/>
            <w:vMerge w:val="continue"/>
            <w:tcBorders>
              <w:left w:val="single" w:color="auto" w:sz="4" w:space="0"/>
              <w:bottom w:val="single" w:color="auto" w:sz="4" w:space="0"/>
              <w:right w:val="single" w:color="auto" w:sz="4" w:space="0"/>
            </w:tcBorders>
            <w:noWrap w:val="0"/>
            <w:vAlign w:val="center"/>
          </w:tcPr>
          <w:p w14:paraId="20411D0B">
            <w:pPr>
              <w:pStyle w:val="130"/>
              <w:widowControl/>
              <w:spacing w:line="240" w:lineRule="exact"/>
              <w:rPr>
                <w:rFonts w:ascii="Times New Roman" w:hAnsi="Times New Roman"/>
                <w:color w:val="000000"/>
                <w:kern w:val="2"/>
                <w:sz w:val="21"/>
                <w:lang w:bidi="ar"/>
              </w:rPr>
            </w:pPr>
          </w:p>
        </w:tc>
        <w:tc>
          <w:tcPr>
            <w:tcW w:w="4012" w:type="dxa"/>
            <w:tcBorders>
              <w:top w:val="single" w:color="auto" w:sz="4" w:space="0"/>
              <w:left w:val="single" w:color="auto" w:sz="4" w:space="0"/>
              <w:bottom w:val="single" w:color="auto" w:sz="4" w:space="0"/>
              <w:right w:val="single" w:color="auto" w:sz="4" w:space="0"/>
            </w:tcBorders>
            <w:noWrap w:val="0"/>
            <w:vAlign w:val="center"/>
          </w:tcPr>
          <w:p w14:paraId="0BFD7A8F">
            <w:pPr>
              <w:pStyle w:val="130"/>
              <w:widowControl/>
              <w:spacing w:line="240" w:lineRule="exact"/>
              <w:rPr>
                <w:rFonts w:hint="default" w:ascii="Times New Roman" w:hAnsi="Times New Roman"/>
                <w:color w:val="000000"/>
                <w:kern w:val="2"/>
                <w:sz w:val="21"/>
                <w:lang w:bidi="ar"/>
              </w:rPr>
            </w:pPr>
            <w:r>
              <w:rPr>
                <w:rFonts w:hint="default" w:ascii="Times New Roman" w:hAnsi="Times New Roman"/>
                <w:color w:val="000000"/>
                <w:kern w:val="2"/>
                <w:sz w:val="21"/>
                <w:lang w:bidi="ar"/>
              </w:rPr>
              <w:t>竣工验收条件安全评价子单元</w:t>
            </w:r>
          </w:p>
        </w:tc>
        <w:tc>
          <w:tcPr>
            <w:tcW w:w="2001" w:type="dxa"/>
            <w:tcBorders>
              <w:top w:val="single" w:color="auto" w:sz="4" w:space="0"/>
              <w:left w:val="single" w:color="auto" w:sz="4" w:space="0"/>
              <w:bottom w:val="single" w:color="auto" w:sz="4" w:space="0"/>
              <w:right w:val="single" w:color="auto" w:sz="4" w:space="0"/>
            </w:tcBorders>
            <w:noWrap w:val="0"/>
            <w:vAlign w:val="center"/>
          </w:tcPr>
          <w:p w14:paraId="2973AAE5">
            <w:pPr>
              <w:widowControl/>
              <w:spacing w:line="240" w:lineRule="exact"/>
              <w:jc w:val="center"/>
              <w:rPr>
                <w:rFonts w:hint="default" w:ascii="Times New Roman" w:hAnsi="Times New Roman"/>
                <w:color w:val="000000"/>
                <w:kern w:val="2"/>
                <w:sz w:val="21"/>
                <w:lang w:bidi="ar"/>
              </w:rPr>
            </w:pPr>
            <w:r>
              <w:rPr>
                <w:rFonts w:hint="default" w:ascii="Times New Roman" w:hAnsi="Times New Roman"/>
                <w:color w:val="000000"/>
                <w:kern w:val="2"/>
                <w:sz w:val="21"/>
                <w:lang w:bidi="ar"/>
              </w:rPr>
              <w:t>安全检查表法</w:t>
            </w:r>
          </w:p>
        </w:tc>
      </w:tr>
    </w:tbl>
    <w:p w14:paraId="48FC7ACB">
      <w:pPr>
        <w:pStyle w:val="4"/>
        <w:spacing w:before="193"/>
        <w:jc w:val="left"/>
        <w:rPr>
          <w:rFonts w:hint="eastAsia" w:ascii="黑体" w:hAnsi="黑体" w:eastAsia="黑体" w:cs="黑体"/>
          <w:b/>
          <w:bCs w:val="0"/>
          <w:color w:val="auto"/>
          <w:sz w:val="36"/>
          <w:szCs w:val="36"/>
          <w:lang w:val="en-US" w:eastAsia="zh-CN"/>
        </w:rPr>
      </w:pPr>
      <w:bookmarkStart w:id="537" w:name="_Toc3198"/>
      <w:r>
        <w:rPr>
          <w:rFonts w:hint="eastAsia" w:ascii="黑体" w:hAnsi="黑体" w:eastAsia="黑体" w:cs="黑体"/>
          <w:b/>
          <w:bCs w:val="0"/>
          <w:color w:val="auto"/>
          <w:sz w:val="36"/>
          <w:szCs w:val="36"/>
          <w:lang w:val="en-US" w:eastAsia="zh-CN"/>
        </w:rPr>
        <w:t>评价方法选用</w:t>
      </w:r>
      <w:bookmarkEnd w:id="524"/>
      <w:bookmarkEnd w:id="525"/>
      <w:r>
        <w:rPr>
          <w:rFonts w:hint="eastAsia" w:ascii="黑体" w:hAnsi="黑体" w:eastAsia="黑体" w:cs="黑体"/>
          <w:b/>
          <w:bCs w:val="0"/>
          <w:color w:val="auto"/>
          <w:sz w:val="36"/>
          <w:szCs w:val="36"/>
          <w:lang w:val="en-US" w:eastAsia="zh-CN"/>
        </w:rPr>
        <w:t>理由说明</w:t>
      </w:r>
      <w:bookmarkEnd w:id="526"/>
      <w:bookmarkEnd w:id="527"/>
      <w:bookmarkEnd w:id="528"/>
      <w:bookmarkEnd w:id="536"/>
      <w:bookmarkEnd w:id="537"/>
    </w:p>
    <w:p w14:paraId="5649093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ascii="宋体" w:hAnsi="Times New Roman" w:eastAsia="宋体" w:cs="宋体"/>
          <w:snapToGrid w:val="0"/>
          <w:color w:val="000000"/>
          <w:kern w:val="0"/>
          <w:sz w:val="28"/>
          <w:szCs w:val="28"/>
          <w:lang w:bidi="ar"/>
        </w:rPr>
      </w:pPr>
      <w:r>
        <w:rPr>
          <w:rFonts w:ascii="宋体" w:hAnsi="Times New Roman" w:eastAsia="宋体" w:cs="宋体"/>
          <w:snapToGrid w:val="0"/>
          <w:color w:val="000000"/>
          <w:kern w:val="0"/>
          <w:sz w:val="28"/>
          <w:szCs w:val="28"/>
          <w:lang w:bidi="ar"/>
        </w:rPr>
        <w:t>【安全检查表】：应用安全检查表可避免传统的安全检查中易发生的疏忽、遗漏等弊端，可全面地查出危险、有害因素（包括各类隐患）和工作漏项；安全检查表应用范围广；安全检查表简明易懂、实用方便、易于掌握，能弥补有关人员知识、经验不足的缺陷，减少盲目性。</w:t>
      </w:r>
    </w:p>
    <w:p w14:paraId="40E8A558">
      <w:pPr>
        <w:pStyle w:val="122"/>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cs="Times New Roman"/>
          <w:color w:val="auto"/>
          <w:sz w:val="28"/>
          <w:szCs w:val="28"/>
        </w:rPr>
      </w:pPr>
      <w:r>
        <w:rPr>
          <w:rFonts w:ascii="宋体" w:hAnsi="Times New Roman" w:eastAsia="宋体" w:cs="宋体"/>
          <w:snapToGrid w:val="0"/>
          <w:color w:val="000000"/>
          <w:kern w:val="0"/>
          <w:sz w:val="28"/>
          <w:szCs w:val="28"/>
          <w:lang w:bidi="ar"/>
        </w:rPr>
        <w:t>【</w:t>
      </w:r>
      <w:r>
        <w:rPr>
          <w:rFonts w:hint="eastAsia" w:hAnsi="宋体"/>
          <w:bCs/>
          <w:snapToGrid w:val="0"/>
          <w:color w:val="auto"/>
          <w:lang w:val="en-US" w:eastAsia="zh-CN"/>
        </w:rPr>
        <w:t>安全检查法</w:t>
      </w:r>
      <w:r>
        <w:rPr>
          <w:rFonts w:ascii="宋体" w:hAnsi="Times New Roman" w:eastAsia="宋体" w:cs="宋体"/>
          <w:snapToGrid w:val="0"/>
          <w:color w:val="000000"/>
          <w:kern w:val="0"/>
          <w:sz w:val="28"/>
          <w:szCs w:val="28"/>
          <w:lang w:bidi="ar"/>
        </w:rPr>
        <w:t>】</w:t>
      </w:r>
      <w:r>
        <w:rPr>
          <w:rFonts w:hint="eastAsia" w:hAnsi="宋体"/>
          <w:bCs/>
          <w:snapToGrid w:val="0"/>
          <w:color w:val="auto"/>
          <w:lang w:val="en-US" w:eastAsia="zh-CN"/>
        </w:rPr>
        <w:t>：</w:t>
      </w:r>
      <w:r>
        <w:rPr>
          <w:rFonts w:hint="eastAsia" w:ascii="Times New Roman" w:hAnsi="Times New Roman" w:cs="Times New Roman"/>
          <w:color w:val="auto"/>
          <w:sz w:val="28"/>
          <w:szCs w:val="28"/>
        </w:rPr>
        <w:t>安全检查主要用于对过程的设计、装置条件、实际生产过程以及维修等进行详细检查，以识别可能存在的危险性和有害性的一种人们普遍使用的方法。安全检查法经常用于识别可能导致人员伤亡、财产损失等安全生产事故的装置条件或操作程序，该方法适用于生产工艺过程的各个阶段。</w:t>
      </w:r>
    </w:p>
    <w:p w14:paraId="582EE843">
      <w:pPr>
        <w:pStyle w:val="122"/>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Times New Roman" w:eastAsia="宋体" w:cs="宋体"/>
          <w:snapToGrid w:val="0"/>
          <w:color w:val="000000"/>
          <w:kern w:val="0"/>
          <w:sz w:val="28"/>
          <w:szCs w:val="28"/>
          <w:lang w:bidi="ar"/>
        </w:rPr>
      </w:pPr>
      <w:r>
        <w:rPr>
          <w:rFonts w:hint="eastAsia" w:ascii="宋体" w:hAnsi="Times New Roman" w:eastAsia="宋体" w:cs="宋体"/>
          <w:snapToGrid w:val="0"/>
          <w:color w:val="000000"/>
          <w:kern w:val="0"/>
          <w:sz w:val="28"/>
          <w:szCs w:val="28"/>
          <w:lang w:bidi="ar"/>
        </w:rPr>
        <w:t>作为普遍采用的一种评价方法，安全检查法具有直观、简便、实用和能定性发现事故隐患，督促人们采取有效的安全技术和管理措施，预防事故发生的特点。但是，安全检查法的效果常与安全检查组成员组成以及成员的个人素质、开展检查的方法和手段等因素有着密切的关系。</w:t>
      </w:r>
    </w:p>
    <w:p w14:paraId="165ADC07">
      <w:pPr>
        <w:pStyle w:val="122"/>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Times New Roman" w:eastAsia="宋体" w:cs="宋体"/>
          <w:snapToGrid w:val="0"/>
          <w:color w:val="000000"/>
          <w:kern w:val="0"/>
          <w:sz w:val="28"/>
          <w:szCs w:val="28"/>
          <w:lang w:val="en-US" w:eastAsia="zh-CN" w:bidi="ar"/>
        </w:rPr>
      </w:pPr>
      <w:r>
        <w:rPr>
          <w:rFonts w:hint="eastAsia" w:ascii="宋体" w:hAnsi="Times New Roman" w:eastAsia="宋体" w:cs="宋体"/>
          <w:snapToGrid w:val="0"/>
          <w:color w:val="000000"/>
          <w:kern w:val="0"/>
          <w:sz w:val="28"/>
          <w:szCs w:val="28"/>
          <w:lang w:bidi="ar"/>
        </w:rPr>
        <w:t>考虑到项目具有一般性，因此在本次安全评价中，主要是依据相关法律法规、技术标准、同类项目资料和事故案例等分析项目中的危险有害因素、审查建设项目的符合性并做出评价</w:t>
      </w:r>
      <w:r>
        <w:rPr>
          <w:rFonts w:hint="eastAsia" w:ascii="宋体" w:hAnsi="Times New Roman" w:eastAsia="宋体" w:cs="宋体"/>
          <w:snapToGrid w:val="0"/>
          <w:color w:val="000000"/>
          <w:kern w:val="0"/>
          <w:sz w:val="28"/>
          <w:szCs w:val="28"/>
          <w:lang w:eastAsia="zh-CN" w:bidi="ar"/>
        </w:rPr>
        <w:t>。</w:t>
      </w:r>
    </w:p>
    <w:p w14:paraId="11F6C2F2">
      <w:pPr>
        <w:pStyle w:val="122"/>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宋体" w:hAnsi="Times New Roman" w:eastAsia="宋体" w:cs="宋体"/>
          <w:snapToGrid w:val="0"/>
          <w:color w:val="000000"/>
          <w:kern w:val="0"/>
          <w:sz w:val="28"/>
          <w:szCs w:val="28"/>
          <w:lang w:bidi="ar"/>
        </w:rPr>
      </w:pPr>
      <w:r>
        <w:rPr>
          <w:rFonts w:ascii="宋体" w:hAnsi="Times New Roman" w:eastAsia="宋体" w:cs="宋体"/>
          <w:snapToGrid w:val="0"/>
          <w:color w:val="000000"/>
          <w:kern w:val="0"/>
          <w:sz w:val="28"/>
          <w:szCs w:val="28"/>
          <w:lang w:bidi="ar"/>
        </w:rPr>
        <w:t>【</w:t>
      </w:r>
      <w:r>
        <w:rPr>
          <w:rFonts w:hint="default" w:ascii="宋体" w:hAnsi="Times New Roman" w:eastAsia="宋体" w:cs="宋体"/>
          <w:snapToGrid w:val="0"/>
          <w:color w:val="000000"/>
          <w:kern w:val="0"/>
          <w:sz w:val="28"/>
          <w:szCs w:val="28"/>
          <w:lang w:bidi="ar"/>
        </w:rPr>
        <w:t>事故树分析法（FTA）</w:t>
      </w:r>
      <w:r>
        <w:rPr>
          <w:rFonts w:ascii="宋体" w:hAnsi="Times New Roman" w:eastAsia="宋体" w:cs="宋体"/>
          <w:snapToGrid w:val="0"/>
          <w:color w:val="000000"/>
          <w:kern w:val="0"/>
          <w:sz w:val="28"/>
          <w:szCs w:val="28"/>
          <w:lang w:bidi="ar"/>
        </w:rPr>
        <w:t>】</w:t>
      </w:r>
      <w:r>
        <w:rPr>
          <w:rFonts w:hint="default" w:ascii="宋体" w:hAnsi="Times New Roman" w:eastAsia="宋体" w:cs="宋体"/>
          <w:snapToGrid w:val="0"/>
          <w:color w:val="000000"/>
          <w:kern w:val="0"/>
          <w:sz w:val="28"/>
          <w:szCs w:val="28"/>
          <w:lang w:bidi="ar"/>
        </w:rPr>
        <w:t>：应用事故树分析法可以辨识导致事故的基本事件与人为失误的组合，可为人们提供设法避免或减少导致事故基本原因的线索，从而降低事故发生的可能性；可为导致灾害事故的种种因素及逻辑关系做出全面、简洁和形象的描述；便于查明系统内固有或潜在的各种危险因素，为施工、管理提供科学依据。使有关人员、作业人员全面了解和掌握各项防灾要点；便于进行逻辑运算，进行定性、定量分析和系统评价。</w:t>
      </w:r>
    </w:p>
    <w:p w14:paraId="5A319401">
      <w:pPr>
        <w:ind w:firstLine="560" w:firstLineChars="200"/>
        <w:rPr>
          <w:rFonts w:hint="default" w:ascii="Times New Roman" w:hAnsi="Times New Roman" w:cs="Times New Roman"/>
          <w:color w:val="auto"/>
          <w:sz w:val="28"/>
          <w:szCs w:val="28"/>
          <w:lang w:val="en-US" w:eastAsia="zh-CN"/>
        </w:rPr>
        <w:sectPr>
          <w:pgSz w:w="11905" w:h="16838"/>
          <w:pgMar w:top="1417" w:right="1134" w:bottom="1134" w:left="1587" w:header="850" w:footer="680" w:gutter="0"/>
          <w:pgNumType w:fmt="decimal"/>
          <w:cols w:space="0" w:num="1"/>
          <w:rtlGutter w:val="0"/>
          <w:docGrid w:type="lines" w:linePitch="386" w:charSpace="0"/>
        </w:sectPr>
      </w:pPr>
    </w:p>
    <w:p w14:paraId="5F29BCD7">
      <w:pPr>
        <w:pStyle w:val="3"/>
        <w:numPr>
          <w:ilvl w:val="0"/>
          <w:numId w:val="1"/>
        </w:numPr>
        <w:tabs>
          <w:tab w:val="left" w:pos="420"/>
        </w:tabs>
        <w:adjustRightInd w:val="0"/>
        <w:spacing w:before="120" w:after="120"/>
        <w:ind w:left="0"/>
        <w:rPr>
          <w:rFonts w:hint="eastAsia" w:ascii="宋体" w:cs="宋体"/>
          <w:color w:val="auto"/>
          <w:sz w:val="44"/>
          <w:szCs w:val="44"/>
        </w:rPr>
      </w:pPr>
      <w:bookmarkStart w:id="538" w:name="_Toc460364956"/>
      <w:bookmarkStart w:id="539" w:name="_Toc31370"/>
      <w:bookmarkStart w:id="540" w:name="_Toc47119953"/>
      <w:bookmarkStart w:id="541" w:name="_Toc47119811"/>
      <w:r>
        <w:rPr>
          <w:rFonts w:hint="eastAsia" w:ascii="宋体" w:cs="宋体"/>
          <w:color w:val="auto"/>
          <w:sz w:val="44"/>
          <w:szCs w:val="44"/>
        </w:rPr>
        <w:t>安全条件和安全生产条件分析</w:t>
      </w:r>
      <w:bookmarkEnd w:id="538"/>
      <w:r>
        <w:rPr>
          <w:rFonts w:hint="eastAsia" w:ascii="宋体" w:cs="宋体"/>
          <w:color w:val="auto"/>
          <w:sz w:val="44"/>
          <w:szCs w:val="44"/>
        </w:rPr>
        <w:t>结果</w:t>
      </w:r>
      <w:bookmarkEnd w:id="539"/>
      <w:bookmarkEnd w:id="540"/>
      <w:bookmarkEnd w:id="541"/>
    </w:p>
    <w:p w14:paraId="71109344">
      <w:pPr>
        <w:pStyle w:val="4"/>
        <w:spacing w:before="193"/>
        <w:jc w:val="left"/>
        <w:rPr>
          <w:rFonts w:hint="eastAsia" w:ascii="黑体" w:hAnsi="黑体" w:eastAsia="黑体" w:cs="黑体"/>
          <w:b/>
          <w:bCs w:val="0"/>
          <w:color w:val="auto"/>
          <w:sz w:val="36"/>
          <w:szCs w:val="36"/>
          <w:lang w:val="en-US" w:eastAsia="zh-CN"/>
        </w:rPr>
      </w:pPr>
      <w:bookmarkStart w:id="542" w:name="_Toc15615"/>
      <w:bookmarkStart w:id="543" w:name="_Toc460364957"/>
      <w:bookmarkStart w:id="544" w:name="_Toc47119812"/>
      <w:bookmarkStart w:id="545" w:name="_Toc47119954"/>
      <w:r>
        <w:rPr>
          <w:rFonts w:hint="eastAsia" w:ascii="黑体" w:hAnsi="黑体" w:eastAsia="黑体" w:cs="黑体"/>
          <w:b/>
          <w:bCs w:val="0"/>
          <w:color w:val="auto"/>
          <w:sz w:val="36"/>
          <w:szCs w:val="36"/>
          <w:lang w:val="en-US" w:eastAsia="zh-CN"/>
        </w:rPr>
        <w:t>项目安全条件分析评价结果</w:t>
      </w:r>
      <w:bookmarkEnd w:id="542"/>
    </w:p>
    <w:p w14:paraId="5B0B2835">
      <w:pPr>
        <w:pStyle w:val="380"/>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Times New Roman" w:hAnsi="Times New Roman" w:cs="Times New Roman"/>
          <w:snapToGrid w:val="0"/>
          <w:color w:val="000000"/>
        </w:rPr>
      </w:pPr>
      <w:r>
        <w:rPr>
          <w:rFonts w:hint="default" w:ascii="Times New Roman" w:hAnsi="Times New Roman" w:cs="Times New Roman"/>
          <w:snapToGrid w:val="0"/>
          <w:color w:val="000000"/>
        </w:rPr>
        <w:t>根据本报告附件3中“3.2.1外部安全条件单元分析评价”小节内容可知：</w:t>
      </w:r>
    </w:p>
    <w:p w14:paraId="1B3B23EC">
      <w:pPr>
        <w:keepNext w:val="0"/>
        <w:keepLines w:val="0"/>
        <w:pageBreakBefore w:val="0"/>
        <w:widowControl w:val="0"/>
        <w:numPr>
          <w:ilvl w:val="0"/>
          <w:numId w:val="24"/>
        </w:numPr>
        <w:tabs>
          <w:tab w:val="left" w:pos="0"/>
        </w:tabs>
        <w:kinsoku/>
        <w:wordWrap/>
        <w:overflowPunct/>
        <w:topLinePunct w:val="0"/>
        <w:autoSpaceDE/>
        <w:autoSpaceDN/>
        <w:bidi w:val="0"/>
        <w:adjustRightInd/>
        <w:snapToGrid w:val="0"/>
        <w:spacing w:line="360" w:lineRule="auto"/>
        <w:ind w:firstLine="560" w:firstLineChars="200"/>
        <w:textAlignment w:val="auto"/>
        <w:rPr>
          <w:rFonts w:hint="default" w:ascii="Times New Roman" w:hAnsi="Times New Roman" w:cs="Times New Roman"/>
          <w:color w:val="000000"/>
          <w:sz w:val="28"/>
          <w:szCs w:val="28"/>
        </w:rPr>
      </w:pPr>
      <w:r>
        <w:rPr>
          <w:rFonts w:hint="eastAsia" w:ascii="Times New Roman" w:hAnsi="Times New Roman" w:eastAsia="宋体" w:cs="Times New Roman"/>
          <w:color w:val="auto"/>
          <w:sz w:val="28"/>
          <w:szCs w:val="28"/>
          <w:lang w:val="en-US" w:eastAsia="zh-CN" w:bidi="ar-SA"/>
        </w:rPr>
        <w:t>项目建设程序符合《中华人民共和国安全生产法》（中华人民共和国主席令第88号）、《危险化学品建设项目安全监督管理办法》（国家安全生产监督管理总局令第45号）、《危险化学品输送管道安全管理规定》（国家安全生产监督管理总局令第79号修正）、《云南省危险化学品建设项目安全监督管理实施细则》（云南省安全生产监督管理局公告第32号）要求，符合国家、地方规划产业政策、发展规划和安全准入条件要求，该项目建设内容、规模与投资备案证上的内容、规模一致</w:t>
      </w:r>
      <w:r>
        <w:rPr>
          <w:rFonts w:hint="default" w:ascii="Times New Roman" w:hAnsi="Times New Roman" w:cs="Times New Roman"/>
          <w:snapToGrid w:val="0"/>
          <w:color w:val="000000"/>
          <w:kern w:val="0"/>
          <w:sz w:val="28"/>
          <w:szCs w:val="28"/>
        </w:rPr>
        <w:t>。</w:t>
      </w:r>
    </w:p>
    <w:p w14:paraId="3B5F2A70">
      <w:pPr>
        <w:keepNext w:val="0"/>
        <w:keepLines w:val="0"/>
        <w:pageBreakBefore w:val="0"/>
        <w:widowControl w:val="0"/>
        <w:numPr>
          <w:ilvl w:val="0"/>
          <w:numId w:val="24"/>
        </w:numPr>
        <w:tabs>
          <w:tab w:val="left" w:pos="0"/>
        </w:tabs>
        <w:kinsoku/>
        <w:wordWrap/>
        <w:overflowPunct/>
        <w:topLinePunct w:val="0"/>
        <w:autoSpaceDE/>
        <w:autoSpaceDN/>
        <w:bidi w:val="0"/>
        <w:adjustRightInd/>
        <w:snapToGrid w:val="0"/>
        <w:spacing w:line="360" w:lineRule="auto"/>
        <w:ind w:firstLine="560" w:firstLineChars="200"/>
        <w:textAlignment w:val="auto"/>
        <w:rPr>
          <w:rFonts w:hint="default" w:ascii="Times New Roman" w:hAnsi="Times New Roman" w:cs="Times New Roman"/>
          <w:snapToGrid w:val="0"/>
          <w:color w:val="000000"/>
          <w:kern w:val="0"/>
          <w:sz w:val="28"/>
          <w:szCs w:val="28"/>
        </w:rPr>
      </w:pPr>
      <w:r>
        <w:rPr>
          <w:rFonts w:hint="default" w:ascii="Times New Roman" w:hAnsi="Times New Roman" w:cs="Times New Roman"/>
          <w:snapToGrid w:val="0"/>
          <w:color w:val="000000"/>
          <w:kern w:val="0"/>
          <w:sz w:val="28"/>
          <w:szCs w:val="28"/>
          <w:lang w:eastAsia="zh-CN"/>
        </w:rPr>
        <w:t>本</w:t>
      </w:r>
      <w:r>
        <w:rPr>
          <w:rFonts w:hint="default" w:ascii="Times New Roman" w:hAnsi="Times New Roman" w:cs="Times New Roman"/>
          <w:snapToGrid w:val="0"/>
          <w:color w:val="000000"/>
          <w:kern w:val="0"/>
          <w:sz w:val="28"/>
          <w:szCs w:val="28"/>
        </w:rPr>
        <w:t>项目与周边环境相互间可能会造成一定的影响，正常情况下影响程度在可接受范围内。</w:t>
      </w:r>
    </w:p>
    <w:p w14:paraId="6D545DA4">
      <w:pPr>
        <w:keepNext w:val="0"/>
        <w:keepLines w:val="0"/>
        <w:pageBreakBefore w:val="0"/>
        <w:widowControl w:val="0"/>
        <w:numPr>
          <w:ilvl w:val="0"/>
          <w:numId w:val="24"/>
        </w:numPr>
        <w:tabs>
          <w:tab w:val="left" w:pos="0"/>
        </w:tabs>
        <w:kinsoku/>
        <w:wordWrap/>
        <w:overflowPunct/>
        <w:topLinePunct w:val="0"/>
        <w:autoSpaceDE/>
        <w:autoSpaceDN/>
        <w:bidi w:val="0"/>
        <w:adjustRightInd/>
        <w:snapToGrid w:val="0"/>
        <w:spacing w:line="360" w:lineRule="auto"/>
        <w:ind w:firstLine="560" w:firstLineChars="200"/>
        <w:textAlignment w:val="auto"/>
        <w:rPr>
          <w:rFonts w:hint="default" w:ascii="Times New Roman" w:hAnsi="Times New Roman" w:cs="Times New Roman"/>
          <w:snapToGrid w:val="0"/>
          <w:color w:val="000000"/>
          <w:kern w:val="0"/>
          <w:sz w:val="28"/>
          <w:szCs w:val="28"/>
          <w:lang w:eastAsia="zh-CN"/>
        </w:rPr>
      </w:pPr>
      <w:r>
        <w:rPr>
          <w:rFonts w:hint="default" w:ascii="Times New Roman" w:hAnsi="Times New Roman" w:cs="Times New Roman"/>
          <w:color w:val="000000"/>
          <w:sz w:val="28"/>
          <w:szCs w:val="28"/>
        </w:rPr>
        <w:t>当地自然条件对</w:t>
      </w:r>
      <w:r>
        <w:rPr>
          <w:rFonts w:hint="default" w:ascii="Times New Roman" w:hAnsi="Times New Roman" w:cs="Times New Roman"/>
          <w:color w:val="000000"/>
          <w:sz w:val="28"/>
          <w:szCs w:val="28"/>
          <w:lang w:eastAsia="zh-CN"/>
        </w:rPr>
        <w:t>本</w:t>
      </w:r>
      <w:r>
        <w:rPr>
          <w:rFonts w:hint="default" w:ascii="Times New Roman" w:hAnsi="Times New Roman" w:cs="Times New Roman"/>
          <w:color w:val="000000"/>
          <w:sz w:val="28"/>
          <w:szCs w:val="28"/>
        </w:rPr>
        <w:t>项目可能会造成一定的影响，在</w:t>
      </w:r>
      <w:r>
        <w:rPr>
          <w:rFonts w:hint="default" w:ascii="Times New Roman" w:hAnsi="Times New Roman" w:cs="Times New Roman"/>
          <w:color w:val="000000"/>
          <w:sz w:val="28"/>
          <w:szCs w:val="28"/>
          <w:lang w:val="en-US" w:eastAsia="zh-CN"/>
        </w:rPr>
        <w:t>安全生产管理</w:t>
      </w:r>
      <w:r>
        <w:rPr>
          <w:rFonts w:hint="default" w:ascii="Times New Roman" w:hAnsi="Times New Roman" w:cs="Times New Roman"/>
          <w:color w:val="000000"/>
          <w:sz w:val="28"/>
          <w:szCs w:val="28"/>
        </w:rPr>
        <w:t>过程中采纳并落实</w:t>
      </w:r>
      <w:r>
        <w:rPr>
          <w:rFonts w:hint="default" w:ascii="Times New Roman" w:hAnsi="Times New Roman" w:cs="Times New Roman"/>
          <w:color w:val="000000"/>
          <w:sz w:val="28"/>
          <w:szCs w:val="28"/>
          <w:lang w:eastAsia="zh-CN"/>
        </w:rPr>
        <w:t>安全验收评价报告</w:t>
      </w:r>
      <w:r>
        <w:rPr>
          <w:rFonts w:hint="default" w:ascii="Times New Roman" w:hAnsi="Times New Roman" w:cs="Times New Roman"/>
          <w:color w:val="000000"/>
          <w:sz w:val="28"/>
          <w:szCs w:val="28"/>
        </w:rPr>
        <w:t>中提出的安全防护技术措施，其影响程度可接受</w:t>
      </w:r>
      <w:r>
        <w:rPr>
          <w:rFonts w:hint="default" w:ascii="Times New Roman" w:hAnsi="Times New Roman" w:cs="Times New Roman"/>
          <w:snapToGrid w:val="0"/>
          <w:color w:val="000000"/>
          <w:kern w:val="0"/>
          <w:sz w:val="28"/>
          <w:szCs w:val="28"/>
          <w:lang w:eastAsia="zh-CN"/>
        </w:rPr>
        <w:t>。</w:t>
      </w:r>
    </w:p>
    <w:p w14:paraId="0EEE10F4">
      <w:pPr>
        <w:keepNext w:val="0"/>
        <w:keepLines w:val="0"/>
        <w:pageBreakBefore w:val="0"/>
        <w:widowControl w:val="0"/>
        <w:numPr>
          <w:ilvl w:val="0"/>
          <w:numId w:val="24"/>
        </w:numPr>
        <w:tabs>
          <w:tab w:val="left" w:pos="0"/>
        </w:tabs>
        <w:kinsoku/>
        <w:wordWrap/>
        <w:overflowPunct/>
        <w:topLinePunct w:val="0"/>
        <w:autoSpaceDE/>
        <w:autoSpaceDN/>
        <w:bidi w:val="0"/>
        <w:adjustRightInd/>
        <w:snapToGrid w:val="0"/>
        <w:spacing w:line="360" w:lineRule="auto"/>
        <w:ind w:firstLine="560" w:firstLineChars="200"/>
        <w:textAlignment w:val="auto"/>
        <w:rPr>
          <w:rFonts w:hint="default" w:ascii="Times New Roman" w:hAnsi="Times New Roman" w:cs="Times New Roman"/>
          <w:snapToGrid w:val="0"/>
          <w:color w:val="000000"/>
          <w:kern w:val="0"/>
          <w:sz w:val="28"/>
          <w:szCs w:val="28"/>
          <w:lang w:val="en-US" w:eastAsia="zh-CN"/>
        </w:rPr>
      </w:pPr>
      <w:r>
        <w:rPr>
          <w:rFonts w:hint="eastAsia" w:ascii="Times New Roman" w:hAnsi="Times New Roman" w:cs="Times New Roman"/>
          <w:snapToGrid w:val="0"/>
          <w:color w:val="000000"/>
          <w:kern w:val="0"/>
          <w:sz w:val="28"/>
          <w:szCs w:val="28"/>
          <w:lang w:val="en-US" w:eastAsia="zh-CN"/>
        </w:rPr>
        <w:t>本项目涉及的危险物质有浓硫酸、稀硫酸和氟硅酸，为非易燃易爆物质，不会引发火灾爆炸、</w:t>
      </w:r>
      <w:r>
        <w:rPr>
          <w:rFonts w:hint="default" w:ascii="Times New Roman" w:hAnsi="Times New Roman" w:cs="Times New Roman"/>
          <w:snapToGrid w:val="0"/>
          <w:color w:val="000000"/>
          <w:kern w:val="0"/>
          <w:sz w:val="28"/>
          <w:szCs w:val="28"/>
          <w:lang w:eastAsia="zh-CN"/>
        </w:rPr>
        <w:t>爆炸冲击波、热辐射及碎片</w:t>
      </w:r>
      <w:r>
        <w:rPr>
          <w:rFonts w:hint="eastAsia" w:ascii="Times New Roman" w:hAnsi="Times New Roman" w:cs="Times New Roman"/>
          <w:snapToGrid w:val="0"/>
          <w:color w:val="000000"/>
          <w:kern w:val="0"/>
          <w:sz w:val="28"/>
          <w:szCs w:val="28"/>
          <w:lang w:eastAsia="zh-CN"/>
        </w:rPr>
        <w:t>，</w:t>
      </w:r>
      <w:r>
        <w:rPr>
          <w:rFonts w:hint="eastAsia" w:ascii="Times New Roman" w:hAnsi="Times New Roman" w:cs="Times New Roman"/>
          <w:snapToGrid w:val="0"/>
          <w:color w:val="000000"/>
          <w:kern w:val="0"/>
          <w:sz w:val="28"/>
          <w:szCs w:val="28"/>
          <w:lang w:val="en-US" w:eastAsia="zh-CN"/>
        </w:rPr>
        <w:t>不会对周边危险源引发多米诺效应。</w:t>
      </w:r>
    </w:p>
    <w:p w14:paraId="694D00CF">
      <w:pPr>
        <w:keepNext w:val="0"/>
        <w:keepLines w:val="0"/>
        <w:pageBreakBefore w:val="0"/>
        <w:widowControl w:val="0"/>
        <w:numPr>
          <w:ilvl w:val="0"/>
          <w:numId w:val="24"/>
        </w:numPr>
        <w:tabs>
          <w:tab w:val="left" w:pos="0"/>
        </w:tabs>
        <w:kinsoku/>
        <w:wordWrap/>
        <w:overflowPunct/>
        <w:topLinePunct w:val="0"/>
        <w:autoSpaceDE/>
        <w:autoSpaceDN/>
        <w:bidi w:val="0"/>
        <w:adjustRightInd/>
        <w:snapToGrid w:val="0"/>
        <w:spacing w:line="360" w:lineRule="auto"/>
        <w:ind w:firstLine="560" w:firstLineChars="200"/>
        <w:textAlignment w:val="auto"/>
        <w:rPr>
          <w:rFonts w:hint="eastAsia" w:ascii="Times New Roman" w:hAnsi="Times New Roman" w:cs="Times New Roman"/>
          <w:snapToGrid w:val="0"/>
          <w:color w:val="000000"/>
          <w:kern w:val="0"/>
          <w:sz w:val="28"/>
          <w:szCs w:val="28"/>
          <w:lang w:val="en-US" w:eastAsia="zh-CN"/>
        </w:rPr>
      </w:pPr>
      <w:r>
        <w:rPr>
          <w:rFonts w:hint="eastAsia" w:ascii="Times New Roman" w:hAnsi="Times New Roman" w:cs="Times New Roman"/>
          <w:snapToGrid w:val="0"/>
          <w:color w:val="000000"/>
          <w:kern w:val="0"/>
          <w:sz w:val="28"/>
          <w:szCs w:val="28"/>
          <w:lang w:val="en-US" w:eastAsia="zh-CN"/>
        </w:rPr>
        <w:t>根据《云南安宁产业园区草铺化工园区 (含禄脿片区)整体性安全风险评估报告》中的内容，若周边危险源发生物理爆炸冲击波不会对本项目管廊管道导致链式反应，不会产生多米诺效应。但本项目</w:t>
      </w:r>
      <w:r>
        <w:rPr>
          <w:rFonts w:hint="eastAsia" w:ascii="Times New Roman" w:cs="Times New Roman"/>
          <w:snapToGrid w:val="0"/>
          <w:color w:val="000000"/>
          <w:kern w:val="0"/>
          <w:sz w:val="28"/>
          <w:szCs w:val="28"/>
          <w:lang w:val="en-US" w:eastAsia="zh-CN"/>
        </w:rPr>
        <w:t>管架E74-E93</w:t>
      </w:r>
      <w:r>
        <w:rPr>
          <w:rFonts w:hint="eastAsia" w:ascii="Times New Roman" w:hAnsi="Times New Roman" w:cs="Times New Roman"/>
          <w:snapToGrid w:val="0"/>
          <w:color w:val="000000"/>
          <w:kern w:val="0"/>
          <w:sz w:val="28"/>
          <w:szCs w:val="28"/>
          <w:lang w:val="en-US" w:eastAsia="zh-CN"/>
        </w:rPr>
        <w:t>段距离云南祥丰石化有限公司液氨球罐最近距离62m，在液氨球罐物理爆炸多米诺半径（120m）范围内，云南祥丰石化有限公司液氨球罐发生爆炸可能造成本项目管廊损坏，导致管廊输送的物料泄漏。</w:t>
      </w:r>
    </w:p>
    <w:p w14:paraId="3C0C2399">
      <w:pPr>
        <w:keepNext w:val="0"/>
        <w:keepLines w:val="0"/>
        <w:pageBreakBefore w:val="0"/>
        <w:widowControl w:val="0"/>
        <w:numPr>
          <w:ilvl w:val="0"/>
          <w:numId w:val="24"/>
        </w:numPr>
        <w:tabs>
          <w:tab w:val="left" w:pos="0"/>
        </w:tabs>
        <w:kinsoku/>
        <w:wordWrap/>
        <w:overflowPunct/>
        <w:topLinePunct w:val="0"/>
        <w:autoSpaceDE/>
        <w:autoSpaceDN/>
        <w:bidi w:val="0"/>
        <w:adjustRightInd/>
        <w:snapToGrid w:val="0"/>
        <w:spacing w:line="360" w:lineRule="auto"/>
        <w:ind w:firstLine="560" w:firstLineChars="200"/>
        <w:textAlignment w:val="auto"/>
        <w:rPr>
          <w:rFonts w:hint="eastAsia" w:ascii="Times New Roman" w:hAnsi="Times New Roman" w:eastAsia="宋体" w:cs="Times New Roman"/>
          <w:snapToGrid w:val="0"/>
          <w:color w:val="000000"/>
          <w:kern w:val="0"/>
          <w:sz w:val="28"/>
          <w:szCs w:val="28"/>
          <w:lang w:val="en-US" w:eastAsia="zh-CN"/>
        </w:rPr>
      </w:pPr>
      <w:r>
        <w:rPr>
          <w:rFonts w:hint="eastAsia" w:ascii="Times New Roman" w:hAnsi="Times New Roman" w:eastAsia="宋体" w:cs="Times New Roman"/>
          <w:snapToGrid w:val="0"/>
          <w:color w:val="000000"/>
          <w:kern w:val="0"/>
          <w:sz w:val="28"/>
          <w:szCs w:val="28"/>
          <w:lang w:val="en-US" w:eastAsia="zh-CN"/>
        </w:rPr>
        <w:t>本项目物料输送过程不涉及列入《危险化学品目录》及《危险化学品分类信息表》中的爆炸物，以及毒性气体、易燃气体且构成危险化学品重大危险源的情况。不须采用事故后果法、定量风险评价方法确定外部安全防护距离，外部安全防护距离应满足相关标准规范的距离要求；本项目管廊的外部安全防护距离应满足相关标准规范的距离要求，执行《化工园区公共管廊管理规程》（GB/T 36762-2018）、《工业企业总平面设计规范》（GB50187-2012）、《石油化工企业设计防火标准》（GB50160-2008，2018年版）等标准规范的距离要求。</w:t>
      </w:r>
    </w:p>
    <w:p w14:paraId="033876C1">
      <w:pPr>
        <w:keepNext w:val="0"/>
        <w:keepLines w:val="0"/>
        <w:pageBreakBefore w:val="0"/>
        <w:widowControl w:val="0"/>
        <w:numPr>
          <w:ilvl w:val="0"/>
          <w:numId w:val="24"/>
        </w:numPr>
        <w:tabs>
          <w:tab w:val="left" w:pos="0"/>
        </w:tabs>
        <w:kinsoku/>
        <w:wordWrap/>
        <w:overflowPunct/>
        <w:topLinePunct w:val="0"/>
        <w:autoSpaceDE/>
        <w:autoSpaceDN/>
        <w:bidi w:val="0"/>
        <w:adjustRightInd/>
        <w:snapToGrid w:val="0"/>
        <w:spacing w:line="360" w:lineRule="auto"/>
        <w:ind w:firstLine="560" w:firstLineChars="200"/>
        <w:textAlignment w:val="auto"/>
        <w:rPr>
          <w:rFonts w:hint="default" w:ascii="Times New Roman" w:hAnsi="Times New Roman" w:eastAsia="宋体" w:cs="Times New Roman"/>
          <w:snapToGrid w:val="0"/>
          <w:color w:val="000000"/>
          <w:kern w:val="0"/>
          <w:sz w:val="28"/>
          <w:szCs w:val="28"/>
          <w:lang w:val="en-US" w:eastAsia="zh-CN"/>
        </w:rPr>
      </w:pPr>
      <w:r>
        <w:rPr>
          <w:rFonts w:hint="default" w:ascii="Times New Roman" w:hAnsi="Times New Roman" w:eastAsia="宋体" w:cs="Times New Roman"/>
          <w:snapToGrid w:val="0"/>
          <w:color w:val="000000"/>
          <w:kern w:val="0"/>
          <w:sz w:val="28"/>
          <w:szCs w:val="28"/>
          <w:lang w:val="en-US" w:eastAsia="zh-CN"/>
        </w:rPr>
        <w:t>本项目的个人风险及社会风险在可接受范围内。</w:t>
      </w:r>
    </w:p>
    <w:p w14:paraId="7D070B93">
      <w:pPr>
        <w:keepNext w:val="0"/>
        <w:keepLines w:val="0"/>
        <w:pageBreakBefore w:val="0"/>
        <w:widowControl w:val="0"/>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Cs w:val="28"/>
          <w:lang w:eastAsia="zh-CN"/>
        </w:rPr>
      </w:pPr>
      <w:r>
        <w:rPr>
          <w:rFonts w:hint="eastAsia" w:ascii="宋体" w:hAnsi="宋体" w:eastAsia="宋体" w:cs="宋体"/>
          <w:color w:val="auto"/>
          <w:szCs w:val="28"/>
        </w:rPr>
        <w:t>本项目与相邻工厂或设施的防火间距、总平面布置防火间距符合《化工园区公共管廊管理规程》（GB/T 36762-2018）、《工业企业总平面设计规范》（GB50187-2012）</w:t>
      </w:r>
      <w:r>
        <w:rPr>
          <w:rFonts w:hint="eastAsia" w:ascii="宋体" w:hAnsi="宋体" w:eastAsia="宋体" w:cs="宋体"/>
          <w:color w:val="auto"/>
          <w:szCs w:val="28"/>
          <w:lang w:eastAsia="zh-CN"/>
        </w:rPr>
        <w:t>、</w:t>
      </w:r>
      <w:r>
        <w:rPr>
          <w:rFonts w:hint="eastAsia" w:ascii="宋体" w:hAnsi="宋体" w:eastAsia="宋体" w:cs="宋体"/>
          <w:color w:val="auto"/>
          <w:szCs w:val="28"/>
        </w:rPr>
        <w:t>《石油化工企业设计防火标准》（GB50160-2008,2018年版）的规定，外部安全防护距离满足相关标准规范的距离要求</w:t>
      </w:r>
      <w:r>
        <w:rPr>
          <w:rFonts w:hint="eastAsia" w:ascii="宋体" w:hAnsi="宋体" w:eastAsia="宋体" w:cs="宋体"/>
          <w:color w:val="auto"/>
          <w:szCs w:val="28"/>
          <w:lang w:eastAsia="zh-CN"/>
        </w:rPr>
        <w:t>。</w:t>
      </w:r>
    </w:p>
    <w:p w14:paraId="068ECAC0">
      <w:pPr>
        <w:pStyle w:val="4"/>
        <w:spacing w:before="193"/>
        <w:jc w:val="left"/>
        <w:rPr>
          <w:rFonts w:hint="eastAsia" w:ascii="黑体" w:hAnsi="黑体" w:eastAsia="黑体" w:cs="黑体"/>
          <w:b/>
          <w:bCs w:val="0"/>
          <w:color w:val="auto"/>
          <w:sz w:val="36"/>
          <w:szCs w:val="36"/>
          <w:lang w:val="en-US" w:eastAsia="zh-CN"/>
        </w:rPr>
      </w:pPr>
      <w:bookmarkStart w:id="546" w:name="_bookmark114"/>
      <w:bookmarkEnd w:id="546"/>
      <w:bookmarkStart w:id="547" w:name="_Toc901"/>
      <w:r>
        <w:rPr>
          <w:rFonts w:hint="eastAsia" w:ascii="黑体" w:hAnsi="黑体" w:eastAsia="黑体" w:cs="黑体"/>
          <w:b/>
          <w:bCs w:val="0"/>
          <w:color w:val="auto"/>
          <w:sz w:val="36"/>
          <w:szCs w:val="36"/>
          <w:lang w:val="en-US" w:eastAsia="zh-CN"/>
        </w:rPr>
        <w:t>项目安全生产条件</w:t>
      </w:r>
      <w:bookmarkEnd w:id="543"/>
      <w:bookmarkEnd w:id="544"/>
      <w:bookmarkEnd w:id="545"/>
      <w:r>
        <w:rPr>
          <w:rFonts w:hint="eastAsia" w:ascii="黑体" w:hAnsi="黑体" w:eastAsia="黑体" w:cs="黑体"/>
          <w:b/>
          <w:bCs w:val="0"/>
          <w:color w:val="auto"/>
          <w:sz w:val="36"/>
          <w:szCs w:val="36"/>
          <w:lang w:val="en-US" w:eastAsia="zh-CN"/>
        </w:rPr>
        <w:t>分析评价结果</w:t>
      </w:r>
      <w:bookmarkEnd w:id="547"/>
    </w:p>
    <w:p w14:paraId="12D7DB07">
      <w:pPr>
        <w:pStyle w:val="5"/>
        <w:numPr>
          <w:ilvl w:val="2"/>
          <w:numId w:val="1"/>
        </w:numPr>
        <w:adjustRightInd w:val="0"/>
        <w:spacing w:before="120" w:after="120"/>
        <w:jc w:val="both"/>
        <w:rPr>
          <w:rFonts w:hint="eastAsia" w:ascii="Times New Roman" w:hAnsi="Times New Roman" w:eastAsia="黑体" w:cs="Times New Roman"/>
          <w:snapToGrid w:val="0"/>
          <w:color w:val="000000"/>
          <w:kern w:val="0"/>
          <w:sz w:val="32"/>
          <w:lang w:val="en-US" w:eastAsia="zh-CN"/>
        </w:rPr>
      </w:pPr>
      <w:bookmarkStart w:id="548" w:name="_Toc11061"/>
      <w:r>
        <w:rPr>
          <w:rFonts w:hint="eastAsia" w:ascii="Times New Roman" w:hAnsi="Times New Roman" w:cs="Times New Roman"/>
          <w:snapToGrid w:val="0"/>
          <w:color w:val="000000"/>
          <w:kern w:val="0"/>
          <w:sz w:val="32"/>
          <w:lang w:val="en-US" w:eastAsia="zh-CN"/>
        </w:rPr>
        <w:t>选址及总平面布置</w:t>
      </w:r>
      <w:r>
        <w:rPr>
          <w:rFonts w:hint="eastAsia" w:ascii="Times New Roman" w:hAnsi="Times New Roman" w:eastAsia="黑体" w:cs="Times New Roman"/>
          <w:snapToGrid w:val="0"/>
          <w:color w:val="000000"/>
          <w:kern w:val="0"/>
          <w:sz w:val="32"/>
          <w:lang w:val="en-US" w:eastAsia="zh-CN"/>
        </w:rPr>
        <w:t>分析评价</w:t>
      </w:r>
      <w:bookmarkEnd w:id="548"/>
    </w:p>
    <w:p w14:paraId="5D3FD8F5">
      <w:pPr>
        <w:ind w:firstLine="560" w:firstLineChars="200"/>
        <w:rPr>
          <w:rFonts w:hint="eastAsia" w:ascii="宋体" w:hAnsi="宋体" w:eastAsia="宋体" w:cs="宋体"/>
          <w:color w:val="auto"/>
          <w:szCs w:val="28"/>
        </w:rPr>
      </w:pPr>
      <w:r>
        <w:rPr>
          <w:rFonts w:hint="eastAsia" w:ascii="宋体" w:hAnsi="宋体" w:eastAsia="宋体" w:cs="宋体"/>
          <w:color w:val="auto"/>
          <w:szCs w:val="28"/>
        </w:rPr>
        <w:t>云南瓮福祥丰氟硅新材料有限公司3万吨/年无水氟化氢和2万吨/年电子级氢氟酸厂外公用工程管架建设项目外管廊与其它建筑物的防火间距符合《化工园区公共管廊管理规程》（GB/T 36762-2018）、《工业企业总平面设计规范》（GB50187-2012）、《化工企业总图运输设计规范》（GB50489-2009）、《石油化工厂际管道工程技术标准》（GB/T 51359-2019）、《石油化工企业设计防火标准》（GB50160-2008,2018年版）、《危险化学品输送管道安全管理规定》（国家安全生产监督管理总局令第79号修正），符合当地政府总体规划。</w:t>
      </w:r>
    </w:p>
    <w:p w14:paraId="38D7B6FD">
      <w:pPr>
        <w:ind w:firstLine="560" w:firstLineChars="200"/>
        <w:rPr>
          <w:rFonts w:hint="eastAsia" w:ascii="宋体" w:hAnsi="宋体" w:eastAsia="宋体" w:cs="宋体"/>
          <w:color w:val="auto"/>
          <w:szCs w:val="28"/>
        </w:rPr>
      </w:pPr>
      <w:r>
        <w:rPr>
          <w:rFonts w:hint="eastAsia" w:ascii="宋体" w:hAnsi="宋体" w:eastAsia="宋体" w:cs="宋体"/>
          <w:color w:val="auto"/>
          <w:szCs w:val="28"/>
        </w:rPr>
        <w:t>本项目总平面布置符合相关法律、法规、标准和规范要求。布局连续紧凑，顺畅合理，满足生产工艺流程。</w:t>
      </w:r>
    </w:p>
    <w:p w14:paraId="21DF810D">
      <w:pPr>
        <w:ind w:firstLine="560" w:firstLineChars="200"/>
        <w:rPr>
          <w:rFonts w:hint="eastAsia" w:ascii="宋体" w:hAnsi="宋体" w:eastAsia="宋体" w:cs="宋体"/>
          <w:color w:val="auto"/>
          <w:szCs w:val="28"/>
          <w:lang w:val="en-US" w:eastAsia="zh-CN"/>
        </w:rPr>
      </w:pPr>
      <w:r>
        <w:rPr>
          <w:rFonts w:hint="eastAsia" w:ascii="宋体" w:hAnsi="宋体" w:eastAsia="宋体" w:cs="宋体"/>
          <w:color w:val="auto"/>
          <w:szCs w:val="28"/>
          <w:lang w:val="en-US" w:eastAsia="zh-CN"/>
        </w:rPr>
        <w:t>目所在地与《危险化学品安全管理条例》所规定的八个方面场所、区域的安全距离符合要求，建设项目符合现行的产业政策、能源政策、土地政策、行业准入制度，符合当地政府工业布局和区域规划要求。</w:t>
      </w:r>
    </w:p>
    <w:p w14:paraId="4714A91E">
      <w:pPr>
        <w:pStyle w:val="5"/>
        <w:numPr>
          <w:ilvl w:val="2"/>
          <w:numId w:val="1"/>
        </w:numPr>
        <w:adjustRightInd w:val="0"/>
        <w:spacing w:before="120" w:after="120"/>
        <w:jc w:val="both"/>
        <w:rPr>
          <w:rFonts w:hint="eastAsia" w:ascii="Times New Roman" w:hAnsi="Times New Roman" w:eastAsia="黑体" w:cs="Times New Roman"/>
          <w:snapToGrid w:val="0"/>
          <w:color w:val="000000"/>
          <w:kern w:val="0"/>
          <w:sz w:val="32"/>
          <w:lang w:val="en-US" w:eastAsia="zh-CN"/>
        </w:rPr>
      </w:pPr>
      <w:bookmarkStart w:id="549" w:name="_Toc521333370"/>
      <w:bookmarkStart w:id="550" w:name="_Toc109325102"/>
      <w:bookmarkStart w:id="551" w:name="_Toc10264"/>
      <w:bookmarkStart w:id="552" w:name="_Toc6481"/>
      <w:bookmarkStart w:id="553" w:name="_Toc404859801"/>
      <w:bookmarkStart w:id="554" w:name="_Toc6977"/>
      <w:bookmarkStart w:id="555" w:name="_Toc5004"/>
      <w:bookmarkStart w:id="556" w:name="_Toc261001897"/>
      <w:bookmarkStart w:id="557" w:name="_Toc16231"/>
      <w:r>
        <w:rPr>
          <w:rFonts w:hint="eastAsia" w:ascii="Times New Roman" w:hAnsi="Times New Roman" w:cs="Times New Roman"/>
          <w:snapToGrid w:val="0"/>
          <w:color w:val="000000"/>
          <w:kern w:val="0"/>
          <w:sz w:val="32"/>
          <w:lang w:val="en-US" w:eastAsia="zh-CN"/>
        </w:rPr>
        <w:t>工艺及装置</w:t>
      </w:r>
      <w:r>
        <w:rPr>
          <w:rFonts w:hint="eastAsia" w:ascii="Times New Roman" w:hAnsi="Times New Roman" w:eastAsia="黑体" w:cs="Times New Roman"/>
          <w:snapToGrid w:val="0"/>
          <w:color w:val="000000"/>
          <w:kern w:val="0"/>
          <w:sz w:val="32"/>
          <w:lang w:val="en-US" w:eastAsia="zh-CN"/>
        </w:rPr>
        <w:t>分析评价</w:t>
      </w:r>
      <w:bookmarkEnd w:id="549"/>
      <w:bookmarkEnd w:id="550"/>
      <w:bookmarkEnd w:id="551"/>
      <w:bookmarkEnd w:id="552"/>
      <w:bookmarkEnd w:id="553"/>
      <w:bookmarkEnd w:id="554"/>
      <w:bookmarkEnd w:id="555"/>
    </w:p>
    <w:p w14:paraId="1288F074">
      <w:pPr>
        <w:ind w:firstLine="560" w:firstLineChars="200"/>
        <w:rPr>
          <w:rFonts w:hAnsi="宋体"/>
          <w:color w:val="auto"/>
          <w:szCs w:val="28"/>
        </w:rPr>
      </w:pPr>
      <w:r>
        <w:rPr>
          <w:rFonts w:hint="eastAsia" w:hAnsi="宋体"/>
          <w:color w:val="auto"/>
          <w:szCs w:val="28"/>
          <w:lang w:val="en-US" w:eastAsia="zh-CN"/>
        </w:rPr>
        <w:t>1、</w:t>
      </w:r>
      <w:r>
        <w:rPr>
          <w:rFonts w:hint="eastAsia" w:hAnsi="宋体"/>
          <w:color w:val="auto"/>
          <w:szCs w:val="28"/>
        </w:rPr>
        <w:t>根据《淘汰落后危险化学品安全生产技术工艺设备目录（第一批）》（应急厅〔2020〕38号）、《淘汰落后安全技术工艺、设备目录（2016年）》（安监总科技〔2016〕137号）、《淘汰落后安全技术装备目录（2015年第一批）》（安监总科技〔2015〕75号），本项目不涉及淘汰工艺、淘汰设备。</w:t>
      </w:r>
    </w:p>
    <w:p w14:paraId="54105364">
      <w:pPr>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本项目为管架及附属设施，不涉及生产装置和储存设施，不涉及工艺反应。本项目物料输送采用加压方式输送，脱盐水、工艺水、生活水、消防水及饱和蒸汽原有管网带压，不需要设置输送泵。属于工业上常用的输送技术，技术安全可靠。项目设计文件</w:t>
      </w:r>
      <w:r>
        <w:rPr>
          <w:rFonts w:hint="eastAsia" w:ascii="Times New Roman" w:cs="宋体"/>
          <w:color w:val="auto"/>
          <w:sz w:val="28"/>
          <w:szCs w:val="28"/>
          <w:lang w:eastAsia="zh-CN"/>
        </w:rPr>
        <w:t>、</w:t>
      </w:r>
      <w:r>
        <w:rPr>
          <w:rFonts w:hint="eastAsia" w:ascii="Times New Roman" w:cs="宋体"/>
          <w:color w:val="auto"/>
          <w:sz w:val="28"/>
          <w:szCs w:val="28"/>
          <w:lang w:val="en-US" w:eastAsia="zh-CN"/>
        </w:rPr>
        <w:t>施工资料</w:t>
      </w:r>
      <w:r>
        <w:rPr>
          <w:rFonts w:hint="eastAsia" w:ascii="Times New Roman" w:hAnsi="Times New Roman" w:eastAsia="宋体" w:cs="宋体"/>
          <w:color w:val="auto"/>
          <w:sz w:val="28"/>
          <w:szCs w:val="28"/>
        </w:rPr>
        <w:t>对安装工艺、焊接工艺、结构工艺等提出了比较详尽的要求，符合国家有关标准的要求。</w:t>
      </w:r>
    </w:p>
    <w:p w14:paraId="315341F6">
      <w:pPr>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项目采用加压方式输送，不属于首次开发工艺技术，本项目不涉及淘汰落后工艺技术及设备，不属于金属有机物合成反应的间歇和半间歇的精细化工反应</w:t>
      </w:r>
      <w:r>
        <w:rPr>
          <w:rFonts w:hint="eastAsia" w:ascii="Times New Roman" w:hAnsi="Times New Roman" w:eastAsia="宋体" w:cs="宋体"/>
          <w:color w:val="auto"/>
          <w:sz w:val="28"/>
          <w:szCs w:val="28"/>
          <w:lang w:eastAsia="zh-CN"/>
        </w:rPr>
        <w:t>，</w:t>
      </w:r>
      <w:r>
        <w:rPr>
          <w:rFonts w:hint="eastAsia" w:ascii="Times New Roman" w:hAnsi="Times New Roman" w:eastAsia="宋体" w:cs="宋体"/>
          <w:color w:val="auto"/>
          <w:sz w:val="28"/>
          <w:szCs w:val="28"/>
          <w:lang w:val="en-US" w:eastAsia="zh-CN"/>
        </w:rPr>
        <w:t>管道材料选择符合《</w:t>
      </w:r>
      <w:r>
        <w:rPr>
          <w:rFonts w:hint="eastAsia" w:ascii="Times New Roman" w:hAnsi="Times New Roman" w:eastAsia="宋体" w:cs="宋体"/>
          <w:color w:val="auto"/>
          <w:sz w:val="28"/>
          <w:szCs w:val="28"/>
        </w:rPr>
        <w:t>压力管道规范 工业管道 第 2 部分:材料》（GB/T20801.2-2020）</w:t>
      </w:r>
      <w:r>
        <w:rPr>
          <w:rFonts w:hint="eastAsia" w:ascii="Times New Roman" w:hAnsi="Times New Roman" w:eastAsia="宋体" w:cs="宋体"/>
          <w:color w:val="auto"/>
          <w:sz w:val="28"/>
          <w:szCs w:val="28"/>
          <w:lang w:val="en-US" w:eastAsia="zh-CN"/>
        </w:rPr>
        <w:t>的相关要求</w:t>
      </w:r>
      <w:r>
        <w:rPr>
          <w:rFonts w:hint="eastAsia" w:ascii="Times New Roman" w:hAnsi="Times New Roman" w:eastAsia="宋体" w:cs="宋体"/>
          <w:color w:val="auto"/>
          <w:sz w:val="28"/>
          <w:szCs w:val="28"/>
        </w:rPr>
        <w:t>。</w:t>
      </w:r>
    </w:p>
    <w:p w14:paraId="634D0263">
      <w:pPr>
        <w:ind w:firstLine="560" w:firstLineChars="200"/>
        <w:rPr>
          <w:rFonts w:hint="eastAsia" w:hAnsi="宋体"/>
          <w:color w:val="auto"/>
          <w:szCs w:val="28"/>
        </w:rPr>
      </w:pPr>
      <w:r>
        <w:rPr>
          <w:rFonts w:hint="eastAsia" w:hAnsi="宋体"/>
          <w:color w:val="auto"/>
          <w:szCs w:val="28"/>
          <w:lang w:val="en-US" w:eastAsia="zh-CN"/>
        </w:rPr>
        <w:t>2、由“附件3.2.3第2条</w:t>
      </w:r>
      <w:r>
        <w:rPr>
          <w:rFonts w:hint="default" w:hAnsi="宋体"/>
          <w:color w:val="auto"/>
          <w:szCs w:val="28"/>
          <w:lang w:val="en-US" w:eastAsia="zh-CN"/>
        </w:rPr>
        <w:t xml:space="preserve"> </w:t>
      </w:r>
      <w:r>
        <w:rPr>
          <w:rFonts w:hint="eastAsia" w:hAnsi="宋体"/>
          <w:color w:val="auto"/>
          <w:szCs w:val="28"/>
          <w:lang w:val="en-US" w:eastAsia="zh-CN"/>
        </w:rPr>
        <w:t>酸灼伤事故树分析”的结果可知：项目酸灼伤事故共有</w:t>
      </w:r>
      <w:r>
        <w:rPr>
          <w:rFonts w:hint="default" w:hAnsi="宋体"/>
          <w:color w:val="auto"/>
          <w:szCs w:val="28"/>
          <w:lang w:val="en-US" w:eastAsia="zh-CN"/>
        </w:rPr>
        <w:t>21</w:t>
      </w:r>
      <w:r>
        <w:rPr>
          <w:rFonts w:hint="eastAsia" w:hAnsi="宋体"/>
          <w:color w:val="auto"/>
          <w:szCs w:val="28"/>
          <w:lang w:val="en-US" w:eastAsia="zh-CN"/>
        </w:rPr>
        <w:t>组最小割集，即发生酸灼伤事故共有</w:t>
      </w:r>
      <w:r>
        <w:rPr>
          <w:rFonts w:hint="default" w:hAnsi="宋体"/>
          <w:color w:val="auto"/>
          <w:szCs w:val="28"/>
          <w:lang w:val="en-US" w:eastAsia="zh-CN"/>
        </w:rPr>
        <w:t>21</w:t>
      </w:r>
      <w:r>
        <w:rPr>
          <w:rFonts w:hint="eastAsia" w:hAnsi="宋体"/>
          <w:color w:val="auto"/>
          <w:szCs w:val="28"/>
          <w:lang w:val="en-US" w:eastAsia="zh-CN"/>
        </w:rPr>
        <w:t>种途径，只要最小割集中的原因事件都发生时便可导致事故的发生。另外，</w:t>
      </w:r>
      <w:r>
        <w:rPr>
          <w:rFonts w:hint="default" w:hAnsi="宋体"/>
          <w:color w:val="auto"/>
          <w:szCs w:val="28"/>
          <w:lang w:val="en-US" w:eastAsia="zh-CN"/>
        </w:rPr>
        <w:t>X</w:t>
      </w:r>
      <w:r>
        <w:rPr>
          <w:rFonts w:hint="default" w:hAnsi="宋体"/>
          <w:color w:val="auto"/>
          <w:szCs w:val="28"/>
          <w:vertAlign w:val="subscript"/>
          <w:lang w:val="en-US" w:eastAsia="zh-CN"/>
        </w:rPr>
        <w:t>1</w:t>
      </w:r>
      <w:r>
        <w:rPr>
          <w:rFonts w:hint="eastAsia" w:hAnsi="宋体"/>
          <w:color w:val="auto"/>
          <w:szCs w:val="28"/>
          <w:lang w:val="en-US" w:eastAsia="zh-CN"/>
        </w:rPr>
        <w:t xml:space="preserve">在各原因事件发生概率相同的情况下，对顶上事件即酸灼伤事故的影响程度最大，即若要控制灼伤事故发生，必须防止酸泄漏，而且还应设置有效的洗眼器以及冲淋设施，且不能缺水。 </w:t>
      </w:r>
    </w:p>
    <w:p w14:paraId="29555903">
      <w:pPr>
        <w:ind w:firstLine="560" w:firstLineChars="200"/>
        <w:rPr>
          <w:rFonts w:hint="eastAsia" w:hAnsi="宋体"/>
          <w:color w:val="auto"/>
          <w:szCs w:val="28"/>
          <w:lang w:val="en-US" w:eastAsia="zh-CN"/>
        </w:rPr>
      </w:pPr>
      <w:r>
        <w:rPr>
          <w:rFonts w:hint="eastAsia" w:hAnsi="宋体"/>
          <w:color w:val="auto"/>
          <w:szCs w:val="28"/>
          <w:lang w:val="en-US" w:eastAsia="zh-CN"/>
        </w:rPr>
        <w:t>由于引发管道泄漏事故的原因较分散，遍布在设计、选材、施工、安装、运行管理等各个环节，其防范困难较大。因此，企业</w:t>
      </w:r>
      <w:r>
        <w:rPr>
          <w:rFonts w:hint="eastAsia"/>
        </w:rPr>
        <w:t>为防止超压、泄漏，浓硫酸的输送管道采用不锈钢材质，弯头采用钢衬PTFE材质，阀</w:t>
      </w:r>
      <w:r>
        <w:rPr>
          <w:rFonts w:hint="eastAsia"/>
          <w:lang w:val="en-US" w:eastAsia="zh-CN"/>
        </w:rPr>
        <w:t xml:space="preserve"> </w:t>
      </w:r>
      <w:r>
        <w:rPr>
          <w:rFonts w:hint="eastAsia"/>
        </w:rPr>
        <w:t>门选用密封性能好的不锈钢球阀，输送泵选型磁力泵。</w:t>
      </w:r>
      <w:r>
        <w:rPr>
          <w:rFonts w:hint="eastAsia" w:hAnsi="宋体"/>
          <w:color w:val="auto"/>
          <w:szCs w:val="28"/>
          <w:lang w:val="en-US" w:eastAsia="zh-CN"/>
        </w:rPr>
        <w:t>在</w:t>
      </w:r>
      <w:r>
        <w:rPr>
          <w:rFonts w:hint="eastAsia"/>
        </w:rPr>
        <w:t>浓硫酸、稀硫酸、氟硅酸在泵区配备喷淋洗眼装置</w:t>
      </w:r>
      <w:r>
        <w:rPr>
          <w:rFonts w:hint="eastAsia"/>
          <w:szCs w:val="28"/>
        </w:rPr>
        <w:t>。</w:t>
      </w:r>
      <w:r>
        <w:rPr>
          <w:rFonts w:hint="eastAsia"/>
        </w:rPr>
        <w:t>如果有泄漏发生，通过外管廊低点排放至吨桶中，回收后送回装置。</w:t>
      </w:r>
    </w:p>
    <w:p w14:paraId="67663750">
      <w:pPr>
        <w:ind w:firstLine="560" w:firstLineChars="200"/>
        <w:rPr>
          <w:rFonts w:hint="eastAsia" w:hAnsi="宋体"/>
          <w:color w:val="auto"/>
          <w:szCs w:val="28"/>
          <w:lang w:val="en-US" w:eastAsia="zh-CN"/>
        </w:rPr>
      </w:pPr>
      <w:r>
        <w:rPr>
          <w:rFonts w:hint="eastAsia"/>
          <w:color w:val="000000"/>
          <w:sz w:val="28"/>
          <w:lang w:val="en-US" w:eastAsia="zh-CN"/>
        </w:rPr>
        <w:t>3、本项目涉及</w:t>
      </w:r>
      <w:r>
        <w:rPr>
          <w:rFonts w:hint="eastAsia"/>
          <w:color w:val="000000"/>
          <w:sz w:val="28"/>
        </w:rPr>
        <w:t>特种设备符合</w:t>
      </w:r>
      <w:r>
        <w:rPr>
          <w:rFonts w:hint="eastAsia" w:hAnsi="宋体"/>
          <w:snapToGrid w:val="0"/>
          <w:color w:val="000000"/>
          <w:kern w:val="0"/>
          <w:sz w:val="28"/>
          <w:szCs w:val="28"/>
        </w:rPr>
        <w:t>《</w:t>
      </w:r>
      <w:r>
        <w:rPr>
          <w:rFonts w:hint="eastAsia" w:hAnsi="宋体"/>
          <w:bCs/>
          <w:snapToGrid w:val="0"/>
          <w:color w:val="000000"/>
          <w:kern w:val="0"/>
          <w:sz w:val="28"/>
          <w:szCs w:val="28"/>
        </w:rPr>
        <w:t>中华人民共和国特种设备安全法》（中华人民共和国主席令第4号）</w:t>
      </w:r>
      <w:r>
        <w:rPr>
          <w:rFonts w:hint="eastAsia" w:hAnsi="宋体"/>
          <w:snapToGrid w:val="0"/>
          <w:color w:val="000000"/>
          <w:kern w:val="0"/>
          <w:sz w:val="28"/>
          <w:szCs w:val="28"/>
        </w:rPr>
        <w:t>、《特种设备安全监察条例》（国务院令第549号修订</w:t>
      </w:r>
      <w:r>
        <w:rPr>
          <w:rFonts w:hint="eastAsia" w:hAnsi="宋体"/>
          <w:bCs/>
          <w:snapToGrid w:val="0"/>
          <w:color w:val="000000"/>
          <w:kern w:val="0"/>
          <w:sz w:val="28"/>
          <w:szCs w:val="28"/>
        </w:rPr>
        <w:t>等法律、法规、部门规章、规程的要求。</w:t>
      </w:r>
    </w:p>
    <w:p w14:paraId="59F3BDCF">
      <w:pPr>
        <w:pStyle w:val="5"/>
        <w:numPr>
          <w:ilvl w:val="2"/>
          <w:numId w:val="1"/>
        </w:numPr>
        <w:adjustRightInd w:val="0"/>
        <w:spacing w:before="120" w:after="120"/>
        <w:jc w:val="both"/>
        <w:rPr>
          <w:rFonts w:hint="eastAsia" w:ascii="Times New Roman" w:hAnsi="Times New Roman" w:eastAsia="黑体" w:cs="Times New Roman"/>
          <w:snapToGrid w:val="0"/>
          <w:color w:val="000000"/>
          <w:kern w:val="0"/>
          <w:sz w:val="32"/>
          <w:lang w:val="en-US" w:eastAsia="zh-CN"/>
        </w:rPr>
      </w:pPr>
      <w:bookmarkStart w:id="558" w:name="_Toc7556"/>
      <w:bookmarkStart w:id="559" w:name="_Toc7122"/>
      <w:bookmarkStart w:id="560" w:name="_Toc404859802"/>
      <w:bookmarkStart w:id="561" w:name="_Toc109325103"/>
      <w:bookmarkStart w:id="562" w:name="_Toc8541"/>
      <w:bookmarkStart w:id="563" w:name="_Toc521333371"/>
      <w:bookmarkStart w:id="564" w:name="_Toc2240"/>
      <w:r>
        <w:rPr>
          <w:rFonts w:hint="eastAsia" w:ascii="Times New Roman" w:hAnsi="Times New Roman" w:eastAsia="黑体" w:cs="Times New Roman"/>
          <w:snapToGrid w:val="0"/>
          <w:color w:val="000000"/>
          <w:kern w:val="0"/>
          <w:sz w:val="32"/>
          <w:lang w:val="en-US" w:eastAsia="zh-CN"/>
        </w:rPr>
        <w:t>安全设施分析评价</w:t>
      </w:r>
      <w:bookmarkEnd w:id="558"/>
      <w:bookmarkEnd w:id="559"/>
      <w:bookmarkEnd w:id="560"/>
      <w:bookmarkEnd w:id="561"/>
      <w:bookmarkEnd w:id="562"/>
      <w:bookmarkEnd w:id="563"/>
      <w:bookmarkEnd w:id="564"/>
    </w:p>
    <w:p w14:paraId="319C9C05">
      <w:pPr>
        <w:ind w:firstLine="564" w:firstLineChars="200"/>
        <w:rPr>
          <w:rFonts w:hint="default" w:ascii="宋体" w:hAnsi="宋体" w:eastAsia="宋体" w:cs="宋体"/>
          <w:color w:val="auto"/>
          <w:spacing w:val="1"/>
          <w:szCs w:val="28"/>
          <w:lang w:eastAsia="zh-CN"/>
        </w:rPr>
      </w:pPr>
      <w:r>
        <w:rPr>
          <w:rFonts w:hint="default" w:ascii="宋体" w:hAnsi="宋体" w:eastAsia="宋体" w:cs="宋体"/>
          <w:color w:val="auto"/>
          <w:spacing w:val="1"/>
          <w:szCs w:val="28"/>
          <w:lang w:val="en-US" w:eastAsia="zh-CN"/>
        </w:rPr>
        <w:t>本项目安全设施基本符合</w:t>
      </w:r>
      <w:r>
        <w:rPr>
          <w:rFonts w:hint="default" w:ascii="宋体" w:hAnsi="宋体" w:eastAsia="宋体" w:cs="宋体"/>
          <w:color w:val="auto"/>
          <w:spacing w:val="1"/>
          <w:szCs w:val="28"/>
        </w:rPr>
        <w:t>《化学品作业场所安全警示标志规范》（AQ 3047-2013）、《生产设备安全卫生设计总则》（</w:t>
      </w:r>
      <w:r>
        <w:rPr>
          <w:rFonts w:hint="eastAsia" w:ascii="宋体" w:hAnsi="宋体" w:eastAsia="宋体" w:cs="宋体"/>
          <w:color w:val="auto"/>
          <w:spacing w:val="1"/>
          <w:szCs w:val="28"/>
          <w:lang w:eastAsia="zh-CN"/>
        </w:rPr>
        <w:t>GB5083-2023</w:t>
      </w:r>
      <w:r>
        <w:rPr>
          <w:rFonts w:hint="default" w:ascii="宋体" w:hAnsi="宋体" w:eastAsia="宋体" w:cs="宋体"/>
          <w:color w:val="auto"/>
          <w:spacing w:val="1"/>
          <w:szCs w:val="28"/>
        </w:rPr>
        <w:t>）、《生产过程安全卫生要求总则》（GB/T12801-2008）、《机械安全防护装置固定式和活动式防护装置设计与制造一般要求》（GB/T8196-2018）等标准、规范的要求</w:t>
      </w:r>
      <w:r>
        <w:rPr>
          <w:rFonts w:hint="default" w:ascii="宋体" w:hAnsi="宋体" w:eastAsia="宋体" w:cs="宋体"/>
          <w:color w:val="auto"/>
          <w:spacing w:val="1"/>
          <w:szCs w:val="28"/>
          <w:lang w:eastAsia="zh-CN"/>
        </w:rPr>
        <w:t>。</w:t>
      </w:r>
    </w:p>
    <w:p w14:paraId="5F939BC2">
      <w:pPr>
        <w:ind w:firstLine="564" w:firstLineChars="200"/>
        <w:rPr>
          <w:rFonts w:hint="eastAsia" w:ascii="宋体" w:hAnsi="宋体" w:eastAsia="宋体" w:cs="宋体"/>
          <w:color w:val="auto"/>
          <w:spacing w:val="1"/>
          <w:szCs w:val="28"/>
        </w:rPr>
      </w:pPr>
      <w:r>
        <w:rPr>
          <w:rFonts w:hint="eastAsia" w:ascii="宋体" w:hAnsi="宋体" w:eastAsia="宋体" w:cs="宋体"/>
          <w:color w:val="auto"/>
          <w:spacing w:val="1"/>
          <w:szCs w:val="28"/>
        </w:rPr>
        <w:t>云南瓮福祥丰氟硅新材料有限公司3万吨/年无水氟化氢和2万吨/年电子级氢氟酸厂外公用工程管架建设项目的安全设施能满足安全生产的需要。</w:t>
      </w:r>
    </w:p>
    <w:p w14:paraId="17C2DF75">
      <w:pPr>
        <w:pStyle w:val="5"/>
        <w:numPr>
          <w:ilvl w:val="2"/>
          <w:numId w:val="1"/>
        </w:numPr>
        <w:adjustRightInd w:val="0"/>
        <w:spacing w:before="120" w:after="120"/>
        <w:jc w:val="both"/>
        <w:rPr>
          <w:rFonts w:hint="eastAsia" w:ascii="Times New Roman" w:hAnsi="Times New Roman" w:eastAsia="黑体" w:cs="Times New Roman"/>
          <w:snapToGrid w:val="0"/>
          <w:color w:val="000000"/>
          <w:kern w:val="0"/>
          <w:sz w:val="32"/>
          <w:lang w:val="en-US" w:eastAsia="zh-CN"/>
        </w:rPr>
      </w:pPr>
      <w:bookmarkStart w:id="565" w:name="_Toc31024"/>
      <w:r>
        <w:rPr>
          <w:rFonts w:hint="eastAsia" w:ascii="Times New Roman" w:hAnsi="Times New Roman" w:eastAsia="黑体" w:cs="Times New Roman"/>
          <w:snapToGrid w:val="0"/>
          <w:color w:val="000000"/>
          <w:kern w:val="0"/>
          <w:sz w:val="32"/>
          <w:lang w:val="en-US" w:eastAsia="zh-CN"/>
        </w:rPr>
        <w:t>公用工程分析评价</w:t>
      </w:r>
      <w:bookmarkEnd w:id="565"/>
    </w:p>
    <w:p w14:paraId="1F9CA0C5">
      <w:pPr>
        <w:ind w:firstLine="560" w:firstLineChars="200"/>
        <w:rPr>
          <w:rFonts w:hAnsi="宋体"/>
          <w:color w:val="auto"/>
          <w:spacing w:val="1"/>
          <w:szCs w:val="28"/>
        </w:rPr>
      </w:pPr>
      <w:r>
        <w:rPr>
          <w:rFonts w:hint="eastAsia" w:hAnsi="宋体"/>
          <w:color w:val="auto"/>
        </w:rPr>
        <w:t>云南瓮福祥丰氟硅新材料有限公司3万吨/年无水氟化氢和2万吨/年电子级氢氟酸厂外公用工程管架建设项目依托的公用工程设施满足项目的安全生产需要。</w:t>
      </w:r>
    </w:p>
    <w:p w14:paraId="581E86B3">
      <w:pPr>
        <w:pStyle w:val="5"/>
        <w:numPr>
          <w:ilvl w:val="2"/>
          <w:numId w:val="1"/>
        </w:numPr>
        <w:adjustRightInd w:val="0"/>
        <w:spacing w:before="120" w:after="120"/>
        <w:jc w:val="both"/>
        <w:rPr>
          <w:rFonts w:hint="eastAsia" w:ascii="Times New Roman" w:hAnsi="Times New Roman" w:eastAsia="黑体" w:cs="Times New Roman"/>
          <w:snapToGrid w:val="0"/>
          <w:color w:val="000000"/>
          <w:kern w:val="0"/>
          <w:sz w:val="32"/>
          <w:lang w:val="en-US" w:eastAsia="zh-CN"/>
        </w:rPr>
      </w:pPr>
      <w:bookmarkStart w:id="566" w:name="_Toc114690709"/>
      <w:bookmarkStart w:id="567" w:name="_Toc26542"/>
      <w:bookmarkStart w:id="568" w:name="_Toc47119815"/>
      <w:r>
        <w:rPr>
          <w:rFonts w:hint="eastAsia" w:ascii="Times New Roman" w:hAnsi="Times New Roman" w:eastAsia="黑体" w:cs="Times New Roman"/>
          <w:snapToGrid w:val="0"/>
          <w:color w:val="000000"/>
          <w:kern w:val="0"/>
          <w:sz w:val="32"/>
          <w:lang w:val="en-US" w:eastAsia="zh-CN"/>
        </w:rPr>
        <w:t>安全管理分析评价</w:t>
      </w:r>
      <w:bookmarkEnd w:id="566"/>
      <w:bookmarkEnd w:id="567"/>
      <w:bookmarkEnd w:id="568"/>
    </w:p>
    <w:bookmarkEnd w:id="556"/>
    <w:bookmarkEnd w:id="557"/>
    <w:p w14:paraId="1570B081">
      <w:pPr>
        <w:ind w:firstLine="560"/>
      </w:pPr>
      <w:bookmarkStart w:id="569" w:name="_Toc213436494"/>
      <w:bookmarkStart w:id="570" w:name="_Toc297416417"/>
      <w:bookmarkStart w:id="571" w:name="_Toc335511874"/>
      <w:bookmarkStart w:id="572" w:name="_Toc297653264"/>
      <w:bookmarkStart w:id="573" w:name="_Toc297452876"/>
      <w:bookmarkStart w:id="574" w:name="_Toc213744515"/>
      <w:bookmarkStart w:id="575" w:name="_Toc335599719"/>
      <w:bookmarkStart w:id="576" w:name="_Toc213436603"/>
      <w:bookmarkStart w:id="577" w:name="_Toc292639490"/>
      <w:bookmarkStart w:id="578" w:name="_Toc195889330"/>
      <w:bookmarkStart w:id="579" w:name="_Toc217055080"/>
      <w:bookmarkStart w:id="580" w:name="_Toc354667730"/>
      <w:bookmarkStart w:id="581" w:name="_Toc292639670"/>
      <w:bookmarkStart w:id="582" w:name="_Toc349511675"/>
      <w:bookmarkStart w:id="583" w:name="_Toc354667498"/>
      <w:r>
        <w:rPr>
          <w:rFonts w:hint="eastAsia"/>
        </w:rPr>
        <w:t>本项目为云南瓮福祥丰氟硅新材料有限公司3万吨/年无水氟化氢和2万吨/年电子级氢氟酸项目配套的厂外公用工程管道设施，不新增定员。安全环保工作由公司安全环保部负责，生产操作及管线巡检由公司生产部负责。</w:t>
      </w:r>
      <w:r>
        <w:rPr>
          <w:rFonts w:hint="eastAsia" w:hAnsi="宋体"/>
          <w:color w:val="auto"/>
        </w:rPr>
        <w:t>为保证企业安全运行，建设项目所有操作人员上岗前必须按国家规定进行上岗培训。该公司所有从业人员必须经过相应的安全培训和安全教育，并通过严格的考核合格后持证上岗。安全管理人员和压力容器、电工、焊工等相关特种作业人员应取得特种作业证书后持证上岗。</w:t>
      </w:r>
    </w:p>
    <w:p w14:paraId="572C605D">
      <w:pPr>
        <w:ind w:firstLine="560"/>
      </w:pPr>
      <w:r>
        <w:rPr>
          <w:rFonts w:hint="eastAsia"/>
        </w:rPr>
        <w:t>云南瓮福祥丰氟硅新材料有限公司企业设置综合管理部、财务部、安全环保部、生产部 4 个部门，组织架构根据企业发展情况适时调整。</w:t>
      </w:r>
    </w:p>
    <w:p w14:paraId="351CC703">
      <w:pPr>
        <w:ind w:firstLine="560"/>
      </w:pPr>
      <w:r>
        <w:rPr>
          <w:rFonts w:hint="eastAsia"/>
        </w:rPr>
        <w:t>公司设置岗位3</w:t>
      </w:r>
      <w:r>
        <w:t>6</w:t>
      </w:r>
      <w:r>
        <w:rPr>
          <w:rFonts w:hint="eastAsia"/>
        </w:rPr>
        <w:t>个，编制68人，其中：公司领导3人、综合管理部</w:t>
      </w:r>
      <w:r>
        <w:t>8</w:t>
      </w:r>
      <w:r>
        <w:rPr>
          <w:rFonts w:hint="eastAsia"/>
        </w:rPr>
        <w:t>人、财务部3人，安全环保部</w:t>
      </w:r>
      <w:r>
        <w:t>3</w:t>
      </w:r>
      <w:r>
        <w:rPr>
          <w:rFonts w:hint="eastAsia"/>
        </w:rPr>
        <w:t>人、生产部51人。</w:t>
      </w:r>
    </w:p>
    <w:p w14:paraId="77095E16">
      <w:pPr>
        <w:pStyle w:val="122"/>
        <w:rPr>
          <w:rFonts w:hint="eastAsia" w:hAnsi="宋体"/>
          <w:color w:val="auto"/>
          <w:lang w:eastAsia="zh-CN"/>
        </w:rPr>
      </w:pPr>
      <w:r>
        <w:rPr>
          <w:rFonts w:hint="eastAsia" w:hAnsi="宋体"/>
          <w:color w:val="auto"/>
        </w:rPr>
        <w:t>企业应制定完善的安全管理制度；编制《事故应急救援预案》并组织培训和演练，针对危险目标的危险特性分别制定安全管理制度和应急措施，满足企业安全生产的要求</w:t>
      </w:r>
      <w:r>
        <w:rPr>
          <w:rFonts w:hint="eastAsia" w:hAnsi="宋体"/>
          <w:color w:val="auto"/>
          <w:lang w:eastAsia="zh-CN"/>
        </w:rPr>
        <w:t>。</w:t>
      </w:r>
    </w:p>
    <w:p w14:paraId="25CD5C1C">
      <w:pPr>
        <w:pStyle w:val="5"/>
        <w:numPr>
          <w:ilvl w:val="2"/>
          <w:numId w:val="1"/>
        </w:numPr>
        <w:adjustRightInd w:val="0"/>
        <w:spacing w:before="120" w:after="120"/>
        <w:jc w:val="both"/>
        <w:rPr>
          <w:rFonts w:hint="eastAsia" w:ascii="Times New Roman" w:hAnsi="Times New Roman" w:eastAsia="黑体" w:cs="Times New Roman"/>
          <w:snapToGrid w:val="0"/>
          <w:color w:val="000000"/>
          <w:kern w:val="0"/>
          <w:sz w:val="32"/>
          <w:lang w:val="en-US" w:eastAsia="zh-CN"/>
        </w:rPr>
      </w:pPr>
      <w:bookmarkStart w:id="584" w:name="_Toc3321"/>
      <w:r>
        <w:rPr>
          <w:rFonts w:hint="eastAsia" w:ascii="Times New Roman" w:hAnsi="Times New Roman" w:cs="Times New Roman"/>
          <w:snapToGrid w:val="0"/>
          <w:color w:val="000000"/>
          <w:kern w:val="0"/>
          <w:sz w:val="32"/>
          <w:lang w:val="en-US" w:eastAsia="zh-CN"/>
        </w:rPr>
        <w:t>重大生产安全事故隐患判定</w:t>
      </w:r>
      <w:bookmarkEnd w:id="584"/>
    </w:p>
    <w:p w14:paraId="053217CB">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color w:val="000000"/>
          <w:sz w:val="28"/>
        </w:rPr>
      </w:pPr>
      <w:r>
        <w:rPr>
          <w:color w:val="000000"/>
          <w:sz w:val="28"/>
        </w:rPr>
        <w:t>该项目</w:t>
      </w:r>
      <w:r>
        <w:rPr>
          <w:rFonts w:hint="eastAsia"/>
          <w:color w:val="000000"/>
          <w:sz w:val="28"/>
        </w:rPr>
        <w:t>不涉及《国家安全监管总局关于印发&lt;化工和危险化学品生产经营单位重大生产安全事故隐患判定标准（试行）&gt;和&lt;烟花爆竹生产经营单位重大生产安全事故隐患判定标准（试行）&gt;的通知》（安监总管三〔2017〕121号）中的重大隐患。</w:t>
      </w:r>
    </w:p>
    <w:p w14:paraId="69A3D004">
      <w:pPr>
        <w:pStyle w:val="5"/>
        <w:numPr>
          <w:ilvl w:val="2"/>
          <w:numId w:val="1"/>
        </w:numPr>
        <w:adjustRightInd w:val="0"/>
        <w:spacing w:before="120" w:after="120"/>
        <w:jc w:val="both"/>
        <w:rPr>
          <w:rFonts w:hint="eastAsia" w:ascii="Times New Roman" w:hAnsi="Times New Roman" w:eastAsia="黑体" w:cs="Times New Roman"/>
          <w:snapToGrid w:val="0"/>
          <w:color w:val="000000"/>
          <w:kern w:val="0"/>
          <w:sz w:val="32"/>
          <w:lang w:val="en-US" w:eastAsia="zh-CN"/>
        </w:rPr>
      </w:pPr>
      <w:bookmarkStart w:id="585" w:name="_Toc31287"/>
      <w:r>
        <w:rPr>
          <w:rFonts w:hint="eastAsia" w:ascii="Times New Roman" w:hAnsi="Times New Roman" w:cs="Times New Roman"/>
          <w:snapToGrid w:val="0"/>
          <w:color w:val="000000"/>
          <w:kern w:val="0"/>
          <w:sz w:val="32"/>
          <w:lang w:val="en-US" w:eastAsia="zh-CN"/>
        </w:rPr>
        <w:t>三同时符合性分析评价</w:t>
      </w:r>
      <w:bookmarkEnd w:id="585"/>
    </w:p>
    <w:p w14:paraId="6807A177">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color w:val="000000"/>
          <w:sz w:val="28"/>
          <w:szCs w:val="28"/>
        </w:rPr>
      </w:pPr>
      <w:r>
        <w:rPr>
          <w:color w:val="000000"/>
          <w:sz w:val="28"/>
          <w:szCs w:val="28"/>
          <w:lang w:bidi="ar"/>
        </w:rPr>
        <w:t>根据本报告附件“</w:t>
      </w:r>
      <w:r>
        <w:rPr>
          <w:snapToGrid w:val="0"/>
          <w:color w:val="000000"/>
          <w:kern w:val="0"/>
          <w:sz w:val="28"/>
          <w:szCs w:val="28"/>
          <w:lang w:bidi="ar"/>
        </w:rPr>
        <w:t>3.2.</w:t>
      </w:r>
      <w:r>
        <w:rPr>
          <w:rFonts w:hint="eastAsia"/>
          <w:snapToGrid w:val="0"/>
          <w:color w:val="000000"/>
          <w:kern w:val="0"/>
          <w:sz w:val="28"/>
          <w:szCs w:val="28"/>
          <w:lang w:val="en-US" w:eastAsia="zh-CN" w:bidi="ar"/>
        </w:rPr>
        <w:t>8</w:t>
      </w:r>
      <w:r>
        <w:rPr>
          <w:snapToGrid w:val="0"/>
          <w:color w:val="000000"/>
          <w:kern w:val="0"/>
          <w:sz w:val="28"/>
          <w:szCs w:val="28"/>
          <w:lang w:bidi="ar"/>
        </w:rPr>
        <w:t>“三同时”符合性评价单元</w:t>
      </w:r>
      <w:r>
        <w:rPr>
          <w:color w:val="000000"/>
          <w:sz w:val="28"/>
          <w:szCs w:val="28"/>
          <w:lang w:bidi="ar"/>
        </w:rPr>
        <w:t>”的分析评价可知：</w:t>
      </w:r>
    </w:p>
    <w:p w14:paraId="0F6CD41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color w:val="000000"/>
          <w:sz w:val="28"/>
          <w:szCs w:val="28"/>
        </w:rPr>
      </w:pPr>
      <w:r>
        <w:rPr>
          <w:color w:val="000000"/>
          <w:sz w:val="28"/>
          <w:szCs w:val="21"/>
          <w:lang w:bidi="ar"/>
        </w:rPr>
        <w:t>1.该项目在设计、施工、验收等过程中，按照国家相关的安全生产法律、法规的要求履行了建设程序，该项目安全设施做到了与主体工程同时设计、同时施工、同时投入生产和使用，符合</w:t>
      </w:r>
      <w:r>
        <w:rPr>
          <w:color w:val="000000"/>
          <w:sz w:val="28"/>
          <w:szCs w:val="28"/>
          <w:lang w:bidi="ar"/>
        </w:rPr>
        <w:t>《中华人民共和国安全生产法》</w:t>
      </w:r>
      <w:r>
        <w:rPr>
          <w:rFonts w:hint="eastAsia"/>
          <w:color w:val="000000"/>
          <w:sz w:val="28"/>
          <w:szCs w:val="28"/>
          <w:lang w:bidi="ar"/>
        </w:rPr>
        <w:t>（中华人民共和国主席令第13号，根据中华人民共和国主席令第88号修订，2021年09月01日施行）</w:t>
      </w:r>
      <w:r>
        <w:rPr>
          <w:color w:val="000000"/>
          <w:sz w:val="28"/>
          <w:szCs w:val="28"/>
          <w:lang w:bidi="ar"/>
        </w:rPr>
        <w:t>、</w:t>
      </w:r>
      <w:r>
        <w:rPr>
          <w:snapToGrid w:val="0"/>
          <w:color w:val="000000"/>
          <w:kern w:val="0"/>
          <w:sz w:val="28"/>
          <w:szCs w:val="28"/>
          <w:lang w:bidi="ar"/>
        </w:rPr>
        <w:t>《危险化学品建设项目安全监督管理办法</w:t>
      </w:r>
      <w:r>
        <w:rPr>
          <w:color w:val="000000"/>
          <w:sz w:val="28"/>
          <w:szCs w:val="28"/>
          <w:lang w:bidi="ar"/>
        </w:rPr>
        <w:t>》（2012年1月30日国家安全监管总局令第45号公布，根据2015年5月27日国家安全监管总局令第79号修正）</w:t>
      </w:r>
      <w:r>
        <w:rPr>
          <w:rFonts w:hint="eastAsia"/>
          <w:color w:val="000000"/>
          <w:sz w:val="28"/>
          <w:szCs w:val="28"/>
          <w:lang w:bidi="ar"/>
        </w:rPr>
        <w:t>、《关于印发&lt;危险化学品生产建设项目安全风险防控指南（试行）&gt;的通知》（应急〔2022〕52号）</w:t>
      </w:r>
      <w:r>
        <w:rPr>
          <w:rFonts w:hint="eastAsia"/>
          <w:color w:val="000000"/>
          <w:sz w:val="28"/>
          <w:szCs w:val="28"/>
          <w:lang w:eastAsia="zh-CN" w:bidi="ar"/>
        </w:rPr>
        <w:t>、《关于进一步加强危险化学品生产建设项目安全风险防控工作的通知》（云应急﹝2024﹞43号）</w:t>
      </w:r>
      <w:r>
        <w:rPr>
          <w:snapToGrid w:val="0"/>
          <w:color w:val="000000"/>
          <w:kern w:val="0"/>
          <w:sz w:val="28"/>
          <w:szCs w:val="28"/>
          <w:lang w:bidi="ar"/>
        </w:rPr>
        <w:t>等</w:t>
      </w:r>
      <w:r>
        <w:rPr>
          <w:color w:val="000000"/>
          <w:sz w:val="28"/>
          <w:szCs w:val="21"/>
          <w:lang w:bidi="ar"/>
        </w:rPr>
        <w:t>国家法律、法规对建设项目“三同时”的要求。</w:t>
      </w:r>
    </w:p>
    <w:p w14:paraId="7317E671">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rFonts w:hint="eastAsia"/>
          <w:color w:val="000000"/>
          <w:sz w:val="28"/>
          <w:szCs w:val="28"/>
          <w:lang w:bidi="ar"/>
        </w:rPr>
      </w:pPr>
      <w:r>
        <w:rPr>
          <w:color w:val="000000"/>
          <w:sz w:val="28"/>
          <w:szCs w:val="28"/>
          <w:lang w:bidi="ar"/>
        </w:rPr>
        <w:t>2.该项目在建设期间总体上已按照安全设施设计专篇中采取的安全对策措施进行了施工和管理</w:t>
      </w:r>
      <w:r>
        <w:rPr>
          <w:rFonts w:hint="eastAsia"/>
          <w:color w:val="000000"/>
          <w:sz w:val="28"/>
          <w:szCs w:val="28"/>
          <w:lang w:bidi="ar"/>
        </w:rPr>
        <w:t>。</w:t>
      </w:r>
      <w:r>
        <w:rPr>
          <w:color w:val="000000"/>
          <w:sz w:val="28"/>
          <w:szCs w:val="28"/>
          <w:lang w:bidi="ar"/>
        </w:rPr>
        <w:t>根据企业提供的</w:t>
      </w:r>
      <w:r>
        <w:rPr>
          <w:snapToGrid w:val="0"/>
          <w:color w:val="000000"/>
          <w:kern w:val="0"/>
          <w:sz w:val="28"/>
          <w:szCs w:val="28"/>
          <w:lang w:bidi="ar"/>
        </w:rPr>
        <w:t>《安全设施施工</w:t>
      </w:r>
      <w:r>
        <w:rPr>
          <w:rFonts w:hint="eastAsia"/>
          <w:snapToGrid w:val="0"/>
          <w:color w:val="000000"/>
          <w:kern w:val="0"/>
          <w:sz w:val="28"/>
          <w:szCs w:val="28"/>
          <w:lang w:bidi="ar"/>
        </w:rPr>
        <w:t>情况</w:t>
      </w:r>
      <w:r>
        <w:rPr>
          <w:snapToGrid w:val="0"/>
          <w:color w:val="000000"/>
          <w:kern w:val="0"/>
          <w:sz w:val="28"/>
          <w:szCs w:val="28"/>
          <w:lang w:bidi="ar"/>
        </w:rPr>
        <w:t>报告》、《安全设施</w:t>
      </w:r>
      <w:r>
        <w:rPr>
          <w:rFonts w:hint="eastAsia"/>
          <w:snapToGrid w:val="0"/>
          <w:color w:val="000000"/>
          <w:kern w:val="0"/>
          <w:sz w:val="28"/>
          <w:szCs w:val="28"/>
          <w:lang w:bidi="ar"/>
        </w:rPr>
        <w:t>施工</w:t>
      </w:r>
      <w:r>
        <w:rPr>
          <w:snapToGrid w:val="0"/>
          <w:color w:val="000000"/>
          <w:kern w:val="0"/>
          <w:sz w:val="28"/>
          <w:szCs w:val="28"/>
          <w:lang w:bidi="ar"/>
        </w:rPr>
        <w:t>监理</w:t>
      </w:r>
      <w:r>
        <w:rPr>
          <w:rFonts w:hint="eastAsia"/>
          <w:snapToGrid w:val="0"/>
          <w:color w:val="000000"/>
          <w:kern w:val="0"/>
          <w:sz w:val="28"/>
          <w:szCs w:val="28"/>
          <w:lang w:bidi="ar"/>
        </w:rPr>
        <w:t>情况</w:t>
      </w:r>
      <w:r>
        <w:rPr>
          <w:snapToGrid w:val="0"/>
          <w:color w:val="000000"/>
          <w:kern w:val="0"/>
          <w:sz w:val="28"/>
          <w:szCs w:val="28"/>
          <w:lang w:bidi="ar"/>
        </w:rPr>
        <w:t>报告》</w:t>
      </w:r>
      <w:r>
        <w:rPr>
          <w:rFonts w:hint="eastAsia"/>
          <w:snapToGrid w:val="0"/>
          <w:color w:val="000000"/>
          <w:kern w:val="0"/>
          <w:sz w:val="28"/>
          <w:szCs w:val="28"/>
          <w:lang w:bidi="ar"/>
        </w:rPr>
        <w:t>、《试生产总结报告》</w:t>
      </w:r>
      <w:r>
        <w:rPr>
          <w:color w:val="000000"/>
          <w:sz w:val="28"/>
          <w:szCs w:val="28"/>
          <w:lang w:bidi="ar"/>
        </w:rPr>
        <w:t>等资料，该项目施工质量合格，能够满足其安全生产的要求</w:t>
      </w:r>
      <w:r>
        <w:rPr>
          <w:rFonts w:hint="eastAsia"/>
          <w:color w:val="000000"/>
          <w:sz w:val="28"/>
          <w:szCs w:val="28"/>
          <w:lang w:bidi="ar"/>
        </w:rPr>
        <w:t>.</w:t>
      </w:r>
    </w:p>
    <w:p w14:paraId="0F1E05E4">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color w:val="000000"/>
          <w:sz w:val="28"/>
          <w:szCs w:val="28"/>
        </w:rPr>
      </w:pPr>
      <w:r>
        <w:rPr>
          <w:rFonts w:hint="eastAsia"/>
          <w:color w:val="000000"/>
          <w:sz w:val="28"/>
          <w:szCs w:val="28"/>
          <w:lang w:bidi="ar"/>
        </w:rPr>
        <w:t>3.该项目具备《危险化学品生产建设项目安全风险防控指南》（应急﹝2022﹞52号）、《关于进一步加强危险化学品生产建设项目安全风险防控工作的通知》（云应急﹝2024﹞43号）要求的竣工验收的条件</w:t>
      </w:r>
      <w:r>
        <w:rPr>
          <w:color w:val="000000"/>
          <w:sz w:val="28"/>
          <w:szCs w:val="28"/>
          <w:lang w:bidi="ar"/>
        </w:rPr>
        <w:t>。</w:t>
      </w:r>
    </w:p>
    <w:p w14:paraId="3D3A08EE">
      <w:pPr>
        <w:pStyle w:val="4"/>
        <w:spacing w:before="193"/>
        <w:jc w:val="left"/>
        <w:rPr>
          <w:rFonts w:hint="eastAsia" w:ascii="黑体" w:hAnsi="黑体" w:eastAsia="黑体" w:cs="黑体"/>
          <w:b/>
          <w:bCs w:val="0"/>
          <w:color w:val="auto"/>
          <w:sz w:val="36"/>
          <w:szCs w:val="36"/>
          <w:lang w:val="en-US" w:eastAsia="zh-CN"/>
        </w:rPr>
      </w:pPr>
      <w:bookmarkStart w:id="586" w:name="_Toc19659"/>
      <w:bookmarkStart w:id="587" w:name="_Toc387488546"/>
      <w:bookmarkStart w:id="588" w:name="_Toc47119966"/>
      <w:bookmarkStart w:id="589" w:name="_Toc47119824"/>
      <w:bookmarkStart w:id="590" w:name="_Toc387703539"/>
      <w:bookmarkStart w:id="591" w:name="_Toc460364981"/>
      <w:r>
        <w:rPr>
          <w:rFonts w:hint="eastAsia" w:ascii="黑体" w:hAnsi="黑体" w:eastAsia="黑体" w:cs="黑体"/>
          <w:b/>
          <w:bCs w:val="0"/>
          <w:color w:val="auto"/>
          <w:sz w:val="36"/>
          <w:szCs w:val="36"/>
          <w:lang w:val="en-US" w:eastAsia="zh-CN"/>
        </w:rPr>
        <w:t>事故案例的后果、原因</w:t>
      </w:r>
      <w:bookmarkEnd w:id="586"/>
    </w:p>
    <w:p w14:paraId="2212616E">
      <w:pPr>
        <w:ind w:firstLine="560" w:firstLineChars="200"/>
        <w:jc w:val="left"/>
        <w:rPr>
          <w:rFonts w:hint="eastAsia" w:hAnsi="宋体"/>
          <w:color w:val="auto"/>
          <w:lang w:val="en-US" w:eastAsia="zh-CN"/>
        </w:rPr>
      </w:pPr>
      <w:r>
        <w:rPr>
          <w:rFonts w:hint="eastAsia" w:hAnsi="宋体"/>
          <w:color w:val="auto"/>
          <w:lang w:val="en-US" w:eastAsia="zh-CN"/>
        </w:rPr>
        <w:t>2005年10月15日18时53分，青岛东方化工股份有限公司1个1750m</w:t>
      </w:r>
      <w:r>
        <w:rPr>
          <w:rFonts w:hint="eastAsia" w:hAnsi="宋体"/>
          <w:color w:val="auto"/>
          <w:vertAlign w:val="superscript"/>
          <w:lang w:val="en-US" w:eastAsia="zh-CN"/>
        </w:rPr>
        <w:t>3</w:t>
      </w:r>
      <w:r>
        <w:rPr>
          <w:rFonts w:hint="eastAsia" w:hAnsi="宋体"/>
          <w:color w:val="auto"/>
          <w:lang w:val="en-US" w:eastAsia="zh-CN"/>
        </w:rPr>
        <w:t>硫酸储罐在正常使用过程中突然发生上下贯穿性破裂，罐内2800多吨硫酸顷刻泄漏。造成6名职工死亡，13人受轻伤。</w:t>
      </w:r>
    </w:p>
    <w:p w14:paraId="25581492">
      <w:pPr>
        <w:ind w:firstLine="560" w:firstLineChars="200"/>
        <w:jc w:val="left"/>
        <w:rPr>
          <w:rFonts w:hint="default" w:hAnsi="宋体"/>
          <w:color w:val="auto"/>
          <w:lang w:val="en-US" w:eastAsia="zh-CN"/>
        </w:rPr>
      </w:pPr>
      <w:r>
        <w:rPr>
          <w:rFonts w:hint="eastAsia" w:hAnsi="宋体"/>
          <w:color w:val="auto"/>
          <w:lang w:val="en-US" w:eastAsia="zh-CN"/>
        </w:rPr>
        <w:t>该公司在无设计和施工资质，不具备设计和施工能力的情况下，决定自行设计、制造；施工中不按照规范施工，随意变更设计，粗制滥造，不执行检查、检验和验收规范，造成壁板结构形式不合理，最终导致事故的发生。</w:t>
      </w:r>
    </w:p>
    <w:p w14:paraId="7BEE59C5">
      <w:pPr>
        <w:ind w:firstLine="560" w:firstLineChars="200"/>
        <w:jc w:val="left"/>
        <w:rPr>
          <w:rFonts w:hint="eastAsia" w:hAnsi="宋体"/>
          <w:color w:val="auto"/>
        </w:rPr>
        <w:sectPr>
          <w:pgSz w:w="11905" w:h="16838"/>
          <w:pgMar w:top="1417" w:right="1134" w:bottom="1134" w:left="1587" w:header="850" w:footer="680" w:gutter="0"/>
          <w:pgNumType w:fmt="decimal"/>
          <w:cols w:space="0" w:num="1"/>
          <w:rtlGutter w:val="0"/>
          <w:docGrid w:type="lines" w:linePitch="386" w:charSpace="0"/>
        </w:sectPr>
      </w:pPr>
    </w:p>
    <w:p w14:paraId="69478BF2">
      <w:pPr>
        <w:pStyle w:val="3"/>
        <w:numPr>
          <w:ilvl w:val="0"/>
          <w:numId w:val="1"/>
        </w:numPr>
        <w:tabs>
          <w:tab w:val="left" w:pos="420"/>
        </w:tabs>
        <w:adjustRightInd w:val="0"/>
        <w:spacing w:before="120" w:after="120"/>
        <w:ind w:left="0"/>
        <w:rPr>
          <w:rFonts w:hint="eastAsia" w:ascii="宋体" w:cs="宋体"/>
          <w:color w:val="auto"/>
          <w:sz w:val="44"/>
          <w:szCs w:val="44"/>
        </w:rPr>
      </w:pPr>
      <w:bookmarkStart w:id="592" w:name="_Toc12564"/>
      <w:r>
        <w:rPr>
          <w:rFonts w:hint="eastAsia" w:ascii="宋体" w:cs="宋体"/>
          <w:color w:val="auto"/>
          <w:sz w:val="44"/>
          <w:szCs w:val="44"/>
        </w:rPr>
        <w:t>安全对策与建议</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7"/>
      <w:bookmarkEnd w:id="588"/>
      <w:bookmarkEnd w:id="589"/>
      <w:bookmarkEnd w:id="590"/>
      <w:bookmarkEnd w:id="591"/>
      <w:r>
        <w:rPr>
          <w:rFonts w:hint="eastAsia" w:ascii="宋体" w:cs="宋体"/>
          <w:color w:val="auto"/>
          <w:sz w:val="44"/>
          <w:szCs w:val="44"/>
          <w:lang w:val="en-US" w:eastAsia="zh-CN"/>
        </w:rPr>
        <w:t>结论</w:t>
      </w:r>
      <w:bookmarkEnd w:id="592"/>
    </w:p>
    <w:p w14:paraId="48B61348">
      <w:pPr>
        <w:pStyle w:val="4"/>
        <w:spacing w:before="193"/>
        <w:jc w:val="left"/>
        <w:rPr>
          <w:rFonts w:hint="eastAsia" w:ascii="黑体" w:hAnsi="黑体" w:eastAsia="黑体" w:cs="黑体"/>
          <w:b/>
          <w:bCs w:val="0"/>
          <w:color w:val="auto"/>
          <w:sz w:val="36"/>
          <w:szCs w:val="36"/>
          <w:lang w:val="en-US" w:eastAsia="zh-CN"/>
        </w:rPr>
      </w:pPr>
      <w:bookmarkStart w:id="593" w:name="_Toc12119"/>
      <w:bookmarkStart w:id="594" w:name="_Toc28822"/>
      <w:bookmarkStart w:id="595" w:name="_Toc90911381"/>
      <w:bookmarkStart w:id="596" w:name="_Toc48660022"/>
      <w:r>
        <w:rPr>
          <w:rFonts w:hint="eastAsia" w:ascii="黑体" w:hAnsi="黑体" w:eastAsia="黑体" w:cs="黑体"/>
          <w:b/>
          <w:bCs w:val="0"/>
          <w:color w:val="auto"/>
          <w:sz w:val="36"/>
          <w:szCs w:val="36"/>
          <w:lang w:val="en-US" w:eastAsia="zh-CN"/>
        </w:rPr>
        <w:t>安全对策与建议</w:t>
      </w:r>
      <w:bookmarkEnd w:id="593"/>
      <w:bookmarkEnd w:id="594"/>
    </w:p>
    <w:p w14:paraId="20E35209">
      <w:pPr>
        <w:pStyle w:val="5"/>
        <w:numPr>
          <w:ilvl w:val="2"/>
          <w:numId w:val="1"/>
        </w:numPr>
        <w:adjustRightInd w:val="0"/>
        <w:spacing w:before="120" w:after="120"/>
        <w:jc w:val="both"/>
        <w:rPr>
          <w:rFonts w:hint="default" w:ascii="Times New Roman" w:hAnsi="Times New Roman" w:cs="Times New Roman"/>
          <w:snapToGrid w:val="0"/>
          <w:color w:val="000000"/>
          <w:kern w:val="0"/>
          <w:sz w:val="32"/>
          <w:lang w:val="en-US" w:eastAsia="zh-CN"/>
        </w:rPr>
      </w:pPr>
      <w:bookmarkStart w:id="597" w:name="_Toc32529"/>
      <w:bookmarkStart w:id="598" w:name="_Toc13734"/>
      <w:r>
        <w:rPr>
          <w:rFonts w:hint="default" w:ascii="Times New Roman" w:hAnsi="Times New Roman" w:cs="Times New Roman"/>
          <w:snapToGrid w:val="0"/>
          <w:color w:val="000000"/>
          <w:kern w:val="0"/>
          <w:sz w:val="32"/>
          <w:lang w:val="en-US" w:eastAsia="zh-CN"/>
        </w:rPr>
        <w:t>安全设施的更新与改进</w:t>
      </w:r>
      <w:bookmarkEnd w:id="597"/>
      <w:bookmarkEnd w:id="598"/>
    </w:p>
    <w:p w14:paraId="09628D86">
      <w:pPr>
        <w:keepNext w:val="0"/>
        <w:keepLines w:val="0"/>
        <w:pageBreakBefore w:val="0"/>
        <w:widowControl w:val="0"/>
        <w:numPr>
          <w:ilvl w:val="0"/>
          <w:numId w:val="25"/>
        </w:numPr>
        <w:tabs>
          <w:tab w:val="left" w:pos="0"/>
        </w:tabs>
        <w:kinsoku/>
        <w:wordWrap/>
        <w:overflowPunct/>
        <w:topLinePunct w:val="0"/>
        <w:autoSpaceDE/>
        <w:autoSpaceDN/>
        <w:bidi w:val="0"/>
        <w:adjustRightInd/>
        <w:snapToGrid w:val="0"/>
        <w:spacing w:line="360" w:lineRule="auto"/>
        <w:ind w:firstLine="560" w:firstLineChars="200"/>
        <w:textAlignment w:val="auto"/>
        <w:rPr>
          <w:rFonts w:hint="eastAsia" w:ascii="宋体" w:hAnsi="Times New Roman" w:eastAsia="宋体" w:cs="宋体"/>
          <w:color w:val="000000"/>
          <w:sz w:val="28"/>
          <w:szCs w:val="28"/>
          <w:lang w:bidi="ar"/>
        </w:rPr>
      </w:pPr>
      <w:r>
        <w:rPr>
          <w:rFonts w:hint="eastAsia" w:ascii="宋体" w:hAnsi="Times New Roman" w:eastAsia="宋体" w:cs="宋体"/>
          <w:color w:val="000000"/>
          <w:sz w:val="28"/>
          <w:szCs w:val="28"/>
          <w:lang w:bidi="ar"/>
        </w:rPr>
        <w:t>建议根据《化学品作业场所安全警示标志规范》（AQ3047-2013）、</w:t>
      </w:r>
      <w:r>
        <w:rPr>
          <w:rFonts w:hint="eastAsia" w:cs="宋体"/>
          <w:color w:val="000000"/>
          <w:sz w:val="28"/>
          <w:szCs w:val="28"/>
          <w:lang w:eastAsia="zh-CN" w:bidi="ar"/>
        </w:rPr>
        <w:t>《安全色和安全标志》（GB2894-2025）</w:t>
      </w:r>
      <w:r>
        <w:rPr>
          <w:rFonts w:hint="eastAsia" w:ascii="宋体" w:hAnsi="Times New Roman" w:eastAsia="宋体" w:cs="宋体"/>
          <w:color w:val="000000"/>
          <w:sz w:val="28"/>
          <w:szCs w:val="28"/>
          <w:lang w:bidi="ar"/>
        </w:rPr>
        <w:t>等标准、规范的要求，完善项目现场对应潜在危险部位的安全警示标志的设置，并定期检查、维护，确保标志易于观察、清晰、完好。</w:t>
      </w:r>
    </w:p>
    <w:p w14:paraId="43AEE270">
      <w:pPr>
        <w:keepNext w:val="0"/>
        <w:keepLines w:val="0"/>
        <w:pageBreakBefore w:val="0"/>
        <w:widowControl w:val="0"/>
        <w:numPr>
          <w:ilvl w:val="0"/>
          <w:numId w:val="25"/>
        </w:numPr>
        <w:tabs>
          <w:tab w:val="left" w:pos="0"/>
        </w:tabs>
        <w:kinsoku/>
        <w:wordWrap/>
        <w:overflowPunct/>
        <w:topLinePunct w:val="0"/>
        <w:autoSpaceDE/>
        <w:autoSpaceDN/>
        <w:bidi w:val="0"/>
        <w:adjustRightInd/>
        <w:snapToGrid w:val="0"/>
        <w:spacing w:line="360" w:lineRule="auto"/>
        <w:ind w:firstLine="560" w:firstLineChars="200"/>
        <w:textAlignment w:val="auto"/>
        <w:rPr>
          <w:rFonts w:hint="eastAsia" w:ascii="宋体" w:hAnsi="Times New Roman" w:eastAsia="宋体" w:cs="宋体"/>
          <w:color w:val="000000"/>
          <w:sz w:val="28"/>
          <w:szCs w:val="28"/>
          <w:lang w:bidi="ar"/>
        </w:rPr>
      </w:pPr>
      <w:r>
        <w:rPr>
          <w:rFonts w:hint="eastAsia" w:ascii="宋体" w:hAnsi="Times New Roman" w:eastAsia="宋体" w:cs="宋体"/>
          <w:color w:val="000000"/>
          <w:sz w:val="28"/>
          <w:szCs w:val="28"/>
          <w:lang w:bidi="ar"/>
        </w:rPr>
        <w:t>建议根据</w:t>
      </w:r>
      <w:r>
        <w:rPr>
          <w:rFonts w:hint="eastAsia" w:cs="宋体"/>
          <w:color w:val="000000"/>
          <w:sz w:val="28"/>
          <w:szCs w:val="28"/>
          <w:lang w:eastAsia="zh-CN" w:bidi="ar"/>
        </w:rPr>
        <w:t>《安全色和安全标志》（GB2894-2025）</w:t>
      </w:r>
      <w:r>
        <w:rPr>
          <w:rFonts w:hint="eastAsia" w:ascii="宋体" w:hAnsi="Times New Roman" w:eastAsia="宋体" w:cs="宋体"/>
          <w:color w:val="000000"/>
          <w:sz w:val="28"/>
          <w:szCs w:val="28"/>
          <w:lang w:bidi="ar"/>
        </w:rPr>
        <w:t>等标准、规范的要求，进一步完善各输送管线的识别色，并对各管线介质名称、流向、管径、压力等进行明显的标识。</w:t>
      </w:r>
    </w:p>
    <w:p w14:paraId="6C4E2F4B">
      <w:pPr>
        <w:keepNext w:val="0"/>
        <w:keepLines w:val="0"/>
        <w:pageBreakBefore w:val="0"/>
        <w:widowControl w:val="0"/>
        <w:numPr>
          <w:ilvl w:val="0"/>
          <w:numId w:val="25"/>
        </w:numPr>
        <w:tabs>
          <w:tab w:val="left" w:pos="0"/>
        </w:tabs>
        <w:kinsoku/>
        <w:wordWrap/>
        <w:overflowPunct/>
        <w:topLinePunct w:val="0"/>
        <w:autoSpaceDE/>
        <w:autoSpaceDN/>
        <w:bidi w:val="0"/>
        <w:adjustRightInd/>
        <w:snapToGrid w:val="0"/>
        <w:spacing w:line="360" w:lineRule="auto"/>
        <w:ind w:firstLine="560" w:firstLineChars="200"/>
        <w:textAlignment w:val="auto"/>
        <w:rPr>
          <w:rFonts w:hint="default" w:ascii="宋体" w:hAnsi="Times New Roman" w:eastAsia="宋体" w:cs="宋体"/>
          <w:color w:val="000000"/>
          <w:sz w:val="28"/>
          <w:szCs w:val="28"/>
          <w:lang w:val="en-US" w:eastAsia="zh-CN" w:bidi="ar"/>
        </w:rPr>
      </w:pPr>
      <w:r>
        <w:rPr>
          <w:rFonts w:hint="default" w:ascii="宋体" w:hAnsi="Times New Roman" w:eastAsia="宋体" w:cs="宋体"/>
          <w:color w:val="000000"/>
          <w:sz w:val="28"/>
          <w:szCs w:val="28"/>
          <w:lang w:bidi="ar"/>
        </w:rPr>
        <w:t>应按</w:t>
      </w:r>
      <w:r>
        <w:rPr>
          <w:rFonts w:hint="eastAsia" w:cs="宋体"/>
          <w:color w:val="000000"/>
          <w:sz w:val="28"/>
          <w:szCs w:val="28"/>
          <w:lang w:eastAsia="zh-CN" w:bidi="ar"/>
        </w:rPr>
        <w:t>《安全色和安全标志》（GB2894-2025）</w:t>
      </w:r>
      <w:r>
        <w:rPr>
          <w:rFonts w:hint="default" w:ascii="宋体" w:hAnsi="Times New Roman" w:eastAsia="宋体" w:cs="宋体"/>
          <w:color w:val="000000"/>
          <w:sz w:val="28"/>
          <w:szCs w:val="28"/>
          <w:lang w:eastAsia="zh-CN" w:bidi="ar"/>
        </w:rPr>
        <w:t>、</w:t>
      </w:r>
      <w:r>
        <w:rPr>
          <w:rFonts w:hint="default" w:ascii="宋体" w:hAnsi="Times New Roman" w:eastAsia="宋体" w:cs="宋体"/>
          <w:color w:val="000000"/>
          <w:sz w:val="28"/>
          <w:szCs w:val="28"/>
          <w:lang w:bidi="ar"/>
        </w:rPr>
        <w:t>《化学品作业场所安全警示标志规范》</w:t>
      </w:r>
      <w:r>
        <w:rPr>
          <w:rFonts w:hint="default" w:ascii="宋体" w:hAnsi="Times New Roman" w:eastAsia="宋体" w:cs="宋体"/>
          <w:color w:val="000000"/>
          <w:sz w:val="28"/>
          <w:szCs w:val="28"/>
          <w:lang w:eastAsia="zh-CN" w:bidi="ar"/>
        </w:rPr>
        <w:t>（AQ 3047-2013）</w:t>
      </w:r>
      <w:r>
        <w:rPr>
          <w:rFonts w:hint="default" w:ascii="宋体" w:hAnsi="Times New Roman" w:eastAsia="宋体" w:cs="宋体"/>
          <w:color w:val="000000"/>
          <w:sz w:val="28"/>
          <w:szCs w:val="28"/>
          <w:lang w:bidi="ar"/>
        </w:rPr>
        <w:t>标准、规范要求进一步完善各危险区域的安全警示标识，且设置位置应醒目，设置数量应能满足需求，并进行定期检查，确保各标识明显清晰、</w:t>
      </w:r>
      <w:r>
        <w:rPr>
          <w:rFonts w:hint="default" w:ascii="宋体" w:hAnsi="Times New Roman" w:eastAsia="宋体" w:cs="宋体"/>
          <w:color w:val="000000"/>
          <w:sz w:val="28"/>
          <w:szCs w:val="28"/>
          <w:lang w:val="en-US" w:eastAsia="zh-CN" w:bidi="ar"/>
        </w:rPr>
        <w:t>无破损。</w:t>
      </w:r>
    </w:p>
    <w:p w14:paraId="720B0688">
      <w:pPr>
        <w:keepNext w:val="0"/>
        <w:keepLines w:val="0"/>
        <w:pageBreakBefore w:val="0"/>
        <w:widowControl w:val="0"/>
        <w:numPr>
          <w:ilvl w:val="0"/>
          <w:numId w:val="25"/>
        </w:numPr>
        <w:tabs>
          <w:tab w:val="left" w:pos="0"/>
        </w:tabs>
        <w:kinsoku/>
        <w:wordWrap/>
        <w:overflowPunct/>
        <w:topLinePunct w:val="0"/>
        <w:autoSpaceDE/>
        <w:autoSpaceDN/>
        <w:bidi w:val="0"/>
        <w:adjustRightInd/>
        <w:snapToGrid w:val="0"/>
        <w:spacing w:line="360" w:lineRule="auto"/>
        <w:ind w:firstLine="560" w:firstLineChars="200"/>
        <w:textAlignment w:val="auto"/>
        <w:rPr>
          <w:rFonts w:hint="default" w:ascii="宋体" w:hAnsi="Times New Roman" w:eastAsia="宋体" w:cs="宋体"/>
          <w:color w:val="000000"/>
          <w:sz w:val="28"/>
          <w:szCs w:val="28"/>
          <w:lang w:val="en-US" w:eastAsia="zh-CN" w:bidi="ar"/>
        </w:rPr>
      </w:pPr>
      <w:r>
        <w:rPr>
          <w:rFonts w:hint="default" w:ascii="宋体" w:hAnsi="Times New Roman" w:eastAsia="宋体" w:cs="宋体"/>
          <w:color w:val="000000"/>
          <w:sz w:val="28"/>
          <w:szCs w:val="28"/>
          <w:lang w:val="en-US" w:eastAsia="zh-CN" w:bidi="ar"/>
        </w:rPr>
        <w:t>企业应定期请有资质的防雷防静电检测单位对本项目的装置、设施、建（构）筑物的防静电、防雷装置进行检测，确保各区域防雷、防静电设施处于有效状态。</w:t>
      </w:r>
    </w:p>
    <w:p w14:paraId="5D35574F">
      <w:pPr>
        <w:keepNext w:val="0"/>
        <w:keepLines w:val="0"/>
        <w:pageBreakBefore w:val="0"/>
        <w:widowControl w:val="0"/>
        <w:numPr>
          <w:ilvl w:val="0"/>
          <w:numId w:val="25"/>
        </w:numPr>
        <w:tabs>
          <w:tab w:val="left" w:pos="0"/>
        </w:tabs>
        <w:kinsoku/>
        <w:wordWrap/>
        <w:overflowPunct/>
        <w:topLinePunct w:val="0"/>
        <w:autoSpaceDE/>
        <w:autoSpaceDN/>
        <w:bidi w:val="0"/>
        <w:adjustRightInd/>
        <w:snapToGrid w:val="0"/>
        <w:spacing w:line="360" w:lineRule="auto"/>
        <w:ind w:firstLine="560" w:firstLineChars="200"/>
        <w:textAlignment w:val="auto"/>
        <w:rPr>
          <w:rFonts w:hint="default" w:ascii="宋体" w:hAnsi="Times New Roman" w:eastAsia="宋体" w:cs="宋体"/>
          <w:color w:val="000000"/>
          <w:sz w:val="28"/>
          <w:szCs w:val="28"/>
          <w:lang w:bidi="ar"/>
        </w:rPr>
      </w:pPr>
      <w:r>
        <w:rPr>
          <w:rFonts w:hint="default" w:ascii="宋体" w:hAnsi="Times New Roman" w:eastAsia="宋体" w:cs="宋体"/>
          <w:color w:val="000000"/>
          <w:sz w:val="28"/>
          <w:szCs w:val="28"/>
          <w:lang w:val="zh-CN" w:bidi="ar"/>
        </w:rPr>
        <w:t>应定期对工艺装置区高处操作平台、</w:t>
      </w:r>
      <w:r>
        <w:rPr>
          <w:rFonts w:hint="default" w:ascii="宋体" w:hAnsi="Times New Roman" w:eastAsia="宋体" w:cs="宋体"/>
          <w:color w:val="000000"/>
          <w:sz w:val="28"/>
          <w:szCs w:val="28"/>
          <w:lang w:bidi="ar"/>
        </w:rPr>
        <w:t>钢梯及其防护栏进行维护、保养，以防由于锈蚀、不稳固、残缺、损坏等引发安全事故。</w:t>
      </w:r>
    </w:p>
    <w:p w14:paraId="7F574E02">
      <w:pPr>
        <w:keepNext w:val="0"/>
        <w:keepLines w:val="0"/>
        <w:pageBreakBefore w:val="0"/>
        <w:widowControl w:val="0"/>
        <w:numPr>
          <w:ilvl w:val="0"/>
          <w:numId w:val="25"/>
        </w:numPr>
        <w:tabs>
          <w:tab w:val="left" w:pos="0"/>
        </w:tabs>
        <w:kinsoku/>
        <w:wordWrap/>
        <w:overflowPunct/>
        <w:topLinePunct w:val="0"/>
        <w:autoSpaceDE/>
        <w:autoSpaceDN/>
        <w:bidi w:val="0"/>
        <w:adjustRightInd/>
        <w:snapToGrid w:val="0"/>
        <w:spacing w:line="360" w:lineRule="auto"/>
        <w:ind w:firstLine="560" w:firstLineChars="200"/>
        <w:textAlignment w:val="auto"/>
        <w:rPr>
          <w:rFonts w:hint="eastAsia" w:ascii="宋体" w:hAnsi="Times New Roman" w:eastAsia="宋体" w:cs="宋体"/>
          <w:color w:val="000000"/>
          <w:sz w:val="28"/>
          <w:szCs w:val="28"/>
          <w:lang w:bidi="ar"/>
        </w:rPr>
      </w:pPr>
      <w:r>
        <w:rPr>
          <w:rFonts w:hint="eastAsia" w:ascii="宋体" w:hAnsi="Times New Roman" w:eastAsia="宋体" w:cs="宋体"/>
          <w:color w:val="000000"/>
          <w:sz w:val="28"/>
          <w:szCs w:val="28"/>
          <w:lang w:val="zh-CN" w:bidi="ar"/>
        </w:rPr>
        <w:t>定期</w:t>
      </w:r>
      <w:r>
        <w:rPr>
          <w:rFonts w:hint="eastAsia" w:ascii="宋体" w:hAnsi="Times New Roman" w:eastAsia="宋体" w:cs="宋体"/>
          <w:color w:val="000000"/>
          <w:sz w:val="28"/>
          <w:szCs w:val="28"/>
          <w:lang w:bidi="ar"/>
        </w:rPr>
        <w:t>对配备的应急物资进行</w:t>
      </w:r>
      <w:r>
        <w:rPr>
          <w:rFonts w:hint="eastAsia" w:ascii="宋体" w:hAnsi="Times New Roman" w:eastAsia="宋体" w:cs="宋体"/>
          <w:color w:val="000000"/>
          <w:sz w:val="28"/>
          <w:szCs w:val="28"/>
          <w:lang w:val="zh-CN" w:bidi="ar"/>
        </w:rPr>
        <w:t>检查、维护</w:t>
      </w:r>
      <w:r>
        <w:rPr>
          <w:rFonts w:hint="eastAsia" w:ascii="宋体" w:hAnsi="Times New Roman" w:eastAsia="宋体" w:cs="宋体"/>
          <w:color w:val="000000"/>
          <w:sz w:val="28"/>
          <w:szCs w:val="28"/>
          <w:lang w:bidi="ar"/>
        </w:rPr>
        <w:t>并做</w:t>
      </w:r>
      <w:r>
        <w:rPr>
          <w:rFonts w:hint="eastAsia" w:ascii="宋体" w:hAnsi="Times New Roman" w:eastAsia="宋体" w:cs="宋体"/>
          <w:color w:val="000000"/>
          <w:sz w:val="28"/>
          <w:szCs w:val="28"/>
          <w:lang w:val="zh-CN" w:bidi="ar"/>
        </w:rPr>
        <w:t>记录，急救箱内的药品不足或失效时应及时补充或更换，</w:t>
      </w:r>
      <w:r>
        <w:rPr>
          <w:rFonts w:hint="eastAsia" w:ascii="宋体" w:hAnsi="Times New Roman" w:eastAsia="宋体" w:cs="宋体"/>
          <w:color w:val="000000"/>
          <w:sz w:val="28"/>
          <w:szCs w:val="28"/>
          <w:lang w:bidi="ar"/>
        </w:rPr>
        <w:t>保证应急救援物资处于良好、有效状态。</w:t>
      </w:r>
    </w:p>
    <w:p w14:paraId="70D75137">
      <w:pPr>
        <w:keepNext w:val="0"/>
        <w:keepLines w:val="0"/>
        <w:pageBreakBefore w:val="0"/>
        <w:widowControl w:val="0"/>
        <w:numPr>
          <w:ilvl w:val="0"/>
          <w:numId w:val="25"/>
        </w:numPr>
        <w:tabs>
          <w:tab w:val="left" w:pos="0"/>
        </w:tabs>
        <w:kinsoku/>
        <w:wordWrap/>
        <w:overflowPunct/>
        <w:topLinePunct w:val="0"/>
        <w:autoSpaceDE/>
        <w:autoSpaceDN/>
        <w:bidi w:val="0"/>
        <w:adjustRightInd/>
        <w:snapToGrid w:val="0"/>
        <w:spacing w:line="360" w:lineRule="auto"/>
        <w:ind w:firstLine="560" w:firstLineChars="200"/>
        <w:textAlignment w:val="auto"/>
        <w:rPr>
          <w:rFonts w:hint="default" w:ascii="宋体" w:hAnsi="Times New Roman" w:eastAsia="宋体" w:cs="宋体"/>
          <w:color w:val="000000"/>
          <w:sz w:val="28"/>
          <w:szCs w:val="28"/>
          <w:lang w:bidi="ar"/>
        </w:rPr>
      </w:pPr>
      <w:r>
        <w:rPr>
          <w:rFonts w:hint="default" w:ascii="宋体" w:hAnsi="Times New Roman" w:eastAsia="宋体" w:cs="宋体"/>
          <w:color w:val="000000"/>
          <w:sz w:val="28"/>
          <w:szCs w:val="28"/>
          <w:lang w:bidi="ar"/>
        </w:rPr>
        <w:t>应加强巡查，发现有跑冒滴漏现象，应及时汇报相关领导，并采取相关措施进行处理。</w:t>
      </w:r>
    </w:p>
    <w:p w14:paraId="570CA00E">
      <w:pPr>
        <w:keepNext w:val="0"/>
        <w:keepLines w:val="0"/>
        <w:pageBreakBefore w:val="0"/>
        <w:widowControl w:val="0"/>
        <w:numPr>
          <w:ilvl w:val="0"/>
          <w:numId w:val="25"/>
        </w:numPr>
        <w:tabs>
          <w:tab w:val="left" w:pos="0"/>
        </w:tabs>
        <w:kinsoku/>
        <w:wordWrap/>
        <w:overflowPunct/>
        <w:topLinePunct w:val="0"/>
        <w:autoSpaceDE/>
        <w:autoSpaceDN/>
        <w:bidi w:val="0"/>
        <w:adjustRightInd/>
        <w:snapToGrid w:val="0"/>
        <w:spacing w:line="360" w:lineRule="auto"/>
        <w:ind w:firstLine="560" w:firstLineChars="200"/>
        <w:textAlignment w:val="auto"/>
        <w:rPr>
          <w:rFonts w:hint="eastAsia" w:ascii="宋体" w:hAnsi="Times New Roman" w:eastAsia="宋体" w:cs="宋体"/>
          <w:color w:val="000000"/>
          <w:sz w:val="28"/>
          <w:szCs w:val="28"/>
          <w:lang w:bidi="ar"/>
        </w:rPr>
      </w:pPr>
      <w:r>
        <w:rPr>
          <w:rFonts w:hint="eastAsia" w:ascii="宋体" w:hAnsi="Times New Roman" w:eastAsia="宋体" w:cs="宋体"/>
          <w:color w:val="000000"/>
          <w:sz w:val="28"/>
          <w:szCs w:val="28"/>
          <w:lang w:bidi="ar"/>
        </w:rPr>
        <w:t>应向有资质的单位购买劳动防护用品，并向其索取资质证书及产品合格证；应按《个体防护装备配备规范 第1部分：总则》（GB39800.1-2020）及《个体防护装备配备规范 第2部分：石油、化工、天然气》（GB39800.2-2020）中的要求配备劳动防护用品；定期更换老化、损坏或过期的劳动防护用品。</w:t>
      </w:r>
    </w:p>
    <w:p w14:paraId="53EEA8B2">
      <w:pPr>
        <w:keepNext w:val="0"/>
        <w:keepLines w:val="0"/>
        <w:pageBreakBefore w:val="0"/>
        <w:widowControl w:val="0"/>
        <w:numPr>
          <w:ilvl w:val="0"/>
          <w:numId w:val="25"/>
        </w:numPr>
        <w:tabs>
          <w:tab w:val="left" w:pos="0"/>
        </w:tabs>
        <w:kinsoku/>
        <w:wordWrap/>
        <w:overflowPunct/>
        <w:topLinePunct w:val="0"/>
        <w:autoSpaceDE/>
        <w:autoSpaceDN/>
        <w:bidi w:val="0"/>
        <w:adjustRightInd/>
        <w:snapToGrid w:val="0"/>
        <w:spacing w:line="360" w:lineRule="auto"/>
        <w:ind w:firstLine="560" w:firstLineChars="200"/>
        <w:textAlignment w:val="auto"/>
        <w:rPr>
          <w:rFonts w:hint="eastAsia" w:ascii="宋体" w:hAnsi="Times New Roman" w:eastAsia="宋体" w:cs="宋体"/>
          <w:color w:val="000000"/>
          <w:sz w:val="28"/>
          <w:szCs w:val="28"/>
          <w:lang w:bidi="ar"/>
        </w:rPr>
      </w:pPr>
      <w:r>
        <w:rPr>
          <w:rFonts w:hint="eastAsia" w:ascii="宋体" w:hAnsi="Times New Roman" w:eastAsia="宋体" w:cs="宋体"/>
          <w:color w:val="000000"/>
          <w:sz w:val="28"/>
          <w:szCs w:val="28"/>
          <w:lang w:bidi="ar"/>
        </w:rPr>
        <w:t>定期对项目内的消防器材进行检查、维护和保养，及时更换失效或损坏的灭火器材，以免发生事故时不能及时启动。建议根据《建筑灭火器配置设计规范》（GB50140-2005）第5.1.3条（手提式灭火器宜设置在灭火器箱内或挂钩、托架上，其顶部离地面高度不应大于1.50m；底部离地面高度不宜小于0.08m），至少将室外及腐蚀性场所设置的手提式灭火器设置在灭火器箱内或挂钩、托架上，防止腐蚀损坏。</w:t>
      </w:r>
    </w:p>
    <w:p w14:paraId="670419A3">
      <w:pPr>
        <w:pStyle w:val="5"/>
        <w:numPr>
          <w:ilvl w:val="2"/>
          <w:numId w:val="1"/>
        </w:numPr>
        <w:adjustRightInd w:val="0"/>
        <w:spacing w:before="120" w:after="120"/>
        <w:jc w:val="both"/>
        <w:rPr>
          <w:rFonts w:hint="default" w:ascii="Times New Roman" w:hAnsi="Times New Roman" w:cs="Times New Roman"/>
          <w:snapToGrid w:val="0"/>
          <w:color w:val="000000"/>
          <w:kern w:val="0"/>
          <w:sz w:val="32"/>
          <w:lang w:val="en-US" w:eastAsia="zh-CN"/>
        </w:rPr>
      </w:pPr>
      <w:bookmarkStart w:id="599" w:name="_Toc22567"/>
      <w:bookmarkStart w:id="600" w:name="_Toc7767"/>
      <w:r>
        <w:rPr>
          <w:rFonts w:hint="default" w:ascii="Times New Roman" w:hAnsi="Times New Roman" w:cs="Times New Roman"/>
          <w:snapToGrid w:val="0"/>
          <w:color w:val="000000"/>
          <w:kern w:val="0"/>
          <w:sz w:val="32"/>
          <w:lang w:val="en-US" w:eastAsia="zh-CN"/>
        </w:rPr>
        <w:t>安全条件和安全生产条件的完善与维护</w:t>
      </w:r>
      <w:bookmarkEnd w:id="599"/>
      <w:bookmarkEnd w:id="600"/>
    </w:p>
    <w:p w14:paraId="1C4F2E09">
      <w:pPr>
        <w:keepNext w:val="0"/>
        <w:keepLines w:val="0"/>
        <w:pageBreakBefore w:val="0"/>
        <w:widowControl w:val="0"/>
        <w:numPr>
          <w:ilvl w:val="0"/>
          <w:numId w:val="26"/>
        </w:numPr>
        <w:tabs>
          <w:tab w:val="left" w:pos="0"/>
        </w:tabs>
        <w:kinsoku/>
        <w:wordWrap/>
        <w:overflowPunct/>
        <w:topLinePunct w:val="0"/>
        <w:autoSpaceDE/>
        <w:autoSpaceDN/>
        <w:bidi w:val="0"/>
        <w:adjustRightInd/>
        <w:snapToGrid w:val="0"/>
        <w:spacing w:line="360" w:lineRule="auto"/>
        <w:ind w:firstLine="560" w:firstLineChars="200"/>
        <w:textAlignment w:val="auto"/>
        <w:rPr>
          <w:rFonts w:ascii="宋体" w:hAnsi="Times New Roman" w:eastAsia="宋体" w:cs="宋体"/>
          <w:color w:val="000000"/>
          <w:sz w:val="28"/>
          <w:szCs w:val="28"/>
          <w:lang w:bidi="ar"/>
        </w:rPr>
      </w:pPr>
      <w:r>
        <w:rPr>
          <w:color w:val="000000"/>
          <w:sz w:val="28"/>
          <w:szCs w:val="28"/>
          <w:lang w:bidi="ar"/>
        </w:rPr>
        <w:t>企业应严格执行安全生产检查、隐患排查治理、安全考核等的相关制度，及时整改存在的隐患，并保障安全投入。企业在隐患整改期间加强现场安全管理</w:t>
      </w:r>
      <w:r>
        <w:rPr>
          <w:rFonts w:ascii="宋体" w:hAnsi="Times New Roman" w:eastAsia="宋体" w:cs="宋体"/>
          <w:color w:val="000000"/>
          <w:sz w:val="28"/>
          <w:szCs w:val="28"/>
          <w:lang w:bidi="ar"/>
        </w:rPr>
        <w:t>，并采取安全对策措施。</w:t>
      </w:r>
    </w:p>
    <w:p w14:paraId="68D80954">
      <w:pPr>
        <w:keepNext w:val="0"/>
        <w:keepLines w:val="0"/>
        <w:pageBreakBefore w:val="0"/>
        <w:widowControl w:val="0"/>
        <w:numPr>
          <w:ilvl w:val="0"/>
          <w:numId w:val="26"/>
        </w:numPr>
        <w:tabs>
          <w:tab w:val="left" w:pos="0"/>
        </w:tabs>
        <w:kinsoku/>
        <w:wordWrap/>
        <w:overflowPunct/>
        <w:topLinePunct w:val="0"/>
        <w:autoSpaceDE/>
        <w:autoSpaceDN/>
        <w:bidi w:val="0"/>
        <w:adjustRightInd/>
        <w:snapToGrid w:val="0"/>
        <w:spacing w:line="360" w:lineRule="auto"/>
        <w:ind w:firstLine="560" w:firstLineChars="200"/>
        <w:textAlignment w:val="auto"/>
        <w:rPr>
          <w:rFonts w:hint="default" w:ascii="宋体" w:hAnsi="Times New Roman" w:eastAsia="宋体" w:cs="宋体"/>
          <w:color w:val="000000"/>
          <w:sz w:val="28"/>
          <w:szCs w:val="28"/>
          <w:lang w:val="en-US" w:eastAsia="zh-CN" w:bidi="ar"/>
        </w:rPr>
      </w:pPr>
      <w:r>
        <w:rPr>
          <w:rFonts w:hint="default" w:ascii="宋体" w:hAnsi="Times New Roman" w:eastAsia="宋体" w:cs="宋体"/>
          <w:color w:val="000000"/>
          <w:sz w:val="28"/>
          <w:szCs w:val="28"/>
          <w:lang w:val="en-US" w:eastAsia="zh-CN" w:bidi="ar"/>
        </w:rPr>
        <w:t>定期对工艺设施、泵及管道、阀门处进行巡回检查，以防发生跑、冒、滴、漏现象，发现有缺失或损坏的应及时增设或更换。</w:t>
      </w:r>
    </w:p>
    <w:p w14:paraId="19AD296D">
      <w:pPr>
        <w:keepNext w:val="0"/>
        <w:keepLines w:val="0"/>
        <w:pageBreakBefore w:val="0"/>
        <w:widowControl w:val="0"/>
        <w:numPr>
          <w:ilvl w:val="0"/>
          <w:numId w:val="26"/>
        </w:numPr>
        <w:tabs>
          <w:tab w:val="left" w:pos="0"/>
        </w:tabs>
        <w:kinsoku/>
        <w:wordWrap/>
        <w:overflowPunct/>
        <w:topLinePunct w:val="0"/>
        <w:autoSpaceDE/>
        <w:autoSpaceDN/>
        <w:bidi w:val="0"/>
        <w:adjustRightInd/>
        <w:snapToGrid w:val="0"/>
        <w:spacing w:line="360" w:lineRule="auto"/>
        <w:ind w:firstLine="560" w:firstLineChars="200"/>
        <w:textAlignment w:val="auto"/>
        <w:rPr>
          <w:color w:val="000000"/>
          <w:sz w:val="28"/>
          <w:szCs w:val="28"/>
          <w:lang w:bidi="ar"/>
        </w:rPr>
      </w:pPr>
      <w:r>
        <w:rPr>
          <w:color w:val="000000"/>
          <w:sz w:val="28"/>
          <w:szCs w:val="28"/>
          <w:lang w:bidi="ar"/>
        </w:rPr>
        <w:t>应根据试生产情况完善现有安全管理制度、安全操作规程、安全生产责任制及安全管理台帐</w:t>
      </w:r>
      <w:r>
        <w:rPr>
          <w:rFonts w:hint="eastAsia"/>
          <w:color w:val="000000"/>
          <w:sz w:val="28"/>
          <w:szCs w:val="28"/>
          <w:lang w:bidi="ar"/>
        </w:rPr>
        <w:t>、应急预案</w:t>
      </w:r>
      <w:r>
        <w:rPr>
          <w:rFonts w:hint="eastAsia"/>
          <w:color w:val="000000"/>
          <w:sz w:val="28"/>
          <w:szCs w:val="28"/>
          <w:lang w:eastAsia="zh-CN" w:bidi="ar"/>
        </w:rPr>
        <w:t>。</w:t>
      </w:r>
      <w:r>
        <w:rPr>
          <w:rFonts w:hint="eastAsia"/>
          <w:color w:val="000000"/>
          <w:sz w:val="28"/>
          <w:szCs w:val="28"/>
          <w:lang w:val="en-US" w:eastAsia="zh-CN" w:bidi="ar"/>
        </w:rPr>
        <w:t>如建立并完善生产经营场所、工艺、设备、设施、电气仪表及公用工程相关安全管理制度，危险源管理制度，变更管理制度等；</w:t>
      </w:r>
      <w:r>
        <w:rPr>
          <w:color w:val="000000"/>
          <w:sz w:val="28"/>
          <w:szCs w:val="28"/>
          <w:lang w:bidi="ar"/>
        </w:rPr>
        <w:t>并在今后定期进行</w:t>
      </w:r>
      <w:r>
        <w:rPr>
          <w:rFonts w:hint="eastAsia"/>
          <w:color w:val="000000"/>
          <w:sz w:val="28"/>
          <w:szCs w:val="28"/>
          <w:lang w:bidi="ar"/>
        </w:rPr>
        <w:t>修订、</w:t>
      </w:r>
      <w:r>
        <w:rPr>
          <w:color w:val="000000"/>
          <w:sz w:val="28"/>
          <w:szCs w:val="28"/>
          <w:lang w:bidi="ar"/>
        </w:rPr>
        <w:t>完善，督促员工严格按其要求执行</w:t>
      </w:r>
      <w:r>
        <w:rPr>
          <w:rFonts w:hint="eastAsia"/>
          <w:color w:val="000000"/>
          <w:sz w:val="28"/>
          <w:szCs w:val="28"/>
          <w:lang w:eastAsia="zh-CN" w:bidi="ar"/>
        </w:rPr>
        <w:t>。</w:t>
      </w:r>
      <w:r>
        <w:rPr>
          <w:color w:val="000000"/>
          <w:sz w:val="28"/>
          <w:szCs w:val="28"/>
          <w:lang w:bidi="ar"/>
        </w:rPr>
        <w:t>企业应建立职工职业健康档案，定期对劳动者进行职业健康体检，不得安排有职业禁忌的劳动者从事其所禁忌的作业。</w:t>
      </w:r>
    </w:p>
    <w:p w14:paraId="0C497EDC">
      <w:pPr>
        <w:keepNext w:val="0"/>
        <w:keepLines w:val="0"/>
        <w:pageBreakBefore w:val="0"/>
        <w:widowControl w:val="0"/>
        <w:numPr>
          <w:ilvl w:val="0"/>
          <w:numId w:val="26"/>
        </w:numPr>
        <w:tabs>
          <w:tab w:val="left" w:pos="0"/>
        </w:tabs>
        <w:kinsoku/>
        <w:wordWrap/>
        <w:overflowPunct/>
        <w:topLinePunct w:val="0"/>
        <w:autoSpaceDE/>
        <w:autoSpaceDN/>
        <w:bidi w:val="0"/>
        <w:adjustRightInd/>
        <w:snapToGrid w:val="0"/>
        <w:spacing w:line="360" w:lineRule="auto"/>
        <w:ind w:firstLine="560" w:firstLineChars="200"/>
        <w:textAlignment w:val="auto"/>
        <w:rPr>
          <w:color w:val="000000"/>
          <w:sz w:val="28"/>
          <w:szCs w:val="28"/>
          <w:lang w:bidi="ar"/>
        </w:rPr>
      </w:pPr>
      <w:r>
        <w:rPr>
          <w:color w:val="000000"/>
          <w:sz w:val="28"/>
          <w:szCs w:val="28"/>
          <w:lang w:bidi="ar"/>
        </w:rPr>
        <w:t>应</w:t>
      </w:r>
      <w:r>
        <w:rPr>
          <w:rFonts w:hint="eastAsia"/>
          <w:color w:val="000000"/>
          <w:sz w:val="28"/>
          <w:szCs w:val="28"/>
          <w:lang w:bidi="ar"/>
        </w:rPr>
        <w:t>明确工艺控制指标，</w:t>
      </w:r>
      <w:r>
        <w:rPr>
          <w:color w:val="000000"/>
          <w:sz w:val="28"/>
          <w:szCs w:val="28"/>
          <w:lang w:bidi="ar"/>
        </w:rPr>
        <w:t>严格控制液位、流量</w:t>
      </w:r>
      <w:r>
        <w:rPr>
          <w:rFonts w:hint="eastAsia"/>
          <w:color w:val="000000"/>
          <w:sz w:val="28"/>
          <w:szCs w:val="28"/>
          <w:lang w:bidi="ar"/>
        </w:rPr>
        <w:t>、压力</w:t>
      </w:r>
      <w:r>
        <w:rPr>
          <w:color w:val="000000"/>
          <w:sz w:val="28"/>
          <w:szCs w:val="28"/>
          <w:lang w:bidi="ar"/>
        </w:rPr>
        <w:t>等工艺参数。各岗位操作人员应严格执行操作规程，规范操作行为。该项目运行过程中如需改变或修正工艺指标，必须由工艺管理部门</w:t>
      </w:r>
      <w:r>
        <w:rPr>
          <w:rFonts w:hint="eastAsia"/>
          <w:color w:val="000000"/>
          <w:sz w:val="28"/>
          <w:szCs w:val="28"/>
          <w:lang w:val="en-US" w:eastAsia="zh-CN" w:bidi="ar"/>
        </w:rPr>
        <w:t>履行变更手续、</w:t>
      </w:r>
      <w:r>
        <w:rPr>
          <w:color w:val="000000"/>
          <w:sz w:val="28"/>
          <w:szCs w:val="28"/>
          <w:lang w:bidi="ar"/>
        </w:rPr>
        <w:t>以书面形式下达，操作者必须遵守工艺纪律，不得擅自改变工艺指标。</w:t>
      </w:r>
    </w:p>
    <w:p w14:paraId="63E853B6">
      <w:pPr>
        <w:keepNext w:val="0"/>
        <w:keepLines w:val="0"/>
        <w:pageBreakBefore w:val="0"/>
        <w:widowControl w:val="0"/>
        <w:numPr>
          <w:ilvl w:val="0"/>
          <w:numId w:val="26"/>
        </w:numPr>
        <w:tabs>
          <w:tab w:val="left" w:pos="0"/>
        </w:tabs>
        <w:kinsoku/>
        <w:wordWrap/>
        <w:overflowPunct/>
        <w:topLinePunct w:val="0"/>
        <w:autoSpaceDE/>
        <w:autoSpaceDN/>
        <w:bidi w:val="0"/>
        <w:adjustRightInd/>
        <w:snapToGrid w:val="0"/>
        <w:spacing w:line="360" w:lineRule="auto"/>
        <w:ind w:firstLine="560" w:firstLineChars="200"/>
        <w:textAlignment w:val="auto"/>
        <w:rPr>
          <w:rFonts w:ascii="宋体" w:hAnsi="Times New Roman" w:eastAsia="宋体" w:cs="宋体"/>
          <w:color w:val="000000"/>
          <w:sz w:val="28"/>
          <w:szCs w:val="28"/>
          <w:lang w:bidi="ar"/>
        </w:rPr>
      </w:pPr>
      <w:r>
        <w:rPr>
          <w:color w:val="000000"/>
          <w:sz w:val="28"/>
          <w:szCs w:val="28"/>
          <w:lang w:bidi="ar"/>
        </w:rPr>
        <w:t>法定代表人、主要负责人、安全管理人员应经相关单位培训，经考试合格持</w:t>
      </w:r>
      <w:r>
        <w:rPr>
          <w:rFonts w:hint="eastAsia"/>
          <w:color w:val="000000"/>
          <w:sz w:val="28"/>
          <w:szCs w:val="28"/>
          <w:lang w:bidi="ar"/>
        </w:rPr>
        <w:t>安全生产知识和管理能力考核合格</w:t>
      </w:r>
      <w:r>
        <w:rPr>
          <w:color w:val="000000"/>
          <w:sz w:val="28"/>
          <w:szCs w:val="28"/>
          <w:lang w:bidi="ar"/>
        </w:rPr>
        <w:t>证上岗，并定期参加复审，保证其证</w:t>
      </w:r>
      <w:r>
        <w:rPr>
          <w:rFonts w:ascii="宋体" w:hAnsi="Times New Roman" w:eastAsia="宋体" w:cs="宋体"/>
          <w:color w:val="000000"/>
          <w:sz w:val="28"/>
          <w:szCs w:val="28"/>
          <w:lang w:bidi="ar"/>
        </w:rPr>
        <w:t>书在有效期范围内。</w:t>
      </w:r>
    </w:p>
    <w:p w14:paraId="3A47AAD6">
      <w:pPr>
        <w:keepNext w:val="0"/>
        <w:keepLines w:val="0"/>
        <w:pageBreakBefore w:val="0"/>
        <w:widowControl w:val="0"/>
        <w:numPr>
          <w:ilvl w:val="0"/>
          <w:numId w:val="26"/>
        </w:numPr>
        <w:tabs>
          <w:tab w:val="left" w:pos="0"/>
        </w:tabs>
        <w:kinsoku/>
        <w:wordWrap/>
        <w:overflowPunct/>
        <w:topLinePunct w:val="0"/>
        <w:autoSpaceDE/>
        <w:autoSpaceDN/>
        <w:bidi w:val="0"/>
        <w:adjustRightInd/>
        <w:snapToGrid w:val="0"/>
        <w:spacing w:line="360" w:lineRule="auto"/>
        <w:ind w:firstLine="560" w:firstLineChars="200"/>
        <w:textAlignment w:val="auto"/>
        <w:rPr>
          <w:rFonts w:hint="default" w:ascii="宋体" w:hAnsi="Times New Roman" w:eastAsia="宋体" w:cs="宋体"/>
          <w:color w:val="000000"/>
          <w:sz w:val="28"/>
          <w:szCs w:val="28"/>
          <w:lang w:val="en-US" w:eastAsia="zh-CN" w:bidi="ar"/>
        </w:rPr>
      </w:pPr>
      <w:r>
        <w:rPr>
          <w:rFonts w:hint="default" w:ascii="宋体" w:hAnsi="Times New Roman" w:eastAsia="宋体" w:cs="宋体"/>
          <w:color w:val="000000"/>
          <w:sz w:val="28"/>
          <w:szCs w:val="28"/>
          <w:lang w:val="en-US" w:eastAsia="zh-CN" w:bidi="ar"/>
        </w:rPr>
        <w:t>加强对项目各区域自控系统设备、设施的日常维护保养和定期检测、检验，保持各检测仪表灵敏、准确、可靠。</w:t>
      </w:r>
    </w:p>
    <w:p w14:paraId="168CF4E9">
      <w:pPr>
        <w:keepNext w:val="0"/>
        <w:keepLines w:val="0"/>
        <w:pageBreakBefore w:val="0"/>
        <w:widowControl w:val="0"/>
        <w:numPr>
          <w:ilvl w:val="0"/>
          <w:numId w:val="26"/>
        </w:numPr>
        <w:tabs>
          <w:tab w:val="left" w:pos="0"/>
        </w:tabs>
        <w:kinsoku/>
        <w:wordWrap/>
        <w:overflowPunct/>
        <w:topLinePunct w:val="0"/>
        <w:autoSpaceDE/>
        <w:autoSpaceDN/>
        <w:bidi w:val="0"/>
        <w:adjustRightInd/>
        <w:snapToGrid w:val="0"/>
        <w:spacing w:line="360" w:lineRule="auto"/>
        <w:ind w:firstLine="560" w:firstLineChars="200"/>
        <w:textAlignment w:val="auto"/>
        <w:rPr>
          <w:rFonts w:hint="eastAsia" w:ascii="宋体" w:hAnsi="Times New Roman" w:eastAsia="宋体" w:cs="宋体"/>
          <w:color w:val="000000"/>
          <w:sz w:val="28"/>
          <w:szCs w:val="28"/>
          <w:lang w:bidi="ar"/>
        </w:rPr>
      </w:pPr>
      <w:r>
        <w:rPr>
          <w:rFonts w:hint="eastAsia" w:ascii="宋体" w:hAnsi="Times New Roman" w:eastAsia="宋体" w:cs="宋体"/>
          <w:color w:val="000000"/>
          <w:sz w:val="28"/>
          <w:szCs w:val="28"/>
          <w:lang w:bidi="ar"/>
        </w:rPr>
        <w:t>该项目涉及的电工作业人员等特种作业人员以及特种设备安全管理等特种设备作业人员应经相关部门培训，经考试合格持证上岗，并定期参加复核，保证其证书在有效期范围内。建议配备焊接与热切割作业人员，安排培训取证后持证上岗，从业人员取证上岗之前涉及的焊接与热切割作业应外委有资质的人员进行。</w:t>
      </w:r>
    </w:p>
    <w:p w14:paraId="34D05276">
      <w:pPr>
        <w:keepNext w:val="0"/>
        <w:keepLines w:val="0"/>
        <w:pageBreakBefore w:val="0"/>
        <w:widowControl w:val="0"/>
        <w:numPr>
          <w:ilvl w:val="0"/>
          <w:numId w:val="26"/>
        </w:numPr>
        <w:tabs>
          <w:tab w:val="left" w:pos="0"/>
        </w:tabs>
        <w:kinsoku/>
        <w:wordWrap/>
        <w:overflowPunct/>
        <w:topLinePunct w:val="0"/>
        <w:autoSpaceDE/>
        <w:autoSpaceDN/>
        <w:bidi w:val="0"/>
        <w:adjustRightInd/>
        <w:snapToGrid w:val="0"/>
        <w:spacing w:line="360" w:lineRule="auto"/>
        <w:ind w:firstLine="560" w:firstLineChars="200"/>
        <w:textAlignment w:val="auto"/>
        <w:rPr>
          <w:rFonts w:hint="default" w:ascii="宋体" w:hAnsi="Times New Roman" w:eastAsia="宋体" w:cs="宋体"/>
          <w:color w:val="000000"/>
          <w:sz w:val="28"/>
          <w:szCs w:val="28"/>
          <w:lang w:val="en-US" w:eastAsia="zh-CN" w:bidi="ar"/>
        </w:rPr>
      </w:pPr>
      <w:r>
        <w:rPr>
          <w:rFonts w:hint="default" w:ascii="宋体" w:hAnsi="Times New Roman" w:eastAsia="宋体" w:cs="宋体"/>
          <w:color w:val="000000"/>
          <w:sz w:val="28"/>
          <w:szCs w:val="28"/>
          <w:lang w:val="en-US" w:eastAsia="zh-CN" w:bidi="ar"/>
        </w:rPr>
        <w:t>定期对各类机械设备的转动或传动处的防护罩进行安全检查，如有锈蚀、不牢、损坏等现象，应及时整改或更换。</w:t>
      </w:r>
    </w:p>
    <w:p w14:paraId="38E48E4A">
      <w:pPr>
        <w:keepNext w:val="0"/>
        <w:keepLines w:val="0"/>
        <w:pageBreakBefore w:val="0"/>
        <w:widowControl w:val="0"/>
        <w:numPr>
          <w:ilvl w:val="0"/>
          <w:numId w:val="26"/>
        </w:numPr>
        <w:tabs>
          <w:tab w:val="left" w:pos="0"/>
        </w:tabs>
        <w:kinsoku/>
        <w:wordWrap/>
        <w:overflowPunct/>
        <w:topLinePunct w:val="0"/>
        <w:autoSpaceDE/>
        <w:autoSpaceDN/>
        <w:bidi w:val="0"/>
        <w:adjustRightInd/>
        <w:snapToGrid w:val="0"/>
        <w:spacing w:line="360" w:lineRule="auto"/>
        <w:ind w:firstLine="560" w:firstLineChars="200"/>
        <w:textAlignment w:val="auto"/>
        <w:rPr>
          <w:rFonts w:hint="default" w:ascii="宋体" w:hAnsi="Times New Roman" w:eastAsia="宋体" w:cs="宋体"/>
          <w:color w:val="000000"/>
          <w:sz w:val="28"/>
          <w:szCs w:val="28"/>
          <w:lang w:val="en-US" w:eastAsia="zh-CN" w:bidi="ar"/>
        </w:rPr>
      </w:pPr>
      <w:r>
        <w:rPr>
          <w:rFonts w:hint="default" w:ascii="宋体" w:hAnsi="Times New Roman" w:eastAsia="宋体" w:cs="宋体"/>
          <w:color w:val="000000"/>
          <w:sz w:val="28"/>
          <w:szCs w:val="28"/>
          <w:lang w:val="en-US" w:eastAsia="zh-CN" w:bidi="ar"/>
        </w:rPr>
        <w:t>定期对项目区内建构筑物、装置（设施）进行维护、保养，发现有腐蚀、开裂、下沉等现象时及时采取相关措施进行维护处理。</w:t>
      </w:r>
    </w:p>
    <w:p w14:paraId="383D3D79">
      <w:pPr>
        <w:keepNext w:val="0"/>
        <w:keepLines w:val="0"/>
        <w:pageBreakBefore w:val="0"/>
        <w:widowControl w:val="0"/>
        <w:numPr>
          <w:ilvl w:val="0"/>
          <w:numId w:val="26"/>
        </w:numPr>
        <w:tabs>
          <w:tab w:val="left" w:pos="0"/>
        </w:tabs>
        <w:kinsoku/>
        <w:wordWrap/>
        <w:overflowPunct/>
        <w:topLinePunct w:val="0"/>
        <w:autoSpaceDE/>
        <w:autoSpaceDN/>
        <w:bidi w:val="0"/>
        <w:adjustRightInd/>
        <w:snapToGrid w:val="0"/>
        <w:spacing w:line="360" w:lineRule="auto"/>
        <w:ind w:firstLine="560" w:firstLineChars="200"/>
        <w:textAlignment w:val="auto"/>
        <w:rPr>
          <w:rFonts w:hint="eastAsia" w:ascii="宋体" w:hAnsi="Times New Roman" w:eastAsia="宋体" w:cs="宋体"/>
          <w:color w:val="000000"/>
          <w:sz w:val="28"/>
          <w:szCs w:val="28"/>
          <w:lang w:bidi="ar"/>
        </w:rPr>
      </w:pPr>
      <w:r>
        <w:rPr>
          <w:rFonts w:hint="eastAsia" w:ascii="宋体" w:hAnsi="Times New Roman" w:eastAsia="宋体" w:cs="宋体"/>
          <w:color w:val="000000"/>
          <w:sz w:val="28"/>
          <w:szCs w:val="28"/>
          <w:lang w:bidi="ar"/>
        </w:rPr>
        <w:t>应就应急预案定期开展应急演练，记录演练情况，并对演练进行总结、评估，针对演练中暴露的预案中的问题及时对预案进行修订完善。</w:t>
      </w:r>
    </w:p>
    <w:p w14:paraId="4E3707FD">
      <w:pPr>
        <w:keepNext w:val="0"/>
        <w:keepLines w:val="0"/>
        <w:pageBreakBefore w:val="0"/>
        <w:widowControl w:val="0"/>
        <w:numPr>
          <w:ilvl w:val="0"/>
          <w:numId w:val="26"/>
        </w:numPr>
        <w:tabs>
          <w:tab w:val="left" w:pos="0"/>
        </w:tabs>
        <w:kinsoku/>
        <w:wordWrap/>
        <w:overflowPunct/>
        <w:topLinePunct w:val="0"/>
        <w:autoSpaceDE/>
        <w:autoSpaceDN/>
        <w:bidi w:val="0"/>
        <w:adjustRightInd/>
        <w:snapToGrid w:val="0"/>
        <w:spacing w:line="360" w:lineRule="auto"/>
        <w:ind w:firstLine="560" w:firstLineChars="200"/>
        <w:textAlignment w:val="auto"/>
        <w:rPr>
          <w:rFonts w:hint="eastAsia" w:ascii="宋体" w:hAnsi="Times New Roman" w:eastAsia="宋体" w:cs="宋体"/>
          <w:color w:val="000000"/>
          <w:sz w:val="28"/>
          <w:szCs w:val="28"/>
          <w:lang w:bidi="ar"/>
        </w:rPr>
      </w:pPr>
      <w:r>
        <w:rPr>
          <w:rFonts w:hint="eastAsia" w:ascii="宋体" w:hAnsi="Times New Roman" w:eastAsia="宋体" w:cs="宋体"/>
          <w:color w:val="000000"/>
          <w:sz w:val="28"/>
          <w:szCs w:val="28"/>
          <w:lang w:bidi="ar"/>
        </w:rPr>
        <w:t>按照《特种设备使用单位落实使用安全主体责任监督管理规定》（2023年4月4日国家市场监督管理总局令第74号公布 自2023年5月5日起施行）的要求完善特种设备安全管理。</w:t>
      </w:r>
    </w:p>
    <w:p w14:paraId="4C7EE2DB">
      <w:pPr>
        <w:keepNext w:val="0"/>
        <w:keepLines w:val="0"/>
        <w:pageBreakBefore w:val="0"/>
        <w:widowControl w:val="0"/>
        <w:numPr>
          <w:ilvl w:val="0"/>
          <w:numId w:val="26"/>
        </w:numPr>
        <w:tabs>
          <w:tab w:val="left" w:pos="0"/>
          <w:tab w:val="left" w:pos="1050"/>
        </w:tabs>
        <w:kinsoku/>
        <w:wordWrap/>
        <w:overflowPunct/>
        <w:topLinePunct w:val="0"/>
        <w:autoSpaceDE/>
        <w:autoSpaceDN/>
        <w:bidi w:val="0"/>
        <w:adjustRightInd/>
        <w:snapToGrid w:val="0"/>
        <w:spacing w:line="360" w:lineRule="auto"/>
        <w:ind w:firstLine="560" w:firstLineChars="200"/>
        <w:textAlignment w:val="auto"/>
        <w:rPr>
          <w:rFonts w:hint="eastAsia"/>
          <w:color w:val="000000"/>
          <w:sz w:val="28"/>
          <w:szCs w:val="28"/>
          <w:lang w:bidi="ar"/>
        </w:rPr>
      </w:pPr>
      <w:r>
        <w:rPr>
          <w:rFonts w:hint="eastAsia"/>
          <w:color w:val="000000"/>
          <w:sz w:val="28"/>
          <w:szCs w:val="28"/>
          <w:lang w:val="en-US" w:eastAsia="zh-CN" w:bidi="ar"/>
        </w:rPr>
        <w:t>生产过程中发生变更的，应</w:t>
      </w:r>
      <w:r>
        <w:rPr>
          <w:rFonts w:hint="eastAsia"/>
          <w:color w:val="000000"/>
          <w:sz w:val="28"/>
          <w:szCs w:val="28"/>
          <w:lang w:bidi="ar"/>
        </w:rPr>
        <w:t>按照《化工过程安全管理导则》（AQ/T3034-2022）、《化工企业变更管理实施规范》（T/CCSAS 007—2020）的要求完善装置生产过程及变更过程的安全管理。</w:t>
      </w:r>
    </w:p>
    <w:p w14:paraId="3B342993">
      <w:pPr>
        <w:pStyle w:val="5"/>
        <w:numPr>
          <w:ilvl w:val="2"/>
          <w:numId w:val="1"/>
        </w:numPr>
        <w:adjustRightInd w:val="0"/>
        <w:spacing w:before="120" w:after="120"/>
        <w:jc w:val="both"/>
        <w:rPr>
          <w:rFonts w:hint="default" w:ascii="Times New Roman" w:hAnsi="Times New Roman" w:cs="Times New Roman"/>
          <w:snapToGrid w:val="0"/>
          <w:color w:val="000000"/>
          <w:kern w:val="0"/>
          <w:sz w:val="32"/>
          <w:lang w:val="en-US" w:eastAsia="zh-CN"/>
        </w:rPr>
      </w:pPr>
      <w:bookmarkStart w:id="601" w:name="_Toc26190"/>
      <w:bookmarkStart w:id="602" w:name="_Toc3733"/>
      <w:r>
        <w:rPr>
          <w:rFonts w:hint="default" w:ascii="Times New Roman" w:hAnsi="Times New Roman" w:cs="Times New Roman"/>
          <w:snapToGrid w:val="0"/>
          <w:color w:val="000000"/>
          <w:kern w:val="0"/>
          <w:sz w:val="32"/>
          <w:lang w:val="en-US" w:eastAsia="zh-CN"/>
        </w:rPr>
        <w:t>主要装置、设备（设施）和特种设备的维护与保养</w:t>
      </w:r>
      <w:bookmarkEnd w:id="601"/>
      <w:bookmarkEnd w:id="602"/>
    </w:p>
    <w:p w14:paraId="19826461">
      <w:pPr>
        <w:keepNext w:val="0"/>
        <w:keepLines w:val="0"/>
        <w:pageBreakBefore w:val="0"/>
        <w:widowControl w:val="0"/>
        <w:numPr>
          <w:ilvl w:val="0"/>
          <w:numId w:val="27"/>
        </w:numPr>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snapToGrid/>
          <w:color w:val="auto"/>
          <w:sz w:val="28"/>
          <w:szCs w:val="28"/>
          <w:lang w:val="en-US" w:eastAsia="zh-CN"/>
        </w:rPr>
      </w:pPr>
      <w:r>
        <w:rPr>
          <w:rFonts w:hint="default" w:ascii="Times New Roman" w:hAnsi="Times New Roman" w:eastAsia="宋体" w:cs="Times New Roman"/>
          <w:snapToGrid/>
          <w:color w:val="auto"/>
          <w:sz w:val="28"/>
          <w:szCs w:val="28"/>
          <w:lang w:val="en-US" w:eastAsia="zh-CN"/>
        </w:rPr>
        <w:t>应定期对腐蚀性物料区域的生产工艺设备、设施、操作平台及其防护栏等处进行有效防腐蚀处理。</w:t>
      </w:r>
    </w:p>
    <w:p w14:paraId="7E3E99E6">
      <w:pPr>
        <w:keepNext w:val="0"/>
        <w:keepLines w:val="0"/>
        <w:pageBreakBefore w:val="0"/>
        <w:widowControl w:val="0"/>
        <w:numPr>
          <w:ilvl w:val="0"/>
          <w:numId w:val="27"/>
        </w:numPr>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snapToGrid/>
          <w:color w:val="auto"/>
          <w:sz w:val="28"/>
          <w:szCs w:val="28"/>
          <w:lang w:val="en-US" w:eastAsia="zh-CN"/>
        </w:rPr>
      </w:pPr>
      <w:r>
        <w:rPr>
          <w:rFonts w:hint="default" w:ascii="Times New Roman" w:hAnsi="Times New Roman" w:eastAsia="宋体" w:cs="Times New Roman"/>
          <w:snapToGrid/>
          <w:color w:val="auto"/>
          <w:sz w:val="28"/>
          <w:szCs w:val="28"/>
          <w:lang w:val="en-US" w:eastAsia="zh-CN"/>
        </w:rPr>
        <w:t>定期对各设备、机、泵进行检查、维护，确保其正常运行。</w:t>
      </w:r>
    </w:p>
    <w:p w14:paraId="440BA35A">
      <w:pPr>
        <w:keepNext w:val="0"/>
        <w:keepLines w:val="0"/>
        <w:pageBreakBefore w:val="0"/>
        <w:widowControl w:val="0"/>
        <w:numPr>
          <w:ilvl w:val="0"/>
          <w:numId w:val="28"/>
        </w:numPr>
        <w:tabs>
          <w:tab w:val="left" w:pos="0"/>
        </w:tabs>
        <w:kinsoku/>
        <w:wordWrap/>
        <w:overflowPunct/>
        <w:topLinePunct w:val="0"/>
        <w:autoSpaceDE/>
        <w:autoSpaceDN/>
        <w:bidi w:val="0"/>
        <w:snapToGrid w:val="0"/>
        <w:spacing w:line="360" w:lineRule="auto"/>
        <w:ind w:firstLine="560" w:firstLineChars="200"/>
        <w:textAlignment w:val="auto"/>
        <w:rPr>
          <w:color w:val="000000"/>
          <w:sz w:val="28"/>
          <w:szCs w:val="28"/>
          <w:lang w:bidi="ar"/>
        </w:rPr>
      </w:pPr>
      <w:r>
        <w:rPr>
          <w:color w:val="000000"/>
          <w:sz w:val="28"/>
          <w:szCs w:val="28"/>
          <w:lang w:bidi="ar"/>
        </w:rPr>
        <w:t>应根据《国家安全监管总局关于印发&lt;化工（危险化学品）企业安全检查重点指导目录&gt;的通知》（安监总管三〔2015〕113号）的要求，开展全面的自查自改，并制定安全检查重点内容，根据检查结果，对公司的安全管理、生产装置及设备、设施等的设置进行完善。</w:t>
      </w:r>
    </w:p>
    <w:p w14:paraId="46AC5B5B">
      <w:pPr>
        <w:keepNext w:val="0"/>
        <w:keepLines w:val="0"/>
        <w:pageBreakBefore w:val="0"/>
        <w:widowControl w:val="0"/>
        <w:numPr>
          <w:ilvl w:val="0"/>
          <w:numId w:val="28"/>
        </w:numPr>
        <w:tabs>
          <w:tab w:val="left" w:pos="0"/>
        </w:tabs>
        <w:kinsoku/>
        <w:wordWrap/>
        <w:overflowPunct/>
        <w:topLinePunct w:val="0"/>
        <w:autoSpaceDE/>
        <w:autoSpaceDN/>
        <w:bidi w:val="0"/>
        <w:snapToGrid w:val="0"/>
        <w:spacing w:line="360" w:lineRule="auto"/>
        <w:ind w:firstLine="560" w:firstLineChars="200"/>
        <w:textAlignment w:val="auto"/>
        <w:rPr>
          <w:color w:val="000000"/>
          <w:sz w:val="28"/>
          <w:szCs w:val="28"/>
          <w:lang w:bidi="ar"/>
        </w:rPr>
      </w:pPr>
      <w:r>
        <w:rPr>
          <w:rFonts w:hint="eastAsia"/>
          <w:color w:val="000000"/>
          <w:sz w:val="28"/>
          <w:szCs w:val="28"/>
          <w:lang w:bidi="ar"/>
        </w:rPr>
        <w:t>尽快完成压力管道使用登记证办理工作，压力管道等特种设备</w:t>
      </w:r>
      <w:r>
        <w:rPr>
          <w:color w:val="000000"/>
          <w:sz w:val="28"/>
          <w:szCs w:val="28"/>
          <w:lang w:bidi="ar"/>
        </w:rPr>
        <w:t>应按要求定期进行检测，并对检测报告中提出的问题进行整改</w:t>
      </w:r>
      <w:r>
        <w:rPr>
          <w:rFonts w:hint="eastAsia"/>
          <w:color w:val="000000"/>
          <w:sz w:val="28"/>
          <w:szCs w:val="28"/>
          <w:lang w:bidi="ar"/>
        </w:rPr>
        <w:t>。</w:t>
      </w:r>
    </w:p>
    <w:p w14:paraId="79F1273E">
      <w:pPr>
        <w:keepNext w:val="0"/>
        <w:keepLines w:val="0"/>
        <w:pageBreakBefore w:val="0"/>
        <w:widowControl w:val="0"/>
        <w:numPr>
          <w:ilvl w:val="0"/>
          <w:numId w:val="28"/>
        </w:numPr>
        <w:tabs>
          <w:tab w:val="left" w:pos="0"/>
        </w:tabs>
        <w:kinsoku/>
        <w:wordWrap/>
        <w:overflowPunct/>
        <w:topLinePunct w:val="0"/>
        <w:autoSpaceDE/>
        <w:autoSpaceDN/>
        <w:bidi w:val="0"/>
        <w:snapToGrid w:val="0"/>
        <w:spacing w:line="360" w:lineRule="auto"/>
        <w:ind w:firstLine="560" w:firstLineChars="200"/>
        <w:textAlignment w:val="auto"/>
        <w:rPr>
          <w:color w:val="000000"/>
          <w:sz w:val="28"/>
          <w:szCs w:val="28"/>
          <w:lang w:bidi="ar"/>
        </w:rPr>
      </w:pPr>
      <w:r>
        <w:rPr>
          <w:rFonts w:hint="eastAsia"/>
          <w:color w:val="000000"/>
          <w:sz w:val="28"/>
          <w:szCs w:val="28"/>
          <w:lang w:bidi="ar"/>
        </w:rPr>
        <w:t>定期</w:t>
      </w:r>
      <w:r>
        <w:rPr>
          <w:color w:val="000000"/>
          <w:sz w:val="28"/>
          <w:szCs w:val="28"/>
          <w:lang w:bidi="ar"/>
        </w:rPr>
        <w:t>对</w:t>
      </w:r>
      <w:r>
        <w:rPr>
          <w:rFonts w:hint="eastAsia"/>
          <w:color w:val="000000"/>
          <w:sz w:val="28"/>
          <w:szCs w:val="28"/>
          <w:lang w:bidi="ar"/>
        </w:rPr>
        <w:t>带压设备、</w:t>
      </w:r>
      <w:r>
        <w:rPr>
          <w:color w:val="000000"/>
          <w:sz w:val="28"/>
          <w:szCs w:val="28"/>
          <w:lang w:bidi="ar"/>
        </w:rPr>
        <w:t>管道、阀门、法兰</w:t>
      </w:r>
      <w:r>
        <w:rPr>
          <w:rFonts w:hint="eastAsia"/>
          <w:color w:val="000000"/>
          <w:sz w:val="28"/>
          <w:szCs w:val="28"/>
          <w:lang w:bidi="ar"/>
        </w:rPr>
        <w:t>进行</w:t>
      </w:r>
      <w:r>
        <w:rPr>
          <w:color w:val="000000"/>
          <w:sz w:val="28"/>
          <w:szCs w:val="28"/>
          <w:lang w:bidi="ar"/>
        </w:rPr>
        <w:t>检查、维护保养，检修更换时应选择适合的材质及耐压等级的备品备件</w:t>
      </w:r>
      <w:r>
        <w:rPr>
          <w:rFonts w:hint="eastAsia"/>
          <w:color w:val="000000"/>
          <w:sz w:val="28"/>
          <w:szCs w:val="28"/>
          <w:lang w:bidi="ar"/>
        </w:rPr>
        <w:t>，防止泄漏喷溅</w:t>
      </w:r>
      <w:r>
        <w:rPr>
          <w:color w:val="000000"/>
          <w:sz w:val="28"/>
          <w:szCs w:val="28"/>
          <w:lang w:bidi="ar"/>
        </w:rPr>
        <w:t>。</w:t>
      </w:r>
    </w:p>
    <w:p w14:paraId="75A87196">
      <w:pPr>
        <w:keepNext w:val="0"/>
        <w:keepLines w:val="0"/>
        <w:pageBreakBefore w:val="0"/>
        <w:widowControl w:val="0"/>
        <w:numPr>
          <w:ilvl w:val="0"/>
          <w:numId w:val="28"/>
        </w:numPr>
        <w:tabs>
          <w:tab w:val="left" w:pos="0"/>
        </w:tabs>
        <w:kinsoku/>
        <w:wordWrap/>
        <w:overflowPunct/>
        <w:topLinePunct w:val="0"/>
        <w:autoSpaceDE/>
        <w:autoSpaceDN/>
        <w:bidi w:val="0"/>
        <w:snapToGrid w:val="0"/>
        <w:spacing w:line="360" w:lineRule="auto"/>
        <w:ind w:firstLine="560" w:firstLineChars="200"/>
        <w:textAlignment w:val="auto"/>
        <w:rPr>
          <w:color w:val="000000"/>
          <w:sz w:val="28"/>
          <w:szCs w:val="28"/>
          <w:lang w:bidi="ar"/>
        </w:rPr>
      </w:pPr>
      <w:r>
        <w:rPr>
          <w:color w:val="000000"/>
          <w:sz w:val="28"/>
          <w:szCs w:val="28"/>
          <w:lang w:bidi="ar"/>
        </w:rPr>
        <w:t>定期对电气设备进行检维修，日常运行中如发现电缆线有腐蚀、损坏等现象时应及时进行检维修。</w:t>
      </w:r>
    </w:p>
    <w:p w14:paraId="16D48A22">
      <w:pPr>
        <w:keepNext w:val="0"/>
        <w:keepLines w:val="0"/>
        <w:pageBreakBefore w:val="0"/>
        <w:widowControl w:val="0"/>
        <w:numPr>
          <w:ilvl w:val="0"/>
          <w:numId w:val="28"/>
        </w:numPr>
        <w:tabs>
          <w:tab w:val="left" w:pos="0"/>
          <w:tab w:val="left" w:pos="1050"/>
        </w:tabs>
        <w:kinsoku/>
        <w:wordWrap/>
        <w:overflowPunct/>
        <w:topLinePunct w:val="0"/>
        <w:autoSpaceDE/>
        <w:autoSpaceDN/>
        <w:bidi w:val="0"/>
        <w:snapToGrid w:val="0"/>
        <w:spacing w:line="360" w:lineRule="auto"/>
        <w:ind w:firstLine="560" w:firstLineChars="200"/>
        <w:textAlignment w:val="auto"/>
        <w:rPr>
          <w:rFonts w:hint="eastAsia"/>
          <w:color w:val="000000"/>
          <w:sz w:val="28"/>
          <w:szCs w:val="28"/>
          <w:lang w:bidi="ar"/>
        </w:rPr>
      </w:pPr>
      <w:r>
        <w:rPr>
          <w:rFonts w:hint="eastAsia"/>
          <w:color w:val="000000"/>
          <w:sz w:val="28"/>
          <w:szCs w:val="28"/>
          <w:lang w:bidi="ar"/>
        </w:rPr>
        <w:t>今后，厂内如需改、扩建或新增设施设备、变更工艺等时，应聘请具有资质的单位进行设计、施工等，并按相关文件、规范等要求办理相应行政手续，经验收合格后方可投入使用。</w:t>
      </w:r>
    </w:p>
    <w:p w14:paraId="64DC2D14">
      <w:pPr>
        <w:pStyle w:val="5"/>
        <w:numPr>
          <w:ilvl w:val="2"/>
          <w:numId w:val="1"/>
        </w:numPr>
        <w:adjustRightInd w:val="0"/>
        <w:spacing w:before="120" w:after="120"/>
        <w:jc w:val="both"/>
        <w:rPr>
          <w:rFonts w:hint="default" w:ascii="Times New Roman" w:hAnsi="Times New Roman" w:cs="Times New Roman"/>
          <w:snapToGrid w:val="0"/>
          <w:color w:val="000000"/>
          <w:kern w:val="0"/>
          <w:sz w:val="32"/>
          <w:lang w:val="en-US" w:eastAsia="zh-CN"/>
        </w:rPr>
      </w:pPr>
      <w:bookmarkStart w:id="603" w:name="_Toc22795"/>
      <w:bookmarkStart w:id="604" w:name="_Toc2335"/>
      <w:r>
        <w:rPr>
          <w:rFonts w:hint="default" w:ascii="Times New Roman" w:hAnsi="Times New Roman" w:cs="Times New Roman"/>
          <w:snapToGrid w:val="0"/>
          <w:color w:val="000000"/>
          <w:kern w:val="0"/>
          <w:sz w:val="32"/>
          <w:lang w:val="en-US" w:eastAsia="zh-CN"/>
        </w:rPr>
        <w:t>安全生产投入</w:t>
      </w:r>
      <w:bookmarkEnd w:id="603"/>
      <w:bookmarkEnd w:id="604"/>
    </w:p>
    <w:p w14:paraId="24C94752">
      <w:pPr>
        <w:keepNext w:val="0"/>
        <w:keepLines w:val="0"/>
        <w:pageBreakBefore w:val="0"/>
        <w:widowControl w:val="0"/>
        <w:numPr>
          <w:ilvl w:val="0"/>
          <w:numId w:val="29"/>
        </w:numPr>
        <w:tabs>
          <w:tab w:val="left" w:pos="0"/>
          <w:tab w:val="clear" w:pos="312"/>
        </w:tabs>
        <w:kinsoku/>
        <w:wordWrap/>
        <w:overflowPunct/>
        <w:topLinePunct w:val="0"/>
        <w:autoSpaceDE/>
        <w:autoSpaceDN/>
        <w:bidi w:val="0"/>
        <w:adjustRightInd/>
        <w:snapToGrid w:val="0"/>
        <w:spacing w:line="360" w:lineRule="auto"/>
        <w:ind w:firstLine="560" w:firstLineChars="200"/>
        <w:textAlignment w:val="auto"/>
        <w:rPr>
          <w:color w:val="000000"/>
          <w:sz w:val="28"/>
          <w:szCs w:val="28"/>
          <w:lang w:bidi="ar"/>
        </w:rPr>
      </w:pPr>
      <w:r>
        <w:rPr>
          <w:color w:val="000000"/>
          <w:sz w:val="28"/>
          <w:szCs w:val="28"/>
          <w:lang w:bidi="ar"/>
        </w:rPr>
        <w:t>企业应按</w:t>
      </w:r>
      <w:r>
        <w:rPr>
          <w:rFonts w:hint="eastAsia"/>
          <w:color w:val="000000"/>
          <w:sz w:val="28"/>
          <w:szCs w:val="28"/>
          <w:lang w:bidi="ar"/>
        </w:rPr>
        <w:t>《关于印发</w:t>
      </w:r>
      <w:r>
        <w:rPr>
          <w:color w:val="000000"/>
          <w:sz w:val="28"/>
          <w:szCs w:val="28"/>
          <w:lang w:bidi="ar"/>
        </w:rPr>
        <w:t>&lt;</w:t>
      </w:r>
      <w:r>
        <w:rPr>
          <w:rFonts w:hint="eastAsia"/>
          <w:color w:val="000000"/>
          <w:sz w:val="28"/>
          <w:szCs w:val="28"/>
          <w:lang w:bidi="ar"/>
        </w:rPr>
        <w:t>企业安全生产费用提取和使用管理办法</w:t>
      </w:r>
      <w:r>
        <w:rPr>
          <w:color w:val="000000"/>
          <w:sz w:val="28"/>
          <w:szCs w:val="28"/>
          <w:lang w:bidi="ar"/>
        </w:rPr>
        <w:t>&gt;</w:t>
      </w:r>
      <w:r>
        <w:rPr>
          <w:rFonts w:hint="eastAsia"/>
          <w:color w:val="000000"/>
          <w:sz w:val="28"/>
          <w:szCs w:val="28"/>
          <w:lang w:bidi="ar"/>
        </w:rPr>
        <w:t>的通知》（财资〔2022〕136号）</w:t>
      </w:r>
      <w:r>
        <w:rPr>
          <w:color w:val="000000"/>
          <w:sz w:val="28"/>
          <w:szCs w:val="28"/>
          <w:lang w:bidi="ar"/>
        </w:rPr>
        <w:t>中的要求，提取、使用安全费用；安全费用主要用在以下方面：</w:t>
      </w:r>
    </w:p>
    <w:p w14:paraId="40BAE310">
      <w:pPr>
        <w:keepNext w:val="0"/>
        <w:keepLines w:val="0"/>
        <w:pageBreakBefore w:val="0"/>
        <w:widowControl w:val="0"/>
        <w:numPr>
          <w:ilvl w:val="0"/>
          <w:numId w:val="30"/>
        </w:numPr>
        <w:tabs>
          <w:tab w:val="left" w:pos="0"/>
        </w:tabs>
        <w:kinsoku/>
        <w:wordWrap/>
        <w:overflowPunct/>
        <w:topLinePunct w:val="0"/>
        <w:autoSpaceDE/>
        <w:autoSpaceDN/>
        <w:bidi w:val="0"/>
        <w:adjustRightInd/>
        <w:snapToGrid w:val="0"/>
        <w:spacing w:line="360" w:lineRule="auto"/>
        <w:ind w:firstLine="560" w:firstLineChars="200"/>
        <w:textAlignment w:val="auto"/>
        <w:rPr>
          <w:color w:val="000000"/>
          <w:sz w:val="28"/>
          <w:szCs w:val="28"/>
          <w:lang w:bidi="ar"/>
        </w:rPr>
      </w:pPr>
      <w:r>
        <w:rPr>
          <w:color w:val="000000"/>
          <w:sz w:val="28"/>
          <w:szCs w:val="28"/>
          <w:lang w:bidi="ar"/>
        </w:rPr>
        <w:t>从业人员配备劳动防护用品经费；</w:t>
      </w:r>
    </w:p>
    <w:p w14:paraId="211BB616">
      <w:pPr>
        <w:keepNext w:val="0"/>
        <w:keepLines w:val="0"/>
        <w:pageBreakBefore w:val="0"/>
        <w:widowControl w:val="0"/>
        <w:numPr>
          <w:ilvl w:val="0"/>
          <w:numId w:val="30"/>
        </w:numPr>
        <w:tabs>
          <w:tab w:val="left" w:pos="0"/>
        </w:tabs>
        <w:kinsoku/>
        <w:wordWrap/>
        <w:overflowPunct/>
        <w:topLinePunct w:val="0"/>
        <w:autoSpaceDE/>
        <w:autoSpaceDN/>
        <w:bidi w:val="0"/>
        <w:adjustRightInd/>
        <w:snapToGrid w:val="0"/>
        <w:spacing w:line="360" w:lineRule="auto"/>
        <w:ind w:firstLine="560" w:firstLineChars="200"/>
        <w:textAlignment w:val="auto"/>
        <w:rPr>
          <w:color w:val="000000"/>
          <w:sz w:val="28"/>
          <w:szCs w:val="28"/>
          <w:lang w:bidi="ar"/>
        </w:rPr>
      </w:pPr>
      <w:r>
        <w:rPr>
          <w:color w:val="000000"/>
          <w:sz w:val="28"/>
          <w:szCs w:val="28"/>
          <w:lang w:bidi="ar"/>
        </w:rPr>
        <w:t>安全设施、设备投入和维护保养费用；</w:t>
      </w:r>
    </w:p>
    <w:p w14:paraId="0E4864C5">
      <w:pPr>
        <w:keepNext w:val="0"/>
        <w:keepLines w:val="0"/>
        <w:pageBreakBefore w:val="0"/>
        <w:widowControl w:val="0"/>
        <w:numPr>
          <w:ilvl w:val="0"/>
          <w:numId w:val="30"/>
        </w:numPr>
        <w:tabs>
          <w:tab w:val="left" w:pos="0"/>
        </w:tabs>
        <w:kinsoku/>
        <w:wordWrap/>
        <w:overflowPunct/>
        <w:topLinePunct w:val="0"/>
        <w:autoSpaceDE/>
        <w:autoSpaceDN/>
        <w:bidi w:val="0"/>
        <w:adjustRightInd/>
        <w:snapToGrid w:val="0"/>
        <w:spacing w:line="360" w:lineRule="auto"/>
        <w:ind w:firstLine="560" w:firstLineChars="200"/>
        <w:textAlignment w:val="auto"/>
        <w:rPr>
          <w:color w:val="000000"/>
          <w:sz w:val="28"/>
          <w:szCs w:val="28"/>
          <w:lang w:bidi="ar"/>
        </w:rPr>
      </w:pPr>
      <w:r>
        <w:rPr>
          <w:color w:val="000000"/>
          <w:sz w:val="28"/>
          <w:szCs w:val="28"/>
          <w:lang w:bidi="ar"/>
        </w:rPr>
        <w:t>作业场所职业危害防治措施投入和维护保养费用（如防毒、防静电、降噪设施及设备等）；</w:t>
      </w:r>
    </w:p>
    <w:p w14:paraId="3CF693E5">
      <w:pPr>
        <w:keepNext w:val="0"/>
        <w:keepLines w:val="0"/>
        <w:pageBreakBefore w:val="0"/>
        <w:widowControl w:val="0"/>
        <w:numPr>
          <w:ilvl w:val="0"/>
          <w:numId w:val="30"/>
        </w:numPr>
        <w:tabs>
          <w:tab w:val="left" w:pos="0"/>
        </w:tabs>
        <w:kinsoku/>
        <w:wordWrap/>
        <w:overflowPunct/>
        <w:topLinePunct w:val="0"/>
        <w:autoSpaceDE/>
        <w:autoSpaceDN/>
        <w:bidi w:val="0"/>
        <w:adjustRightInd/>
        <w:snapToGrid w:val="0"/>
        <w:spacing w:line="360" w:lineRule="auto"/>
        <w:ind w:firstLine="560" w:firstLineChars="200"/>
        <w:textAlignment w:val="auto"/>
        <w:rPr>
          <w:color w:val="000000"/>
          <w:sz w:val="28"/>
          <w:szCs w:val="28"/>
          <w:lang w:bidi="ar"/>
        </w:rPr>
      </w:pPr>
      <w:r>
        <w:rPr>
          <w:color w:val="000000"/>
          <w:sz w:val="28"/>
          <w:szCs w:val="28"/>
          <w:lang w:bidi="ar"/>
        </w:rPr>
        <w:t>事故隐患整改费用；</w:t>
      </w:r>
    </w:p>
    <w:p w14:paraId="0835A213">
      <w:pPr>
        <w:keepNext w:val="0"/>
        <w:keepLines w:val="0"/>
        <w:pageBreakBefore w:val="0"/>
        <w:widowControl w:val="0"/>
        <w:numPr>
          <w:ilvl w:val="0"/>
          <w:numId w:val="30"/>
        </w:numPr>
        <w:tabs>
          <w:tab w:val="left" w:pos="0"/>
        </w:tabs>
        <w:kinsoku/>
        <w:wordWrap/>
        <w:overflowPunct/>
        <w:topLinePunct w:val="0"/>
        <w:autoSpaceDE/>
        <w:autoSpaceDN/>
        <w:bidi w:val="0"/>
        <w:adjustRightInd/>
        <w:snapToGrid w:val="0"/>
        <w:spacing w:line="360" w:lineRule="auto"/>
        <w:ind w:firstLine="560" w:firstLineChars="200"/>
        <w:textAlignment w:val="auto"/>
        <w:rPr>
          <w:color w:val="000000"/>
          <w:sz w:val="28"/>
          <w:szCs w:val="28"/>
          <w:lang w:bidi="ar"/>
        </w:rPr>
      </w:pPr>
      <w:r>
        <w:rPr>
          <w:color w:val="000000"/>
          <w:sz w:val="28"/>
          <w:szCs w:val="28"/>
          <w:lang w:bidi="ar"/>
        </w:rPr>
        <w:t>安全检查工作及其有关器材投入的维护保养费用；</w:t>
      </w:r>
    </w:p>
    <w:p w14:paraId="74D77210">
      <w:pPr>
        <w:keepNext w:val="0"/>
        <w:keepLines w:val="0"/>
        <w:pageBreakBefore w:val="0"/>
        <w:widowControl w:val="0"/>
        <w:numPr>
          <w:ilvl w:val="0"/>
          <w:numId w:val="30"/>
        </w:numPr>
        <w:tabs>
          <w:tab w:val="left" w:pos="0"/>
        </w:tabs>
        <w:kinsoku/>
        <w:wordWrap/>
        <w:overflowPunct/>
        <w:topLinePunct w:val="0"/>
        <w:autoSpaceDE/>
        <w:autoSpaceDN/>
        <w:bidi w:val="0"/>
        <w:adjustRightInd/>
        <w:snapToGrid w:val="0"/>
        <w:spacing w:line="360" w:lineRule="auto"/>
        <w:ind w:firstLine="560" w:firstLineChars="200"/>
        <w:textAlignment w:val="auto"/>
        <w:rPr>
          <w:color w:val="000000"/>
          <w:sz w:val="28"/>
          <w:szCs w:val="28"/>
          <w:lang w:bidi="ar"/>
        </w:rPr>
      </w:pPr>
      <w:r>
        <w:rPr>
          <w:color w:val="000000"/>
          <w:sz w:val="28"/>
          <w:szCs w:val="28"/>
          <w:lang w:bidi="ar"/>
        </w:rPr>
        <w:t>事故应急救援器材、设备投入和维护保养的费用；</w:t>
      </w:r>
    </w:p>
    <w:p w14:paraId="2EE105C4">
      <w:pPr>
        <w:keepNext w:val="0"/>
        <w:keepLines w:val="0"/>
        <w:pageBreakBefore w:val="0"/>
        <w:widowControl w:val="0"/>
        <w:numPr>
          <w:ilvl w:val="0"/>
          <w:numId w:val="30"/>
        </w:numPr>
        <w:tabs>
          <w:tab w:val="left" w:pos="0"/>
        </w:tabs>
        <w:kinsoku/>
        <w:wordWrap/>
        <w:overflowPunct/>
        <w:topLinePunct w:val="0"/>
        <w:autoSpaceDE/>
        <w:autoSpaceDN/>
        <w:bidi w:val="0"/>
        <w:adjustRightInd/>
        <w:snapToGrid w:val="0"/>
        <w:spacing w:line="360" w:lineRule="auto"/>
        <w:ind w:firstLine="560" w:firstLineChars="200"/>
        <w:textAlignment w:val="auto"/>
        <w:rPr>
          <w:color w:val="000000"/>
          <w:sz w:val="28"/>
          <w:szCs w:val="28"/>
          <w:lang w:bidi="ar"/>
        </w:rPr>
      </w:pPr>
      <w:r>
        <w:rPr>
          <w:color w:val="000000"/>
          <w:sz w:val="28"/>
          <w:szCs w:val="28"/>
          <w:lang w:bidi="ar"/>
        </w:rPr>
        <w:t>事故应急救援定期演练费用；</w:t>
      </w:r>
    </w:p>
    <w:p w14:paraId="32C4BD3B">
      <w:pPr>
        <w:keepNext w:val="0"/>
        <w:keepLines w:val="0"/>
        <w:pageBreakBefore w:val="0"/>
        <w:widowControl w:val="0"/>
        <w:numPr>
          <w:ilvl w:val="0"/>
          <w:numId w:val="30"/>
        </w:numPr>
        <w:tabs>
          <w:tab w:val="left" w:pos="0"/>
        </w:tabs>
        <w:kinsoku/>
        <w:wordWrap/>
        <w:overflowPunct/>
        <w:topLinePunct w:val="0"/>
        <w:autoSpaceDE/>
        <w:autoSpaceDN/>
        <w:bidi w:val="0"/>
        <w:adjustRightInd/>
        <w:snapToGrid w:val="0"/>
        <w:spacing w:line="360" w:lineRule="auto"/>
        <w:ind w:firstLine="560" w:firstLineChars="200"/>
        <w:textAlignment w:val="auto"/>
        <w:rPr>
          <w:color w:val="000000"/>
          <w:sz w:val="28"/>
          <w:szCs w:val="28"/>
          <w:lang w:bidi="ar"/>
        </w:rPr>
      </w:pPr>
      <w:r>
        <w:rPr>
          <w:color w:val="000000"/>
          <w:sz w:val="28"/>
          <w:szCs w:val="28"/>
          <w:lang w:bidi="ar"/>
        </w:rPr>
        <w:t>配置急救物资的费用；</w:t>
      </w:r>
    </w:p>
    <w:p w14:paraId="0ECFBF53">
      <w:pPr>
        <w:keepNext w:val="0"/>
        <w:keepLines w:val="0"/>
        <w:pageBreakBefore w:val="0"/>
        <w:widowControl w:val="0"/>
        <w:numPr>
          <w:ilvl w:val="0"/>
          <w:numId w:val="30"/>
        </w:numPr>
        <w:tabs>
          <w:tab w:val="left" w:pos="0"/>
        </w:tabs>
        <w:kinsoku/>
        <w:wordWrap/>
        <w:overflowPunct/>
        <w:topLinePunct w:val="0"/>
        <w:autoSpaceDE/>
        <w:autoSpaceDN/>
        <w:bidi w:val="0"/>
        <w:adjustRightInd/>
        <w:snapToGrid w:val="0"/>
        <w:spacing w:line="360" w:lineRule="auto"/>
        <w:ind w:firstLine="560" w:firstLineChars="200"/>
        <w:textAlignment w:val="auto"/>
        <w:rPr>
          <w:color w:val="000000"/>
          <w:sz w:val="28"/>
          <w:szCs w:val="28"/>
          <w:lang w:bidi="ar"/>
        </w:rPr>
      </w:pPr>
      <w:r>
        <w:rPr>
          <w:color w:val="000000"/>
          <w:sz w:val="28"/>
          <w:szCs w:val="28"/>
          <w:lang w:bidi="ar"/>
        </w:rPr>
        <w:t>其他。</w:t>
      </w:r>
    </w:p>
    <w:p w14:paraId="3DA6AADD">
      <w:pPr>
        <w:keepNext w:val="0"/>
        <w:keepLines w:val="0"/>
        <w:pageBreakBefore w:val="0"/>
        <w:widowControl w:val="0"/>
        <w:numPr>
          <w:ilvl w:val="0"/>
          <w:numId w:val="29"/>
        </w:numPr>
        <w:tabs>
          <w:tab w:val="left" w:pos="0"/>
          <w:tab w:val="clear" w:pos="312"/>
        </w:tabs>
        <w:kinsoku/>
        <w:wordWrap/>
        <w:overflowPunct/>
        <w:topLinePunct w:val="0"/>
        <w:autoSpaceDE/>
        <w:autoSpaceDN/>
        <w:bidi w:val="0"/>
        <w:adjustRightInd/>
        <w:snapToGrid w:val="0"/>
        <w:spacing w:line="360" w:lineRule="auto"/>
        <w:ind w:firstLine="560" w:firstLineChars="200"/>
        <w:textAlignment w:val="auto"/>
        <w:rPr>
          <w:color w:val="000000"/>
          <w:sz w:val="28"/>
          <w:szCs w:val="28"/>
          <w:lang w:bidi="ar"/>
        </w:rPr>
      </w:pPr>
      <w:r>
        <w:rPr>
          <w:color w:val="000000"/>
          <w:sz w:val="28"/>
          <w:szCs w:val="28"/>
          <w:lang w:bidi="ar"/>
        </w:rPr>
        <w:t>按照国家安全监管总局保监会财政部关于印发《安全生产责任保险实施办法》的通知，投保安全生产责任保险。</w:t>
      </w:r>
    </w:p>
    <w:p w14:paraId="58C548CB">
      <w:pPr>
        <w:pStyle w:val="5"/>
        <w:numPr>
          <w:ilvl w:val="2"/>
          <w:numId w:val="1"/>
        </w:numPr>
        <w:adjustRightInd w:val="0"/>
        <w:spacing w:before="120" w:after="120"/>
        <w:jc w:val="both"/>
        <w:rPr>
          <w:rFonts w:hint="default" w:ascii="Times New Roman" w:hAnsi="Times New Roman" w:cs="Times New Roman"/>
          <w:snapToGrid w:val="0"/>
          <w:color w:val="000000"/>
          <w:kern w:val="0"/>
          <w:sz w:val="32"/>
          <w:lang w:val="en-US" w:eastAsia="zh-CN"/>
        </w:rPr>
      </w:pPr>
      <w:bookmarkStart w:id="605" w:name="_Toc22370"/>
      <w:bookmarkStart w:id="606" w:name="_Toc28331"/>
      <w:r>
        <w:rPr>
          <w:rFonts w:hint="default" w:ascii="Times New Roman" w:hAnsi="Times New Roman" w:cs="Times New Roman"/>
          <w:snapToGrid w:val="0"/>
          <w:color w:val="000000"/>
          <w:kern w:val="0"/>
          <w:sz w:val="32"/>
          <w:lang w:val="en-US" w:eastAsia="zh-CN"/>
        </w:rPr>
        <w:t>其他方面</w:t>
      </w:r>
      <w:bookmarkEnd w:id="605"/>
      <w:bookmarkEnd w:id="606"/>
    </w:p>
    <w:p w14:paraId="51083D6F">
      <w:pPr>
        <w:keepNext w:val="0"/>
        <w:keepLines w:val="0"/>
        <w:pageBreakBefore w:val="0"/>
        <w:widowControl w:val="0"/>
        <w:numPr>
          <w:ilvl w:val="0"/>
          <w:numId w:val="31"/>
        </w:numPr>
        <w:tabs>
          <w:tab w:val="left" w:pos="0"/>
        </w:tabs>
        <w:kinsoku/>
        <w:wordWrap/>
        <w:overflowPunct/>
        <w:topLinePunct w:val="0"/>
        <w:autoSpaceDE/>
        <w:autoSpaceDN/>
        <w:bidi w:val="0"/>
        <w:adjustRightInd/>
        <w:snapToGrid w:val="0"/>
        <w:spacing w:line="360" w:lineRule="auto"/>
        <w:ind w:firstLine="560" w:firstLineChars="200"/>
        <w:textAlignment w:val="auto"/>
        <w:rPr>
          <w:color w:val="000000"/>
          <w:sz w:val="28"/>
          <w:szCs w:val="28"/>
          <w:lang w:bidi="ar"/>
        </w:rPr>
      </w:pPr>
      <w:r>
        <w:rPr>
          <w:color w:val="000000"/>
          <w:sz w:val="28"/>
          <w:szCs w:val="28"/>
          <w:lang w:bidi="ar"/>
        </w:rPr>
        <w:t>该项目在检修过程中应选用合格的氧气或乙炔瓶，各气瓶及其附件应保持完好，检修期间临时储存过程中氧气和乙炔瓶不得混放，发现气瓶破损、泄漏等，应及时处理，检修完成后应及时将气瓶运离现场，做到“工完、料尽、场地清”。</w:t>
      </w:r>
    </w:p>
    <w:p w14:paraId="0CA9EA1B">
      <w:pPr>
        <w:keepNext w:val="0"/>
        <w:keepLines w:val="0"/>
        <w:pageBreakBefore w:val="0"/>
        <w:widowControl w:val="0"/>
        <w:numPr>
          <w:ilvl w:val="0"/>
          <w:numId w:val="31"/>
        </w:numPr>
        <w:tabs>
          <w:tab w:val="left" w:pos="0"/>
        </w:tabs>
        <w:kinsoku/>
        <w:wordWrap/>
        <w:overflowPunct/>
        <w:topLinePunct w:val="0"/>
        <w:autoSpaceDE/>
        <w:autoSpaceDN/>
        <w:bidi w:val="0"/>
        <w:adjustRightInd/>
        <w:snapToGrid w:val="0"/>
        <w:spacing w:line="360" w:lineRule="auto"/>
        <w:ind w:firstLine="560" w:firstLineChars="200"/>
        <w:textAlignment w:val="auto"/>
        <w:rPr>
          <w:rFonts w:ascii="宋体" w:hAnsi="Times New Roman" w:eastAsia="宋体" w:cs="宋体"/>
          <w:color w:val="000000"/>
          <w:sz w:val="28"/>
          <w:szCs w:val="28"/>
          <w:lang w:bidi="ar"/>
        </w:rPr>
      </w:pPr>
      <w:r>
        <w:rPr>
          <w:rFonts w:ascii="宋体" w:hAnsi="Times New Roman" w:eastAsia="宋体" w:cs="宋体"/>
          <w:color w:val="000000"/>
          <w:sz w:val="28"/>
          <w:szCs w:val="28"/>
          <w:lang w:bidi="ar"/>
        </w:rPr>
        <w:t>在暴雨、雷电、大风等恶劣天气情况下，应严禁进行登高巡检或作业。</w:t>
      </w:r>
    </w:p>
    <w:p w14:paraId="6E0F122E">
      <w:pPr>
        <w:keepNext w:val="0"/>
        <w:keepLines w:val="0"/>
        <w:pageBreakBefore w:val="0"/>
        <w:widowControl w:val="0"/>
        <w:numPr>
          <w:ilvl w:val="0"/>
          <w:numId w:val="31"/>
        </w:numPr>
        <w:tabs>
          <w:tab w:val="left" w:pos="0"/>
        </w:tabs>
        <w:kinsoku/>
        <w:wordWrap/>
        <w:overflowPunct/>
        <w:topLinePunct w:val="0"/>
        <w:autoSpaceDE/>
        <w:autoSpaceDN/>
        <w:bidi w:val="0"/>
        <w:adjustRightInd/>
        <w:snapToGrid w:val="0"/>
        <w:spacing w:line="360" w:lineRule="auto"/>
        <w:ind w:firstLine="560" w:firstLineChars="200"/>
        <w:textAlignment w:val="auto"/>
        <w:rPr>
          <w:rFonts w:ascii="宋体" w:hAnsi="Times New Roman" w:eastAsia="宋体" w:cs="宋体"/>
          <w:color w:val="000000"/>
          <w:sz w:val="28"/>
          <w:szCs w:val="28"/>
          <w:lang w:bidi="ar"/>
        </w:rPr>
      </w:pPr>
      <w:r>
        <w:rPr>
          <w:rFonts w:ascii="宋体" w:hAnsi="Times New Roman" w:eastAsia="宋体" w:cs="宋体"/>
          <w:color w:val="000000"/>
          <w:sz w:val="28"/>
          <w:szCs w:val="28"/>
          <w:lang w:bidi="ar"/>
        </w:rPr>
        <w:t>企业应严格执行《国务院关于进一步加强企业安全生产工作的通知》（国发〔2010〕23号）</w:t>
      </w:r>
      <w:r>
        <w:rPr>
          <w:rFonts w:hint="eastAsia" w:ascii="宋体" w:hAnsi="Times New Roman" w:eastAsia="宋体" w:cs="宋体"/>
          <w:color w:val="000000"/>
          <w:sz w:val="28"/>
          <w:szCs w:val="28"/>
          <w:lang w:bidi="ar"/>
        </w:rPr>
        <w:t>、</w:t>
      </w:r>
      <w:r>
        <w:rPr>
          <w:rFonts w:hint="eastAsia" w:ascii="宋体" w:hAnsi="Times New Roman" w:eastAsia="宋体" w:cs="宋体"/>
          <w:color w:val="000000"/>
          <w:sz w:val="28"/>
          <w:szCs w:val="28"/>
          <w:lang w:val="zh-CN" w:bidi="ar"/>
        </w:rPr>
        <w:t>《云南省应急管理厅关于印发云南省企业安全生产标准化建设定级实施办法的通知》（云应急〔2023〕6号）</w:t>
      </w:r>
      <w:r>
        <w:rPr>
          <w:rFonts w:ascii="宋体" w:hAnsi="Times New Roman" w:eastAsia="宋体" w:cs="宋体"/>
          <w:color w:val="000000"/>
          <w:sz w:val="28"/>
          <w:szCs w:val="28"/>
          <w:lang w:bidi="ar"/>
        </w:rPr>
        <w:t>等规定中的相关要求，建设、运行安全标准化体系，并持续改进。</w:t>
      </w:r>
    </w:p>
    <w:p w14:paraId="41E47B07">
      <w:pPr>
        <w:keepNext w:val="0"/>
        <w:keepLines w:val="0"/>
        <w:pageBreakBefore w:val="0"/>
        <w:widowControl w:val="0"/>
        <w:numPr>
          <w:ilvl w:val="0"/>
          <w:numId w:val="31"/>
        </w:numPr>
        <w:tabs>
          <w:tab w:val="left" w:pos="0"/>
        </w:tabs>
        <w:kinsoku/>
        <w:wordWrap/>
        <w:overflowPunct/>
        <w:topLinePunct w:val="0"/>
        <w:autoSpaceDE/>
        <w:autoSpaceDN/>
        <w:bidi w:val="0"/>
        <w:adjustRightInd/>
        <w:snapToGrid w:val="0"/>
        <w:spacing w:line="360" w:lineRule="auto"/>
        <w:ind w:firstLine="560" w:firstLineChars="200"/>
        <w:textAlignment w:val="auto"/>
        <w:rPr>
          <w:rFonts w:ascii="宋体" w:hAnsi="Times New Roman" w:eastAsia="宋体" w:cs="宋体"/>
          <w:color w:val="000000"/>
          <w:sz w:val="28"/>
          <w:szCs w:val="28"/>
          <w:lang w:bidi="ar"/>
        </w:rPr>
      </w:pPr>
      <w:r>
        <w:rPr>
          <w:rFonts w:hint="eastAsia" w:ascii="宋体" w:hAnsi="Times New Roman" w:eastAsia="宋体" w:cs="宋体"/>
          <w:color w:val="000000"/>
          <w:sz w:val="28"/>
          <w:szCs w:val="28"/>
          <w:lang w:bidi="ar"/>
        </w:rPr>
        <w:t>应按《危险化学品双重预防机制建设指导手册》（应急管理部化学品登记中心 2021年8月）、</w:t>
      </w:r>
      <w:r>
        <w:rPr>
          <w:rFonts w:hint="eastAsia" w:ascii="宋体" w:hAnsi="Times New Roman" w:eastAsia="宋体" w:cs="宋体"/>
          <w:color w:val="000000"/>
          <w:sz w:val="28"/>
          <w:szCs w:val="28"/>
          <w:lang w:val="zh-CN" w:bidi="ar"/>
        </w:rPr>
        <w:t>《云南省安全生产委员会关于建立完善安全风险分级管控和隐患排查治理双重预防机制的指导意见》（云安〔2021〕3号）</w:t>
      </w:r>
      <w:r>
        <w:rPr>
          <w:rFonts w:hint="eastAsia" w:ascii="宋体" w:hAnsi="Times New Roman" w:eastAsia="宋体" w:cs="宋体"/>
          <w:color w:val="000000"/>
          <w:sz w:val="28"/>
          <w:szCs w:val="28"/>
          <w:lang w:bidi="ar"/>
        </w:rPr>
        <w:t>要求，制定且有效实施安全风险分级管控和隐患排查治理双重预防制度。</w:t>
      </w:r>
    </w:p>
    <w:p w14:paraId="4C1D293B">
      <w:pPr>
        <w:keepNext w:val="0"/>
        <w:keepLines w:val="0"/>
        <w:pageBreakBefore w:val="0"/>
        <w:widowControl w:val="0"/>
        <w:numPr>
          <w:ilvl w:val="0"/>
          <w:numId w:val="31"/>
        </w:numPr>
        <w:tabs>
          <w:tab w:val="left" w:pos="0"/>
        </w:tabs>
        <w:kinsoku/>
        <w:wordWrap/>
        <w:overflowPunct/>
        <w:topLinePunct w:val="0"/>
        <w:autoSpaceDE/>
        <w:autoSpaceDN/>
        <w:bidi w:val="0"/>
        <w:adjustRightInd/>
        <w:snapToGrid w:val="0"/>
        <w:spacing w:line="360" w:lineRule="auto"/>
        <w:ind w:firstLine="560" w:firstLineChars="200"/>
        <w:textAlignment w:val="auto"/>
        <w:rPr>
          <w:rFonts w:hint="eastAsia" w:ascii="宋体" w:hAnsi="Times New Roman" w:eastAsia="宋体" w:cs="宋体"/>
          <w:color w:val="000000"/>
          <w:sz w:val="28"/>
          <w:szCs w:val="28"/>
          <w:lang w:bidi="ar"/>
        </w:rPr>
      </w:pPr>
      <w:r>
        <w:rPr>
          <w:rFonts w:hint="eastAsia" w:ascii="宋体" w:hAnsi="Times New Roman" w:eastAsia="宋体" w:cs="宋体"/>
          <w:color w:val="000000"/>
          <w:sz w:val="28"/>
          <w:szCs w:val="28"/>
          <w:lang w:bidi="ar"/>
        </w:rPr>
        <w:t>该项目进行检、维修作业过程中，应加强现场作业安全，在作业现场设置警戒线等，如需进行动火、受限空间作业、高处作业、抽堵盲板作业、临时用电作业等特殊作业时，应按照《危险化学品企业特殊作业安全规范》（GB30871-2022）等标准、规范中的要求采取一定的安全防范措施，并加强特殊作业过程的安全管理；严格执行企业制定的检维修及特种作业相关安全管理制度，在进行特殊作业前应办理特殊作业票，并严格执行特殊操作规程，落实各项安全技术措施，由安全监督人员监督执行。</w:t>
      </w:r>
    </w:p>
    <w:p w14:paraId="7659EF8D">
      <w:pPr>
        <w:pStyle w:val="4"/>
        <w:spacing w:before="193"/>
        <w:jc w:val="left"/>
        <w:rPr>
          <w:rFonts w:hint="eastAsia" w:ascii="黑体" w:hAnsi="黑体" w:eastAsia="黑体" w:cs="黑体"/>
          <w:b/>
          <w:bCs w:val="0"/>
          <w:color w:val="auto"/>
          <w:sz w:val="36"/>
          <w:szCs w:val="36"/>
          <w:lang w:val="en-US" w:eastAsia="zh-CN"/>
        </w:rPr>
      </w:pPr>
      <w:bookmarkStart w:id="607" w:name="_Toc21490"/>
      <w:bookmarkStart w:id="608" w:name="_Toc5087"/>
      <w:r>
        <w:rPr>
          <w:rFonts w:hint="eastAsia" w:ascii="黑体" w:hAnsi="黑体" w:eastAsia="黑体" w:cs="黑体"/>
          <w:b/>
          <w:bCs w:val="0"/>
          <w:color w:val="auto"/>
          <w:sz w:val="36"/>
          <w:szCs w:val="36"/>
          <w:lang w:val="en-US" w:eastAsia="zh-CN"/>
        </w:rPr>
        <w:t>安全设施竣工验收评价结论</w:t>
      </w:r>
      <w:bookmarkEnd w:id="607"/>
      <w:bookmarkEnd w:id="608"/>
    </w:p>
    <w:p w14:paraId="664564A3">
      <w:pPr>
        <w:pStyle w:val="5"/>
        <w:numPr>
          <w:ilvl w:val="2"/>
          <w:numId w:val="1"/>
        </w:numPr>
        <w:adjustRightInd w:val="0"/>
        <w:spacing w:before="120" w:after="120"/>
        <w:jc w:val="both"/>
        <w:rPr>
          <w:rFonts w:hint="default" w:ascii="Times New Roman" w:hAnsi="Times New Roman" w:cs="Times New Roman"/>
          <w:snapToGrid w:val="0"/>
          <w:color w:val="000000"/>
          <w:kern w:val="0"/>
          <w:sz w:val="32"/>
          <w:lang w:val="en-US" w:eastAsia="zh-CN"/>
        </w:rPr>
      </w:pPr>
      <w:bookmarkStart w:id="609" w:name="_Toc1481"/>
      <w:bookmarkStart w:id="610" w:name="_Toc8854"/>
      <w:r>
        <w:rPr>
          <w:rFonts w:hint="default" w:ascii="Times New Roman" w:hAnsi="Times New Roman" w:cs="Times New Roman"/>
          <w:snapToGrid w:val="0"/>
          <w:color w:val="000000"/>
          <w:kern w:val="0"/>
          <w:sz w:val="32"/>
          <w:lang w:val="en-US" w:eastAsia="zh-CN"/>
        </w:rPr>
        <w:t>主要危险、有害物质</w:t>
      </w:r>
      <w:bookmarkEnd w:id="609"/>
      <w:bookmarkEnd w:id="610"/>
    </w:p>
    <w:p w14:paraId="2FB42F9F">
      <w:pPr>
        <w:ind w:firstLine="560"/>
      </w:pPr>
      <w:r>
        <w:rPr>
          <w:rFonts w:hint="eastAsia"/>
        </w:rPr>
        <w:t>本项目外管廊主要输送介质包含中压蒸汽、生活水、工艺水、脱盐水、消防水、氟硅酸、浓硫酸、再浆水、稀硫酸、渣浆水、过滤机洗水等。</w:t>
      </w:r>
    </w:p>
    <w:p w14:paraId="3266FBA6">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rFonts w:hint="eastAsia"/>
          <w:b w:val="0"/>
          <w:color w:val="auto"/>
        </w:rPr>
      </w:pPr>
      <w:r>
        <w:rPr>
          <w:b w:val="0"/>
          <w:color w:val="auto"/>
        </w:rPr>
        <w:t>根据《危险化学品目录（2022</w:t>
      </w:r>
      <w:r>
        <w:rPr>
          <w:rFonts w:hint="eastAsia"/>
          <w:b w:val="0"/>
          <w:color w:val="auto"/>
        </w:rPr>
        <w:t>调整</w:t>
      </w:r>
      <w:r>
        <w:rPr>
          <w:b w:val="0"/>
          <w:color w:val="auto"/>
        </w:rPr>
        <w:t>版）》，</w:t>
      </w:r>
      <w:r>
        <w:rPr>
          <w:rFonts w:hint="eastAsia"/>
          <w:b w:val="0"/>
          <w:color w:val="auto"/>
        </w:rPr>
        <w:t>本项目外管廊输送的物料涉及的危险化学品包括：氟硅酸、浓硫酸、稀硫酸</w:t>
      </w:r>
    </w:p>
    <w:p w14:paraId="646F29C1">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snapToGrid w:val="0"/>
          <w:color w:val="000000"/>
          <w:kern w:val="0"/>
          <w:sz w:val="28"/>
          <w:szCs w:val="28"/>
        </w:rPr>
      </w:pPr>
      <w:r>
        <w:rPr>
          <w:color w:val="000000"/>
          <w:sz w:val="28"/>
          <w:szCs w:val="28"/>
          <w:lang w:bidi="ar"/>
        </w:rPr>
        <w:t>该项目</w:t>
      </w:r>
      <w:r>
        <w:rPr>
          <w:rFonts w:hint="eastAsia"/>
          <w:color w:val="000000"/>
          <w:sz w:val="28"/>
          <w:szCs w:val="28"/>
          <w:lang w:bidi="ar"/>
        </w:rPr>
        <w:t>正常</w:t>
      </w:r>
      <w:r>
        <w:rPr>
          <w:color w:val="000000"/>
          <w:sz w:val="28"/>
          <w:szCs w:val="28"/>
          <w:lang w:bidi="ar"/>
        </w:rPr>
        <w:t>生产过程中涉及的化学品中，</w:t>
      </w:r>
      <w:r>
        <w:rPr>
          <w:rFonts w:hint="eastAsia"/>
          <w:snapToGrid w:val="0"/>
          <w:color w:val="auto"/>
          <w:szCs w:val="28"/>
        </w:rPr>
        <w:t>不涉及剧毒化学品，</w:t>
      </w:r>
      <w:r>
        <w:rPr>
          <w:rFonts w:hint="eastAsia"/>
          <w:color w:val="auto"/>
          <w:kern w:val="3"/>
          <w:szCs w:val="28"/>
        </w:rPr>
        <w:t>硫酸</w:t>
      </w:r>
      <w:r>
        <w:rPr>
          <w:rFonts w:ascii="Times New Roman"/>
          <w:color w:val="auto"/>
          <w:szCs w:val="28"/>
        </w:rPr>
        <w:t>为易制毒化学品，</w:t>
      </w:r>
      <w:r>
        <w:rPr>
          <w:rFonts w:hint="eastAsia" w:ascii="Times New Roman"/>
          <w:color w:val="auto"/>
        </w:rPr>
        <w:t>不涉及监控危险化学品</w:t>
      </w:r>
      <w:r>
        <w:rPr>
          <w:rFonts w:hint="eastAsia"/>
          <w:snapToGrid w:val="0"/>
          <w:color w:val="auto"/>
          <w:szCs w:val="28"/>
        </w:rPr>
        <w:t>，不涉及易制爆危险化学品，不</w:t>
      </w:r>
      <w:r>
        <w:rPr>
          <w:rFonts w:hint="eastAsia" w:ascii="Times New Roman"/>
          <w:color w:val="auto"/>
          <w:szCs w:val="28"/>
        </w:rPr>
        <w:t>涉及重点监管的危险化学品，</w:t>
      </w:r>
      <w:r>
        <w:rPr>
          <w:rFonts w:hint="eastAsia" w:ascii="Times New Roman"/>
          <w:color w:val="auto"/>
        </w:rPr>
        <w:t>不涉及特别管控危险化学品</w:t>
      </w:r>
      <w:r>
        <w:rPr>
          <w:rFonts w:hint="eastAsia" w:hAnsi="宋体"/>
          <w:color w:val="auto"/>
          <w:szCs w:val="28"/>
        </w:rPr>
        <w:t>。</w:t>
      </w:r>
    </w:p>
    <w:p w14:paraId="6EA6E68F">
      <w:pPr>
        <w:pStyle w:val="5"/>
        <w:numPr>
          <w:ilvl w:val="2"/>
          <w:numId w:val="1"/>
        </w:numPr>
        <w:adjustRightInd w:val="0"/>
        <w:spacing w:before="120" w:after="120"/>
        <w:jc w:val="both"/>
        <w:rPr>
          <w:rFonts w:hint="default" w:ascii="Times New Roman" w:hAnsi="Times New Roman" w:cs="Times New Roman"/>
          <w:snapToGrid w:val="0"/>
          <w:color w:val="000000"/>
          <w:kern w:val="0"/>
          <w:sz w:val="32"/>
          <w:lang w:val="en-US" w:eastAsia="zh-CN"/>
        </w:rPr>
      </w:pPr>
      <w:bookmarkStart w:id="611" w:name="_Toc262743427"/>
      <w:bookmarkStart w:id="612" w:name="_Toc272582200"/>
      <w:bookmarkStart w:id="613" w:name="_Toc304299003"/>
      <w:bookmarkStart w:id="614" w:name="_Toc304470847"/>
      <w:bookmarkStart w:id="615" w:name="_Toc249430026"/>
      <w:bookmarkStart w:id="616" w:name="_Toc262653668"/>
      <w:bookmarkStart w:id="617" w:name="_Toc275435930"/>
      <w:bookmarkStart w:id="618" w:name="_Toc273523634"/>
      <w:bookmarkStart w:id="619" w:name="_Toc304545823"/>
      <w:bookmarkStart w:id="620" w:name="_Toc304280410"/>
      <w:bookmarkStart w:id="621" w:name="_Toc280195020"/>
      <w:bookmarkStart w:id="622" w:name="_Toc262638520"/>
      <w:bookmarkStart w:id="623" w:name="_Toc281079529"/>
      <w:bookmarkStart w:id="624" w:name="_Toc250471587"/>
      <w:bookmarkStart w:id="625" w:name="_Toc369180243"/>
      <w:bookmarkStart w:id="626" w:name="_Toc8966"/>
      <w:bookmarkStart w:id="627" w:name="_Toc8795"/>
      <w:bookmarkStart w:id="628" w:name="_Toc370243043"/>
      <w:bookmarkStart w:id="629" w:name="_Toc339981315"/>
      <w:bookmarkStart w:id="630" w:name="_Toc384729710"/>
      <w:bookmarkStart w:id="631" w:name="_Toc504482275"/>
      <w:bookmarkStart w:id="632" w:name="_Toc377137405"/>
      <w:bookmarkStart w:id="633" w:name="_Toc10351"/>
      <w:bookmarkStart w:id="634" w:name="_Toc5076"/>
      <w:bookmarkStart w:id="635" w:name="_Toc472686326"/>
      <w:bookmarkStart w:id="636" w:name="_Toc26021"/>
      <w:r>
        <w:rPr>
          <w:rFonts w:hint="default" w:ascii="Times New Roman" w:hAnsi="Times New Roman" w:cs="Times New Roman"/>
          <w:snapToGrid w:val="0"/>
          <w:color w:val="000000"/>
          <w:kern w:val="0"/>
          <w:sz w:val="32"/>
          <w:lang w:val="en-US" w:eastAsia="zh-CN"/>
        </w:rPr>
        <w:t>主要存在的危险、有害因素</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r>
        <w:rPr>
          <w:rFonts w:hint="default" w:ascii="Times New Roman" w:hAnsi="Times New Roman" w:cs="Times New Roman"/>
          <w:snapToGrid w:val="0"/>
          <w:color w:val="000000"/>
          <w:kern w:val="0"/>
          <w:sz w:val="32"/>
          <w:lang w:val="en-US" w:eastAsia="zh-CN"/>
        </w:rPr>
        <w:t>及重大危险源辨识结果</w:t>
      </w:r>
      <w:bookmarkEnd w:id="625"/>
      <w:bookmarkEnd w:id="626"/>
      <w:bookmarkEnd w:id="627"/>
      <w:bookmarkEnd w:id="628"/>
      <w:bookmarkEnd w:id="629"/>
      <w:bookmarkEnd w:id="630"/>
      <w:bookmarkEnd w:id="631"/>
      <w:bookmarkEnd w:id="632"/>
      <w:bookmarkEnd w:id="633"/>
      <w:bookmarkEnd w:id="634"/>
      <w:bookmarkEnd w:id="635"/>
      <w:bookmarkEnd w:id="636"/>
    </w:p>
    <w:p w14:paraId="3A8CC781">
      <w:pPr>
        <w:pStyle w:val="6"/>
        <w:keepNext/>
        <w:keepLines w:val="0"/>
        <w:pageBreakBefore w:val="0"/>
        <w:widowControl w:val="0"/>
        <w:numPr>
          <w:ilvl w:val="3"/>
          <w:numId w:val="1"/>
        </w:numPr>
        <w:kinsoku/>
        <w:wordWrap/>
        <w:overflowPunct/>
        <w:topLinePunct w:val="0"/>
        <w:autoSpaceDE/>
        <w:autoSpaceDN/>
        <w:bidi w:val="0"/>
        <w:adjustRightInd/>
        <w:snapToGrid w:val="0"/>
        <w:ind w:left="0" w:firstLine="0"/>
        <w:textAlignment w:val="auto"/>
        <w:rPr>
          <w:rFonts w:hint="eastAsia" w:ascii="宋体" w:hAnsi="Times New Roman" w:cs="宋体"/>
          <w:color w:val="auto"/>
          <w:lang w:val="en-US" w:eastAsia="zh-CN"/>
        </w:rPr>
      </w:pPr>
      <w:bookmarkStart w:id="637" w:name="_Toc370243044"/>
      <w:bookmarkStart w:id="638" w:name="_Toc7226"/>
      <w:bookmarkStart w:id="639" w:name="_Toc504482276"/>
      <w:bookmarkStart w:id="640" w:name="_Toc339981316"/>
      <w:bookmarkStart w:id="641" w:name="_Toc377137406"/>
      <w:bookmarkStart w:id="642" w:name="_Toc472686327"/>
      <w:bookmarkStart w:id="643" w:name="_Toc31840"/>
      <w:bookmarkStart w:id="644" w:name="_Toc8562"/>
      <w:bookmarkStart w:id="645" w:name="_Toc6470"/>
      <w:bookmarkStart w:id="646" w:name="_Toc384729711"/>
      <w:bookmarkStart w:id="647" w:name="_Toc369180244"/>
      <w:r>
        <w:rPr>
          <w:rFonts w:hint="eastAsia" w:ascii="宋体" w:hAnsi="Times New Roman" w:cs="宋体"/>
          <w:color w:val="auto"/>
          <w:lang w:val="en-US" w:eastAsia="zh-CN"/>
        </w:rPr>
        <w:t>主要存在的危险、有害因素</w:t>
      </w:r>
      <w:bookmarkEnd w:id="637"/>
      <w:bookmarkEnd w:id="638"/>
      <w:bookmarkEnd w:id="639"/>
      <w:bookmarkEnd w:id="640"/>
      <w:bookmarkEnd w:id="641"/>
      <w:bookmarkEnd w:id="642"/>
      <w:bookmarkEnd w:id="643"/>
      <w:bookmarkEnd w:id="644"/>
      <w:bookmarkEnd w:id="645"/>
      <w:bookmarkEnd w:id="646"/>
      <w:bookmarkEnd w:id="647"/>
    </w:p>
    <w:p w14:paraId="6DF848F1">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ascii="宋体" w:hAnsi="Times New Roman" w:eastAsia="宋体" w:cs="宋体"/>
          <w:bCs/>
          <w:color w:val="000000"/>
          <w:sz w:val="28"/>
          <w:szCs w:val="28"/>
          <w:lang w:bidi="ar"/>
        </w:rPr>
      </w:pPr>
      <w:r>
        <w:rPr>
          <w:rFonts w:hint="eastAsia" w:hAnsi="宋体"/>
          <w:color w:val="auto"/>
          <w:szCs w:val="28"/>
        </w:rPr>
        <w:t>本项目物料输送过程中存在的危险、有害因素为化学腐蚀、化学灼伤、高温烫伤、机械伤害、触电、高处坠落、火灾爆炸等。其次存在着地震、滑坡、坍塌等自然灾害。</w:t>
      </w:r>
    </w:p>
    <w:p w14:paraId="447A5093">
      <w:pPr>
        <w:pStyle w:val="6"/>
        <w:keepNext/>
        <w:keepLines w:val="0"/>
        <w:pageBreakBefore w:val="0"/>
        <w:widowControl w:val="0"/>
        <w:numPr>
          <w:ilvl w:val="3"/>
          <w:numId w:val="1"/>
        </w:numPr>
        <w:kinsoku/>
        <w:wordWrap/>
        <w:overflowPunct/>
        <w:topLinePunct w:val="0"/>
        <w:autoSpaceDE/>
        <w:autoSpaceDN/>
        <w:bidi w:val="0"/>
        <w:adjustRightInd/>
        <w:snapToGrid w:val="0"/>
        <w:ind w:left="0" w:firstLine="0"/>
        <w:textAlignment w:val="auto"/>
        <w:rPr>
          <w:rFonts w:hint="eastAsia" w:ascii="宋体" w:hAnsi="Times New Roman" w:cs="宋体"/>
          <w:color w:val="auto"/>
          <w:lang w:val="en-US" w:eastAsia="zh-CN"/>
        </w:rPr>
      </w:pPr>
      <w:bookmarkStart w:id="648" w:name="_Toc472686328"/>
      <w:bookmarkStart w:id="649" w:name="_Toc28326"/>
      <w:bookmarkStart w:id="650" w:name="_Toc370243045"/>
      <w:bookmarkStart w:id="651" w:name="_Toc384729712"/>
      <w:bookmarkStart w:id="652" w:name="_Toc15679"/>
      <w:bookmarkStart w:id="653" w:name="_Toc20717"/>
      <w:bookmarkStart w:id="654" w:name="_Toc369180245"/>
      <w:bookmarkStart w:id="655" w:name="_Toc377137407"/>
      <w:bookmarkStart w:id="656" w:name="_Toc2835"/>
      <w:bookmarkStart w:id="657" w:name="_Toc339981317"/>
      <w:bookmarkStart w:id="658" w:name="_Toc504482277"/>
      <w:r>
        <w:rPr>
          <w:rFonts w:hint="eastAsia" w:ascii="宋体" w:hAnsi="Times New Roman" w:cs="宋体"/>
          <w:color w:val="auto"/>
          <w:lang w:val="en-US" w:eastAsia="zh-CN"/>
        </w:rPr>
        <w:t>重大危险源辨识结果</w:t>
      </w:r>
      <w:bookmarkEnd w:id="648"/>
      <w:bookmarkEnd w:id="649"/>
      <w:bookmarkEnd w:id="650"/>
      <w:bookmarkEnd w:id="651"/>
      <w:bookmarkEnd w:id="652"/>
      <w:bookmarkEnd w:id="653"/>
      <w:bookmarkEnd w:id="654"/>
      <w:bookmarkEnd w:id="655"/>
      <w:bookmarkEnd w:id="656"/>
      <w:bookmarkEnd w:id="657"/>
      <w:bookmarkEnd w:id="658"/>
    </w:p>
    <w:p w14:paraId="5E3B14D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Times New Roman" w:eastAsia="宋体" w:cs="宋体"/>
          <w:bCs/>
          <w:color w:val="000000"/>
          <w:sz w:val="28"/>
          <w:szCs w:val="28"/>
          <w:lang w:bidi="ar"/>
        </w:rPr>
      </w:pPr>
      <w:r>
        <w:rPr>
          <w:rFonts w:hint="eastAsia" w:ascii="宋体" w:hAnsi="Times New Roman" w:eastAsia="宋体" w:cs="宋体"/>
          <w:bCs/>
          <w:color w:val="000000"/>
          <w:sz w:val="28"/>
          <w:szCs w:val="28"/>
          <w:lang w:bidi="ar"/>
        </w:rPr>
        <w:t>根据《危险化学品重大危险源辨识》(GB18218-2018)的规定，本项目物料输送外管廊属于管道输送，不属于危险化学品的生产、加工、使用或储存，不在危险化学品重大危险源辨识范围内，云南瓮福祥丰氟硅新材料有限公司3万吨/年无水氟化氢和2万吨/年电子级氢氟酸厂外公用工程管架建设项目不构成重大危险源</w:t>
      </w:r>
    </w:p>
    <w:p w14:paraId="3AB95FE9">
      <w:pPr>
        <w:pStyle w:val="6"/>
        <w:keepNext/>
        <w:keepLines w:val="0"/>
        <w:pageBreakBefore w:val="0"/>
        <w:widowControl w:val="0"/>
        <w:numPr>
          <w:ilvl w:val="3"/>
          <w:numId w:val="1"/>
        </w:numPr>
        <w:kinsoku/>
        <w:wordWrap/>
        <w:overflowPunct/>
        <w:topLinePunct w:val="0"/>
        <w:autoSpaceDE/>
        <w:autoSpaceDN/>
        <w:bidi w:val="0"/>
        <w:adjustRightInd/>
        <w:snapToGrid w:val="0"/>
        <w:ind w:left="0" w:firstLine="0"/>
        <w:textAlignment w:val="auto"/>
        <w:rPr>
          <w:rFonts w:hint="eastAsia" w:ascii="宋体" w:hAnsi="Times New Roman" w:cs="宋体"/>
          <w:color w:val="auto"/>
          <w:lang w:val="en-US" w:eastAsia="zh-CN"/>
        </w:rPr>
      </w:pPr>
      <w:bookmarkStart w:id="659" w:name="_Toc504482278"/>
      <w:bookmarkStart w:id="660" w:name="_Toc472686329"/>
      <w:bookmarkStart w:id="661" w:name="_Toc17638"/>
      <w:r>
        <w:rPr>
          <w:rFonts w:hint="eastAsia" w:ascii="宋体" w:hAnsi="Times New Roman" w:cs="宋体"/>
          <w:color w:val="auto"/>
          <w:lang w:val="en-US" w:eastAsia="zh-CN"/>
        </w:rPr>
        <w:t>重点监管的危险化工工艺辨识结果</w:t>
      </w:r>
      <w:bookmarkEnd w:id="659"/>
      <w:bookmarkEnd w:id="660"/>
      <w:bookmarkEnd w:id="661"/>
    </w:p>
    <w:p w14:paraId="181530C4">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ascii="宋体" w:hAnsi="Times New Roman" w:eastAsia="宋体" w:cs="宋体"/>
          <w:bCs/>
          <w:color w:val="000000"/>
          <w:sz w:val="28"/>
          <w:szCs w:val="28"/>
          <w:lang w:bidi="ar"/>
        </w:rPr>
      </w:pPr>
      <w:r>
        <w:rPr>
          <w:rFonts w:ascii="宋体" w:hAnsi="Times New Roman" w:eastAsia="宋体" w:cs="宋体"/>
          <w:bCs/>
          <w:color w:val="000000"/>
          <w:sz w:val="28"/>
          <w:szCs w:val="28"/>
          <w:lang w:bidi="ar"/>
        </w:rPr>
        <w:t>该项目不涉及重点监管的危险化工工艺。</w:t>
      </w:r>
    </w:p>
    <w:p w14:paraId="19EE712E">
      <w:pPr>
        <w:pStyle w:val="5"/>
        <w:keepNext/>
        <w:keepLines/>
        <w:pageBreakBefore w:val="0"/>
        <w:widowControl w:val="0"/>
        <w:numPr>
          <w:ilvl w:val="2"/>
          <w:numId w:val="1"/>
        </w:numPr>
        <w:kinsoku/>
        <w:wordWrap/>
        <w:overflowPunct/>
        <w:topLinePunct w:val="0"/>
        <w:autoSpaceDE/>
        <w:autoSpaceDN/>
        <w:bidi w:val="0"/>
        <w:adjustRightInd w:val="0"/>
        <w:snapToGrid w:val="0"/>
        <w:spacing w:before="120"/>
        <w:jc w:val="both"/>
        <w:textAlignment w:val="auto"/>
        <w:rPr>
          <w:rFonts w:hint="default" w:ascii="Times New Roman" w:hAnsi="Times New Roman" w:cs="Times New Roman"/>
          <w:snapToGrid w:val="0"/>
          <w:color w:val="000000"/>
          <w:kern w:val="0"/>
          <w:sz w:val="32"/>
          <w:lang w:val="en-US" w:eastAsia="zh-CN"/>
        </w:rPr>
      </w:pPr>
      <w:bookmarkStart w:id="662" w:name="_Toc262743428"/>
      <w:bookmarkStart w:id="663" w:name="_Toc377137408"/>
      <w:bookmarkStart w:id="664" w:name="_Toc14858"/>
      <w:bookmarkStart w:id="665" w:name="_Toc262638521"/>
      <w:bookmarkStart w:id="666" w:name="_Toc304545824"/>
      <w:bookmarkStart w:id="667" w:name="_Toc370243046"/>
      <w:bookmarkStart w:id="668" w:name="_Toc273523635"/>
      <w:bookmarkStart w:id="669" w:name="_Toc339981318"/>
      <w:bookmarkStart w:id="670" w:name="_Toc304470848"/>
      <w:bookmarkStart w:id="671" w:name="_Toc472686330"/>
      <w:bookmarkStart w:id="672" w:name="_Toc384729713"/>
      <w:bookmarkStart w:id="673" w:name="_Toc272582201"/>
      <w:bookmarkStart w:id="674" w:name="_Toc281079530"/>
      <w:bookmarkStart w:id="675" w:name="_Toc280195021"/>
      <w:bookmarkStart w:id="676" w:name="_Toc304299004"/>
      <w:bookmarkStart w:id="677" w:name="_Toc304280411"/>
      <w:bookmarkStart w:id="678" w:name="_Toc18894"/>
      <w:bookmarkStart w:id="679" w:name="_Toc275435931"/>
      <w:bookmarkStart w:id="680" w:name="_Toc262653669"/>
      <w:bookmarkStart w:id="681" w:name="_Toc504482279"/>
      <w:bookmarkStart w:id="682" w:name="_Toc7018"/>
      <w:bookmarkStart w:id="683" w:name="_Toc15706"/>
      <w:bookmarkStart w:id="684" w:name="_Toc250471588"/>
      <w:bookmarkStart w:id="685" w:name="_Toc369180246"/>
      <w:bookmarkStart w:id="686" w:name="_Toc249430027"/>
      <w:bookmarkStart w:id="687" w:name="_Toc28952"/>
      <w:r>
        <w:rPr>
          <w:rFonts w:hint="default" w:ascii="Times New Roman" w:hAnsi="Times New Roman" w:cs="Times New Roman"/>
          <w:snapToGrid w:val="0"/>
          <w:color w:val="000000"/>
          <w:kern w:val="0"/>
          <w:sz w:val="32"/>
          <w:lang w:val="en-US" w:eastAsia="zh-CN"/>
        </w:rPr>
        <w:t>重点防范的重大事故和危害</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14:paraId="7F98D804">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ascii="宋体" w:hAnsi="Times New Roman" w:eastAsia="宋体" w:cs="宋体"/>
          <w:bCs/>
          <w:color w:val="000000"/>
          <w:sz w:val="28"/>
          <w:szCs w:val="28"/>
          <w:lang w:bidi="ar"/>
        </w:rPr>
      </w:pPr>
      <w:bookmarkStart w:id="688" w:name="_Toc472686331"/>
      <w:bookmarkStart w:id="689" w:name="_Toc504482280"/>
      <w:bookmarkStart w:id="690" w:name="_Toc32047"/>
      <w:bookmarkStart w:id="691" w:name="_Toc27749"/>
      <w:bookmarkStart w:id="692" w:name="_Toc23420"/>
      <w:bookmarkStart w:id="693" w:name="_Toc339981319"/>
      <w:bookmarkStart w:id="694" w:name="_Toc370243047"/>
      <w:bookmarkStart w:id="695" w:name="_Toc384729714"/>
      <w:bookmarkStart w:id="696" w:name="_Toc7714"/>
      <w:bookmarkStart w:id="697" w:name="_Toc377137409"/>
      <w:bookmarkStart w:id="698" w:name="_Toc369180247"/>
      <w:r>
        <w:rPr>
          <w:rFonts w:hint="eastAsia" w:ascii="宋体" w:hAnsi="Times New Roman" w:eastAsia="宋体" w:cs="宋体"/>
          <w:bCs/>
          <w:color w:val="000000"/>
          <w:sz w:val="28"/>
          <w:szCs w:val="28"/>
          <w:lang w:bidi="ar"/>
        </w:rPr>
        <w:t>云南瓮福祥丰氟硅新材料有限公司3万吨/年无水氟化氢和2万吨/年电子级氢氟酸厂外公用工程管架建设项目应重点防范的危险有害因素：化学腐蚀、化学灼伤</w:t>
      </w:r>
      <w:r>
        <w:rPr>
          <w:rFonts w:hint="eastAsia" w:ascii="宋体" w:hAnsi="Times New Roman" w:eastAsia="宋体" w:cs="宋体"/>
          <w:bCs/>
          <w:color w:val="000000"/>
          <w:sz w:val="28"/>
          <w:szCs w:val="28"/>
          <w:lang w:eastAsia="zh-CN" w:bidi="ar"/>
        </w:rPr>
        <w:t>、</w:t>
      </w:r>
      <w:r>
        <w:rPr>
          <w:rFonts w:hint="eastAsia" w:ascii="宋体" w:hAnsi="Times New Roman" w:eastAsia="宋体" w:cs="宋体"/>
          <w:bCs/>
          <w:color w:val="000000"/>
          <w:sz w:val="28"/>
          <w:szCs w:val="28"/>
          <w:lang w:val="en-US" w:eastAsia="zh-CN" w:bidi="ar"/>
        </w:rPr>
        <w:t>滑坡、坍塌</w:t>
      </w:r>
      <w:r>
        <w:rPr>
          <w:rFonts w:hint="eastAsia" w:ascii="宋体" w:hAnsi="Times New Roman" w:eastAsia="宋体" w:cs="宋体"/>
          <w:bCs/>
          <w:color w:val="000000"/>
          <w:sz w:val="28"/>
          <w:szCs w:val="28"/>
          <w:lang w:bidi="ar"/>
        </w:rPr>
        <w:t>。</w:t>
      </w:r>
    </w:p>
    <w:p w14:paraId="7112F4ED">
      <w:pPr>
        <w:pStyle w:val="5"/>
        <w:keepNext/>
        <w:keepLines/>
        <w:pageBreakBefore w:val="0"/>
        <w:widowControl w:val="0"/>
        <w:numPr>
          <w:ilvl w:val="2"/>
          <w:numId w:val="1"/>
        </w:numPr>
        <w:kinsoku/>
        <w:wordWrap/>
        <w:overflowPunct/>
        <w:topLinePunct w:val="0"/>
        <w:autoSpaceDE/>
        <w:autoSpaceDN/>
        <w:bidi w:val="0"/>
        <w:adjustRightInd w:val="0"/>
        <w:snapToGrid w:val="0"/>
        <w:spacing w:before="120"/>
        <w:jc w:val="both"/>
        <w:textAlignment w:val="auto"/>
        <w:rPr>
          <w:rFonts w:hint="default" w:ascii="Times New Roman" w:hAnsi="Times New Roman" w:cs="Times New Roman"/>
          <w:snapToGrid w:val="0"/>
          <w:color w:val="000000"/>
          <w:kern w:val="0"/>
          <w:sz w:val="32"/>
          <w:lang w:val="en-US" w:eastAsia="zh-CN"/>
        </w:rPr>
      </w:pPr>
      <w:bookmarkStart w:id="699" w:name="_Toc29302"/>
      <w:r>
        <w:rPr>
          <w:rFonts w:hint="default" w:ascii="Times New Roman" w:hAnsi="Times New Roman" w:cs="Times New Roman"/>
          <w:snapToGrid w:val="0"/>
          <w:color w:val="000000"/>
          <w:kern w:val="0"/>
          <w:sz w:val="32"/>
          <w:lang w:val="en-US" w:eastAsia="zh-CN"/>
        </w:rPr>
        <w:t>安全设施竣工验收评价结论</w:t>
      </w:r>
      <w:bookmarkEnd w:id="688"/>
      <w:bookmarkEnd w:id="689"/>
      <w:bookmarkEnd w:id="690"/>
      <w:bookmarkEnd w:id="691"/>
      <w:bookmarkEnd w:id="692"/>
      <w:bookmarkEnd w:id="693"/>
      <w:bookmarkEnd w:id="694"/>
      <w:bookmarkEnd w:id="695"/>
      <w:bookmarkEnd w:id="696"/>
      <w:bookmarkEnd w:id="697"/>
      <w:bookmarkEnd w:id="698"/>
      <w:bookmarkEnd w:id="699"/>
    </w:p>
    <w:p w14:paraId="570078C0">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snapToGrid w:val="0"/>
          <w:color w:val="000000"/>
          <w:kern w:val="0"/>
          <w:sz w:val="28"/>
          <w:szCs w:val="28"/>
        </w:rPr>
      </w:pPr>
      <w:r>
        <w:rPr>
          <w:rFonts w:hint="eastAsia"/>
          <w:snapToGrid w:val="0"/>
          <w:color w:val="000000"/>
          <w:kern w:val="0"/>
          <w:sz w:val="28"/>
          <w:szCs w:val="28"/>
          <w:lang w:eastAsia="zh-CN" w:bidi="ar"/>
        </w:rPr>
        <w:t>昭通市鼎安科技有限公司</w:t>
      </w:r>
      <w:r>
        <w:rPr>
          <w:snapToGrid w:val="0"/>
          <w:color w:val="000000"/>
          <w:kern w:val="0"/>
          <w:sz w:val="28"/>
          <w:szCs w:val="28"/>
          <w:lang w:bidi="ar"/>
        </w:rPr>
        <w:t>根据国家相关法律、法规及技术标准的要求，对</w:t>
      </w:r>
      <w:r>
        <w:rPr>
          <w:rFonts w:hint="eastAsia"/>
          <w:snapToGrid w:val="0"/>
          <w:color w:val="000000"/>
          <w:kern w:val="0"/>
          <w:sz w:val="28"/>
          <w:szCs w:val="28"/>
          <w:lang w:bidi="ar"/>
        </w:rPr>
        <w:t>云南瓮福祥丰氟硅新材料有限公司3万吨/年无水氟化氢和2万吨/年电子级氢氟酸</w:t>
      </w:r>
      <w:r>
        <w:rPr>
          <w:rFonts w:hint="eastAsia" w:ascii="Times New Roman"/>
          <w:color w:val="auto"/>
          <w:szCs w:val="28"/>
        </w:rPr>
        <w:t>厂外公用工程管架建设</w:t>
      </w:r>
      <w:r>
        <w:rPr>
          <w:rFonts w:hint="eastAsia" w:ascii="新宋体" w:hAnsi="新宋体" w:eastAsia="新宋体" w:cs="新宋体"/>
          <w:color w:val="auto"/>
          <w:szCs w:val="28"/>
        </w:rPr>
        <w:t>项目</w:t>
      </w:r>
      <w:r>
        <w:rPr>
          <w:snapToGrid w:val="0"/>
          <w:color w:val="000000"/>
          <w:kern w:val="0"/>
          <w:sz w:val="28"/>
          <w:szCs w:val="28"/>
          <w:lang w:bidi="ar"/>
        </w:rPr>
        <w:t>进行了分析评价，并作出如下结论：</w:t>
      </w:r>
    </w:p>
    <w:p w14:paraId="41B63DDC">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rFonts w:ascii="宋体" w:hAnsi="Times New Roman" w:eastAsia="宋体" w:cs="宋体"/>
          <w:snapToGrid w:val="0"/>
          <w:color w:val="000000"/>
          <w:kern w:val="0"/>
          <w:sz w:val="28"/>
          <w:szCs w:val="28"/>
          <w:lang w:bidi="ar"/>
        </w:rPr>
      </w:pPr>
      <w:r>
        <w:rPr>
          <w:snapToGrid w:val="0"/>
          <w:color w:val="000000"/>
          <w:kern w:val="0"/>
          <w:sz w:val="28"/>
          <w:szCs w:val="28"/>
          <w:lang w:bidi="ar"/>
        </w:rPr>
        <w:t>1.该项目生产运行与周边环境的相互影响可接受；建设项目所在地的自然条件对项目的影响在可接受范围内</w:t>
      </w:r>
      <w:r>
        <w:rPr>
          <w:rFonts w:hint="eastAsia"/>
          <w:snapToGrid w:val="0"/>
          <w:color w:val="000000"/>
          <w:kern w:val="0"/>
          <w:sz w:val="28"/>
          <w:szCs w:val="28"/>
          <w:lang w:bidi="ar"/>
        </w:rPr>
        <w:t>；</w:t>
      </w:r>
      <w:r>
        <w:rPr>
          <w:snapToGrid w:val="0"/>
          <w:color w:val="000000"/>
          <w:kern w:val="0"/>
          <w:sz w:val="28"/>
          <w:szCs w:val="28"/>
          <w:lang w:bidi="ar"/>
        </w:rPr>
        <w:t>该项目主要技术、工艺</w:t>
      </w:r>
      <w:r>
        <w:rPr>
          <w:rFonts w:hint="eastAsia" w:hAnsi="宋体"/>
          <w:color w:val="000000"/>
          <w:sz w:val="28"/>
          <w:szCs w:val="28"/>
        </w:rPr>
        <w:t>安全可靠；</w:t>
      </w:r>
      <w:r>
        <w:rPr>
          <w:rFonts w:hint="eastAsia"/>
          <w:color w:val="000000"/>
          <w:sz w:val="28"/>
          <w:szCs w:val="28"/>
        </w:rPr>
        <w:t>该项目依</w:t>
      </w:r>
      <w:r>
        <w:rPr>
          <w:rFonts w:hint="eastAsia" w:ascii="宋体" w:hAnsi="Times New Roman" w:eastAsia="宋体" w:cs="宋体"/>
          <w:snapToGrid w:val="0"/>
          <w:color w:val="000000"/>
          <w:kern w:val="0"/>
          <w:sz w:val="28"/>
          <w:szCs w:val="28"/>
          <w:lang w:bidi="ar"/>
        </w:rPr>
        <w:t>托</w:t>
      </w:r>
      <w:r>
        <w:rPr>
          <w:rFonts w:hint="eastAsia" w:ascii="宋体" w:hAnsi="Times New Roman" w:eastAsia="宋体" w:cs="宋体"/>
          <w:snapToGrid w:val="0"/>
          <w:color w:val="000000"/>
          <w:kern w:val="0"/>
          <w:sz w:val="28"/>
          <w:szCs w:val="28"/>
          <w:lang w:val="en-US" w:eastAsia="zh-CN" w:bidi="ar"/>
        </w:rPr>
        <w:t>周边单位</w:t>
      </w:r>
      <w:r>
        <w:rPr>
          <w:rFonts w:hint="eastAsia" w:ascii="宋体" w:hAnsi="Times New Roman" w:eastAsia="宋体" w:cs="宋体"/>
          <w:snapToGrid w:val="0"/>
          <w:color w:val="000000"/>
          <w:kern w:val="0"/>
          <w:sz w:val="28"/>
          <w:szCs w:val="28"/>
          <w:lang w:bidi="ar"/>
        </w:rPr>
        <w:t>的</w:t>
      </w:r>
      <w:r>
        <w:rPr>
          <w:rFonts w:hint="eastAsia" w:ascii="宋体" w:hAnsi="Times New Roman" w:eastAsia="宋体" w:cs="宋体"/>
          <w:snapToGrid w:val="0"/>
          <w:color w:val="000000"/>
          <w:kern w:val="0"/>
          <w:sz w:val="28"/>
          <w:szCs w:val="28"/>
          <w:lang w:val="en-US" w:eastAsia="zh-CN" w:bidi="ar"/>
        </w:rPr>
        <w:t>消防、</w:t>
      </w:r>
      <w:r>
        <w:rPr>
          <w:rFonts w:hint="eastAsia" w:ascii="宋体" w:hAnsi="Times New Roman" w:eastAsia="宋体" w:cs="宋体"/>
          <w:snapToGrid w:val="0"/>
          <w:color w:val="000000"/>
          <w:kern w:val="0"/>
          <w:sz w:val="28"/>
          <w:szCs w:val="28"/>
          <w:lang w:bidi="ar"/>
        </w:rPr>
        <w:t>供水、供电、消防等生产条件安全可靠，能满足项目需求</w:t>
      </w:r>
      <w:r>
        <w:rPr>
          <w:rFonts w:ascii="宋体" w:hAnsi="Times New Roman" w:eastAsia="宋体" w:cs="宋体"/>
          <w:snapToGrid w:val="0"/>
          <w:color w:val="000000"/>
          <w:kern w:val="0"/>
          <w:sz w:val="28"/>
          <w:szCs w:val="28"/>
          <w:lang w:bidi="ar"/>
        </w:rPr>
        <w:t>。</w:t>
      </w:r>
    </w:p>
    <w:p w14:paraId="69A51AA7">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rFonts w:ascii="宋体" w:hAnsi="Times New Roman" w:eastAsia="宋体" w:cs="宋体"/>
          <w:snapToGrid w:val="0"/>
          <w:color w:val="000000"/>
          <w:kern w:val="0"/>
          <w:sz w:val="28"/>
          <w:szCs w:val="28"/>
          <w:lang w:bidi="ar"/>
        </w:rPr>
      </w:pPr>
      <w:r>
        <w:rPr>
          <w:rFonts w:ascii="宋体" w:hAnsi="Times New Roman" w:eastAsia="宋体" w:cs="宋体"/>
          <w:snapToGrid w:val="0"/>
          <w:color w:val="000000"/>
          <w:kern w:val="0"/>
          <w:sz w:val="28"/>
          <w:szCs w:val="28"/>
          <w:lang w:bidi="ar"/>
        </w:rPr>
        <w:t>2.</w:t>
      </w:r>
      <w:bookmarkStart w:id="700" w:name="_Hlk155615497"/>
      <w:r>
        <w:rPr>
          <w:rFonts w:hint="eastAsia" w:ascii="宋体" w:hAnsi="Times New Roman" w:eastAsia="宋体" w:cs="宋体"/>
          <w:snapToGrid w:val="0"/>
          <w:color w:val="000000"/>
          <w:kern w:val="0"/>
          <w:sz w:val="28"/>
          <w:szCs w:val="28"/>
          <w:lang w:bidi="ar"/>
        </w:rPr>
        <w:t>云南瓮福祥丰氟硅新材料有限公司3万吨/年无水氟化氢和2万吨/年电子级氢氟酸厂外公用工程管架建设项目</w:t>
      </w:r>
      <w:bookmarkEnd w:id="700"/>
      <w:r>
        <w:rPr>
          <w:rFonts w:hint="eastAsia" w:ascii="宋体" w:hAnsi="Times New Roman" w:eastAsia="宋体" w:cs="宋体"/>
          <w:snapToGrid w:val="0"/>
          <w:color w:val="000000"/>
          <w:kern w:val="0"/>
          <w:sz w:val="28"/>
          <w:szCs w:val="28"/>
          <w:lang w:bidi="ar"/>
        </w:rPr>
        <w:t>符合产业结构调整指导目录，建设程序符合《中华人民共和国安全生产法》（中华人民共和国主席令第88号）、《危险化学品建设项目安全监督管理办法》（国家安全生产监督管理总局令第45号）、《危险化学品输送管道安全管理规定》（国家安全生产监督管理总局令第79号修正）、《云南省危险化学品建设项目安全监督管理实施细则》（云南省安全生产监督管理局公告第32号）要求。</w:t>
      </w:r>
    </w:p>
    <w:p w14:paraId="3DD07A38">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rFonts w:ascii="宋体" w:hAnsi="Times New Roman" w:eastAsia="宋体" w:cs="宋体"/>
          <w:snapToGrid w:val="0"/>
          <w:color w:val="000000"/>
          <w:kern w:val="0"/>
          <w:sz w:val="28"/>
          <w:szCs w:val="28"/>
          <w:lang w:bidi="ar"/>
        </w:rPr>
      </w:pPr>
      <w:r>
        <w:rPr>
          <w:snapToGrid w:val="0"/>
          <w:color w:val="000000"/>
          <w:kern w:val="0"/>
          <w:sz w:val="28"/>
          <w:szCs w:val="28"/>
          <w:lang w:bidi="ar"/>
        </w:rPr>
        <w:t>3.</w:t>
      </w:r>
      <w:r>
        <w:rPr>
          <w:rFonts w:hint="eastAsia"/>
        </w:rPr>
        <w:t>云南瓮福祥丰氟硅新材料有限公司3万吨/年无水氟化氢和2万吨/年电子级氢氟酸厂外公用工程管架建设项目物料输送外管廊选择的工艺方案成熟、可靠。主要管道选型和主要辅助生产设施方案合理，符合安全规定和</w:t>
      </w:r>
      <w:r>
        <w:rPr>
          <w:rFonts w:hint="eastAsia" w:ascii="宋体" w:hAnsi="Times New Roman" w:eastAsia="宋体" w:cs="宋体"/>
          <w:snapToGrid w:val="0"/>
          <w:color w:val="000000"/>
          <w:kern w:val="0"/>
          <w:sz w:val="28"/>
          <w:szCs w:val="28"/>
          <w:lang w:bidi="ar"/>
        </w:rPr>
        <w:t>标准要求。</w:t>
      </w:r>
    </w:p>
    <w:p w14:paraId="1D46C6FD">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rFonts w:ascii="宋体" w:hAnsi="Times New Roman" w:eastAsia="宋体" w:cs="宋体"/>
          <w:snapToGrid w:val="0"/>
          <w:color w:val="000000"/>
          <w:kern w:val="0"/>
          <w:sz w:val="28"/>
          <w:szCs w:val="28"/>
          <w:lang w:bidi="ar"/>
        </w:rPr>
      </w:pPr>
      <w:r>
        <w:rPr>
          <w:rFonts w:hint="eastAsia" w:ascii="宋体" w:hAnsi="Times New Roman" w:eastAsia="宋体" w:cs="宋体"/>
          <w:snapToGrid w:val="0"/>
          <w:color w:val="000000"/>
          <w:kern w:val="0"/>
          <w:sz w:val="28"/>
          <w:szCs w:val="28"/>
          <w:lang w:val="en-US" w:eastAsia="zh-CN" w:bidi="ar"/>
        </w:rPr>
        <w:t>4</w:t>
      </w:r>
      <w:r>
        <w:rPr>
          <w:rFonts w:ascii="宋体" w:hAnsi="Times New Roman" w:eastAsia="宋体" w:cs="宋体"/>
          <w:snapToGrid w:val="0"/>
          <w:color w:val="000000"/>
          <w:kern w:val="0"/>
          <w:sz w:val="28"/>
          <w:szCs w:val="28"/>
          <w:lang w:bidi="ar"/>
        </w:rPr>
        <w:t>.该项目试</w:t>
      </w:r>
      <w:r>
        <w:rPr>
          <w:rFonts w:hint="eastAsia" w:ascii="宋体" w:hAnsi="Times New Roman" w:eastAsia="宋体" w:cs="宋体"/>
          <w:snapToGrid w:val="0"/>
          <w:color w:val="000000"/>
          <w:kern w:val="0"/>
          <w:sz w:val="28"/>
          <w:szCs w:val="28"/>
          <w:lang w:bidi="ar"/>
        </w:rPr>
        <w:t>生产</w:t>
      </w:r>
      <w:r>
        <w:rPr>
          <w:rFonts w:ascii="宋体" w:hAnsi="Times New Roman" w:eastAsia="宋体" w:cs="宋体"/>
          <w:snapToGrid w:val="0"/>
          <w:color w:val="000000"/>
          <w:kern w:val="0"/>
          <w:sz w:val="28"/>
          <w:szCs w:val="28"/>
          <w:lang w:bidi="ar"/>
        </w:rPr>
        <w:t>正常，试</w:t>
      </w:r>
      <w:r>
        <w:rPr>
          <w:rFonts w:hint="eastAsia" w:ascii="宋体" w:hAnsi="Times New Roman" w:eastAsia="宋体" w:cs="宋体"/>
          <w:snapToGrid w:val="0"/>
          <w:color w:val="000000"/>
          <w:kern w:val="0"/>
          <w:sz w:val="28"/>
          <w:szCs w:val="28"/>
          <w:lang w:bidi="ar"/>
        </w:rPr>
        <w:t>生产</w:t>
      </w:r>
      <w:r>
        <w:rPr>
          <w:rFonts w:ascii="宋体" w:hAnsi="Times New Roman" w:eastAsia="宋体" w:cs="宋体"/>
          <w:snapToGrid w:val="0"/>
          <w:color w:val="000000"/>
          <w:kern w:val="0"/>
          <w:sz w:val="28"/>
          <w:szCs w:val="28"/>
          <w:lang w:bidi="ar"/>
        </w:rPr>
        <w:t>中未发生生产安全事故；试</w:t>
      </w:r>
      <w:r>
        <w:rPr>
          <w:rFonts w:hint="eastAsia" w:ascii="宋体" w:hAnsi="Times New Roman" w:eastAsia="宋体" w:cs="宋体"/>
          <w:snapToGrid w:val="0"/>
          <w:color w:val="000000"/>
          <w:kern w:val="0"/>
          <w:sz w:val="28"/>
          <w:szCs w:val="28"/>
          <w:lang w:bidi="ar"/>
        </w:rPr>
        <w:t>生产</w:t>
      </w:r>
      <w:r>
        <w:rPr>
          <w:rFonts w:ascii="宋体" w:hAnsi="Times New Roman" w:eastAsia="宋体" w:cs="宋体"/>
          <w:snapToGrid w:val="0"/>
          <w:color w:val="000000"/>
          <w:kern w:val="0"/>
          <w:sz w:val="28"/>
          <w:szCs w:val="28"/>
          <w:lang w:bidi="ar"/>
        </w:rPr>
        <w:t>过程中发现的问题已整改，不存在《国家安全监管总局</w:t>
      </w:r>
      <w:r>
        <w:rPr>
          <w:rFonts w:hint="eastAsia" w:ascii="宋体" w:hAnsi="Times New Roman" w:eastAsia="宋体" w:cs="宋体"/>
          <w:snapToGrid w:val="0"/>
          <w:color w:val="000000"/>
          <w:kern w:val="0"/>
          <w:sz w:val="28"/>
          <w:szCs w:val="28"/>
          <w:lang w:bidi="ar"/>
        </w:rPr>
        <w:t>关于印发《化工和危险化学品生产经营单位重大生产安全事故隐患判定标准（试行）》和《烟花爆竹生产经营单位重大生产安全事故隐患判定标准（试行）》的通知</w:t>
      </w:r>
      <w:r>
        <w:rPr>
          <w:rFonts w:ascii="宋体" w:hAnsi="Times New Roman" w:eastAsia="宋体" w:cs="宋体"/>
          <w:snapToGrid w:val="0"/>
          <w:color w:val="000000"/>
          <w:kern w:val="0"/>
          <w:sz w:val="28"/>
          <w:szCs w:val="28"/>
          <w:lang w:bidi="ar"/>
        </w:rPr>
        <w:t>》（安监总管三〔2017〕121号）中所列的重大隐患。</w:t>
      </w:r>
    </w:p>
    <w:p w14:paraId="35DA034E">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snapToGrid w:val="0"/>
          <w:color w:val="000000"/>
          <w:kern w:val="0"/>
          <w:sz w:val="28"/>
          <w:szCs w:val="28"/>
          <w:lang w:bidi="ar"/>
        </w:rPr>
      </w:pPr>
      <w:r>
        <w:rPr>
          <w:rFonts w:hint="eastAsia"/>
          <w:snapToGrid w:val="0"/>
          <w:color w:val="000000"/>
          <w:kern w:val="0"/>
          <w:sz w:val="28"/>
          <w:szCs w:val="28"/>
          <w:lang w:val="en-US" w:eastAsia="zh-CN" w:bidi="ar"/>
        </w:rPr>
        <w:t>5.</w:t>
      </w:r>
      <w:r>
        <w:rPr>
          <w:snapToGrid w:val="0"/>
          <w:color w:val="000000"/>
          <w:kern w:val="0"/>
          <w:sz w:val="28"/>
          <w:szCs w:val="28"/>
          <w:lang w:bidi="ar"/>
        </w:rPr>
        <w:t>该项目试生产后总平面布置、作业场所、公用工程、安全管理</w:t>
      </w:r>
      <w:r>
        <w:rPr>
          <w:rFonts w:hint="eastAsia"/>
          <w:snapToGrid w:val="0"/>
          <w:color w:val="000000"/>
          <w:kern w:val="0"/>
          <w:sz w:val="28"/>
          <w:szCs w:val="28"/>
          <w:lang w:bidi="ar"/>
        </w:rPr>
        <w:t>及</w:t>
      </w:r>
      <w:r>
        <w:rPr>
          <w:snapToGrid w:val="0"/>
          <w:color w:val="000000"/>
          <w:kern w:val="0"/>
          <w:sz w:val="28"/>
          <w:szCs w:val="28"/>
          <w:lang w:bidi="ar"/>
        </w:rPr>
        <w:t>事故应急管理</w:t>
      </w:r>
      <w:r>
        <w:rPr>
          <w:rFonts w:hint="eastAsia"/>
          <w:snapToGrid w:val="0"/>
          <w:color w:val="000000"/>
          <w:kern w:val="0"/>
          <w:sz w:val="28"/>
          <w:szCs w:val="28"/>
          <w:lang w:bidi="ar"/>
        </w:rPr>
        <w:t>等方面均</w:t>
      </w:r>
      <w:r>
        <w:rPr>
          <w:snapToGrid w:val="0"/>
          <w:color w:val="000000"/>
          <w:kern w:val="0"/>
          <w:sz w:val="28"/>
          <w:szCs w:val="28"/>
          <w:lang w:bidi="ar"/>
        </w:rPr>
        <w:t>符合国家现行有关安全生产法律、法规和部门规章及标准规定和要求的安全生产条件。</w:t>
      </w:r>
    </w:p>
    <w:p w14:paraId="332783EE">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color w:val="000000"/>
          <w:sz w:val="28"/>
          <w:szCs w:val="28"/>
          <w:lang w:bidi="ar"/>
        </w:rPr>
      </w:pPr>
      <w:bookmarkStart w:id="1170" w:name="_GoBack"/>
      <w:bookmarkEnd w:id="1170"/>
      <w:r>
        <w:rPr>
          <w:rFonts w:hint="eastAsia"/>
          <w:snapToGrid w:val="0"/>
          <w:color w:val="000000"/>
          <w:kern w:val="0"/>
          <w:sz w:val="28"/>
          <w:szCs w:val="28"/>
          <w:lang w:val="en-US" w:eastAsia="zh-CN" w:bidi="ar"/>
        </w:rPr>
        <w:t>6.</w:t>
      </w:r>
      <w:r>
        <w:rPr>
          <w:snapToGrid w:val="0"/>
          <w:color w:val="000000"/>
          <w:kern w:val="0"/>
          <w:sz w:val="28"/>
          <w:szCs w:val="28"/>
          <w:lang w:bidi="ar"/>
        </w:rPr>
        <w:t>该项目按国家相关安全生产法律法规要求进行了设计、施工、验收，根据相关的施工资料，该项目安全设施</w:t>
      </w:r>
      <w:r>
        <w:rPr>
          <w:rFonts w:hint="eastAsia"/>
          <w:snapToGrid w:val="0"/>
          <w:color w:val="000000"/>
          <w:kern w:val="0"/>
          <w:sz w:val="28"/>
          <w:szCs w:val="28"/>
          <w:lang w:bidi="ar"/>
        </w:rPr>
        <w:t>在施工阶段基本已</w:t>
      </w:r>
      <w:r>
        <w:rPr>
          <w:snapToGrid w:val="0"/>
          <w:color w:val="000000"/>
          <w:kern w:val="0"/>
          <w:sz w:val="28"/>
          <w:szCs w:val="28"/>
          <w:lang w:bidi="ar"/>
        </w:rPr>
        <w:t>按</w:t>
      </w:r>
      <w:r>
        <w:rPr>
          <w:rFonts w:hint="eastAsia"/>
          <w:snapToGrid w:val="0"/>
          <w:color w:val="000000"/>
          <w:kern w:val="0"/>
          <w:sz w:val="28"/>
          <w:szCs w:val="28"/>
          <w:lang w:bidi="ar"/>
        </w:rPr>
        <w:t>安全设施设计专篇及设计变更</w:t>
      </w:r>
      <w:r>
        <w:rPr>
          <w:snapToGrid w:val="0"/>
          <w:color w:val="000000"/>
          <w:kern w:val="0"/>
          <w:sz w:val="28"/>
          <w:szCs w:val="28"/>
          <w:lang w:bidi="ar"/>
        </w:rPr>
        <w:t>要求</w:t>
      </w:r>
      <w:r>
        <w:rPr>
          <w:rFonts w:hint="eastAsia"/>
          <w:snapToGrid w:val="0"/>
          <w:color w:val="000000"/>
          <w:kern w:val="0"/>
          <w:sz w:val="28"/>
          <w:szCs w:val="28"/>
          <w:lang w:bidi="ar"/>
        </w:rPr>
        <w:t>进行了</w:t>
      </w:r>
      <w:r>
        <w:rPr>
          <w:snapToGrid w:val="0"/>
          <w:color w:val="000000"/>
          <w:kern w:val="0"/>
          <w:sz w:val="28"/>
          <w:szCs w:val="28"/>
          <w:lang w:bidi="ar"/>
        </w:rPr>
        <w:t>施工，</w:t>
      </w:r>
      <w:r>
        <w:rPr>
          <w:rFonts w:hint="eastAsia"/>
          <w:snapToGrid w:val="0"/>
          <w:color w:val="000000"/>
          <w:kern w:val="0"/>
          <w:sz w:val="28"/>
          <w:szCs w:val="28"/>
          <w:lang w:bidi="ar"/>
        </w:rPr>
        <w:t>在试生产及安全验收评价过程中按安全设施设计专篇要求进行了整改完善，</w:t>
      </w:r>
      <w:r>
        <w:rPr>
          <w:snapToGrid w:val="0"/>
          <w:color w:val="000000"/>
          <w:kern w:val="0"/>
          <w:sz w:val="28"/>
          <w:szCs w:val="28"/>
          <w:lang w:bidi="ar"/>
        </w:rPr>
        <w:t>并经检测、验收合格，该项目的工程质量合格，该项目安全设施做到了与主体工程同时设计、同时施工、同时投入生产和使用，符合“三同时”要求。</w:t>
      </w:r>
      <w:r>
        <w:rPr>
          <w:rFonts w:hint="eastAsia"/>
          <w:color w:val="000000"/>
          <w:sz w:val="28"/>
          <w:szCs w:val="28"/>
          <w:lang w:bidi="ar"/>
        </w:rPr>
        <w:t>该项目具备《危险化学品生产建设项目安全风险防控指南》（应急﹝2022﹞52号）、《关于进一步加强危险化学品生产建设项目安全风险防控工作的通知》（云应急﹝2024﹞43号）要求的竣工验收的条件。</w:t>
      </w:r>
    </w:p>
    <w:p w14:paraId="1C430ED1">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b/>
          <w:color w:val="000000"/>
          <w:sz w:val="28"/>
          <w:szCs w:val="28"/>
        </w:rPr>
      </w:pPr>
      <w:r>
        <w:rPr>
          <w:color w:val="000000"/>
          <w:sz w:val="28"/>
          <w:lang w:bidi="ar"/>
        </w:rPr>
        <w:t>综上所述，评价组认为：</w:t>
      </w:r>
      <w:bookmarkStart w:id="701" w:name="_Hlk522888932"/>
      <w:r>
        <w:rPr>
          <w:rFonts w:hint="eastAsia"/>
          <w:b/>
          <w:snapToGrid w:val="0"/>
          <w:color w:val="000000"/>
          <w:kern w:val="0"/>
          <w:sz w:val="28"/>
          <w:szCs w:val="28"/>
          <w:lang w:bidi="ar"/>
        </w:rPr>
        <w:t>云南瓮福祥丰氟硅新材料有限公司3万吨/年无水氟化氢和2万吨/年电子级氢</w:t>
      </w:r>
      <w:r>
        <w:rPr>
          <w:rFonts w:hint="eastAsia" w:ascii="宋体" w:hAnsi="Times New Roman" w:eastAsia="宋体" w:cs="宋体"/>
          <w:b/>
          <w:snapToGrid w:val="0"/>
          <w:color w:val="000000"/>
          <w:kern w:val="0"/>
          <w:sz w:val="28"/>
          <w:szCs w:val="28"/>
          <w:lang w:bidi="ar"/>
        </w:rPr>
        <w:t>氟酸厂外公用工程管架建设项目符合</w:t>
      </w:r>
      <w:r>
        <w:rPr>
          <w:b/>
          <w:snapToGrid w:val="0"/>
          <w:color w:val="000000"/>
          <w:kern w:val="0"/>
          <w:sz w:val="28"/>
          <w:szCs w:val="28"/>
          <w:lang w:bidi="ar"/>
        </w:rPr>
        <w:t>国家有关安全方面的法律、法规、标准、规程、规章的有关要求，具备安全设施竣工验收条件</w:t>
      </w:r>
      <w:r>
        <w:rPr>
          <w:b/>
          <w:color w:val="000000"/>
          <w:sz w:val="28"/>
          <w:szCs w:val="28"/>
          <w:lang w:bidi="ar"/>
        </w:rPr>
        <w:t>。</w:t>
      </w:r>
      <w:bookmarkEnd w:id="701"/>
    </w:p>
    <w:p w14:paraId="0134B3C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eastAsia="黑体"/>
          <w:snapToGrid w:val="0"/>
          <w:color w:val="000000"/>
          <w:kern w:val="0"/>
          <w:sz w:val="44"/>
          <w:szCs w:val="44"/>
        </w:rPr>
      </w:pPr>
      <w:r>
        <w:rPr>
          <w:color w:val="000000"/>
          <w:sz w:val="28"/>
          <w:szCs w:val="28"/>
          <w:lang w:bidi="ar"/>
        </w:rPr>
        <w:t>在今后的生产过程中，应不断加强管理力度、强化安全设施，应落实本次安全评价报告中提出的安全对策措施及建议，进一步完善各项管理制度，不断提高安全管理水平，以保证生产正常进行。</w:t>
      </w:r>
    </w:p>
    <w:p w14:paraId="151D3E0C">
      <w:pPr>
        <w:widowControl/>
        <w:snapToGrid/>
        <w:spacing w:line="240" w:lineRule="auto"/>
        <w:jc w:val="left"/>
        <w:rPr>
          <w:rFonts w:hAnsi="宋体"/>
          <w:color w:val="auto"/>
          <w:szCs w:val="28"/>
        </w:rPr>
      </w:pPr>
      <w:r>
        <w:rPr>
          <w:rFonts w:hAnsi="宋体"/>
          <w:color w:val="auto"/>
          <w:szCs w:val="28"/>
        </w:rPr>
        <w:br w:type="page"/>
      </w:r>
    </w:p>
    <w:bookmarkEnd w:id="595"/>
    <w:bookmarkEnd w:id="596"/>
    <w:p w14:paraId="642D5339">
      <w:pPr>
        <w:pStyle w:val="3"/>
        <w:widowControl/>
        <w:spacing w:line="500" w:lineRule="exact"/>
        <w:jc w:val="center"/>
        <w:rPr>
          <w:rFonts w:hint="default" w:ascii="Times New Roman" w:hAnsi="Times New Roman" w:eastAsia="黑体"/>
          <w:snapToGrid w:val="0"/>
          <w:color w:val="000000"/>
          <w:kern w:val="0"/>
        </w:rPr>
      </w:pPr>
      <w:bookmarkStart w:id="702" w:name="_Toc15719"/>
      <w:bookmarkStart w:id="703" w:name="_Toc3539"/>
      <w:bookmarkStart w:id="704" w:name="_Toc387703572"/>
      <w:bookmarkStart w:id="705" w:name="_Toc387488575"/>
      <w:bookmarkStart w:id="706" w:name="_Toc460365009"/>
      <w:bookmarkStart w:id="707" w:name="_Toc11632"/>
      <w:bookmarkStart w:id="708" w:name="_Toc47119850"/>
      <w:r>
        <w:rPr>
          <w:rFonts w:hint="default" w:ascii="Times New Roman" w:hAnsi="Times New Roman" w:eastAsia="黑体"/>
          <w:snapToGrid w:val="0"/>
          <w:color w:val="000000"/>
          <w:kern w:val="0"/>
        </w:rPr>
        <w:t>第</w:t>
      </w:r>
      <w:r>
        <w:rPr>
          <w:rFonts w:hint="eastAsia" w:ascii="Times New Roman"/>
          <w:snapToGrid w:val="0"/>
          <w:color w:val="000000"/>
          <w:kern w:val="0"/>
          <w:lang w:val="en-US" w:eastAsia="zh-CN"/>
        </w:rPr>
        <w:t>8</w:t>
      </w:r>
      <w:r>
        <w:rPr>
          <w:rFonts w:hint="default" w:ascii="Times New Roman" w:hAnsi="Times New Roman" w:eastAsia="黑体"/>
          <w:snapToGrid w:val="0"/>
          <w:color w:val="000000"/>
          <w:kern w:val="0"/>
        </w:rPr>
        <w:t>章 与建设单位交换意见情况结果</w:t>
      </w:r>
      <w:bookmarkEnd w:id="702"/>
      <w:bookmarkEnd w:id="703"/>
    </w:p>
    <w:bookmarkEnd w:id="704"/>
    <w:bookmarkEnd w:id="705"/>
    <w:bookmarkEnd w:id="706"/>
    <w:bookmarkEnd w:id="707"/>
    <w:bookmarkEnd w:id="708"/>
    <w:p w14:paraId="2E53B39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snapToGrid/>
          <w:color w:val="auto"/>
          <w:sz w:val="28"/>
          <w:szCs w:val="28"/>
        </w:rPr>
      </w:pPr>
      <w:r>
        <w:rPr>
          <w:rFonts w:hint="default" w:ascii="Times New Roman" w:hAnsi="Times New Roman" w:eastAsia="宋体" w:cs="Times New Roman"/>
          <w:snapToGrid/>
          <w:color w:val="auto"/>
          <w:sz w:val="28"/>
          <w:szCs w:val="28"/>
        </w:rPr>
        <w:t>在该</w:t>
      </w:r>
      <w:r>
        <w:rPr>
          <w:rFonts w:hint="default" w:ascii="Times New Roman" w:hAnsi="Times New Roman" w:eastAsia="宋体" w:cs="Times New Roman"/>
          <w:snapToGrid/>
          <w:color w:val="auto"/>
          <w:sz w:val="28"/>
          <w:szCs w:val="28"/>
          <w:lang w:eastAsia="zh-CN"/>
        </w:rPr>
        <w:t>建设</w:t>
      </w:r>
      <w:r>
        <w:rPr>
          <w:rFonts w:hint="default" w:ascii="Times New Roman" w:hAnsi="Times New Roman" w:eastAsia="宋体" w:cs="Times New Roman"/>
          <w:snapToGrid/>
          <w:color w:val="auto"/>
          <w:sz w:val="28"/>
          <w:szCs w:val="28"/>
        </w:rPr>
        <w:t>项目的本次安全</w:t>
      </w:r>
      <w:r>
        <w:rPr>
          <w:rFonts w:hint="default" w:ascii="Times New Roman" w:hAnsi="Times New Roman" w:eastAsia="宋体" w:cs="Times New Roman"/>
          <w:snapToGrid/>
          <w:color w:val="auto"/>
          <w:sz w:val="28"/>
          <w:szCs w:val="28"/>
          <w:lang w:val="en-US" w:eastAsia="zh-CN"/>
        </w:rPr>
        <w:t>验收</w:t>
      </w:r>
      <w:r>
        <w:rPr>
          <w:rFonts w:hint="default" w:ascii="Times New Roman" w:hAnsi="Times New Roman" w:eastAsia="宋体" w:cs="Times New Roman"/>
          <w:snapToGrid/>
          <w:color w:val="auto"/>
          <w:sz w:val="28"/>
          <w:szCs w:val="28"/>
        </w:rPr>
        <w:t>评价过程中，评价组自接受建设单位委托之日起，为确保评价的真实、客观和评价工作的顺利进行，针对评价中各个方面的情况，通过电话、邮件往来和约定见面</w:t>
      </w:r>
      <w:r>
        <w:rPr>
          <w:rFonts w:hint="default" w:ascii="Times New Roman" w:hAnsi="Times New Roman" w:eastAsia="宋体" w:cs="Times New Roman"/>
          <w:snapToGrid/>
          <w:color w:val="auto"/>
          <w:sz w:val="28"/>
          <w:szCs w:val="28"/>
          <w:lang w:val="en-US" w:eastAsia="zh-CN"/>
        </w:rPr>
        <w:t>等</w:t>
      </w:r>
      <w:r>
        <w:rPr>
          <w:rFonts w:hint="default" w:ascii="Times New Roman" w:hAnsi="Times New Roman" w:eastAsia="宋体" w:cs="Times New Roman"/>
          <w:snapToGrid/>
          <w:color w:val="auto"/>
          <w:sz w:val="28"/>
          <w:szCs w:val="28"/>
        </w:rPr>
        <w:t>方式与建设单位反复、充分交换意见，最后才有了该报告的形成。</w:t>
      </w:r>
    </w:p>
    <w:p w14:paraId="412F957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snapToGrid/>
          <w:color w:val="auto"/>
          <w:sz w:val="28"/>
          <w:szCs w:val="28"/>
        </w:rPr>
      </w:pPr>
      <w:r>
        <w:rPr>
          <w:rFonts w:hint="default" w:ascii="Times New Roman" w:hAnsi="Times New Roman" w:eastAsia="宋体" w:cs="Times New Roman"/>
          <w:snapToGrid/>
          <w:color w:val="auto"/>
          <w:sz w:val="28"/>
          <w:szCs w:val="28"/>
        </w:rPr>
        <w:t>本报告经建设单位确认，报告中描述的周边环境、平面布置、工艺设施、公辅设施、安全管理等内容与项目实际一致；并且建设单位认可本验收评价报告中提出的问题及对策措施，同意对存在的问题进行整改，结合项目实际情况落实并采纳本评价报告中提出的对策措施及建议。</w:t>
      </w:r>
    </w:p>
    <w:p w14:paraId="4385AB1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cs="Times New Roman"/>
          <w:snapToGrid w:val="0"/>
          <w:color w:val="000000"/>
          <w:kern w:val="0"/>
          <w:sz w:val="28"/>
          <w:szCs w:val="28"/>
        </w:rPr>
        <w:sectPr>
          <w:pgSz w:w="11905" w:h="16838"/>
          <w:pgMar w:top="1417" w:right="1134" w:bottom="1134" w:left="1587" w:header="850" w:footer="680" w:gutter="0"/>
          <w:pgNumType w:fmt="decimal"/>
          <w:cols w:space="0" w:num="1"/>
          <w:rtlGutter w:val="0"/>
          <w:docGrid w:type="lines" w:linePitch="386" w:charSpace="0"/>
        </w:sectPr>
      </w:pPr>
    </w:p>
    <w:p w14:paraId="648041B9">
      <w:pPr>
        <w:adjustRightInd w:val="0"/>
        <w:snapToGrid w:val="0"/>
        <w:spacing w:line="500" w:lineRule="exact"/>
        <w:rPr>
          <w:rFonts w:hint="default" w:ascii="Times New Roman" w:hAnsi="Times New Roman" w:cs="Times New Roman"/>
          <w:snapToGrid w:val="0"/>
          <w:color w:val="000000"/>
          <w:kern w:val="0"/>
          <w:sz w:val="28"/>
          <w:szCs w:val="28"/>
        </w:rPr>
      </w:pPr>
    </w:p>
    <w:p w14:paraId="0D9C76A8">
      <w:pPr>
        <w:adjustRightInd w:val="0"/>
        <w:snapToGrid w:val="0"/>
        <w:spacing w:line="500" w:lineRule="exact"/>
        <w:jc w:val="center"/>
        <w:rPr>
          <w:rFonts w:hint="default" w:ascii="Times New Roman" w:hAnsi="Times New Roman" w:cs="Times New Roman"/>
          <w:snapToGrid w:val="0"/>
          <w:color w:val="000000"/>
          <w:kern w:val="0"/>
          <w:sz w:val="28"/>
          <w:szCs w:val="28"/>
        </w:rPr>
      </w:pPr>
    </w:p>
    <w:p w14:paraId="5609D35B">
      <w:pPr>
        <w:adjustRightInd w:val="0"/>
        <w:snapToGrid w:val="0"/>
        <w:spacing w:line="500" w:lineRule="exact"/>
        <w:rPr>
          <w:rFonts w:hint="default" w:ascii="Times New Roman" w:hAnsi="Times New Roman" w:cs="Times New Roman"/>
          <w:snapToGrid w:val="0"/>
          <w:color w:val="000000"/>
          <w:kern w:val="0"/>
          <w:sz w:val="28"/>
          <w:szCs w:val="28"/>
        </w:rPr>
      </w:pPr>
    </w:p>
    <w:p w14:paraId="67004914">
      <w:pPr>
        <w:adjustRightInd w:val="0"/>
        <w:snapToGrid w:val="0"/>
        <w:spacing w:line="500" w:lineRule="exact"/>
        <w:rPr>
          <w:rFonts w:hint="default" w:ascii="Times New Roman" w:hAnsi="Times New Roman" w:cs="Times New Roman"/>
          <w:snapToGrid w:val="0"/>
          <w:color w:val="000000"/>
          <w:kern w:val="0"/>
          <w:sz w:val="28"/>
          <w:szCs w:val="28"/>
        </w:rPr>
      </w:pPr>
    </w:p>
    <w:p w14:paraId="16F5FC46">
      <w:pPr>
        <w:adjustRightInd w:val="0"/>
        <w:snapToGrid w:val="0"/>
        <w:spacing w:line="500" w:lineRule="exact"/>
        <w:rPr>
          <w:rFonts w:hint="default" w:ascii="Times New Roman" w:hAnsi="Times New Roman" w:cs="Times New Roman"/>
          <w:snapToGrid w:val="0"/>
          <w:color w:val="000000"/>
          <w:kern w:val="0"/>
          <w:sz w:val="28"/>
          <w:szCs w:val="28"/>
        </w:rPr>
      </w:pPr>
    </w:p>
    <w:p w14:paraId="5F2724BA">
      <w:pPr>
        <w:adjustRightInd w:val="0"/>
        <w:snapToGrid w:val="0"/>
        <w:spacing w:line="500" w:lineRule="exact"/>
        <w:rPr>
          <w:rFonts w:hint="default" w:ascii="Times New Roman" w:hAnsi="Times New Roman" w:cs="Times New Roman"/>
          <w:snapToGrid w:val="0"/>
          <w:color w:val="000000"/>
          <w:kern w:val="0"/>
          <w:sz w:val="28"/>
          <w:szCs w:val="28"/>
        </w:rPr>
      </w:pPr>
    </w:p>
    <w:p w14:paraId="55F75903">
      <w:pPr>
        <w:adjustRightInd w:val="0"/>
        <w:snapToGrid w:val="0"/>
        <w:spacing w:line="500" w:lineRule="exact"/>
        <w:rPr>
          <w:rFonts w:hint="default" w:ascii="Times New Roman" w:hAnsi="Times New Roman" w:cs="Times New Roman"/>
          <w:snapToGrid w:val="0"/>
          <w:color w:val="000000"/>
          <w:kern w:val="0"/>
          <w:sz w:val="28"/>
          <w:szCs w:val="28"/>
        </w:rPr>
      </w:pPr>
    </w:p>
    <w:p w14:paraId="10F0A152">
      <w:pPr>
        <w:adjustRightInd w:val="0"/>
        <w:snapToGrid w:val="0"/>
        <w:spacing w:line="500" w:lineRule="exact"/>
        <w:rPr>
          <w:rFonts w:hint="default" w:ascii="Times New Roman" w:hAnsi="Times New Roman" w:cs="Times New Roman"/>
          <w:snapToGrid w:val="0"/>
          <w:color w:val="000000"/>
          <w:kern w:val="0"/>
          <w:sz w:val="28"/>
          <w:szCs w:val="28"/>
        </w:rPr>
      </w:pPr>
    </w:p>
    <w:p w14:paraId="6B797D7F">
      <w:pPr>
        <w:adjustRightInd w:val="0"/>
        <w:snapToGrid w:val="0"/>
        <w:spacing w:line="500" w:lineRule="exact"/>
        <w:rPr>
          <w:rFonts w:hint="default" w:ascii="Times New Roman" w:hAnsi="Times New Roman" w:cs="Times New Roman"/>
          <w:snapToGrid w:val="0"/>
          <w:color w:val="000000"/>
          <w:kern w:val="0"/>
          <w:sz w:val="28"/>
          <w:szCs w:val="28"/>
        </w:rPr>
      </w:pPr>
    </w:p>
    <w:p w14:paraId="7CFF9053">
      <w:pPr>
        <w:pStyle w:val="79"/>
        <w:rPr>
          <w:rFonts w:hint="default" w:ascii="Times New Roman" w:hAnsi="Times New Roman" w:cs="Times New Roman"/>
          <w:snapToGrid w:val="0"/>
          <w:color w:val="000000"/>
          <w:kern w:val="0"/>
          <w:sz w:val="28"/>
          <w:szCs w:val="28"/>
        </w:rPr>
      </w:pPr>
    </w:p>
    <w:p w14:paraId="0CEF2473">
      <w:pPr>
        <w:pStyle w:val="79"/>
        <w:rPr>
          <w:rFonts w:hint="default" w:ascii="Times New Roman" w:hAnsi="Times New Roman" w:cs="Times New Roman"/>
          <w:snapToGrid w:val="0"/>
          <w:color w:val="000000"/>
          <w:kern w:val="0"/>
          <w:sz w:val="28"/>
          <w:szCs w:val="28"/>
        </w:rPr>
      </w:pPr>
    </w:p>
    <w:p w14:paraId="14BC0E1E">
      <w:pPr>
        <w:adjustRightInd w:val="0"/>
        <w:snapToGrid w:val="0"/>
        <w:spacing w:line="500" w:lineRule="exact"/>
        <w:rPr>
          <w:rFonts w:hint="default" w:ascii="Times New Roman" w:hAnsi="Times New Roman" w:cs="Times New Roman"/>
          <w:snapToGrid w:val="0"/>
          <w:color w:val="000000"/>
          <w:kern w:val="0"/>
          <w:sz w:val="28"/>
          <w:szCs w:val="28"/>
        </w:rPr>
      </w:pPr>
    </w:p>
    <w:p w14:paraId="354D8237">
      <w:pPr>
        <w:pStyle w:val="3"/>
        <w:spacing w:line="500" w:lineRule="exact"/>
        <w:jc w:val="center"/>
        <w:rPr>
          <w:rFonts w:hint="default" w:ascii="Times New Roman" w:hAnsi="Times New Roman" w:eastAsia="黑体" w:cs="Times New Roman"/>
          <w:snapToGrid w:val="0"/>
          <w:color w:val="000000"/>
          <w:kern w:val="0"/>
          <w:sz w:val="44"/>
          <w:szCs w:val="44"/>
        </w:rPr>
      </w:pPr>
      <w:bookmarkStart w:id="709" w:name="_Toc15532"/>
      <w:bookmarkStart w:id="710" w:name="_Toc525652022"/>
      <w:bookmarkStart w:id="711" w:name="_Toc3108"/>
      <w:bookmarkStart w:id="712" w:name="_Toc525651508"/>
      <w:bookmarkStart w:id="713" w:name="_Toc517788249"/>
      <w:r>
        <w:rPr>
          <w:rFonts w:hint="default" w:ascii="Times New Roman" w:hAnsi="Times New Roman" w:eastAsia="黑体" w:cs="Times New Roman"/>
          <w:snapToGrid w:val="0"/>
          <w:color w:val="000000"/>
          <w:kern w:val="0"/>
          <w:sz w:val="44"/>
          <w:szCs w:val="44"/>
        </w:rPr>
        <w:t>第二部分：安全评价报告附件</w:t>
      </w:r>
      <w:bookmarkEnd w:id="709"/>
      <w:bookmarkEnd w:id="710"/>
      <w:bookmarkEnd w:id="711"/>
      <w:bookmarkEnd w:id="712"/>
      <w:bookmarkEnd w:id="713"/>
    </w:p>
    <w:p w14:paraId="41727925">
      <w:pPr>
        <w:rPr>
          <w:rFonts w:hint="default" w:ascii="Times New Roman" w:hAnsi="Times New Roman" w:cs="Times New Roman"/>
          <w:color w:val="000000"/>
          <w:sz w:val="44"/>
          <w:szCs w:val="44"/>
        </w:rPr>
      </w:pPr>
    </w:p>
    <w:p w14:paraId="09B44CBE">
      <w:pPr>
        <w:rPr>
          <w:rFonts w:hint="default" w:ascii="Times New Roman" w:hAnsi="Times New Roman" w:cs="Times New Roman"/>
          <w:color w:val="000000"/>
          <w:sz w:val="32"/>
          <w:szCs w:val="32"/>
        </w:rPr>
        <w:sectPr>
          <w:pgSz w:w="11905" w:h="16838"/>
          <w:pgMar w:top="1417" w:right="1134" w:bottom="1134" w:left="1587" w:header="850" w:footer="680" w:gutter="0"/>
          <w:pgNumType w:fmt="decimal"/>
          <w:cols w:space="0" w:num="1"/>
          <w:rtlGutter w:val="0"/>
          <w:docGrid w:type="lines" w:linePitch="386" w:charSpace="0"/>
        </w:sectPr>
      </w:pPr>
    </w:p>
    <w:p w14:paraId="7947F3D0">
      <w:pPr>
        <w:pStyle w:val="3"/>
        <w:spacing w:line="500" w:lineRule="exact"/>
        <w:jc w:val="center"/>
        <w:rPr>
          <w:rFonts w:hint="eastAsia" w:ascii="黑体" w:hAnsi="黑体" w:eastAsia="黑体" w:cs="黑体"/>
          <w:snapToGrid w:val="0"/>
          <w:color w:val="000000"/>
          <w:kern w:val="0"/>
          <w:sz w:val="44"/>
          <w:szCs w:val="44"/>
        </w:rPr>
      </w:pPr>
      <w:bookmarkStart w:id="714" w:name="_Toc286325132"/>
      <w:bookmarkStart w:id="715" w:name="_Toc204417772"/>
      <w:bookmarkStart w:id="716" w:name="_Toc209956094"/>
      <w:bookmarkStart w:id="717" w:name="_Toc208375337"/>
      <w:bookmarkStart w:id="718" w:name="_Toc27924"/>
      <w:bookmarkStart w:id="719" w:name="_Toc189559196"/>
      <w:bookmarkStart w:id="720" w:name="_Toc235614082"/>
      <w:bookmarkStart w:id="721" w:name="_Toc235074700"/>
      <w:bookmarkStart w:id="722" w:name="_Toc11437"/>
      <w:bookmarkStart w:id="723" w:name="_Toc209955857"/>
      <w:bookmarkStart w:id="724" w:name="_Toc252951843"/>
      <w:bookmarkStart w:id="725" w:name="_Toc210017878"/>
      <w:bookmarkStart w:id="726" w:name="_Toc209956419"/>
      <w:bookmarkStart w:id="727" w:name="_Toc232044458"/>
      <w:bookmarkStart w:id="728" w:name="_Toc231987314"/>
      <w:bookmarkStart w:id="729" w:name="_Toc28864"/>
      <w:bookmarkStart w:id="730" w:name="_Toc232044992"/>
      <w:bookmarkStart w:id="731" w:name="_Toc493677777"/>
      <w:bookmarkStart w:id="732" w:name="_Toc210020929"/>
      <w:bookmarkStart w:id="733" w:name="_Toc231987729"/>
      <w:r>
        <w:rPr>
          <w:rFonts w:hint="eastAsia" w:ascii="黑体" w:hAnsi="黑体" w:eastAsia="黑体" w:cs="黑体"/>
          <w:snapToGrid w:val="0"/>
          <w:color w:val="000000"/>
          <w:kern w:val="0"/>
          <w:sz w:val="44"/>
          <w:szCs w:val="44"/>
        </w:rPr>
        <w:t>附件1  平面布置图、流程图以及安全评价过程制作的图表</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14:paraId="5C332395">
      <w:pPr>
        <w:pStyle w:val="4"/>
        <w:numPr>
          <w:ilvl w:val="1"/>
          <w:numId w:val="0"/>
        </w:numPr>
        <w:spacing w:before="193"/>
        <w:ind w:leftChars="0"/>
        <w:jc w:val="left"/>
        <w:rPr>
          <w:rFonts w:hint="default" w:ascii="黑体" w:hAnsi="黑体" w:eastAsia="黑体" w:cs="黑体"/>
          <w:b/>
          <w:bCs w:val="0"/>
          <w:color w:val="auto"/>
          <w:sz w:val="36"/>
          <w:szCs w:val="36"/>
          <w:lang w:val="en-US" w:eastAsia="zh-CN"/>
        </w:rPr>
      </w:pPr>
      <w:bookmarkStart w:id="734" w:name="_Toc208375338"/>
      <w:bookmarkStart w:id="735" w:name="_Toc235074701"/>
      <w:bookmarkStart w:id="736" w:name="_Toc7970"/>
      <w:bookmarkStart w:id="737" w:name="_Toc209955858"/>
      <w:bookmarkStart w:id="738" w:name="_Toc209956420"/>
      <w:bookmarkStart w:id="739" w:name="_Toc210020930"/>
      <w:bookmarkStart w:id="740" w:name="_Toc231987315"/>
      <w:bookmarkStart w:id="741" w:name="_Toc231987730"/>
      <w:bookmarkStart w:id="742" w:name="_Toc286325133"/>
      <w:bookmarkStart w:id="743" w:name="_Toc209956095"/>
      <w:bookmarkStart w:id="744" w:name="_Toc189559197"/>
      <w:bookmarkStart w:id="745" w:name="_Toc4740"/>
      <w:bookmarkStart w:id="746" w:name="_Toc184447623"/>
      <w:bookmarkStart w:id="747" w:name="_Toc29499"/>
      <w:bookmarkStart w:id="748" w:name="_Toc232044993"/>
      <w:bookmarkStart w:id="749" w:name="_Toc204417773"/>
      <w:bookmarkStart w:id="750" w:name="_Toc252951844"/>
      <w:bookmarkStart w:id="751" w:name="_Toc232044459"/>
      <w:bookmarkStart w:id="752" w:name="_Toc235614083"/>
      <w:bookmarkStart w:id="753" w:name="_Toc493677778"/>
      <w:bookmarkStart w:id="754" w:name="_Toc210017879"/>
      <w:r>
        <w:rPr>
          <w:rFonts w:hint="eastAsia" w:ascii="黑体" w:hAnsi="黑体" w:eastAsia="黑体" w:cs="黑体"/>
          <w:b/>
          <w:bCs w:val="0"/>
          <w:color w:val="auto"/>
          <w:sz w:val="36"/>
          <w:szCs w:val="36"/>
          <w:lang w:val="en-US" w:eastAsia="zh-CN"/>
        </w:rPr>
        <w:t xml:space="preserve">1.1 </w:t>
      </w:r>
      <w:r>
        <w:rPr>
          <w:rFonts w:hint="default" w:ascii="黑体" w:hAnsi="黑体" w:eastAsia="黑体" w:cs="黑体"/>
          <w:b/>
          <w:bCs w:val="0"/>
          <w:color w:val="auto"/>
          <w:sz w:val="36"/>
          <w:szCs w:val="36"/>
          <w:lang w:val="en-US" w:eastAsia="zh-CN"/>
        </w:rPr>
        <w:t>平面布置图</w:t>
      </w:r>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p w14:paraId="60142CF0">
      <w:pPr>
        <w:ind w:firstLine="560" w:firstLineChars="200"/>
        <w:rPr>
          <w:color w:val="000000"/>
        </w:rPr>
      </w:pPr>
      <w:r>
        <w:rPr>
          <w:color w:val="000000"/>
          <w:sz w:val="28"/>
          <w:szCs w:val="28"/>
          <w:lang w:bidi="ar"/>
        </w:rPr>
        <w:t>该项目</w:t>
      </w:r>
      <w:r>
        <w:rPr>
          <w:rFonts w:hint="eastAsia"/>
          <w:color w:val="000000"/>
          <w:sz w:val="28"/>
          <w:szCs w:val="28"/>
          <w:lang w:bidi="ar"/>
        </w:rPr>
        <w:t>竣工图总平面布置图详见“附件资料”</w:t>
      </w:r>
      <w:r>
        <w:rPr>
          <w:color w:val="000000"/>
          <w:sz w:val="28"/>
          <w:szCs w:val="28"/>
          <w:lang w:bidi="ar"/>
        </w:rPr>
        <w:t>。</w:t>
      </w:r>
    </w:p>
    <w:p w14:paraId="5A83C340">
      <w:pPr>
        <w:pStyle w:val="4"/>
        <w:numPr>
          <w:ilvl w:val="1"/>
          <w:numId w:val="0"/>
        </w:numPr>
        <w:spacing w:before="193"/>
        <w:ind w:leftChars="0"/>
        <w:jc w:val="left"/>
        <w:rPr>
          <w:rFonts w:hint="default" w:ascii="黑体" w:hAnsi="黑体" w:eastAsia="黑体" w:cs="黑体"/>
          <w:b/>
          <w:bCs w:val="0"/>
          <w:color w:val="auto"/>
          <w:sz w:val="36"/>
          <w:szCs w:val="36"/>
          <w:lang w:val="en-US" w:eastAsia="zh-CN"/>
        </w:rPr>
      </w:pPr>
      <w:bookmarkStart w:id="755" w:name="_Toc413"/>
      <w:bookmarkStart w:id="756" w:name="_Toc3451"/>
      <w:r>
        <w:rPr>
          <w:rFonts w:hint="eastAsia" w:ascii="黑体" w:hAnsi="黑体" w:eastAsia="黑体" w:cs="黑体"/>
          <w:b/>
          <w:bCs w:val="0"/>
          <w:color w:val="auto"/>
          <w:sz w:val="36"/>
          <w:szCs w:val="36"/>
          <w:lang w:val="en-US" w:eastAsia="zh-CN"/>
        </w:rPr>
        <w:t xml:space="preserve">1.2 </w:t>
      </w:r>
      <w:r>
        <w:rPr>
          <w:rFonts w:hint="default" w:ascii="黑体" w:hAnsi="黑体" w:eastAsia="黑体" w:cs="黑体"/>
          <w:b/>
          <w:bCs w:val="0"/>
          <w:color w:val="auto"/>
          <w:sz w:val="36"/>
          <w:szCs w:val="36"/>
          <w:lang w:val="en-US" w:eastAsia="zh-CN"/>
        </w:rPr>
        <w:t>安全评价过程制作的图表</w:t>
      </w:r>
      <w:bookmarkEnd w:id="755"/>
      <w:bookmarkEnd w:id="756"/>
    </w:p>
    <w:p w14:paraId="2135173A">
      <w:pPr>
        <w:pStyle w:val="5"/>
        <w:numPr>
          <w:ilvl w:val="2"/>
          <w:numId w:val="0"/>
        </w:numPr>
        <w:spacing w:line="500" w:lineRule="exact"/>
        <w:ind w:leftChars="100"/>
        <w:rPr>
          <w:rFonts w:hint="default" w:ascii="Times New Roman" w:hAnsi="Times New Roman" w:eastAsia="黑体" w:cs="Times New Roman"/>
          <w:snapToGrid w:val="0"/>
          <w:color w:val="000000"/>
          <w:kern w:val="0"/>
          <w:sz w:val="32"/>
        </w:rPr>
      </w:pPr>
      <w:bookmarkStart w:id="757" w:name="_Toc11690"/>
      <w:bookmarkStart w:id="758" w:name="_Toc11585"/>
      <w:r>
        <w:rPr>
          <w:rFonts w:hint="default" w:ascii="Times New Roman" w:hAnsi="Times New Roman" w:eastAsia="黑体" w:cs="Times New Roman"/>
          <w:snapToGrid w:val="0"/>
          <w:color w:val="000000"/>
          <w:kern w:val="0"/>
          <w:sz w:val="32"/>
        </w:rPr>
        <w:t>1.2.1</w:t>
      </w:r>
      <w:r>
        <w:rPr>
          <w:rFonts w:hint="default" w:ascii="Times New Roman" w:hAnsi="Times New Roman" w:eastAsia="黑体" w:cs="Times New Roman"/>
          <w:snapToGrid w:val="0"/>
          <w:color w:val="000000"/>
          <w:kern w:val="0"/>
          <w:sz w:val="32"/>
          <w:lang w:eastAsia="zh-CN"/>
        </w:rPr>
        <w:t>本</w:t>
      </w:r>
      <w:r>
        <w:rPr>
          <w:rFonts w:hint="default" w:ascii="Times New Roman" w:hAnsi="Times New Roman" w:eastAsia="黑体" w:cs="Times New Roman"/>
          <w:snapToGrid w:val="0"/>
          <w:color w:val="000000"/>
          <w:kern w:val="0"/>
          <w:sz w:val="32"/>
        </w:rPr>
        <w:t>场地及周边环境现状照片</w:t>
      </w:r>
      <w:bookmarkEnd w:id="757"/>
      <w:bookmarkEnd w:id="758"/>
    </w:p>
    <w:p w14:paraId="4DC7DA4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bCs/>
          <w:color w:val="000000"/>
          <w:kern w:val="0"/>
          <w:sz w:val="24"/>
        </w:rPr>
      </w:pPr>
      <w:r>
        <w:rPr>
          <w:rFonts w:hint="eastAsia" w:eastAsia="宋体"/>
          <w:lang w:eastAsia="zh-CN"/>
        </w:rPr>
        <w:drawing>
          <wp:anchor distT="0" distB="0" distL="114300" distR="114300" simplePos="0" relativeHeight="251661312" behindDoc="0" locked="0" layoutInCell="1" allowOverlap="1">
            <wp:simplePos x="0" y="0"/>
            <wp:positionH relativeFrom="column">
              <wp:posOffset>101600</wp:posOffset>
            </wp:positionH>
            <wp:positionV relativeFrom="paragraph">
              <wp:posOffset>58420</wp:posOffset>
            </wp:positionV>
            <wp:extent cx="5826125" cy="4369435"/>
            <wp:effectExtent l="0" t="0" r="10795" b="4445"/>
            <wp:wrapTopAndBottom/>
            <wp:docPr id="5" name="图片 5" descr="IMG_20250613_16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50613_161444"/>
                    <pic:cNvPicPr>
                      <a:picLocks noChangeAspect="1"/>
                    </pic:cNvPicPr>
                  </pic:nvPicPr>
                  <pic:blipFill>
                    <a:blip r:embed="rId20"/>
                    <a:stretch>
                      <a:fillRect/>
                    </a:stretch>
                  </pic:blipFill>
                  <pic:spPr>
                    <a:xfrm>
                      <a:off x="0" y="0"/>
                      <a:ext cx="5826125" cy="4369435"/>
                    </a:xfrm>
                    <a:prstGeom prst="rect">
                      <a:avLst/>
                    </a:prstGeom>
                  </pic:spPr>
                </pic:pic>
              </a:graphicData>
            </a:graphic>
          </wp:anchor>
        </w:drawing>
      </w:r>
      <w:r>
        <w:rPr>
          <w:rFonts w:hint="default" w:ascii="Times New Roman" w:hAnsi="Times New Roman" w:eastAsia="宋体" w:cs="Times New Roman"/>
          <w:b/>
          <w:bCs/>
          <w:color w:val="000000"/>
          <w:kern w:val="0"/>
          <w:sz w:val="24"/>
        </w:rPr>
        <w:t xml:space="preserve">照片1 </w:t>
      </w:r>
      <w:r>
        <w:rPr>
          <w:rFonts w:hint="default" w:ascii="Times New Roman" w:hAnsi="Times New Roman" w:eastAsia="宋体" w:cs="Times New Roman"/>
          <w:b/>
          <w:bCs/>
          <w:color w:val="000000"/>
          <w:kern w:val="0"/>
          <w:sz w:val="24"/>
          <w:lang w:val="en-US" w:eastAsia="zh-CN"/>
        </w:rPr>
        <w:t xml:space="preserve"> </w:t>
      </w:r>
      <w:r>
        <w:rPr>
          <w:rFonts w:hint="default" w:ascii="Times New Roman" w:hAnsi="Times New Roman" w:eastAsia="宋体" w:cs="Times New Roman"/>
          <w:b/>
          <w:bCs/>
          <w:color w:val="000000"/>
          <w:kern w:val="0"/>
          <w:sz w:val="24"/>
        </w:rPr>
        <w:t>评价师现场照片</w:t>
      </w:r>
    </w:p>
    <w:p w14:paraId="02DE1A5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bCs/>
          <w:color w:val="000000"/>
          <w:kern w:val="0"/>
          <w:sz w:val="24"/>
          <w:lang w:eastAsia="zh-CN"/>
        </w:rPr>
        <w:sectPr>
          <w:pgSz w:w="11905" w:h="16838"/>
          <w:pgMar w:top="1417" w:right="1134" w:bottom="1134" w:left="1587" w:header="850" w:footer="680" w:gutter="0"/>
          <w:pgNumType w:fmt="decimal"/>
          <w:cols w:space="0" w:num="1"/>
          <w:rtlGutter w:val="0"/>
          <w:docGrid w:type="lines" w:linePitch="386" w:charSpace="0"/>
        </w:sectPr>
      </w:pPr>
      <w:r>
        <w:rPr>
          <w:rFonts w:hint="default" w:ascii="Times New Roman" w:hAnsi="Times New Roman" w:eastAsia="宋体" w:cs="Times New Roman"/>
          <w:b/>
          <w:bCs/>
          <w:color w:val="000000"/>
          <w:kern w:val="0"/>
          <w:sz w:val="24"/>
          <w:lang w:eastAsia="zh-CN"/>
        </w:rPr>
        <w:t>（</w:t>
      </w:r>
      <w:r>
        <w:rPr>
          <w:rFonts w:hint="default" w:ascii="Times New Roman" w:hAnsi="Times New Roman" w:eastAsia="宋体" w:cs="Times New Roman"/>
          <w:b/>
          <w:bCs/>
          <w:color w:val="000000"/>
          <w:kern w:val="0"/>
          <w:sz w:val="24"/>
          <w:lang w:val="en-US" w:eastAsia="zh-CN"/>
        </w:rPr>
        <w:t>中间为企业方代表、左一为评价师袁志琴</w:t>
      </w:r>
      <w:r>
        <w:rPr>
          <w:rFonts w:hint="default" w:ascii="Times New Roman" w:hAnsi="Times New Roman" w:eastAsia="宋体" w:cs="Times New Roman"/>
          <w:b/>
          <w:bCs/>
          <w:color w:val="000000"/>
          <w:kern w:val="0"/>
          <w:sz w:val="24"/>
          <w:lang w:eastAsia="zh-CN"/>
        </w:rPr>
        <w:t>）</w:t>
      </w:r>
    </w:p>
    <w:p w14:paraId="1D5719ED">
      <w:pPr>
        <w:pStyle w:val="79"/>
        <w:jc w:val="center"/>
        <w:rPr>
          <w:rFonts w:hint="eastAsia" w:ascii="Times New Roman" w:hAnsi="Times New Roman" w:eastAsia="宋体" w:cs="Times New Roman"/>
          <w:b/>
          <w:bCs/>
          <w:color w:val="000000"/>
          <w:kern w:val="0"/>
          <w:sz w:val="24"/>
          <w:lang w:eastAsia="zh-CN"/>
        </w:rPr>
      </w:pPr>
      <w:r>
        <w:rPr>
          <w:rFonts w:hint="default" w:ascii="Times New Roman" w:hAnsi="Times New Roman" w:eastAsia="宋体" w:cs="Times New Roman"/>
          <w:b/>
          <w:bCs/>
          <w:color w:val="000000"/>
          <w:kern w:val="0"/>
          <w:sz w:val="24"/>
        </w:rPr>
        <w:drawing>
          <wp:inline distT="0" distB="0" distL="114300" distR="114300">
            <wp:extent cx="5579745" cy="3780155"/>
            <wp:effectExtent l="0" t="0" r="13335" b="14605"/>
            <wp:docPr id="30" name="图片 30" descr="IMG_20250613_161056"/>
            <wp:cNvGraphicFramePr/>
            <a:graphic xmlns:a="http://schemas.openxmlformats.org/drawingml/2006/main">
              <a:graphicData uri="http://schemas.openxmlformats.org/drawingml/2006/picture">
                <pic:pic xmlns:pic="http://schemas.openxmlformats.org/drawingml/2006/picture">
                  <pic:nvPicPr>
                    <pic:cNvPr id="30" name="图片 30" descr="IMG_20250613_161056"/>
                    <pic:cNvPicPr/>
                  </pic:nvPicPr>
                  <pic:blipFill>
                    <a:blip r:embed="rId21"/>
                    <a:stretch>
                      <a:fillRect/>
                    </a:stretch>
                  </pic:blipFill>
                  <pic:spPr>
                    <a:xfrm>
                      <a:off x="0" y="0"/>
                      <a:ext cx="5579745" cy="3780155"/>
                    </a:xfrm>
                    <a:prstGeom prst="rect">
                      <a:avLst/>
                    </a:prstGeom>
                  </pic:spPr>
                </pic:pic>
              </a:graphicData>
            </a:graphic>
          </wp:inline>
        </w:drawing>
      </w:r>
      <w:r>
        <w:rPr>
          <w:rFonts w:hint="default" w:ascii="Times New Roman" w:hAnsi="Times New Roman" w:eastAsia="宋体" w:cs="Times New Roman"/>
          <w:b/>
          <w:bCs/>
          <w:color w:val="000000"/>
          <w:kern w:val="0"/>
          <w:sz w:val="24"/>
        </w:rPr>
        <w:t>照片</w:t>
      </w:r>
      <w:r>
        <w:rPr>
          <w:rFonts w:hint="eastAsia" w:ascii="Times New Roman" w:hAnsi="Times New Roman" w:eastAsia="宋体" w:cs="Times New Roman"/>
          <w:b/>
          <w:bCs/>
          <w:color w:val="000000"/>
          <w:kern w:val="0"/>
          <w:sz w:val="24"/>
          <w:lang w:val="en-US" w:eastAsia="zh-CN"/>
        </w:rPr>
        <w:t>2</w:t>
      </w:r>
      <w:r>
        <w:rPr>
          <w:rFonts w:hint="default" w:ascii="Times New Roman" w:hAnsi="Times New Roman" w:eastAsia="宋体" w:cs="Times New Roman"/>
          <w:b/>
          <w:bCs/>
          <w:color w:val="000000"/>
          <w:kern w:val="0"/>
          <w:sz w:val="24"/>
        </w:rPr>
        <w:t xml:space="preserve"> </w:t>
      </w:r>
      <w:r>
        <w:rPr>
          <w:rFonts w:hint="default" w:ascii="Times New Roman" w:hAnsi="Times New Roman" w:eastAsia="宋体" w:cs="Times New Roman"/>
          <w:b/>
          <w:bCs/>
          <w:color w:val="000000"/>
          <w:kern w:val="0"/>
          <w:sz w:val="24"/>
          <w:lang w:val="en-US" w:eastAsia="zh-CN"/>
        </w:rPr>
        <w:t xml:space="preserve"> </w:t>
      </w:r>
      <w:r>
        <w:rPr>
          <w:rFonts w:hint="eastAsia" w:ascii="Times New Roman" w:hAnsi="Times New Roman" w:eastAsia="宋体" w:cs="Times New Roman"/>
          <w:b/>
          <w:bCs/>
          <w:color w:val="000000"/>
          <w:kern w:val="0"/>
          <w:sz w:val="24"/>
          <w:lang w:val="en-US" w:eastAsia="zh-CN"/>
        </w:rPr>
        <w:t>项目场地</w:t>
      </w:r>
      <w:r>
        <w:rPr>
          <w:rFonts w:hint="default" w:ascii="Times New Roman" w:hAnsi="Times New Roman" w:eastAsia="宋体" w:cs="Times New Roman"/>
          <w:b/>
          <w:bCs/>
          <w:color w:val="000000"/>
          <w:kern w:val="0"/>
          <w:sz w:val="24"/>
        </w:rPr>
        <w:t>现场照片</w:t>
      </w:r>
      <w:r>
        <w:rPr>
          <w:rFonts w:hint="eastAsia" w:ascii="Times New Roman" w:hAnsi="Times New Roman" w:eastAsia="宋体" w:cs="Times New Roman"/>
          <w:b/>
          <w:bCs/>
          <w:color w:val="000000"/>
          <w:kern w:val="0"/>
          <w:sz w:val="24"/>
          <w:lang w:eastAsia="zh-CN"/>
        </w:rPr>
        <w:t>（</w:t>
      </w:r>
      <w:r>
        <w:rPr>
          <w:rFonts w:hint="eastAsia" w:ascii="Times New Roman" w:hAnsi="Times New Roman" w:eastAsia="宋体" w:cs="Times New Roman"/>
          <w:b/>
          <w:bCs/>
          <w:color w:val="000000"/>
          <w:kern w:val="0"/>
          <w:sz w:val="24"/>
          <w:lang w:val="en-US" w:eastAsia="zh-CN"/>
        </w:rPr>
        <w:t>E段）</w:t>
      </w:r>
      <w:r>
        <w:rPr>
          <w:rFonts w:hint="eastAsia" w:ascii="Times New Roman" w:hAnsi="Times New Roman" w:eastAsia="宋体" w:cs="Times New Roman"/>
          <w:b/>
          <w:bCs/>
          <w:color w:val="000000"/>
          <w:kern w:val="0"/>
          <w:sz w:val="24"/>
          <w:lang w:eastAsia="zh-CN"/>
        </w:rPr>
        <w:drawing>
          <wp:inline distT="0" distB="0" distL="114300" distR="114300">
            <wp:extent cx="5579745" cy="3780155"/>
            <wp:effectExtent l="0" t="0" r="13335" b="14605"/>
            <wp:docPr id="31" name="图片 31" descr="IMG_20250613_162401"/>
            <wp:cNvGraphicFramePr/>
            <a:graphic xmlns:a="http://schemas.openxmlformats.org/drawingml/2006/main">
              <a:graphicData uri="http://schemas.openxmlformats.org/drawingml/2006/picture">
                <pic:pic xmlns:pic="http://schemas.openxmlformats.org/drawingml/2006/picture">
                  <pic:nvPicPr>
                    <pic:cNvPr id="31" name="图片 31" descr="IMG_20250613_162401"/>
                    <pic:cNvPicPr/>
                  </pic:nvPicPr>
                  <pic:blipFill>
                    <a:blip r:embed="rId22"/>
                    <a:stretch>
                      <a:fillRect/>
                    </a:stretch>
                  </pic:blipFill>
                  <pic:spPr>
                    <a:xfrm>
                      <a:off x="0" y="0"/>
                      <a:ext cx="5579745" cy="3780155"/>
                    </a:xfrm>
                    <a:prstGeom prst="rect">
                      <a:avLst/>
                    </a:prstGeom>
                  </pic:spPr>
                </pic:pic>
              </a:graphicData>
            </a:graphic>
          </wp:inline>
        </w:drawing>
      </w:r>
    </w:p>
    <w:p w14:paraId="18BC9D42">
      <w:pPr>
        <w:pStyle w:val="79"/>
        <w:jc w:val="center"/>
        <w:rPr>
          <w:rFonts w:hint="eastAsia" w:ascii="Times New Roman" w:hAnsi="Times New Roman" w:eastAsia="宋体" w:cs="Times New Roman"/>
          <w:b/>
          <w:bCs/>
          <w:color w:val="000000"/>
          <w:kern w:val="0"/>
          <w:sz w:val="24"/>
          <w:lang w:eastAsia="zh-CN"/>
        </w:rPr>
      </w:pPr>
      <w:r>
        <w:rPr>
          <w:rFonts w:hint="default" w:ascii="Times New Roman" w:hAnsi="Times New Roman" w:eastAsia="宋体" w:cs="Times New Roman"/>
          <w:b/>
          <w:bCs/>
          <w:color w:val="000000"/>
          <w:kern w:val="0"/>
          <w:sz w:val="24"/>
        </w:rPr>
        <w:t>照片</w:t>
      </w:r>
      <w:r>
        <w:rPr>
          <w:rFonts w:hint="eastAsia" w:ascii="Times New Roman" w:hAnsi="Times New Roman" w:eastAsia="宋体" w:cs="Times New Roman"/>
          <w:b/>
          <w:bCs/>
          <w:color w:val="000000"/>
          <w:kern w:val="0"/>
          <w:sz w:val="24"/>
          <w:lang w:val="en-US" w:eastAsia="zh-CN"/>
        </w:rPr>
        <w:t>3</w:t>
      </w:r>
      <w:r>
        <w:rPr>
          <w:rFonts w:hint="default" w:ascii="Times New Roman" w:hAnsi="Times New Roman" w:eastAsia="宋体" w:cs="Times New Roman"/>
          <w:b/>
          <w:bCs/>
          <w:color w:val="000000"/>
          <w:kern w:val="0"/>
          <w:sz w:val="24"/>
        </w:rPr>
        <w:t xml:space="preserve"> </w:t>
      </w:r>
      <w:r>
        <w:rPr>
          <w:rFonts w:hint="default" w:ascii="Times New Roman" w:hAnsi="Times New Roman" w:eastAsia="宋体" w:cs="Times New Roman"/>
          <w:b/>
          <w:bCs/>
          <w:color w:val="000000"/>
          <w:kern w:val="0"/>
          <w:sz w:val="24"/>
          <w:lang w:val="en-US" w:eastAsia="zh-CN"/>
        </w:rPr>
        <w:t xml:space="preserve"> </w:t>
      </w:r>
      <w:r>
        <w:rPr>
          <w:rFonts w:hint="eastAsia" w:ascii="Times New Roman" w:hAnsi="Times New Roman" w:eastAsia="宋体" w:cs="Times New Roman"/>
          <w:b/>
          <w:bCs/>
          <w:color w:val="000000"/>
          <w:kern w:val="0"/>
          <w:sz w:val="24"/>
          <w:lang w:val="en-US" w:eastAsia="zh-CN"/>
        </w:rPr>
        <w:t>项目场地</w:t>
      </w:r>
      <w:r>
        <w:rPr>
          <w:rFonts w:hint="default" w:ascii="Times New Roman" w:hAnsi="Times New Roman" w:eastAsia="宋体" w:cs="Times New Roman"/>
          <w:b/>
          <w:bCs/>
          <w:color w:val="000000"/>
          <w:kern w:val="0"/>
          <w:sz w:val="24"/>
        </w:rPr>
        <w:t>现场照片</w:t>
      </w:r>
      <w:r>
        <w:rPr>
          <w:rFonts w:hint="eastAsia" w:ascii="Times New Roman" w:hAnsi="Times New Roman" w:eastAsia="宋体" w:cs="Times New Roman"/>
          <w:b/>
          <w:bCs/>
          <w:color w:val="000000"/>
          <w:kern w:val="0"/>
          <w:sz w:val="24"/>
          <w:lang w:eastAsia="zh-CN"/>
        </w:rPr>
        <w:t>（</w:t>
      </w:r>
      <w:r>
        <w:rPr>
          <w:rFonts w:hint="eastAsia" w:ascii="Times New Roman" w:hAnsi="Times New Roman" w:eastAsia="宋体" w:cs="Times New Roman"/>
          <w:b/>
          <w:bCs/>
          <w:color w:val="000000"/>
          <w:kern w:val="0"/>
          <w:sz w:val="24"/>
          <w:lang w:val="en-US" w:eastAsia="zh-CN"/>
        </w:rPr>
        <w:t>D-C段）</w:t>
      </w:r>
    </w:p>
    <w:p w14:paraId="69238803">
      <w:pPr>
        <w:pStyle w:val="79"/>
        <w:rPr>
          <w:rFonts w:hint="eastAsia" w:eastAsia="宋体"/>
          <w:lang w:eastAsia="zh-CN"/>
        </w:rPr>
        <w:sectPr>
          <w:pgSz w:w="11905" w:h="16838"/>
          <w:pgMar w:top="1417" w:right="1134" w:bottom="1134" w:left="1587" w:header="850" w:footer="680" w:gutter="0"/>
          <w:pgNumType w:fmt="decimal"/>
          <w:cols w:space="0" w:num="1"/>
          <w:rtlGutter w:val="0"/>
          <w:docGrid w:type="lines" w:linePitch="386" w:charSpace="0"/>
        </w:sectPr>
      </w:pP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31"/>
        <w:gridCol w:w="4669"/>
      </w:tblGrid>
      <w:tr w14:paraId="435D6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31" w:type="dxa"/>
            <w:noWrap w:val="0"/>
            <w:vAlign w:val="top"/>
          </w:tcPr>
          <w:p w14:paraId="133EE7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照片</w:t>
            </w:r>
            <w:r>
              <w:rPr>
                <w:rFonts w:hint="eastAsia" w:ascii="Times New Roman" w:hAnsi="Times New Roman" w:eastAsia="宋体" w:cs="Times New Roman"/>
                <w:b/>
                <w:bCs/>
                <w:color w:val="auto"/>
                <w:sz w:val="24"/>
                <w:lang w:val="en-US" w:eastAsia="zh-CN"/>
              </w:rPr>
              <w:t>4</w:t>
            </w:r>
            <w:r>
              <w:rPr>
                <w:rFonts w:hint="default" w:ascii="Times New Roman" w:hAnsi="Times New Roman" w:eastAsia="宋体" w:cs="Times New Roman"/>
                <w:b/>
                <w:bCs/>
                <w:color w:val="auto"/>
                <w:sz w:val="24"/>
                <w:lang w:val="en-US" w:eastAsia="zh-CN"/>
              </w:rPr>
              <w:t xml:space="preserve">  </w:t>
            </w:r>
            <w:r>
              <w:rPr>
                <w:rFonts w:hint="eastAsia" w:ascii="Times New Roman" w:hAnsi="Times New Roman" w:eastAsia="宋体" w:cs="Times New Roman"/>
                <w:b/>
                <w:bCs/>
                <w:color w:val="auto"/>
                <w:sz w:val="24"/>
                <w:lang w:val="en-US" w:eastAsia="zh-CN"/>
              </w:rPr>
              <w:t>管廊起点（磷酸装置区）</w:t>
            </w:r>
            <w:r>
              <w:rPr>
                <w:rFonts w:hint="eastAsia" w:ascii="Times New Roman" w:hAnsi="Times New Roman" w:eastAsia="宋体" w:cs="Times New Roman"/>
                <w:b/>
                <w:bCs/>
                <w:color w:val="auto"/>
                <w:sz w:val="24"/>
                <w:lang w:val="en-US" w:eastAsia="zh-CN"/>
              </w:rPr>
              <w:drawing>
                <wp:inline distT="0" distB="0" distL="114300" distR="114300">
                  <wp:extent cx="3065780" cy="2278380"/>
                  <wp:effectExtent l="0" t="0" r="12700" b="7620"/>
                  <wp:docPr id="21" name="图片 21" descr="b95a9e72c1efb775d3bbc2013e91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b95a9e72c1efb775d3bbc2013e91e46"/>
                          <pic:cNvPicPr>
                            <a:picLocks noChangeAspect="1"/>
                          </pic:cNvPicPr>
                        </pic:nvPicPr>
                        <pic:blipFill>
                          <a:blip r:embed="rId23"/>
                          <a:stretch>
                            <a:fillRect/>
                          </a:stretch>
                        </pic:blipFill>
                        <pic:spPr>
                          <a:xfrm>
                            <a:off x="0" y="0"/>
                            <a:ext cx="3065780" cy="2278380"/>
                          </a:xfrm>
                          <a:prstGeom prst="rect">
                            <a:avLst/>
                          </a:prstGeom>
                        </pic:spPr>
                      </pic:pic>
                    </a:graphicData>
                  </a:graphic>
                </wp:inline>
              </w:drawing>
            </w:r>
          </w:p>
        </w:tc>
        <w:tc>
          <w:tcPr>
            <w:tcW w:w="4669" w:type="dxa"/>
            <w:noWrap w:val="0"/>
            <w:vAlign w:val="top"/>
          </w:tcPr>
          <w:p w14:paraId="7A728A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照片</w:t>
            </w:r>
            <w:r>
              <w:rPr>
                <w:rFonts w:hint="eastAsia" w:ascii="Times New Roman" w:hAnsi="Times New Roman" w:eastAsia="宋体" w:cs="Times New Roman"/>
                <w:b/>
                <w:bCs/>
                <w:color w:val="auto"/>
                <w:sz w:val="24"/>
                <w:lang w:val="en-US" w:eastAsia="zh-CN"/>
              </w:rPr>
              <w:t>5</w:t>
            </w:r>
            <w:r>
              <w:rPr>
                <w:rFonts w:hint="default" w:ascii="Times New Roman" w:hAnsi="Times New Roman" w:eastAsia="宋体" w:cs="Times New Roman"/>
                <w:b/>
                <w:bCs/>
                <w:color w:val="auto"/>
                <w:sz w:val="24"/>
                <w:lang w:val="en-US" w:eastAsia="zh-CN"/>
              </w:rPr>
              <w:t xml:space="preserve">  </w:t>
            </w:r>
            <w:r>
              <w:rPr>
                <w:rFonts w:hint="eastAsia" w:ascii="Times New Roman" w:hAnsi="Times New Roman" w:eastAsia="宋体" w:cs="Times New Roman"/>
                <w:b/>
                <w:bCs/>
                <w:color w:val="auto"/>
                <w:sz w:val="24"/>
                <w:lang w:val="en-US" w:eastAsia="zh-CN"/>
              </w:rPr>
              <w:t xml:space="preserve">管廊终点（AHF厂区） </w:t>
            </w:r>
            <w:r>
              <w:rPr>
                <w:rFonts w:hint="eastAsia" w:hAnsi="宋体" w:eastAsia="宋体"/>
                <w:color w:val="auto"/>
                <w:szCs w:val="28"/>
                <w:lang w:eastAsia="zh-CN"/>
              </w:rPr>
              <w:drawing>
                <wp:inline distT="0" distB="0" distL="114300" distR="114300">
                  <wp:extent cx="3050540" cy="2264410"/>
                  <wp:effectExtent l="0" t="0" r="12700" b="6350"/>
                  <wp:docPr id="34" name="图片 34" descr="c23b917ade23ecaeeea50689b462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23b917ade23ecaeeea50689b46231f"/>
                          <pic:cNvPicPr>
                            <a:picLocks noChangeAspect="1"/>
                          </pic:cNvPicPr>
                        </pic:nvPicPr>
                        <pic:blipFill>
                          <a:blip r:embed="rId24"/>
                          <a:stretch>
                            <a:fillRect/>
                          </a:stretch>
                        </pic:blipFill>
                        <pic:spPr>
                          <a:xfrm>
                            <a:off x="0" y="0"/>
                            <a:ext cx="3050540" cy="2264410"/>
                          </a:xfrm>
                          <a:prstGeom prst="rect">
                            <a:avLst/>
                          </a:prstGeom>
                        </pic:spPr>
                      </pic:pic>
                    </a:graphicData>
                  </a:graphic>
                </wp:inline>
              </w:drawing>
            </w:r>
          </w:p>
        </w:tc>
      </w:tr>
      <w:tr w14:paraId="5BF8E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31" w:type="dxa"/>
            <w:shd w:val="clear" w:color="auto" w:fill="auto"/>
            <w:noWrap w:val="0"/>
            <w:vAlign w:val="top"/>
          </w:tcPr>
          <w:p w14:paraId="371E9B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rPr>
              <w:t>照片</w:t>
            </w:r>
            <w:r>
              <w:rPr>
                <w:rFonts w:hint="eastAsia" w:ascii="Times New Roman" w:hAnsi="Times New Roman" w:eastAsia="宋体" w:cs="Times New Roman"/>
                <w:b/>
                <w:bCs/>
                <w:color w:val="auto"/>
                <w:sz w:val="24"/>
                <w:lang w:val="en-US" w:eastAsia="zh-CN"/>
              </w:rPr>
              <w:t>6</w:t>
            </w:r>
            <w:r>
              <w:rPr>
                <w:rFonts w:hint="default" w:ascii="Times New Roman" w:hAnsi="Times New Roman" w:eastAsia="宋体" w:cs="Times New Roman"/>
                <w:b/>
                <w:bCs/>
                <w:color w:val="auto"/>
                <w:sz w:val="24"/>
              </w:rPr>
              <w:t xml:space="preserve"> </w:t>
            </w:r>
            <w:r>
              <w:rPr>
                <w:rFonts w:hint="default" w:ascii="Times New Roman" w:hAnsi="Times New Roman" w:eastAsia="宋体" w:cs="Times New Roman"/>
                <w:b/>
                <w:bCs/>
                <w:color w:val="auto"/>
                <w:sz w:val="24"/>
                <w:lang w:val="en-US" w:eastAsia="zh-CN"/>
              </w:rPr>
              <w:t xml:space="preserve"> </w:t>
            </w:r>
            <w:r>
              <w:rPr>
                <w:rFonts w:hint="eastAsia" w:ascii="Times New Roman" w:hAnsi="Times New Roman" w:eastAsia="宋体" w:cs="Times New Roman"/>
                <w:b/>
                <w:bCs/>
                <w:color w:val="auto"/>
                <w:sz w:val="24"/>
              </w:rPr>
              <w:t>管架（E</w:t>
            </w:r>
            <w:r>
              <w:rPr>
                <w:rFonts w:hint="eastAsia" w:ascii="Times New Roman" w:hAnsi="Times New Roman" w:eastAsia="宋体" w:cs="Times New Roman"/>
                <w:b/>
                <w:bCs/>
                <w:color w:val="auto"/>
                <w:sz w:val="24"/>
                <w:lang w:val="en-US" w:eastAsia="zh-CN"/>
              </w:rPr>
              <w:t>92</w:t>
            </w:r>
            <w:r>
              <w:rPr>
                <w:rFonts w:hint="eastAsia" w:ascii="Times New Roman" w:hAnsi="Times New Roman" w:eastAsia="宋体" w:cs="Times New Roman"/>
                <w:b/>
                <w:bCs/>
                <w:color w:val="auto"/>
                <w:sz w:val="24"/>
              </w:rPr>
              <w:t>-E</w:t>
            </w:r>
            <w:r>
              <w:rPr>
                <w:rFonts w:hint="eastAsia" w:ascii="Times New Roman" w:hAnsi="Times New Roman" w:eastAsia="宋体" w:cs="Times New Roman"/>
                <w:b/>
                <w:bCs/>
                <w:color w:val="auto"/>
                <w:sz w:val="24"/>
                <w:lang w:val="en-US" w:eastAsia="zh-CN"/>
              </w:rPr>
              <w:t>94</w:t>
            </w:r>
            <w:r>
              <w:rPr>
                <w:rFonts w:hint="eastAsia" w:ascii="Times New Roman" w:hAnsi="Times New Roman" w:eastAsia="宋体" w:cs="Times New Roman"/>
                <w:b/>
                <w:bCs/>
                <w:color w:val="auto"/>
                <w:sz w:val="24"/>
              </w:rPr>
              <w:t>）</w:t>
            </w:r>
            <w:r>
              <w:rPr>
                <w:rFonts w:hint="eastAsia" w:ascii="Times New Roman" w:hAnsi="Times New Roman" w:eastAsia="宋体" w:cs="Times New Roman"/>
                <w:b/>
                <w:bCs/>
                <w:color w:val="auto"/>
                <w:sz w:val="24"/>
                <w:lang w:val="en-US" w:eastAsia="zh-CN"/>
              </w:rPr>
              <w:t>段入口</w:t>
            </w:r>
          </w:p>
          <w:p w14:paraId="1BBFFFDA">
            <w:pPr>
              <w:pStyle w:val="79"/>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lang w:val="en-US" w:eastAsia="zh-CN"/>
              </w:rPr>
            </w:pPr>
          </w:p>
          <w:p w14:paraId="555569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drawing>
                <wp:inline distT="0" distB="0" distL="114300" distR="114300">
                  <wp:extent cx="2816225" cy="2112010"/>
                  <wp:effectExtent l="0" t="0" r="3175" b="6350"/>
                  <wp:docPr id="32" name="图片 32" descr="IMG_20250613_16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0250613_161713"/>
                          <pic:cNvPicPr>
                            <a:picLocks noChangeAspect="1"/>
                          </pic:cNvPicPr>
                        </pic:nvPicPr>
                        <pic:blipFill>
                          <a:blip r:embed="rId25"/>
                          <a:stretch>
                            <a:fillRect/>
                          </a:stretch>
                        </pic:blipFill>
                        <pic:spPr>
                          <a:xfrm>
                            <a:off x="0" y="0"/>
                            <a:ext cx="2816225" cy="2112010"/>
                          </a:xfrm>
                          <a:prstGeom prst="rect">
                            <a:avLst/>
                          </a:prstGeom>
                        </pic:spPr>
                      </pic:pic>
                    </a:graphicData>
                  </a:graphic>
                </wp:inline>
              </w:drawing>
            </w:r>
          </w:p>
        </w:tc>
        <w:tc>
          <w:tcPr>
            <w:tcW w:w="4669" w:type="dxa"/>
            <w:shd w:val="clear" w:color="auto" w:fill="auto"/>
            <w:noWrap w:val="0"/>
            <w:vAlign w:val="top"/>
          </w:tcPr>
          <w:p w14:paraId="072E00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rPr>
              <w:t>照片</w:t>
            </w:r>
            <w:r>
              <w:rPr>
                <w:rFonts w:hint="eastAsia" w:ascii="Times New Roman" w:hAnsi="Times New Roman" w:eastAsia="宋体" w:cs="Times New Roman"/>
                <w:b/>
                <w:bCs/>
                <w:color w:val="auto"/>
                <w:sz w:val="24"/>
                <w:lang w:val="en-US" w:eastAsia="zh-CN"/>
              </w:rPr>
              <w:t>7</w:t>
            </w:r>
            <w:r>
              <w:rPr>
                <w:rFonts w:hint="default" w:ascii="Times New Roman" w:hAnsi="Times New Roman" w:eastAsia="宋体" w:cs="Times New Roman"/>
                <w:b/>
                <w:bCs/>
                <w:color w:val="auto"/>
                <w:sz w:val="24"/>
              </w:rPr>
              <w:t xml:space="preserve"> </w:t>
            </w:r>
            <w:r>
              <w:rPr>
                <w:rFonts w:hint="default" w:ascii="Times New Roman" w:hAnsi="Times New Roman" w:eastAsia="宋体" w:cs="Times New Roman"/>
                <w:b/>
                <w:bCs/>
                <w:color w:val="auto"/>
                <w:sz w:val="24"/>
                <w:lang w:val="en-US" w:eastAsia="zh-CN"/>
              </w:rPr>
              <w:t xml:space="preserve"> </w:t>
            </w:r>
            <w:r>
              <w:rPr>
                <w:rFonts w:hint="eastAsia" w:ascii="Times New Roman" w:hAnsi="Times New Roman" w:eastAsia="宋体" w:cs="Times New Roman"/>
                <w:b/>
                <w:bCs/>
                <w:color w:val="auto"/>
                <w:sz w:val="24"/>
              </w:rPr>
              <w:t>管架（E74-E93）</w:t>
            </w:r>
            <w:r>
              <w:rPr>
                <w:rFonts w:hint="eastAsia" w:ascii="Times New Roman" w:hAnsi="Times New Roman" w:eastAsia="宋体" w:cs="Times New Roman"/>
                <w:b/>
                <w:bCs/>
                <w:color w:val="auto"/>
                <w:sz w:val="24"/>
                <w:lang w:val="en-US" w:eastAsia="zh-CN"/>
              </w:rPr>
              <w:t>西侧祥丰石化液氨球罐</w:t>
            </w:r>
            <w:r>
              <w:rPr>
                <w:rFonts w:hint="default" w:ascii="Times New Roman" w:hAnsi="Times New Roman" w:eastAsia="宋体" w:cs="Times New Roman"/>
                <w:b/>
                <w:bCs/>
                <w:color w:val="auto"/>
                <w:sz w:val="24"/>
                <w:lang w:eastAsia="zh-CN"/>
              </w:rPr>
              <w:drawing>
                <wp:inline distT="0" distB="0" distL="114300" distR="114300">
                  <wp:extent cx="2809240" cy="2106930"/>
                  <wp:effectExtent l="0" t="0" r="10160" b="11430"/>
                  <wp:docPr id="23" name="图片 23" descr="IMG_20250613_16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50613_161258"/>
                          <pic:cNvPicPr>
                            <a:picLocks noChangeAspect="1"/>
                          </pic:cNvPicPr>
                        </pic:nvPicPr>
                        <pic:blipFill>
                          <a:blip r:embed="rId26"/>
                          <a:stretch>
                            <a:fillRect/>
                          </a:stretch>
                        </pic:blipFill>
                        <pic:spPr>
                          <a:xfrm>
                            <a:off x="0" y="0"/>
                            <a:ext cx="2809240" cy="2106930"/>
                          </a:xfrm>
                          <a:prstGeom prst="rect">
                            <a:avLst/>
                          </a:prstGeom>
                        </pic:spPr>
                      </pic:pic>
                    </a:graphicData>
                  </a:graphic>
                </wp:inline>
              </w:drawing>
            </w:r>
          </w:p>
        </w:tc>
      </w:tr>
      <w:tr w14:paraId="1DAB2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31" w:type="dxa"/>
            <w:shd w:val="clear" w:color="auto" w:fill="auto"/>
            <w:noWrap w:val="0"/>
            <w:vAlign w:val="top"/>
          </w:tcPr>
          <w:p w14:paraId="79A174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rPr>
              <w:t>照片</w:t>
            </w:r>
            <w:r>
              <w:rPr>
                <w:rFonts w:hint="eastAsia" w:ascii="Times New Roman" w:hAnsi="Times New Roman" w:eastAsia="宋体" w:cs="Times New Roman"/>
                <w:b/>
                <w:bCs/>
                <w:color w:val="auto"/>
                <w:sz w:val="24"/>
                <w:lang w:val="en-US" w:eastAsia="zh-CN"/>
              </w:rPr>
              <w:t>8</w:t>
            </w:r>
            <w:r>
              <w:rPr>
                <w:rFonts w:hint="default" w:ascii="Times New Roman" w:hAnsi="Times New Roman" w:eastAsia="宋体" w:cs="Times New Roman"/>
                <w:b/>
                <w:bCs/>
                <w:color w:val="auto"/>
                <w:sz w:val="24"/>
              </w:rPr>
              <w:t xml:space="preserve"> </w:t>
            </w:r>
            <w:r>
              <w:rPr>
                <w:rFonts w:hint="default" w:ascii="Times New Roman" w:hAnsi="Times New Roman" w:eastAsia="宋体" w:cs="Times New Roman"/>
                <w:b/>
                <w:bCs/>
                <w:color w:val="auto"/>
                <w:sz w:val="24"/>
                <w:lang w:val="en-US" w:eastAsia="zh-CN"/>
              </w:rPr>
              <w:t xml:space="preserve"> </w:t>
            </w:r>
            <w:r>
              <w:rPr>
                <w:rFonts w:hint="eastAsia" w:ascii="Times New Roman" w:hAnsi="Times New Roman" w:eastAsia="宋体" w:cs="Times New Roman"/>
                <w:b/>
                <w:bCs/>
                <w:color w:val="auto"/>
                <w:sz w:val="24"/>
              </w:rPr>
              <w:t>管架（</w:t>
            </w:r>
            <w:r>
              <w:rPr>
                <w:rFonts w:hint="eastAsia" w:ascii="Times New Roman" w:hAnsi="Times New Roman" w:eastAsia="宋体" w:cs="Times New Roman"/>
                <w:b/>
                <w:bCs/>
                <w:color w:val="auto"/>
                <w:sz w:val="24"/>
                <w:lang w:val="en-US" w:eastAsia="zh-CN"/>
              </w:rPr>
              <w:t>D12-D21</w:t>
            </w:r>
            <w:r>
              <w:rPr>
                <w:rFonts w:hint="eastAsia" w:ascii="Times New Roman" w:hAnsi="Times New Roman" w:eastAsia="宋体" w:cs="Times New Roman"/>
                <w:b/>
                <w:bCs/>
                <w:color w:val="auto"/>
                <w:sz w:val="24"/>
              </w:rPr>
              <w:t>）</w:t>
            </w:r>
            <w:r>
              <w:rPr>
                <w:rFonts w:hint="eastAsia" w:ascii="Times New Roman" w:hAnsi="Times New Roman" w:eastAsia="宋体" w:cs="Times New Roman"/>
                <w:b/>
                <w:bCs/>
                <w:color w:val="auto"/>
                <w:sz w:val="24"/>
                <w:lang w:val="en-US" w:eastAsia="zh-CN"/>
              </w:rPr>
              <w:t>段南面</w:t>
            </w:r>
            <w:r>
              <w:rPr>
                <w:rFonts w:hint="eastAsia" w:ascii="Times New Roman" w:hAnsi="Times New Roman" w:eastAsia="宋体" w:cs="Times New Roman"/>
                <w:b/>
                <w:bCs/>
                <w:color w:val="auto"/>
                <w:sz w:val="24"/>
              </w:rPr>
              <w:t>祥丰石化发电厂房</w:t>
            </w:r>
          </w:p>
          <w:p w14:paraId="6FBC81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drawing>
                <wp:inline distT="0" distB="0" distL="114300" distR="114300">
                  <wp:extent cx="2816225" cy="2112010"/>
                  <wp:effectExtent l="0" t="0" r="3175" b="6350"/>
                  <wp:docPr id="33" name="图片 33" descr="IMG_20250613_16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0250613_162413"/>
                          <pic:cNvPicPr>
                            <a:picLocks noChangeAspect="1"/>
                          </pic:cNvPicPr>
                        </pic:nvPicPr>
                        <pic:blipFill>
                          <a:blip r:embed="rId27"/>
                          <a:stretch>
                            <a:fillRect/>
                          </a:stretch>
                        </pic:blipFill>
                        <pic:spPr>
                          <a:xfrm>
                            <a:off x="0" y="0"/>
                            <a:ext cx="2816225" cy="2112010"/>
                          </a:xfrm>
                          <a:prstGeom prst="rect">
                            <a:avLst/>
                          </a:prstGeom>
                        </pic:spPr>
                      </pic:pic>
                    </a:graphicData>
                  </a:graphic>
                </wp:inline>
              </w:drawing>
            </w:r>
          </w:p>
        </w:tc>
        <w:tc>
          <w:tcPr>
            <w:tcW w:w="4669" w:type="dxa"/>
            <w:shd w:val="clear" w:color="auto" w:fill="auto"/>
            <w:noWrap w:val="0"/>
            <w:vAlign w:val="top"/>
          </w:tcPr>
          <w:p w14:paraId="2B2745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照片9  管廊B01-B18段沿祥丰金麦挡墙敷设</w:t>
            </w:r>
            <w:r>
              <w:rPr>
                <w:rFonts w:hint="eastAsia" w:ascii="Times New Roman" w:hAnsi="Times New Roman" w:eastAsia="宋体" w:cs="Times New Roman"/>
                <w:b/>
                <w:bCs/>
                <w:color w:val="auto"/>
                <w:sz w:val="24"/>
                <w:lang w:val="en-US" w:eastAsia="zh-CN"/>
              </w:rPr>
              <w:drawing>
                <wp:inline distT="0" distB="0" distL="114300" distR="114300">
                  <wp:extent cx="3054985" cy="2389505"/>
                  <wp:effectExtent l="0" t="0" r="8255" b="3175"/>
                  <wp:docPr id="17" name="图片 17" descr="82aa459b5e146ad626315292e84e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2aa459b5e146ad626315292e84e799"/>
                          <pic:cNvPicPr>
                            <a:picLocks noChangeAspect="1"/>
                          </pic:cNvPicPr>
                        </pic:nvPicPr>
                        <pic:blipFill>
                          <a:blip r:embed="rId28"/>
                          <a:stretch>
                            <a:fillRect/>
                          </a:stretch>
                        </pic:blipFill>
                        <pic:spPr>
                          <a:xfrm>
                            <a:off x="0" y="0"/>
                            <a:ext cx="3054985" cy="2389505"/>
                          </a:xfrm>
                          <a:prstGeom prst="rect">
                            <a:avLst/>
                          </a:prstGeom>
                        </pic:spPr>
                      </pic:pic>
                    </a:graphicData>
                  </a:graphic>
                </wp:inline>
              </w:drawing>
            </w:r>
          </w:p>
        </w:tc>
      </w:tr>
      <w:tr w14:paraId="03E4D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31" w:type="dxa"/>
            <w:shd w:val="clear" w:color="auto" w:fill="auto"/>
            <w:noWrap w:val="0"/>
            <w:vAlign w:val="top"/>
          </w:tcPr>
          <w:p w14:paraId="03B037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rPr>
              <w:t>照片</w:t>
            </w:r>
            <w:r>
              <w:rPr>
                <w:rFonts w:hint="default" w:ascii="Times New Roman" w:hAnsi="Times New Roman" w:eastAsia="宋体" w:cs="Times New Roman"/>
                <w:b/>
                <w:bCs/>
                <w:color w:val="auto"/>
                <w:sz w:val="24"/>
                <w:lang w:val="en-US" w:eastAsia="zh-CN"/>
              </w:rPr>
              <w:t>10</w:t>
            </w:r>
            <w:r>
              <w:rPr>
                <w:rFonts w:hint="default" w:ascii="Times New Roman" w:hAnsi="Times New Roman" w:eastAsia="宋体" w:cs="Times New Roman"/>
                <w:b/>
                <w:bCs/>
                <w:color w:val="auto"/>
                <w:sz w:val="24"/>
              </w:rPr>
              <w:t xml:space="preserve"> </w:t>
            </w:r>
            <w:r>
              <w:rPr>
                <w:rFonts w:hint="default" w:ascii="Times New Roman" w:hAnsi="Times New Roman" w:eastAsia="宋体" w:cs="Times New Roman"/>
                <w:b/>
                <w:bCs/>
                <w:color w:val="auto"/>
                <w:sz w:val="24"/>
                <w:lang w:val="en-US" w:eastAsia="zh-CN"/>
              </w:rPr>
              <w:t xml:space="preserve"> </w:t>
            </w:r>
            <w:r>
              <w:rPr>
                <w:rFonts w:hint="eastAsia" w:ascii="Times New Roman" w:hAnsi="Times New Roman" w:eastAsia="宋体" w:cs="Times New Roman"/>
                <w:b/>
                <w:bCs/>
                <w:color w:val="auto"/>
                <w:sz w:val="24"/>
                <w:lang w:val="en-US" w:eastAsia="zh-CN"/>
              </w:rPr>
              <w:t>浓硫酸管道、氟硅酸管道依托祥丰金麦原有管架</w:t>
            </w:r>
            <w:r>
              <w:rPr>
                <w:rFonts w:hint="eastAsia" w:ascii="Times New Roman" w:hAnsi="Times New Roman" w:eastAsia="宋体" w:cs="Times New Roman"/>
                <w:b/>
                <w:bCs/>
                <w:color w:val="auto"/>
                <w:sz w:val="24"/>
                <w:lang w:val="en-US" w:eastAsia="zh-CN"/>
              </w:rPr>
              <w:drawing>
                <wp:inline distT="0" distB="0" distL="114300" distR="114300">
                  <wp:extent cx="3087370" cy="2360295"/>
                  <wp:effectExtent l="0" t="0" r="6350" b="1905"/>
                  <wp:docPr id="24" name="图片 24" descr="9373560bbb1d6523470ee282c32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9373560bbb1d6523470ee282c322770"/>
                          <pic:cNvPicPr>
                            <a:picLocks noChangeAspect="1"/>
                          </pic:cNvPicPr>
                        </pic:nvPicPr>
                        <pic:blipFill>
                          <a:blip r:embed="rId29"/>
                          <a:stretch>
                            <a:fillRect/>
                          </a:stretch>
                        </pic:blipFill>
                        <pic:spPr>
                          <a:xfrm>
                            <a:off x="0" y="0"/>
                            <a:ext cx="3087370" cy="2360295"/>
                          </a:xfrm>
                          <a:prstGeom prst="rect">
                            <a:avLst/>
                          </a:prstGeom>
                        </pic:spPr>
                      </pic:pic>
                    </a:graphicData>
                  </a:graphic>
                </wp:inline>
              </w:drawing>
            </w:r>
          </w:p>
        </w:tc>
        <w:tc>
          <w:tcPr>
            <w:tcW w:w="4669" w:type="dxa"/>
            <w:noWrap w:val="0"/>
            <w:vAlign w:val="top"/>
          </w:tcPr>
          <w:p w14:paraId="5960AE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rPr>
              <w:t>照片</w:t>
            </w:r>
            <w:r>
              <w:rPr>
                <w:rFonts w:hint="default" w:ascii="Times New Roman" w:hAnsi="Times New Roman" w:eastAsia="宋体" w:cs="Times New Roman"/>
                <w:b/>
                <w:bCs/>
                <w:color w:val="auto"/>
                <w:sz w:val="24"/>
                <w:lang w:val="en-US" w:eastAsia="zh-CN"/>
              </w:rPr>
              <w:t>11</w:t>
            </w:r>
            <w:r>
              <w:rPr>
                <w:rFonts w:hint="eastAsia" w:ascii="Times New Roman" w:hAnsi="Times New Roman" w:eastAsia="宋体" w:cs="Times New Roman"/>
                <w:b/>
                <w:bCs/>
                <w:color w:val="auto"/>
                <w:sz w:val="24"/>
                <w:lang w:val="en-US" w:eastAsia="zh-CN"/>
              </w:rPr>
              <w:t>管廊跨越祥丰金麦厂区内部道路</w:t>
            </w:r>
          </w:p>
          <w:p w14:paraId="4291977D">
            <w:pPr>
              <w:pStyle w:val="79"/>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lang w:val="en-US" w:eastAsia="zh-CN"/>
              </w:rPr>
            </w:pPr>
          </w:p>
          <w:p w14:paraId="31F6D0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drawing>
                <wp:inline distT="0" distB="0" distL="114300" distR="114300">
                  <wp:extent cx="2891790" cy="2416175"/>
                  <wp:effectExtent l="0" t="0" r="3810" b="6985"/>
                  <wp:docPr id="42" name="图片 42" descr="IMG_20250613_16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20250613_163534"/>
                          <pic:cNvPicPr>
                            <a:picLocks noChangeAspect="1"/>
                          </pic:cNvPicPr>
                        </pic:nvPicPr>
                        <pic:blipFill>
                          <a:blip r:embed="rId30"/>
                          <a:stretch>
                            <a:fillRect/>
                          </a:stretch>
                        </pic:blipFill>
                        <pic:spPr>
                          <a:xfrm>
                            <a:off x="0" y="0"/>
                            <a:ext cx="2891790" cy="2416175"/>
                          </a:xfrm>
                          <a:prstGeom prst="rect">
                            <a:avLst/>
                          </a:prstGeom>
                        </pic:spPr>
                      </pic:pic>
                    </a:graphicData>
                  </a:graphic>
                </wp:inline>
              </w:drawing>
            </w:r>
            <w:r>
              <w:rPr>
                <w:rFonts w:hint="eastAsia" w:ascii="Times New Roman" w:hAnsi="Times New Roman" w:eastAsia="宋体" w:cs="Times New Roman"/>
                <w:b/>
                <w:bCs/>
                <w:color w:val="auto"/>
                <w:sz w:val="24"/>
                <w:lang w:val="en-US" w:eastAsia="zh-CN"/>
              </w:rPr>
              <w:t xml:space="preserve"> </w:t>
            </w:r>
          </w:p>
        </w:tc>
      </w:tr>
    </w:tbl>
    <w:p w14:paraId="7B9BA5E6">
      <w:pPr>
        <w:pStyle w:val="5"/>
        <w:numPr>
          <w:ilvl w:val="2"/>
          <w:numId w:val="0"/>
        </w:numPr>
        <w:spacing w:line="500" w:lineRule="exact"/>
        <w:ind w:leftChars="100"/>
        <w:rPr>
          <w:rFonts w:hint="default" w:ascii="Times New Roman" w:hAnsi="Times New Roman" w:eastAsia="黑体" w:cs="Times New Roman"/>
          <w:snapToGrid w:val="0"/>
          <w:color w:val="000000"/>
          <w:kern w:val="0"/>
          <w:sz w:val="32"/>
        </w:rPr>
      </w:pPr>
      <w:bookmarkStart w:id="759" w:name="_Toc27625"/>
      <w:r>
        <w:rPr>
          <w:rFonts w:hint="default" w:ascii="Times New Roman" w:hAnsi="Times New Roman" w:eastAsia="黑体" w:cs="Times New Roman"/>
          <w:snapToGrid w:val="0"/>
          <w:color w:val="000000"/>
          <w:kern w:val="0"/>
          <w:sz w:val="32"/>
        </w:rPr>
        <w:t>1.2.1</w:t>
      </w:r>
      <w:r>
        <w:rPr>
          <w:rFonts w:hint="eastAsia" w:ascii="Times New Roman" w:hAnsi="Times New Roman" w:cs="Times New Roman"/>
          <w:snapToGrid w:val="0"/>
          <w:color w:val="000000"/>
          <w:kern w:val="0"/>
          <w:sz w:val="32"/>
          <w:lang w:val="en-US" w:eastAsia="zh-CN"/>
        </w:rPr>
        <w:t>特种设备</w:t>
      </w:r>
      <w:bookmarkEnd w:id="759"/>
    </w:p>
    <w:p w14:paraId="6664585F">
      <w:pPr>
        <w:numPr>
          <w:ilvl w:val="0"/>
          <w:numId w:val="0"/>
        </w:numPr>
        <w:ind w:leftChars="0"/>
        <w:jc w:val="center"/>
        <w:rPr>
          <w:b/>
          <w:bCs/>
          <w:sz w:val="24"/>
          <w:szCs w:val="24"/>
        </w:rPr>
      </w:pPr>
      <w:r>
        <w:rPr>
          <w:rFonts w:hint="eastAsia"/>
          <w:b/>
          <w:bCs/>
          <w:sz w:val="24"/>
          <w:szCs w:val="24"/>
          <w:lang w:val="en-US" w:eastAsia="zh-CN"/>
        </w:rPr>
        <w:t>附表1.2-1</w:t>
      </w:r>
      <w:r>
        <w:rPr>
          <w:rFonts w:hint="eastAsia"/>
          <w:b/>
          <w:bCs/>
          <w:sz w:val="24"/>
          <w:szCs w:val="24"/>
        </w:rPr>
        <w:t>压力管道表</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
        <w:gridCol w:w="933"/>
        <w:gridCol w:w="747"/>
        <w:gridCol w:w="839"/>
        <w:gridCol w:w="747"/>
        <w:gridCol w:w="933"/>
        <w:gridCol w:w="653"/>
        <w:gridCol w:w="933"/>
        <w:gridCol w:w="1867"/>
        <w:gridCol w:w="466"/>
        <w:gridCol w:w="817"/>
      </w:tblGrid>
      <w:tr w14:paraId="5ABB9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8EFF42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序号</w:t>
            </w:r>
          </w:p>
        </w:tc>
        <w:tc>
          <w:tcPr>
            <w:tcW w:w="14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3906E5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输送物料名称</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478AF2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设计流量</w:t>
            </w:r>
          </w:p>
        </w:tc>
        <w:tc>
          <w:tcPr>
            <w:tcW w:w="24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BDEB005">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操作参数</w:t>
            </w:r>
          </w:p>
        </w:tc>
        <w:tc>
          <w:tcPr>
            <w:tcW w:w="241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D082D5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设计参数</w:t>
            </w:r>
          </w:p>
        </w:tc>
        <w:tc>
          <w:tcPr>
            <w:tcW w:w="425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A665BA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管道参数</w:t>
            </w:r>
          </w:p>
        </w:tc>
        <w:tc>
          <w:tcPr>
            <w:tcW w:w="70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ABB25E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绝热保温</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2D2F3F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压力管道</w:t>
            </w:r>
          </w:p>
          <w:p w14:paraId="1E476AC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级别</w:t>
            </w:r>
          </w:p>
        </w:tc>
      </w:tr>
      <w:tr w14:paraId="25724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BA5579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p>
        </w:tc>
        <w:tc>
          <w:tcPr>
            <w:tcW w:w="14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2E8034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p>
        </w:tc>
        <w:tc>
          <w:tcPr>
            <w:tcW w:w="11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26D2D0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0561EBF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压力(MPa)</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7BA95E4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温度(℃)</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6177D6D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压力(MPa)</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54D999E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温度(℃)</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2D7EDCC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尺寸（mm）</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1B5B030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材质</w:t>
            </w:r>
          </w:p>
        </w:tc>
        <w:tc>
          <w:tcPr>
            <w:tcW w:w="7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2EA4B4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p>
        </w:tc>
        <w:tc>
          <w:tcPr>
            <w:tcW w:w="12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7F2E38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p>
        </w:tc>
      </w:tr>
      <w:tr w14:paraId="45759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24CFFC9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1</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5AD01FC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氟硅酸</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0DE550A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50</w:t>
            </w:r>
            <w:r>
              <w:rPr>
                <w:sz w:val="21"/>
                <w:szCs w:val="21"/>
                <w:highlight w:val="none"/>
              </w:rPr>
              <w:t xml:space="preserve"> </w:t>
            </w:r>
            <w:r>
              <w:rPr>
                <w:rFonts w:hint="eastAsia"/>
                <w:sz w:val="21"/>
                <w:szCs w:val="21"/>
                <w:highlight w:val="none"/>
              </w:rPr>
              <w:t>m</w:t>
            </w:r>
            <w:r>
              <w:rPr>
                <w:rFonts w:hint="eastAsia"/>
                <w:sz w:val="21"/>
                <w:szCs w:val="21"/>
                <w:highlight w:val="none"/>
                <w:vertAlign w:val="superscript"/>
              </w:rPr>
              <w:t>3</w:t>
            </w:r>
            <w:r>
              <w:rPr>
                <w:rFonts w:hint="eastAsia"/>
                <w:sz w:val="21"/>
                <w:szCs w:val="21"/>
                <w:highlight w:val="none"/>
              </w:rPr>
              <w:t>/h</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68F5C93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0.89</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0DD4EB7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30</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00D815B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1.25</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53960CB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80</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36BA8DC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DN150</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64F33B3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钢衬超高分子量聚乙烯管道</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14:paraId="65F501C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w:t>
            </w: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14:paraId="22FECFF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GC2</w:t>
            </w:r>
          </w:p>
        </w:tc>
      </w:tr>
      <w:tr w14:paraId="32997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799C139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2</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52A72B8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氟硅酸</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433609C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50</w:t>
            </w:r>
            <w:r>
              <w:rPr>
                <w:sz w:val="21"/>
                <w:szCs w:val="21"/>
                <w:highlight w:val="none"/>
              </w:rPr>
              <w:t xml:space="preserve"> </w:t>
            </w:r>
            <w:r>
              <w:rPr>
                <w:rFonts w:hint="eastAsia"/>
                <w:sz w:val="21"/>
                <w:szCs w:val="21"/>
                <w:highlight w:val="none"/>
              </w:rPr>
              <w:t>m</w:t>
            </w:r>
            <w:r>
              <w:rPr>
                <w:rFonts w:hint="eastAsia"/>
                <w:sz w:val="21"/>
                <w:szCs w:val="21"/>
                <w:highlight w:val="none"/>
                <w:vertAlign w:val="superscript"/>
              </w:rPr>
              <w:t>3</w:t>
            </w:r>
            <w:r>
              <w:rPr>
                <w:rFonts w:hint="eastAsia"/>
                <w:sz w:val="21"/>
                <w:szCs w:val="21"/>
                <w:highlight w:val="none"/>
              </w:rPr>
              <w:t>/h</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5DF4E66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0.89</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32CC1FA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30</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18AD59D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1.25</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96C3C7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80</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227033E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DN150</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6BE7D48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钢衬超高分子量聚乙烯管道</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14:paraId="5682699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w:t>
            </w: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14:paraId="2835568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GC2</w:t>
            </w:r>
          </w:p>
        </w:tc>
      </w:tr>
      <w:tr w14:paraId="5A69A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3CE3569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3</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7A818A4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浓硫酸</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54F2863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100</w:t>
            </w:r>
            <w:r>
              <w:rPr>
                <w:sz w:val="21"/>
                <w:szCs w:val="21"/>
                <w:highlight w:val="none"/>
              </w:rPr>
              <w:t xml:space="preserve"> </w:t>
            </w:r>
            <w:r>
              <w:rPr>
                <w:rFonts w:hint="eastAsia"/>
                <w:sz w:val="21"/>
                <w:szCs w:val="21"/>
                <w:highlight w:val="none"/>
              </w:rPr>
              <w:t>m</w:t>
            </w:r>
            <w:r>
              <w:rPr>
                <w:rFonts w:hint="eastAsia"/>
                <w:sz w:val="21"/>
                <w:szCs w:val="21"/>
                <w:highlight w:val="none"/>
                <w:vertAlign w:val="superscript"/>
              </w:rPr>
              <w:t>3</w:t>
            </w:r>
            <w:r>
              <w:rPr>
                <w:rFonts w:hint="eastAsia"/>
                <w:sz w:val="21"/>
                <w:szCs w:val="21"/>
                <w:highlight w:val="none"/>
              </w:rPr>
              <w:t>/h</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077BC75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sz w:val="21"/>
                <w:szCs w:val="21"/>
                <w:highlight w:val="none"/>
              </w:rPr>
              <w:t>1.35</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11DF7F05">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sz w:val="21"/>
                <w:szCs w:val="21"/>
                <w:highlight w:val="none"/>
              </w:rPr>
              <w:t>30</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5BE12AD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1.</w:t>
            </w:r>
            <w:r>
              <w:rPr>
                <w:sz w:val="21"/>
                <w:szCs w:val="21"/>
                <w:highlight w:val="none"/>
              </w:rPr>
              <w:t>8</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68376A0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sz w:val="21"/>
                <w:szCs w:val="21"/>
                <w:highlight w:val="none"/>
              </w:rPr>
              <w:t>5</w:t>
            </w:r>
            <w:r>
              <w:rPr>
                <w:rFonts w:hint="eastAsia"/>
                <w:sz w:val="21"/>
                <w:szCs w:val="21"/>
                <w:highlight w:val="none"/>
              </w:rPr>
              <w:t>0</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6E0FBE6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DN</w:t>
            </w:r>
            <w:r>
              <w:rPr>
                <w:sz w:val="21"/>
                <w:szCs w:val="21"/>
                <w:highlight w:val="none"/>
              </w:rPr>
              <w:t>20</w:t>
            </w:r>
            <w:r>
              <w:rPr>
                <w:rFonts w:hint="eastAsia"/>
                <w:sz w:val="21"/>
                <w:szCs w:val="21"/>
                <w:highlight w:val="none"/>
              </w:rPr>
              <w:t>0</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01CBBE8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不锈钢</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14:paraId="33A4F36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w:t>
            </w: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14:paraId="26ABAB1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GC2</w:t>
            </w:r>
          </w:p>
        </w:tc>
      </w:tr>
      <w:tr w14:paraId="251C4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64B1368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sz w:val="21"/>
                <w:szCs w:val="21"/>
                <w:highlight w:val="none"/>
              </w:rPr>
              <w:t>4</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0EACF4D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稀硫酸</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43480F8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117</w:t>
            </w:r>
            <w:r>
              <w:rPr>
                <w:sz w:val="21"/>
                <w:szCs w:val="21"/>
                <w:highlight w:val="none"/>
              </w:rPr>
              <w:t xml:space="preserve"> </w:t>
            </w:r>
            <w:r>
              <w:rPr>
                <w:rFonts w:hint="eastAsia"/>
                <w:sz w:val="21"/>
                <w:szCs w:val="21"/>
                <w:highlight w:val="none"/>
              </w:rPr>
              <w:t>m</w:t>
            </w:r>
            <w:r>
              <w:rPr>
                <w:rFonts w:hint="eastAsia"/>
                <w:sz w:val="21"/>
                <w:szCs w:val="21"/>
                <w:highlight w:val="none"/>
                <w:vertAlign w:val="superscript"/>
              </w:rPr>
              <w:t>3</w:t>
            </w:r>
            <w:r>
              <w:rPr>
                <w:rFonts w:hint="eastAsia"/>
                <w:sz w:val="21"/>
                <w:szCs w:val="21"/>
                <w:highlight w:val="none"/>
              </w:rPr>
              <w:t>/h</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51C083E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0</w:t>
            </w:r>
            <w:r>
              <w:rPr>
                <w:sz w:val="21"/>
                <w:szCs w:val="21"/>
                <w:highlight w:val="none"/>
              </w:rPr>
              <w:t>.98</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042B0B9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5</w:t>
            </w:r>
            <w:r>
              <w:rPr>
                <w:sz w:val="21"/>
                <w:szCs w:val="21"/>
                <w:highlight w:val="none"/>
              </w:rPr>
              <w:t>0</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2B4D346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1</w:t>
            </w:r>
            <w:r>
              <w:rPr>
                <w:sz w:val="21"/>
                <w:szCs w:val="21"/>
                <w:highlight w:val="none"/>
              </w:rPr>
              <w:t>.35</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43C6725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7</w:t>
            </w:r>
            <w:r>
              <w:rPr>
                <w:sz w:val="21"/>
                <w:szCs w:val="21"/>
                <w:highlight w:val="none"/>
              </w:rPr>
              <w:t>0</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7517151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DN</w:t>
            </w:r>
            <w:r>
              <w:rPr>
                <w:sz w:val="21"/>
                <w:szCs w:val="21"/>
                <w:highlight w:val="none"/>
              </w:rPr>
              <w:t>200</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54931A0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钢骨架复合P</w:t>
            </w:r>
            <w:r>
              <w:rPr>
                <w:sz w:val="21"/>
                <w:szCs w:val="21"/>
                <w:highlight w:val="none"/>
              </w:rPr>
              <w:t>E</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14:paraId="7426499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w:t>
            </w: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14:paraId="0698111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GC2</w:t>
            </w:r>
          </w:p>
        </w:tc>
      </w:tr>
      <w:tr w14:paraId="0E8FB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09B0EB2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sz w:val="21"/>
                <w:szCs w:val="21"/>
                <w:highlight w:val="none"/>
              </w:rPr>
              <w:t>5</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2D66A5D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稀硫酸</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444B293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117</w:t>
            </w:r>
            <w:r>
              <w:rPr>
                <w:sz w:val="21"/>
                <w:szCs w:val="21"/>
                <w:highlight w:val="none"/>
              </w:rPr>
              <w:t xml:space="preserve"> </w:t>
            </w:r>
            <w:r>
              <w:rPr>
                <w:rFonts w:hint="eastAsia"/>
                <w:sz w:val="21"/>
                <w:szCs w:val="21"/>
                <w:highlight w:val="none"/>
              </w:rPr>
              <w:t>m</w:t>
            </w:r>
            <w:r>
              <w:rPr>
                <w:rFonts w:hint="eastAsia"/>
                <w:sz w:val="21"/>
                <w:szCs w:val="21"/>
                <w:highlight w:val="none"/>
                <w:vertAlign w:val="superscript"/>
              </w:rPr>
              <w:t>3</w:t>
            </w:r>
            <w:r>
              <w:rPr>
                <w:rFonts w:hint="eastAsia"/>
                <w:sz w:val="21"/>
                <w:szCs w:val="21"/>
                <w:highlight w:val="none"/>
              </w:rPr>
              <w:t>/h</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3F22D84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0</w:t>
            </w:r>
            <w:r>
              <w:rPr>
                <w:sz w:val="21"/>
                <w:szCs w:val="21"/>
                <w:highlight w:val="none"/>
              </w:rPr>
              <w:t>.98</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167C05D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5</w:t>
            </w:r>
            <w:r>
              <w:rPr>
                <w:sz w:val="21"/>
                <w:szCs w:val="21"/>
                <w:highlight w:val="none"/>
              </w:rPr>
              <w:t>0</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1BB4F7F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1</w:t>
            </w:r>
            <w:r>
              <w:rPr>
                <w:sz w:val="21"/>
                <w:szCs w:val="21"/>
                <w:highlight w:val="none"/>
              </w:rPr>
              <w:t>.35</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28F83C7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7</w:t>
            </w:r>
            <w:r>
              <w:rPr>
                <w:sz w:val="21"/>
                <w:szCs w:val="21"/>
                <w:highlight w:val="none"/>
              </w:rPr>
              <w:t>0</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4A56362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DN</w:t>
            </w:r>
            <w:r>
              <w:rPr>
                <w:sz w:val="21"/>
                <w:szCs w:val="21"/>
                <w:highlight w:val="none"/>
              </w:rPr>
              <w:t>200</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3A838AC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钢骨架复合P</w:t>
            </w:r>
            <w:r>
              <w:rPr>
                <w:sz w:val="21"/>
                <w:szCs w:val="21"/>
                <w:highlight w:val="none"/>
              </w:rPr>
              <w:t>E</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14:paraId="3D141E1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w:t>
            </w: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14:paraId="1F1ED0A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GC2</w:t>
            </w:r>
          </w:p>
        </w:tc>
      </w:tr>
      <w:tr w14:paraId="40AA2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0EE6FFD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sz w:val="21"/>
                <w:szCs w:val="21"/>
                <w:highlight w:val="none"/>
              </w:rPr>
              <w:t>6</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1B7DE89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再浆水</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50F80B7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31</w:t>
            </w:r>
            <w:r>
              <w:rPr>
                <w:sz w:val="21"/>
                <w:szCs w:val="21"/>
                <w:highlight w:val="none"/>
              </w:rPr>
              <w:t xml:space="preserve"> </w:t>
            </w:r>
            <w:r>
              <w:rPr>
                <w:rFonts w:hint="eastAsia"/>
                <w:sz w:val="21"/>
                <w:szCs w:val="21"/>
                <w:highlight w:val="none"/>
              </w:rPr>
              <w:t>m</w:t>
            </w:r>
            <w:r>
              <w:rPr>
                <w:rFonts w:hint="eastAsia"/>
                <w:sz w:val="21"/>
                <w:szCs w:val="21"/>
                <w:highlight w:val="none"/>
                <w:vertAlign w:val="superscript"/>
              </w:rPr>
              <w:t>3</w:t>
            </w:r>
            <w:r>
              <w:rPr>
                <w:rFonts w:hint="eastAsia"/>
                <w:sz w:val="21"/>
                <w:szCs w:val="21"/>
                <w:highlight w:val="none"/>
              </w:rPr>
              <w:t>/h</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726087E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sz w:val="21"/>
                <w:szCs w:val="21"/>
                <w:highlight w:val="none"/>
              </w:rPr>
              <w:t>0.5</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45ADD84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sz w:val="21"/>
                <w:szCs w:val="21"/>
                <w:highlight w:val="none"/>
              </w:rPr>
              <w:t>3</w:t>
            </w:r>
            <w:r>
              <w:rPr>
                <w:rFonts w:hint="eastAsia"/>
                <w:sz w:val="21"/>
                <w:szCs w:val="21"/>
                <w:highlight w:val="none"/>
              </w:rPr>
              <w:t>0</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3DD4E95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sz w:val="21"/>
                <w:szCs w:val="21"/>
                <w:highlight w:val="none"/>
              </w:rPr>
              <w:t>1.0</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68EBBD0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sz w:val="21"/>
                <w:szCs w:val="21"/>
                <w:highlight w:val="none"/>
              </w:rPr>
              <w:t>60</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5F28590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DN</w:t>
            </w:r>
            <w:r>
              <w:rPr>
                <w:sz w:val="21"/>
                <w:szCs w:val="21"/>
                <w:highlight w:val="none"/>
              </w:rPr>
              <w:t>100</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70CF889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钢骨架复合P</w:t>
            </w:r>
            <w:r>
              <w:rPr>
                <w:sz w:val="21"/>
                <w:szCs w:val="21"/>
                <w:highlight w:val="none"/>
              </w:rPr>
              <w:t>E</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14:paraId="1D3508E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w:t>
            </w: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14:paraId="3BAC565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GC2</w:t>
            </w:r>
          </w:p>
        </w:tc>
      </w:tr>
      <w:tr w14:paraId="5725D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15483AF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sz w:val="21"/>
                <w:szCs w:val="21"/>
                <w:highlight w:val="none"/>
              </w:rPr>
              <w:t>7</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50EAAE4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渣浆水</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0EC40AF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52</w:t>
            </w:r>
            <w:r>
              <w:rPr>
                <w:sz w:val="21"/>
                <w:szCs w:val="21"/>
                <w:highlight w:val="none"/>
              </w:rPr>
              <w:t xml:space="preserve"> </w:t>
            </w:r>
            <w:r>
              <w:rPr>
                <w:rFonts w:hint="eastAsia"/>
                <w:sz w:val="21"/>
                <w:szCs w:val="21"/>
                <w:highlight w:val="none"/>
              </w:rPr>
              <w:t>m</w:t>
            </w:r>
            <w:r>
              <w:rPr>
                <w:rFonts w:hint="eastAsia"/>
                <w:sz w:val="21"/>
                <w:szCs w:val="21"/>
                <w:highlight w:val="none"/>
                <w:vertAlign w:val="superscript"/>
              </w:rPr>
              <w:t>3</w:t>
            </w:r>
            <w:r>
              <w:rPr>
                <w:rFonts w:hint="eastAsia"/>
                <w:sz w:val="21"/>
                <w:szCs w:val="21"/>
                <w:highlight w:val="none"/>
              </w:rPr>
              <w:t>/h</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180E46A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0</w:t>
            </w:r>
            <w:r>
              <w:rPr>
                <w:sz w:val="21"/>
                <w:szCs w:val="21"/>
                <w:highlight w:val="none"/>
              </w:rPr>
              <w:t>.6</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0EA4DB4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3</w:t>
            </w:r>
            <w:r>
              <w:rPr>
                <w:sz w:val="21"/>
                <w:szCs w:val="21"/>
                <w:highlight w:val="none"/>
              </w:rPr>
              <w:t>0</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373EA52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0</w:t>
            </w:r>
            <w:r>
              <w:rPr>
                <w:sz w:val="21"/>
                <w:szCs w:val="21"/>
                <w:highlight w:val="none"/>
              </w:rPr>
              <w:t>.8</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B68A5F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8</w:t>
            </w:r>
            <w:r>
              <w:rPr>
                <w:sz w:val="21"/>
                <w:szCs w:val="21"/>
                <w:highlight w:val="none"/>
              </w:rPr>
              <w:t>0</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49F0194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DN</w:t>
            </w:r>
            <w:r>
              <w:rPr>
                <w:sz w:val="21"/>
                <w:szCs w:val="21"/>
                <w:highlight w:val="none"/>
              </w:rPr>
              <w:t>150</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0BC4D3E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钢骨架复合P</w:t>
            </w:r>
            <w:r>
              <w:rPr>
                <w:sz w:val="21"/>
                <w:szCs w:val="21"/>
                <w:highlight w:val="none"/>
              </w:rPr>
              <w:t>E</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14:paraId="1847BD2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w:t>
            </w: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14:paraId="6EF30D2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GC2</w:t>
            </w:r>
          </w:p>
        </w:tc>
      </w:tr>
      <w:tr w14:paraId="3788A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6785562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sz w:val="21"/>
                <w:szCs w:val="21"/>
                <w:highlight w:val="none"/>
              </w:rPr>
              <w:t>8</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07946C8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过滤机洗水</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416E2F4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20</w:t>
            </w:r>
            <w:r>
              <w:rPr>
                <w:sz w:val="21"/>
                <w:szCs w:val="21"/>
                <w:highlight w:val="none"/>
              </w:rPr>
              <w:t xml:space="preserve"> </w:t>
            </w:r>
            <w:r>
              <w:rPr>
                <w:rFonts w:hint="eastAsia"/>
                <w:sz w:val="21"/>
                <w:szCs w:val="21"/>
                <w:highlight w:val="none"/>
              </w:rPr>
              <w:t>m</w:t>
            </w:r>
            <w:r>
              <w:rPr>
                <w:rFonts w:hint="eastAsia"/>
                <w:sz w:val="21"/>
                <w:szCs w:val="21"/>
                <w:highlight w:val="none"/>
                <w:vertAlign w:val="superscript"/>
              </w:rPr>
              <w:t>3</w:t>
            </w:r>
            <w:r>
              <w:rPr>
                <w:rFonts w:hint="eastAsia"/>
                <w:sz w:val="21"/>
                <w:szCs w:val="21"/>
                <w:highlight w:val="none"/>
              </w:rPr>
              <w:t>/h</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6AC3700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0</w:t>
            </w:r>
            <w:r>
              <w:rPr>
                <w:sz w:val="21"/>
                <w:szCs w:val="21"/>
                <w:highlight w:val="none"/>
              </w:rPr>
              <w:t>.6</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2C218DB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4</w:t>
            </w:r>
            <w:r>
              <w:rPr>
                <w:sz w:val="21"/>
                <w:szCs w:val="21"/>
                <w:highlight w:val="none"/>
              </w:rPr>
              <w:t>1</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36EEBF3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0</w:t>
            </w:r>
            <w:r>
              <w:rPr>
                <w:sz w:val="21"/>
                <w:szCs w:val="21"/>
                <w:highlight w:val="none"/>
              </w:rPr>
              <w:t>.8</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55C23E2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8</w:t>
            </w:r>
            <w:r>
              <w:rPr>
                <w:sz w:val="21"/>
                <w:szCs w:val="21"/>
                <w:highlight w:val="none"/>
              </w:rPr>
              <w:t>0</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1C32C7F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DN</w:t>
            </w:r>
            <w:r>
              <w:rPr>
                <w:sz w:val="21"/>
                <w:szCs w:val="21"/>
                <w:highlight w:val="none"/>
              </w:rPr>
              <w:t>100</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14CE0D05">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钢骨架复合P</w:t>
            </w:r>
            <w:r>
              <w:rPr>
                <w:sz w:val="21"/>
                <w:szCs w:val="21"/>
                <w:highlight w:val="none"/>
              </w:rPr>
              <w:t>E</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14:paraId="7076B33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w:t>
            </w: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14:paraId="3AE02E7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GC2</w:t>
            </w:r>
          </w:p>
        </w:tc>
      </w:tr>
      <w:tr w14:paraId="4B657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14:paraId="69460C3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sz w:val="21"/>
                <w:szCs w:val="21"/>
                <w:highlight w:val="none"/>
              </w:rPr>
              <w:t>9</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00452DA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饱和蒸汽</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1A28481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23.1</w:t>
            </w:r>
            <w:r>
              <w:rPr>
                <w:sz w:val="21"/>
                <w:szCs w:val="21"/>
                <w:highlight w:val="none"/>
              </w:rPr>
              <w:t xml:space="preserve"> </w:t>
            </w:r>
            <w:r>
              <w:rPr>
                <w:rFonts w:hint="eastAsia"/>
                <w:sz w:val="21"/>
                <w:szCs w:val="21"/>
                <w:highlight w:val="none"/>
              </w:rPr>
              <w:t>t/h</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652E3B2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sz w:val="21"/>
                <w:szCs w:val="21"/>
                <w:highlight w:val="none"/>
              </w:rPr>
              <w:t>1.2</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58FB9DC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sz w:val="21"/>
                <w:szCs w:val="21"/>
                <w:highlight w:val="none"/>
              </w:rPr>
              <w:t>192</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212F0B7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sz w:val="21"/>
                <w:szCs w:val="21"/>
                <w:highlight w:val="none"/>
              </w:rPr>
              <w:t>1.6</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3E7EB92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sz w:val="21"/>
                <w:szCs w:val="21"/>
                <w:highlight w:val="none"/>
              </w:rPr>
              <w:t>210</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692EBCF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DN</w:t>
            </w:r>
            <w:r>
              <w:rPr>
                <w:sz w:val="21"/>
                <w:szCs w:val="21"/>
                <w:highlight w:val="none"/>
              </w:rPr>
              <w:t>250</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5D3BE55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sz w:val="21"/>
                <w:szCs w:val="21"/>
                <w:highlight w:val="none"/>
              </w:rPr>
              <w:t>20</w:t>
            </w:r>
            <w:r>
              <w:rPr>
                <w:rFonts w:hint="eastAsia"/>
                <w:sz w:val="21"/>
                <w:szCs w:val="21"/>
                <w:highlight w:val="none"/>
              </w:rPr>
              <w:t>#碳钢</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14:paraId="386474A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绝热</w:t>
            </w: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14:paraId="28A7947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GC2</w:t>
            </w:r>
          </w:p>
        </w:tc>
      </w:tr>
    </w:tbl>
    <w:p w14:paraId="7BFE2298">
      <w:pPr>
        <w:numPr>
          <w:ilvl w:val="0"/>
          <w:numId w:val="0"/>
        </w:numPr>
        <w:ind w:leftChars="0"/>
        <w:jc w:val="center"/>
        <w:rPr>
          <w:rFonts w:hint="eastAsia" w:ascii="宋体" w:hAnsi="Times New Roman" w:eastAsia="宋体" w:cs="宋体"/>
          <w:b/>
          <w:bCs/>
          <w:sz w:val="24"/>
          <w:szCs w:val="24"/>
          <w:lang w:val="en-US" w:eastAsia="zh-CN"/>
        </w:rPr>
      </w:pPr>
      <w:r>
        <w:rPr>
          <w:rFonts w:hint="eastAsia" w:ascii="宋体" w:hAnsi="Times New Roman" w:eastAsia="宋体" w:cs="宋体"/>
          <w:b/>
          <w:bCs/>
          <w:sz w:val="24"/>
          <w:szCs w:val="24"/>
          <w:lang w:val="en-US" w:eastAsia="zh-CN"/>
        </w:rPr>
        <w:t>附表1.2-2特种设备检测结果表</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1"/>
        <w:gridCol w:w="1180"/>
        <w:gridCol w:w="1324"/>
        <w:gridCol w:w="4075"/>
      </w:tblGrid>
      <w:tr w14:paraId="24A87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44" w:type="dxa"/>
            <w:noWrap w:val="0"/>
            <w:vAlign w:val="center"/>
          </w:tcPr>
          <w:p w14:paraId="252722D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宋体" w:hAnsi="Times New Roman" w:eastAsia="宋体" w:cs="宋体"/>
                <w:sz w:val="21"/>
                <w:szCs w:val="21"/>
                <w:highlight w:val="none"/>
              </w:rPr>
            </w:pPr>
            <w:r>
              <w:rPr>
                <w:rFonts w:ascii="宋体" w:hAnsi="Times New Roman" w:eastAsia="宋体" w:cs="宋体"/>
                <w:sz w:val="21"/>
                <w:szCs w:val="21"/>
                <w:highlight w:val="none"/>
              </w:rPr>
              <w:t>名称</w:t>
            </w:r>
          </w:p>
        </w:tc>
        <w:tc>
          <w:tcPr>
            <w:tcW w:w="980" w:type="dxa"/>
            <w:noWrap w:val="0"/>
            <w:vAlign w:val="center"/>
          </w:tcPr>
          <w:p w14:paraId="642CF60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宋体" w:hAnsi="Times New Roman" w:eastAsia="宋体" w:cs="宋体"/>
                <w:sz w:val="21"/>
                <w:szCs w:val="21"/>
                <w:highlight w:val="none"/>
              </w:rPr>
            </w:pPr>
            <w:r>
              <w:rPr>
                <w:rFonts w:ascii="宋体" w:hAnsi="Times New Roman" w:eastAsia="宋体" w:cs="宋体"/>
                <w:sz w:val="21"/>
                <w:szCs w:val="21"/>
                <w:highlight w:val="none"/>
              </w:rPr>
              <w:t>数量</w:t>
            </w:r>
          </w:p>
        </w:tc>
        <w:tc>
          <w:tcPr>
            <w:tcW w:w="1100" w:type="dxa"/>
            <w:noWrap w:val="0"/>
            <w:vAlign w:val="center"/>
          </w:tcPr>
          <w:p w14:paraId="60897B95">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宋体" w:hAnsi="Times New Roman" w:eastAsia="宋体" w:cs="宋体"/>
                <w:sz w:val="21"/>
                <w:szCs w:val="21"/>
                <w:highlight w:val="none"/>
              </w:rPr>
            </w:pPr>
            <w:r>
              <w:rPr>
                <w:rFonts w:ascii="宋体" w:hAnsi="Times New Roman" w:eastAsia="宋体" w:cs="宋体"/>
                <w:sz w:val="21"/>
                <w:szCs w:val="21"/>
                <w:highlight w:val="none"/>
              </w:rPr>
              <w:t>单位</w:t>
            </w:r>
          </w:p>
        </w:tc>
        <w:tc>
          <w:tcPr>
            <w:tcW w:w="3386" w:type="dxa"/>
            <w:noWrap w:val="0"/>
            <w:vAlign w:val="center"/>
          </w:tcPr>
          <w:p w14:paraId="0B3DD79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宋体" w:hAnsi="Times New Roman" w:eastAsia="宋体" w:cs="宋体"/>
                <w:sz w:val="21"/>
                <w:szCs w:val="21"/>
                <w:highlight w:val="none"/>
                <w:lang w:val="en-US" w:eastAsia="zh-CN"/>
              </w:rPr>
            </w:pPr>
            <w:r>
              <w:rPr>
                <w:rFonts w:ascii="宋体" w:hAnsi="Times New Roman" w:eastAsia="宋体" w:cs="宋体"/>
                <w:sz w:val="21"/>
                <w:szCs w:val="21"/>
                <w:highlight w:val="none"/>
              </w:rPr>
              <w:t>检测结果</w:t>
            </w:r>
            <w:r>
              <w:rPr>
                <w:rFonts w:hint="eastAsia" w:ascii="宋体" w:hAnsi="Times New Roman" w:eastAsia="宋体" w:cs="宋体"/>
                <w:sz w:val="21"/>
                <w:szCs w:val="21"/>
                <w:highlight w:val="none"/>
                <w:lang w:val="en-US" w:eastAsia="zh-CN"/>
              </w:rPr>
              <w:t>及使用登记证办理情况</w:t>
            </w:r>
          </w:p>
        </w:tc>
      </w:tr>
      <w:tr w14:paraId="6F2E7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44" w:type="dxa"/>
            <w:noWrap w:val="0"/>
            <w:vAlign w:val="center"/>
          </w:tcPr>
          <w:p w14:paraId="5DC9AD3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宋体" w:hAnsi="Times New Roman" w:eastAsia="宋体" w:cs="宋体"/>
                <w:sz w:val="21"/>
                <w:szCs w:val="21"/>
                <w:highlight w:val="none"/>
              </w:rPr>
            </w:pPr>
            <w:r>
              <w:rPr>
                <w:rFonts w:ascii="宋体" w:hAnsi="Times New Roman" w:eastAsia="宋体" w:cs="宋体"/>
                <w:sz w:val="21"/>
                <w:szCs w:val="21"/>
                <w:highlight w:val="none"/>
              </w:rPr>
              <w:t>压力管道</w:t>
            </w:r>
          </w:p>
        </w:tc>
        <w:tc>
          <w:tcPr>
            <w:tcW w:w="980" w:type="dxa"/>
            <w:noWrap w:val="0"/>
            <w:vAlign w:val="center"/>
          </w:tcPr>
          <w:p w14:paraId="1506FD5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宋体" w:hAnsi="Times New Roman" w:eastAsia="宋体" w:cs="宋体"/>
                <w:sz w:val="21"/>
                <w:szCs w:val="21"/>
                <w:highlight w:val="none"/>
              </w:rPr>
            </w:pPr>
            <w:r>
              <w:rPr>
                <w:rFonts w:hint="eastAsia" w:ascii="宋体" w:hAnsi="Times New Roman" w:eastAsia="宋体" w:cs="宋体"/>
                <w:sz w:val="21"/>
                <w:szCs w:val="21"/>
                <w:highlight w:val="none"/>
                <w:lang w:val="en-US" w:eastAsia="zh-CN"/>
              </w:rPr>
              <w:t>5284</w:t>
            </w:r>
          </w:p>
        </w:tc>
        <w:tc>
          <w:tcPr>
            <w:tcW w:w="1100" w:type="dxa"/>
            <w:noWrap w:val="0"/>
            <w:vAlign w:val="center"/>
          </w:tcPr>
          <w:p w14:paraId="7831B6D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宋体" w:hAnsi="Times New Roman" w:eastAsia="宋体" w:cs="宋体"/>
                <w:sz w:val="21"/>
                <w:szCs w:val="21"/>
                <w:highlight w:val="none"/>
              </w:rPr>
            </w:pPr>
            <w:r>
              <w:rPr>
                <w:rFonts w:hint="eastAsia" w:ascii="宋体" w:hAnsi="Times New Roman" w:eastAsia="宋体" w:cs="宋体"/>
                <w:sz w:val="21"/>
                <w:szCs w:val="21"/>
                <w:highlight w:val="none"/>
                <w:lang w:val="en-US" w:eastAsia="zh-CN"/>
              </w:rPr>
              <w:t>m</w:t>
            </w:r>
          </w:p>
        </w:tc>
        <w:tc>
          <w:tcPr>
            <w:tcW w:w="3386" w:type="dxa"/>
            <w:noWrap w:val="0"/>
            <w:vAlign w:val="center"/>
          </w:tcPr>
          <w:p w14:paraId="4D21871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宋体" w:hAnsi="Times New Roman" w:eastAsia="宋体" w:cs="宋体"/>
                <w:sz w:val="21"/>
                <w:szCs w:val="21"/>
                <w:highlight w:val="none"/>
                <w:lang w:val="en-US"/>
              </w:rPr>
            </w:pPr>
            <w:r>
              <w:rPr>
                <w:rFonts w:hint="eastAsia" w:ascii="宋体" w:hAnsi="Times New Roman" w:eastAsia="宋体" w:cs="宋体"/>
                <w:sz w:val="21"/>
                <w:szCs w:val="21"/>
                <w:highlight w:val="none"/>
              </w:rPr>
              <w:t>经云南省特种设备安全检测研究院安装监督检验合格</w:t>
            </w:r>
            <w:r>
              <w:rPr>
                <w:rFonts w:hint="eastAsia" w:ascii="宋体" w:hAnsi="Times New Roman" w:eastAsia="宋体" w:cs="宋体"/>
                <w:sz w:val="21"/>
                <w:szCs w:val="21"/>
                <w:highlight w:val="none"/>
                <w:lang w:eastAsia="zh-CN"/>
              </w:rPr>
              <w:t>，</w:t>
            </w:r>
            <w:r>
              <w:rPr>
                <w:rFonts w:hint="eastAsia" w:ascii="宋体" w:hAnsi="Times New Roman" w:eastAsia="宋体" w:cs="宋体"/>
                <w:sz w:val="21"/>
                <w:szCs w:val="21"/>
                <w:highlight w:val="none"/>
                <w:lang w:val="en-US" w:eastAsia="zh-CN"/>
              </w:rPr>
              <w:t>报告编号Y(SY)-GDCJ-202506-1006</w:t>
            </w:r>
          </w:p>
        </w:tc>
      </w:tr>
    </w:tbl>
    <w:p w14:paraId="07AB3238">
      <w:pPr>
        <w:rPr>
          <w:rFonts w:hint="default" w:ascii="Times New Roman" w:hAnsi="Times New Roman" w:cs="Times New Roman"/>
          <w:color w:val="000000"/>
          <w:sz w:val="32"/>
          <w:szCs w:val="32"/>
        </w:rPr>
      </w:pPr>
    </w:p>
    <w:p w14:paraId="73F8BA77">
      <w:pPr>
        <w:rPr>
          <w:rFonts w:hint="default" w:ascii="Times New Roman" w:hAnsi="Times New Roman" w:cs="Times New Roman"/>
          <w:color w:val="000000"/>
          <w:sz w:val="32"/>
          <w:szCs w:val="32"/>
        </w:rPr>
        <w:sectPr>
          <w:pgSz w:w="11905" w:h="16838"/>
          <w:pgMar w:top="1417" w:right="1134" w:bottom="1134" w:left="1587" w:header="850" w:footer="680" w:gutter="0"/>
          <w:pgNumType w:fmt="decimal"/>
          <w:cols w:space="0" w:num="1"/>
          <w:rtlGutter w:val="0"/>
          <w:docGrid w:type="lines" w:linePitch="386" w:charSpace="0"/>
        </w:sectPr>
      </w:pPr>
    </w:p>
    <w:p w14:paraId="60F62806">
      <w:pPr>
        <w:pStyle w:val="3"/>
        <w:spacing w:line="500" w:lineRule="exact"/>
        <w:jc w:val="center"/>
        <w:rPr>
          <w:rFonts w:hint="default" w:ascii="黑体" w:hAnsi="黑体" w:eastAsia="黑体" w:cs="黑体"/>
          <w:snapToGrid w:val="0"/>
          <w:color w:val="000000"/>
          <w:kern w:val="0"/>
          <w:sz w:val="44"/>
          <w:szCs w:val="44"/>
        </w:rPr>
      </w:pPr>
      <w:bookmarkStart w:id="760" w:name="_Toc523055196"/>
      <w:bookmarkStart w:id="761" w:name="_Toc29077"/>
      <w:bookmarkStart w:id="762" w:name="_Toc7850"/>
      <w:r>
        <w:rPr>
          <w:rFonts w:hint="default" w:ascii="黑体" w:hAnsi="黑体" w:eastAsia="黑体" w:cs="黑体"/>
          <w:snapToGrid w:val="0"/>
          <w:color w:val="000000"/>
          <w:kern w:val="0"/>
          <w:sz w:val="44"/>
          <w:szCs w:val="44"/>
        </w:rPr>
        <w:t>附件2 选用的评价方法简介</w:t>
      </w:r>
      <w:bookmarkEnd w:id="760"/>
      <w:bookmarkEnd w:id="761"/>
      <w:bookmarkEnd w:id="762"/>
    </w:p>
    <w:p w14:paraId="37F297EA">
      <w:pPr>
        <w:pStyle w:val="4"/>
        <w:numPr>
          <w:ilvl w:val="1"/>
          <w:numId w:val="0"/>
        </w:numPr>
        <w:spacing w:before="193"/>
        <w:ind w:leftChars="0"/>
        <w:jc w:val="left"/>
        <w:rPr>
          <w:rFonts w:hint="eastAsia" w:ascii="黑体" w:hAnsi="黑体" w:eastAsia="黑体" w:cs="黑体"/>
          <w:b/>
          <w:bCs w:val="0"/>
          <w:color w:val="auto"/>
          <w:sz w:val="36"/>
          <w:szCs w:val="36"/>
          <w:lang w:val="en-US" w:eastAsia="zh-CN"/>
        </w:rPr>
      </w:pPr>
      <w:bookmarkStart w:id="763" w:name="_Toc523055197"/>
      <w:bookmarkStart w:id="764" w:name="_Toc24536"/>
      <w:bookmarkStart w:id="765" w:name="_Toc22691"/>
      <w:r>
        <w:rPr>
          <w:rFonts w:hint="eastAsia" w:ascii="黑体" w:hAnsi="黑体" w:eastAsia="黑体" w:cs="黑体"/>
          <w:b/>
          <w:bCs w:val="0"/>
          <w:color w:val="auto"/>
          <w:sz w:val="36"/>
          <w:szCs w:val="36"/>
          <w:lang w:val="en-US" w:eastAsia="zh-CN"/>
        </w:rPr>
        <w:t>2.1安全检查表法（SCA）</w:t>
      </w:r>
      <w:bookmarkEnd w:id="763"/>
      <w:bookmarkEnd w:id="764"/>
      <w:bookmarkEnd w:id="765"/>
    </w:p>
    <w:p w14:paraId="3B1F5D2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snapToGrid w:val="0"/>
          <w:color w:val="000000"/>
          <w:kern w:val="0"/>
          <w:sz w:val="28"/>
          <w:szCs w:val="28"/>
        </w:rPr>
      </w:pPr>
      <w:r>
        <w:rPr>
          <w:snapToGrid w:val="0"/>
          <w:color w:val="000000"/>
          <w:kern w:val="0"/>
          <w:sz w:val="28"/>
          <w:szCs w:val="28"/>
          <w:lang w:bidi="ar"/>
        </w:rPr>
        <w:t>在安全系统工程中，安全检查表法是安全管理中最基础、最初步的一种方法。对于给定系统来说，安全检查表不仅是实施安全检查和诊断的一种有效的工具，也是发现潜在危险，旨在预防的有效手段，同时还是查找事故原因的一种方法。安全检查表是一份进行安全检查或出了事故进行诊断的项目明细表，通常检查人员是根据现场工艺特点、生产装置情况、安全标准规范以及事故教训等进行周密考虑，将系统中需要查明的问题或需要检查的项目一一列在表上，以备安全检查和事故分析查询时使用。</w:t>
      </w:r>
    </w:p>
    <w:p w14:paraId="2B44684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snapToGrid w:val="0"/>
          <w:color w:val="000000"/>
          <w:kern w:val="0"/>
          <w:sz w:val="28"/>
          <w:szCs w:val="28"/>
        </w:rPr>
      </w:pPr>
      <w:r>
        <w:rPr>
          <w:snapToGrid w:val="0"/>
          <w:color w:val="000000"/>
          <w:kern w:val="0"/>
          <w:sz w:val="28"/>
          <w:szCs w:val="28"/>
          <w:lang w:bidi="ar"/>
        </w:rPr>
        <w:t>安全检查表的优点情况如下：</w:t>
      </w:r>
    </w:p>
    <w:p w14:paraId="4CD67A8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snapToGrid w:val="0"/>
          <w:color w:val="000000"/>
          <w:kern w:val="0"/>
          <w:sz w:val="28"/>
          <w:szCs w:val="28"/>
        </w:rPr>
      </w:pPr>
      <w:r>
        <w:rPr>
          <w:snapToGrid w:val="0"/>
          <w:color w:val="000000"/>
          <w:kern w:val="0"/>
          <w:sz w:val="28"/>
          <w:szCs w:val="28"/>
          <w:lang w:bidi="ar"/>
        </w:rPr>
        <w:t>1.避免传统的安全检查中易发生的疏忽、遗漏等弊端，可全面地查出危险、有害因素（包括各类隐患）和工作漏项。</w:t>
      </w:r>
    </w:p>
    <w:p w14:paraId="7C518B7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snapToGrid w:val="0"/>
          <w:color w:val="000000"/>
          <w:kern w:val="0"/>
          <w:sz w:val="28"/>
          <w:szCs w:val="28"/>
        </w:rPr>
      </w:pPr>
      <w:r>
        <w:rPr>
          <w:snapToGrid w:val="0"/>
          <w:color w:val="000000"/>
          <w:kern w:val="0"/>
          <w:sz w:val="28"/>
          <w:szCs w:val="28"/>
          <w:lang w:bidi="ar"/>
        </w:rPr>
        <w:t>2.应用预先编制的系统检查表并依据有关法规、标准在检查表中列出了检查要求，使检查工作标准化、规范化。</w:t>
      </w:r>
    </w:p>
    <w:p w14:paraId="4ADB9B64">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snapToGrid w:val="0"/>
          <w:color w:val="000000"/>
          <w:kern w:val="0"/>
          <w:sz w:val="28"/>
          <w:szCs w:val="28"/>
        </w:rPr>
      </w:pPr>
      <w:r>
        <w:rPr>
          <w:snapToGrid w:val="0"/>
          <w:color w:val="000000"/>
          <w:kern w:val="0"/>
          <w:sz w:val="28"/>
          <w:szCs w:val="28"/>
          <w:lang w:bidi="ar"/>
        </w:rPr>
        <w:t>3.对不同的检查对象、检查目的有不同的检查表，应用范围广。</w:t>
      </w:r>
    </w:p>
    <w:p w14:paraId="3BE4964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snapToGrid w:val="0"/>
          <w:color w:val="000000"/>
          <w:kern w:val="0"/>
          <w:sz w:val="28"/>
          <w:szCs w:val="28"/>
        </w:rPr>
      </w:pPr>
      <w:r>
        <w:rPr>
          <w:snapToGrid w:val="0"/>
          <w:color w:val="000000"/>
          <w:kern w:val="0"/>
          <w:sz w:val="28"/>
          <w:szCs w:val="28"/>
          <w:lang w:bidi="ar"/>
        </w:rPr>
        <w:t>4.安全检查表简明易懂、实用方便、易于掌握，能弥补有关人员知识、经验不足的缺陷，减少盲目性。</w:t>
      </w:r>
    </w:p>
    <w:p w14:paraId="14287DA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snapToGrid w:val="0"/>
          <w:color w:val="000000"/>
          <w:kern w:val="0"/>
          <w:sz w:val="28"/>
          <w:szCs w:val="28"/>
          <w:lang w:bidi="ar"/>
        </w:rPr>
      </w:pPr>
      <w:r>
        <w:rPr>
          <w:snapToGrid w:val="0"/>
          <w:color w:val="000000"/>
          <w:kern w:val="0"/>
          <w:sz w:val="28"/>
          <w:szCs w:val="28"/>
          <w:lang w:bidi="ar"/>
        </w:rPr>
        <w:t>5.检查人员依据安全检查表进行检查，检查结果即为履行职责的凭证。</w:t>
      </w:r>
    </w:p>
    <w:p w14:paraId="70B2907B">
      <w:pPr>
        <w:pStyle w:val="4"/>
        <w:numPr>
          <w:ilvl w:val="1"/>
          <w:numId w:val="0"/>
        </w:numPr>
        <w:spacing w:before="193"/>
        <w:ind w:leftChars="0"/>
        <w:jc w:val="left"/>
        <w:rPr>
          <w:rFonts w:hint="eastAsia" w:ascii="黑体" w:hAnsi="黑体" w:eastAsia="黑体" w:cs="黑体"/>
          <w:b/>
          <w:bCs w:val="0"/>
          <w:color w:val="auto"/>
          <w:sz w:val="36"/>
          <w:szCs w:val="36"/>
          <w:lang w:val="en-US" w:eastAsia="zh-CN"/>
        </w:rPr>
      </w:pPr>
      <w:bookmarkStart w:id="766" w:name="_Toc27181"/>
      <w:r>
        <w:rPr>
          <w:rFonts w:hint="eastAsia" w:ascii="黑体" w:hAnsi="黑体" w:eastAsia="黑体" w:cs="黑体"/>
          <w:b/>
          <w:bCs w:val="0"/>
          <w:color w:val="auto"/>
          <w:sz w:val="36"/>
          <w:szCs w:val="36"/>
          <w:lang w:val="en-US" w:eastAsia="zh-CN"/>
        </w:rPr>
        <w:t>2.2安全检查法：</w:t>
      </w:r>
      <w:bookmarkEnd w:id="766"/>
    </w:p>
    <w:p w14:paraId="7399A2F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Times New Roman" w:eastAsia="宋体" w:cs="宋体"/>
          <w:snapToGrid w:val="0"/>
          <w:color w:val="000000"/>
          <w:kern w:val="0"/>
          <w:sz w:val="28"/>
          <w:szCs w:val="28"/>
          <w:lang w:bidi="ar"/>
        </w:rPr>
      </w:pPr>
      <w:r>
        <w:rPr>
          <w:rFonts w:hint="eastAsia" w:ascii="宋体" w:hAnsi="Times New Roman" w:eastAsia="宋体" w:cs="宋体"/>
          <w:snapToGrid w:val="0"/>
          <w:color w:val="000000"/>
          <w:kern w:val="0"/>
          <w:sz w:val="28"/>
          <w:szCs w:val="28"/>
          <w:lang w:bidi="ar"/>
        </w:rPr>
        <w:t>安全检查主要用于对过程的设计、装置条件、实际生产过程以及维修等进行详细检查，以识别可能存在的危险性和有害性的一种人们普遍使用的方法。安全检查法经常用于识别可能导致人员伤亡、财产损失等安全生产事故的装置条件或操作程序，该方法适用于生产工艺过程的各个阶段。安全检查的目的：</w:t>
      </w:r>
    </w:p>
    <w:p w14:paraId="3B5CAAE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Times New Roman" w:eastAsia="宋体" w:cs="宋体"/>
          <w:snapToGrid w:val="0"/>
          <w:color w:val="000000"/>
          <w:kern w:val="0"/>
          <w:sz w:val="28"/>
          <w:szCs w:val="28"/>
          <w:lang w:bidi="ar"/>
        </w:rPr>
      </w:pPr>
      <w:r>
        <w:rPr>
          <w:rFonts w:ascii="宋体" w:hAnsi="Times New Roman" w:eastAsia="宋体" w:cs="宋体"/>
          <w:snapToGrid w:val="0"/>
          <w:color w:val="000000"/>
          <w:kern w:val="0"/>
          <w:sz w:val="28"/>
          <w:szCs w:val="28"/>
          <w:lang w:bidi="ar"/>
        </w:rPr>
        <w:t>1</w:t>
      </w:r>
      <w:r>
        <w:rPr>
          <w:rFonts w:hint="eastAsia" w:ascii="宋体" w:hAnsi="Times New Roman" w:eastAsia="宋体" w:cs="宋体"/>
          <w:snapToGrid w:val="0"/>
          <w:color w:val="000000"/>
          <w:kern w:val="0"/>
          <w:sz w:val="28"/>
          <w:szCs w:val="28"/>
          <w:lang w:bidi="ar"/>
        </w:rPr>
        <w:t>、发现建设工程（项目）或系统存在的危险有害因素。</w:t>
      </w:r>
    </w:p>
    <w:p w14:paraId="1A7065E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Times New Roman" w:eastAsia="宋体" w:cs="宋体"/>
          <w:snapToGrid w:val="0"/>
          <w:color w:val="000000"/>
          <w:kern w:val="0"/>
          <w:sz w:val="28"/>
          <w:szCs w:val="28"/>
          <w:lang w:bidi="ar"/>
        </w:rPr>
      </w:pPr>
      <w:r>
        <w:rPr>
          <w:rFonts w:ascii="宋体" w:hAnsi="Times New Roman" w:eastAsia="宋体" w:cs="宋体"/>
          <w:snapToGrid w:val="0"/>
          <w:color w:val="000000"/>
          <w:kern w:val="0"/>
          <w:sz w:val="28"/>
          <w:szCs w:val="28"/>
          <w:lang w:bidi="ar"/>
        </w:rPr>
        <w:t>2</w:t>
      </w:r>
      <w:r>
        <w:rPr>
          <w:rFonts w:hint="eastAsia" w:ascii="宋体" w:hAnsi="Times New Roman" w:eastAsia="宋体" w:cs="宋体"/>
          <w:snapToGrid w:val="0"/>
          <w:color w:val="000000"/>
          <w:kern w:val="0"/>
          <w:sz w:val="28"/>
          <w:szCs w:val="28"/>
          <w:lang w:bidi="ar"/>
        </w:rPr>
        <w:t>、分析危险有害因素可能引的事故和导致事故发生的条件，以便制定相应的安全对策措施，预防事故发生和控制事故影响范围，将事故损失降到最低。</w:t>
      </w:r>
    </w:p>
    <w:p w14:paraId="0D7CBF1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Times New Roman" w:eastAsia="宋体" w:cs="宋体"/>
          <w:snapToGrid w:val="0"/>
          <w:color w:val="000000"/>
          <w:kern w:val="0"/>
          <w:sz w:val="28"/>
          <w:szCs w:val="28"/>
          <w:lang w:bidi="ar"/>
        </w:rPr>
      </w:pPr>
      <w:r>
        <w:rPr>
          <w:rFonts w:hint="eastAsia" w:ascii="宋体" w:hAnsi="Times New Roman" w:eastAsia="宋体" w:cs="宋体"/>
          <w:snapToGrid w:val="0"/>
          <w:color w:val="000000"/>
          <w:kern w:val="0"/>
          <w:sz w:val="28"/>
          <w:szCs w:val="28"/>
          <w:lang w:bidi="ar"/>
        </w:rPr>
        <w:t>作为普遍采用的一种评价方法，安全检查法具有直观、简便、实用和能定性发现事故隐患，督促人们采取有效的安全技术和管理措施，预防事故发生的特点。但是，安全检查法的效果常与安全检查组成员组成以及成员的个人素质、开展检查的方法和手段等因素有着密切的关系。</w:t>
      </w:r>
    </w:p>
    <w:p w14:paraId="40B66DA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Times New Roman" w:eastAsia="宋体" w:cs="宋体"/>
          <w:snapToGrid w:val="0"/>
          <w:color w:val="000000"/>
          <w:kern w:val="0"/>
          <w:sz w:val="28"/>
          <w:szCs w:val="28"/>
          <w:lang w:bidi="ar"/>
        </w:rPr>
      </w:pPr>
      <w:r>
        <w:rPr>
          <w:rFonts w:hint="eastAsia" w:ascii="宋体" w:hAnsi="Times New Roman" w:eastAsia="宋体" w:cs="宋体"/>
          <w:snapToGrid w:val="0"/>
          <w:color w:val="000000"/>
          <w:kern w:val="0"/>
          <w:sz w:val="28"/>
          <w:szCs w:val="28"/>
          <w:lang w:bidi="ar"/>
        </w:rPr>
        <w:t>考虑到项目具有一般性，因此在本次安全评价中，主要是依据相关法律法规、技术标准、同类项目资料和事故案例等分析项目中的危险有害因素、审查建设项目的符合性并做出评价。</w:t>
      </w:r>
      <w:bookmarkStart w:id="767" w:name="_Toc420928714"/>
      <w:bookmarkStart w:id="768" w:name="_Toc196033053"/>
      <w:bookmarkStart w:id="769" w:name="_Toc62042234"/>
      <w:bookmarkStart w:id="770" w:name="_Toc510546451"/>
    </w:p>
    <w:bookmarkEnd w:id="767"/>
    <w:bookmarkEnd w:id="768"/>
    <w:bookmarkEnd w:id="769"/>
    <w:bookmarkEnd w:id="770"/>
    <w:p w14:paraId="314F4C39">
      <w:pPr>
        <w:pStyle w:val="4"/>
        <w:numPr>
          <w:ilvl w:val="1"/>
          <w:numId w:val="0"/>
        </w:numPr>
        <w:spacing w:before="193"/>
        <w:ind w:leftChars="0"/>
        <w:jc w:val="left"/>
        <w:rPr>
          <w:rFonts w:hint="default" w:ascii="黑体" w:hAnsi="黑体" w:eastAsia="黑体" w:cs="黑体"/>
          <w:b/>
          <w:bCs w:val="0"/>
          <w:color w:val="auto"/>
          <w:sz w:val="36"/>
          <w:szCs w:val="36"/>
          <w:lang w:val="en-US" w:eastAsia="zh-CN"/>
        </w:rPr>
      </w:pPr>
      <w:bookmarkStart w:id="771" w:name="_Toc449287798"/>
      <w:bookmarkStart w:id="772" w:name="_Toc4867"/>
      <w:bookmarkStart w:id="773" w:name="_Toc31809"/>
      <w:bookmarkStart w:id="774" w:name="_Toc4579"/>
      <w:bookmarkStart w:id="775" w:name="_Toc24770"/>
      <w:bookmarkStart w:id="776" w:name="_Toc23257"/>
      <w:bookmarkStart w:id="777" w:name="_Toc12904"/>
      <w:bookmarkStart w:id="778" w:name="_Toc364893714"/>
      <w:r>
        <w:rPr>
          <w:rFonts w:hint="default" w:ascii="黑体" w:hAnsi="黑体" w:eastAsia="黑体" w:cs="黑体"/>
          <w:b/>
          <w:bCs w:val="0"/>
          <w:color w:val="auto"/>
          <w:sz w:val="36"/>
          <w:szCs w:val="36"/>
          <w:lang w:val="en-US" w:eastAsia="zh-CN"/>
        </w:rPr>
        <w:t>2.</w:t>
      </w:r>
      <w:r>
        <w:rPr>
          <w:rFonts w:hint="eastAsia" w:ascii="黑体" w:hAnsi="黑体" w:eastAsia="黑体" w:cs="黑体"/>
          <w:b/>
          <w:bCs w:val="0"/>
          <w:color w:val="auto"/>
          <w:sz w:val="36"/>
          <w:szCs w:val="36"/>
          <w:lang w:val="en-US" w:eastAsia="zh-CN"/>
        </w:rPr>
        <w:t>3</w:t>
      </w:r>
      <w:r>
        <w:rPr>
          <w:rFonts w:hint="default" w:ascii="黑体" w:hAnsi="黑体" w:eastAsia="黑体" w:cs="黑体"/>
          <w:b/>
          <w:bCs w:val="0"/>
          <w:color w:val="auto"/>
          <w:sz w:val="36"/>
          <w:szCs w:val="36"/>
          <w:lang w:val="en-US" w:eastAsia="zh-CN"/>
        </w:rPr>
        <w:t>事故树分析法（FTA）简介</w:t>
      </w:r>
      <w:bookmarkEnd w:id="771"/>
      <w:bookmarkEnd w:id="772"/>
      <w:bookmarkEnd w:id="773"/>
      <w:bookmarkEnd w:id="774"/>
      <w:bookmarkEnd w:id="775"/>
      <w:bookmarkEnd w:id="776"/>
      <w:bookmarkEnd w:id="777"/>
      <w:bookmarkEnd w:id="778"/>
    </w:p>
    <w:p w14:paraId="3F677593">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rFonts w:hint="default" w:ascii="Times New Roman" w:hAnsi="Times New Roman" w:cs="Times New Roman"/>
          <w:snapToGrid w:val="0"/>
          <w:color w:val="000000"/>
          <w:kern w:val="0"/>
          <w:sz w:val="28"/>
          <w:szCs w:val="28"/>
        </w:rPr>
      </w:pPr>
      <w:r>
        <w:rPr>
          <w:rFonts w:hint="default" w:ascii="Times New Roman" w:hAnsi="Times New Roman" w:cs="Times New Roman"/>
          <w:snapToGrid w:val="0"/>
          <w:color w:val="000000"/>
          <w:kern w:val="0"/>
          <w:sz w:val="28"/>
          <w:szCs w:val="28"/>
        </w:rPr>
        <w:t>事故树分析是对既定的生产系统或作业中可能出现的事故条件及可能导致的灾害后果，按工艺流程、先后秩序和因果关系绘成程序方框图，表示导致灾害、伤害事故的各种因素间的逻辑关系。它由输入符号或关系符号组成，用以分析系统的安全问题或系统的运行功能问题，为判明灾害、伤害的发生途经及事故之间的关系，故障树分析法提供了一种最形象、最简洁的表达形式。</w:t>
      </w:r>
    </w:p>
    <w:p w14:paraId="1A94D733">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rFonts w:hint="default" w:ascii="Times New Roman" w:hAnsi="Times New Roman" w:cs="Times New Roman"/>
          <w:snapToGrid w:val="0"/>
          <w:color w:val="000000"/>
          <w:kern w:val="0"/>
          <w:sz w:val="28"/>
          <w:szCs w:val="28"/>
        </w:rPr>
      </w:pPr>
      <w:r>
        <w:rPr>
          <w:rFonts w:hint="default" w:ascii="Times New Roman" w:hAnsi="Times New Roman" w:cs="Times New Roman"/>
          <w:snapToGrid w:val="0"/>
          <w:color w:val="000000"/>
          <w:kern w:val="0"/>
          <w:sz w:val="28"/>
          <w:szCs w:val="28"/>
        </w:rPr>
        <w:t>事故树分析的基本程序如下：</w:t>
      </w:r>
    </w:p>
    <w:p w14:paraId="531A8630">
      <w:pPr>
        <w:keepNext w:val="0"/>
        <w:keepLines w:val="0"/>
        <w:pageBreakBefore w:val="0"/>
        <w:widowControl w:val="0"/>
        <w:numPr>
          <w:ilvl w:val="0"/>
          <w:numId w:val="32"/>
        </w:numPr>
        <w:tabs>
          <w:tab w:val="left" w:pos="851"/>
        </w:tabs>
        <w:kinsoku/>
        <w:wordWrap/>
        <w:overflowPunct/>
        <w:topLinePunct w:val="0"/>
        <w:autoSpaceDE/>
        <w:autoSpaceDN/>
        <w:bidi w:val="0"/>
        <w:snapToGrid w:val="0"/>
        <w:spacing w:line="360" w:lineRule="auto"/>
        <w:ind w:left="0" w:firstLine="560" w:firstLineChars="200"/>
        <w:textAlignment w:val="auto"/>
        <w:rPr>
          <w:rFonts w:hint="default" w:ascii="Times New Roman" w:hAnsi="Times New Roman" w:cs="Times New Roman"/>
          <w:color w:val="000000"/>
          <w:sz w:val="28"/>
        </w:rPr>
      </w:pPr>
      <w:r>
        <w:rPr>
          <w:rFonts w:hint="default" w:ascii="Times New Roman" w:hAnsi="Times New Roman" w:cs="Times New Roman"/>
          <w:color w:val="000000"/>
          <w:sz w:val="28"/>
        </w:rPr>
        <w:t>熟悉系统：要详细了解系统状态及各种参数，绘出工艺流程图或布置图。</w:t>
      </w:r>
    </w:p>
    <w:p w14:paraId="09DE2E92">
      <w:pPr>
        <w:keepNext w:val="0"/>
        <w:keepLines w:val="0"/>
        <w:pageBreakBefore w:val="0"/>
        <w:widowControl w:val="0"/>
        <w:numPr>
          <w:ilvl w:val="0"/>
          <w:numId w:val="32"/>
        </w:numPr>
        <w:tabs>
          <w:tab w:val="left" w:pos="851"/>
        </w:tabs>
        <w:kinsoku/>
        <w:wordWrap/>
        <w:overflowPunct/>
        <w:topLinePunct w:val="0"/>
        <w:autoSpaceDE/>
        <w:autoSpaceDN/>
        <w:bidi w:val="0"/>
        <w:snapToGrid w:val="0"/>
        <w:spacing w:line="360" w:lineRule="auto"/>
        <w:ind w:left="0" w:firstLine="560" w:firstLineChars="200"/>
        <w:textAlignment w:val="auto"/>
        <w:rPr>
          <w:rFonts w:hint="default" w:ascii="Times New Roman" w:hAnsi="Times New Roman" w:cs="Times New Roman"/>
          <w:color w:val="000000"/>
          <w:sz w:val="28"/>
        </w:rPr>
      </w:pPr>
      <w:r>
        <w:rPr>
          <w:rFonts w:hint="default" w:ascii="Times New Roman" w:hAnsi="Times New Roman" w:cs="Times New Roman"/>
          <w:color w:val="000000"/>
          <w:sz w:val="28"/>
        </w:rPr>
        <w:t>调查事故：收集事故案例，进行事故统计，设想给定系统可能要发生的事故。</w:t>
      </w:r>
    </w:p>
    <w:p w14:paraId="49CD8F73">
      <w:pPr>
        <w:keepNext w:val="0"/>
        <w:keepLines w:val="0"/>
        <w:pageBreakBefore w:val="0"/>
        <w:widowControl w:val="0"/>
        <w:numPr>
          <w:ilvl w:val="0"/>
          <w:numId w:val="32"/>
        </w:numPr>
        <w:tabs>
          <w:tab w:val="left" w:pos="851"/>
        </w:tabs>
        <w:kinsoku/>
        <w:wordWrap/>
        <w:overflowPunct/>
        <w:topLinePunct w:val="0"/>
        <w:autoSpaceDE/>
        <w:autoSpaceDN/>
        <w:bidi w:val="0"/>
        <w:snapToGrid w:val="0"/>
        <w:spacing w:line="360" w:lineRule="auto"/>
        <w:ind w:left="0" w:firstLine="560" w:firstLineChars="200"/>
        <w:textAlignment w:val="auto"/>
        <w:rPr>
          <w:rFonts w:hint="default" w:ascii="Times New Roman" w:hAnsi="Times New Roman" w:cs="Times New Roman"/>
          <w:color w:val="000000"/>
          <w:sz w:val="28"/>
        </w:rPr>
      </w:pPr>
      <w:r>
        <w:rPr>
          <w:rFonts w:hint="default" w:ascii="Times New Roman" w:hAnsi="Times New Roman" w:cs="Times New Roman"/>
          <w:color w:val="000000"/>
          <w:sz w:val="28"/>
        </w:rPr>
        <w:t>确定顶上事件：要分析的对象事件即为顶上事件。对所调查的事故进行全面分析，从中找出后果严重且较易发生的事故作为顶上事件。</w:t>
      </w:r>
    </w:p>
    <w:p w14:paraId="30ACA052">
      <w:pPr>
        <w:keepNext w:val="0"/>
        <w:keepLines w:val="0"/>
        <w:pageBreakBefore w:val="0"/>
        <w:widowControl w:val="0"/>
        <w:numPr>
          <w:ilvl w:val="0"/>
          <w:numId w:val="32"/>
        </w:numPr>
        <w:tabs>
          <w:tab w:val="left" w:pos="851"/>
        </w:tabs>
        <w:kinsoku/>
        <w:wordWrap/>
        <w:overflowPunct/>
        <w:topLinePunct w:val="0"/>
        <w:autoSpaceDE/>
        <w:autoSpaceDN/>
        <w:bidi w:val="0"/>
        <w:snapToGrid w:val="0"/>
        <w:spacing w:line="360" w:lineRule="auto"/>
        <w:ind w:left="0" w:firstLine="560" w:firstLineChars="200"/>
        <w:textAlignment w:val="auto"/>
        <w:rPr>
          <w:rFonts w:hint="default" w:ascii="Times New Roman" w:hAnsi="Times New Roman" w:cs="Times New Roman"/>
          <w:color w:val="000000"/>
          <w:sz w:val="28"/>
        </w:rPr>
      </w:pPr>
      <w:r>
        <w:rPr>
          <w:rFonts w:hint="default" w:ascii="Times New Roman" w:hAnsi="Times New Roman" w:cs="Times New Roman"/>
          <w:color w:val="000000"/>
          <w:sz w:val="28"/>
        </w:rPr>
        <w:t>确定目标值：根据经验教训和事故案例，经统计分析后，求解事故发生的概率（频率），作为要控制的事故目标值。</w:t>
      </w:r>
    </w:p>
    <w:p w14:paraId="58C0682E">
      <w:pPr>
        <w:keepNext w:val="0"/>
        <w:keepLines w:val="0"/>
        <w:pageBreakBefore w:val="0"/>
        <w:widowControl w:val="0"/>
        <w:numPr>
          <w:ilvl w:val="0"/>
          <w:numId w:val="32"/>
        </w:numPr>
        <w:tabs>
          <w:tab w:val="left" w:pos="851"/>
        </w:tabs>
        <w:kinsoku/>
        <w:wordWrap/>
        <w:overflowPunct/>
        <w:topLinePunct w:val="0"/>
        <w:autoSpaceDE/>
        <w:autoSpaceDN/>
        <w:bidi w:val="0"/>
        <w:snapToGrid w:val="0"/>
        <w:spacing w:line="360" w:lineRule="auto"/>
        <w:ind w:left="0" w:firstLine="560" w:firstLineChars="200"/>
        <w:textAlignment w:val="auto"/>
        <w:rPr>
          <w:rFonts w:hint="default" w:ascii="Times New Roman" w:hAnsi="Times New Roman" w:cs="Times New Roman"/>
          <w:color w:val="000000"/>
          <w:sz w:val="28"/>
        </w:rPr>
      </w:pPr>
      <w:r>
        <w:rPr>
          <w:rFonts w:hint="default" w:ascii="Times New Roman" w:hAnsi="Times New Roman" w:cs="Times New Roman"/>
          <w:color w:val="000000"/>
          <w:sz w:val="28"/>
        </w:rPr>
        <w:t>调查原因事件：调查与事故有关的所有原因事件和各种因素。</w:t>
      </w:r>
    </w:p>
    <w:p w14:paraId="4EBB091B">
      <w:pPr>
        <w:keepNext w:val="0"/>
        <w:keepLines w:val="0"/>
        <w:pageBreakBefore w:val="0"/>
        <w:widowControl w:val="0"/>
        <w:numPr>
          <w:ilvl w:val="0"/>
          <w:numId w:val="32"/>
        </w:numPr>
        <w:tabs>
          <w:tab w:val="left" w:pos="851"/>
        </w:tabs>
        <w:kinsoku/>
        <w:wordWrap/>
        <w:overflowPunct/>
        <w:topLinePunct w:val="0"/>
        <w:autoSpaceDE/>
        <w:autoSpaceDN/>
        <w:bidi w:val="0"/>
        <w:snapToGrid w:val="0"/>
        <w:spacing w:line="360" w:lineRule="auto"/>
        <w:ind w:left="0" w:firstLine="560" w:firstLineChars="200"/>
        <w:textAlignment w:val="auto"/>
        <w:rPr>
          <w:rFonts w:hint="default" w:ascii="Times New Roman" w:hAnsi="Times New Roman" w:cs="Times New Roman"/>
          <w:color w:val="000000"/>
          <w:sz w:val="28"/>
        </w:rPr>
      </w:pPr>
      <w:r>
        <w:rPr>
          <w:rFonts w:hint="default" w:ascii="Times New Roman" w:hAnsi="Times New Roman" w:cs="Times New Roman"/>
          <w:color w:val="000000"/>
          <w:sz w:val="28"/>
        </w:rPr>
        <w:t>画出事故树：从顶上事件起，逐级找出直接原因事件，到所要分析的深度，按其逻辑关系，画出事故树。</w:t>
      </w:r>
    </w:p>
    <w:p w14:paraId="15B7496F">
      <w:pPr>
        <w:keepNext w:val="0"/>
        <w:keepLines w:val="0"/>
        <w:pageBreakBefore w:val="0"/>
        <w:widowControl w:val="0"/>
        <w:numPr>
          <w:ilvl w:val="0"/>
          <w:numId w:val="32"/>
        </w:numPr>
        <w:tabs>
          <w:tab w:val="left" w:pos="851"/>
        </w:tabs>
        <w:kinsoku/>
        <w:wordWrap/>
        <w:overflowPunct/>
        <w:topLinePunct w:val="0"/>
        <w:autoSpaceDE/>
        <w:autoSpaceDN/>
        <w:bidi w:val="0"/>
        <w:snapToGrid w:val="0"/>
        <w:spacing w:line="360" w:lineRule="auto"/>
        <w:ind w:left="0" w:firstLine="560" w:firstLineChars="200"/>
        <w:textAlignment w:val="auto"/>
        <w:rPr>
          <w:rFonts w:hint="default" w:ascii="Times New Roman" w:hAnsi="Times New Roman" w:cs="Times New Roman"/>
          <w:color w:val="000000"/>
          <w:sz w:val="28"/>
        </w:rPr>
      </w:pPr>
      <w:r>
        <w:rPr>
          <w:rFonts w:hint="default" w:ascii="Times New Roman" w:hAnsi="Times New Roman" w:cs="Times New Roman"/>
          <w:color w:val="000000"/>
          <w:sz w:val="28"/>
        </w:rPr>
        <w:t>定性分析：按事故树结构进行简化，确定各基本事件的结构重要度。</w:t>
      </w:r>
    </w:p>
    <w:p w14:paraId="22130DC7">
      <w:pPr>
        <w:keepNext w:val="0"/>
        <w:keepLines w:val="0"/>
        <w:pageBreakBefore w:val="0"/>
        <w:widowControl w:val="0"/>
        <w:numPr>
          <w:ilvl w:val="0"/>
          <w:numId w:val="32"/>
        </w:numPr>
        <w:tabs>
          <w:tab w:val="left" w:pos="851"/>
        </w:tabs>
        <w:kinsoku/>
        <w:wordWrap/>
        <w:overflowPunct/>
        <w:topLinePunct w:val="0"/>
        <w:autoSpaceDE/>
        <w:autoSpaceDN/>
        <w:bidi w:val="0"/>
        <w:snapToGrid w:val="0"/>
        <w:spacing w:line="360" w:lineRule="auto"/>
        <w:ind w:left="0" w:firstLine="560" w:firstLineChars="200"/>
        <w:textAlignment w:val="auto"/>
        <w:rPr>
          <w:rFonts w:hint="default" w:ascii="Times New Roman" w:hAnsi="Times New Roman" w:cs="Times New Roman"/>
          <w:color w:val="000000"/>
          <w:sz w:val="28"/>
        </w:rPr>
      </w:pPr>
      <w:r>
        <w:rPr>
          <w:rFonts w:hint="default" w:ascii="Times New Roman" w:hAnsi="Times New Roman" w:cs="Times New Roman"/>
          <w:color w:val="000000"/>
          <w:sz w:val="28"/>
        </w:rPr>
        <w:t>求出事故发生概率：确定所有原因发生概率，标在事故树上，并进而求出顶上事件（事故）发生概率。</w:t>
      </w:r>
    </w:p>
    <w:p w14:paraId="4E916113">
      <w:pPr>
        <w:keepNext w:val="0"/>
        <w:keepLines w:val="0"/>
        <w:pageBreakBefore w:val="0"/>
        <w:widowControl w:val="0"/>
        <w:numPr>
          <w:ilvl w:val="0"/>
          <w:numId w:val="32"/>
        </w:numPr>
        <w:tabs>
          <w:tab w:val="left" w:pos="851"/>
        </w:tabs>
        <w:kinsoku/>
        <w:wordWrap/>
        <w:overflowPunct/>
        <w:topLinePunct w:val="0"/>
        <w:autoSpaceDE/>
        <w:autoSpaceDN/>
        <w:bidi w:val="0"/>
        <w:snapToGrid w:val="0"/>
        <w:spacing w:line="360" w:lineRule="auto"/>
        <w:ind w:left="0" w:firstLine="560" w:firstLineChars="200"/>
        <w:textAlignment w:val="auto"/>
        <w:rPr>
          <w:rFonts w:hint="default" w:ascii="Times New Roman" w:hAnsi="Times New Roman" w:cs="Times New Roman"/>
          <w:color w:val="000000"/>
          <w:sz w:val="28"/>
        </w:rPr>
      </w:pPr>
      <w:r>
        <w:rPr>
          <w:rFonts w:hint="default" w:ascii="Times New Roman" w:hAnsi="Times New Roman" w:cs="Times New Roman"/>
          <w:color w:val="000000"/>
          <w:sz w:val="28"/>
        </w:rPr>
        <w:t>进行比较：分可维修系统和不可维修系统进行讨论，前者要进行对比，后者求出顶上事件发生概率即可。</w:t>
      </w:r>
    </w:p>
    <w:p w14:paraId="440C4051">
      <w:pPr>
        <w:keepNext w:val="0"/>
        <w:keepLines w:val="0"/>
        <w:pageBreakBefore w:val="0"/>
        <w:widowControl w:val="0"/>
        <w:numPr>
          <w:ilvl w:val="0"/>
          <w:numId w:val="32"/>
        </w:numPr>
        <w:tabs>
          <w:tab w:val="left" w:pos="851"/>
          <w:tab w:val="left" w:pos="993"/>
        </w:tabs>
        <w:kinsoku/>
        <w:wordWrap/>
        <w:overflowPunct/>
        <w:topLinePunct w:val="0"/>
        <w:autoSpaceDE/>
        <w:autoSpaceDN/>
        <w:bidi w:val="0"/>
        <w:snapToGrid w:val="0"/>
        <w:spacing w:line="360" w:lineRule="auto"/>
        <w:ind w:left="0" w:firstLine="560" w:firstLineChars="200"/>
        <w:textAlignment w:val="auto"/>
        <w:rPr>
          <w:rFonts w:hint="default" w:ascii="Times New Roman" w:hAnsi="Times New Roman" w:cs="Times New Roman"/>
          <w:color w:val="000000"/>
          <w:sz w:val="28"/>
        </w:rPr>
      </w:pPr>
      <w:r>
        <w:rPr>
          <w:rFonts w:hint="default" w:ascii="Times New Roman" w:hAnsi="Times New Roman" w:cs="Times New Roman"/>
          <w:color w:val="000000"/>
          <w:sz w:val="28"/>
        </w:rPr>
        <w:t>定量分析：原则上是上述10个步骤，在分析时可视具体问题灵活掌握，如果事故树规模很大，可借助计算机进行。目前我国FTA一般都考虑到第7步进行定性分析为止，也能取得较好效果。</w:t>
      </w:r>
    </w:p>
    <w:p w14:paraId="29B1B0A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snapToGrid w:val="0"/>
          <w:color w:val="000000"/>
          <w:kern w:val="0"/>
          <w:sz w:val="28"/>
          <w:szCs w:val="28"/>
          <w:lang w:bidi="ar"/>
        </w:rPr>
        <w:sectPr>
          <w:pgSz w:w="11905" w:h="16838"/>
          <w:pgMar w:top="1417" w:right="1134" w:bottom="1134" w:left="1587" w:header="850" w:footer="680" w:gutter="0"/>
          <w:pgNumType w:fmt="decimal"/>
          <w:cols w:space="0" w:num="1"/>
          <w:rtlGutter w:val="0"/>
          <w:docGrid w:type="lines" w:linePitch="386" w:charSpace="0"/>
        </w:sectPr>
      </w:pPr>
    </w:p>
    <w:p w14:paraId="6EF86B61">
      <w:pPr>
        <w:pStyle w:val="3"/>
        <w:spacing w:line="500" w:lineRule="exact"/>
        <w:jc w:val="center"/>
        <w:rPr>
          <w:rFonts w:hint="default" w:ascii="黑体" w:hAnsi="黑体" w:eastAsia="黑体" w:cs="黑体"/>
          <w:snapToGrid w:val="0"/>
          <w:color w:val="000000"/>
          <w:kern w:val="0"/>
          <w:sz w:val="44"/>
          <w:szCs w:val="44"/>
        </w:rPr>
      </w:pPr>
      <w:bookmarkStart w:id="779" w:name="_Toc27820"/>
      <w:bookmarkStart w:id="780" w:name="_Toc1256"/>
      <w:r>
        <w:rPr>
          <w:rFonts w:hint="default" w:ascii="黑体" w:hAnsi="黑体" w:eastAsia="黑体" w:cs="黑体"/>
          <w:snapToGrid w:val="0"/>
          <w:color w:val="000000"/>
          <w:kern w:val="0"/>
          <w:sz w:val="44"/>
          <w:szCs w:val="44"/>
        </w:rPr>
        <w:t>附件3 定性、定量分析危险、有害程度的过程</w:t>
      </w:r>
      <w:bookmarkEnd w:id="779"/>
      <w:bookmarkEnd w:id="780"/>
    </w:p>
    <w:p w14:paraId="7A78BCBC">
      <w:pPr>
        <w:pStyle w:val="4"/>
        <w:keepNext/>
        <w:keepLines/>
        <w:pageBreakBefore w:val="0"/>
        <w:widowControl w:val="0"/>
        <w:numPr>
          <w:ilvl w:val="1"/>
          <w:numId w:val="0"/>
        </w:numPr>
        <w:kinsoku/>
        <w:wordWrap/>
        <w:overflowPunct/>
        <w:topLinePunct w:val="0"/>
        <w:autoSpaceDE/>
        <w:autoSpaceDN/>
        <w:bidi w:val="0"/>
        <w:adjustRightInd/>
        <w:snapToGrid w:val="0"/>
        <w:spacing w:before="193"/>
        <w:ind w:leftChars="0"/>
        <w:jc w:val="left"/>
        <w:textAlignment w:val="auto"/>
        <w:rPr>
          <w:rFonts w:hint="eastAsia" w:ascii="黑体" w:hAnsi="黑体" w:eastAsia="黑体" w:cs="黑体"/>
          <w:b/>
          <w:bCs w:val="0"/>
          <w:color w:val="auto"/>
          <w:sz w:val="36"/>
          <w:szCs w:val="36"/>
          <w:lang w:val="en-US" w:eastAsia="zh-CN"/>
        </w:rPr>
      </w:pPr>
      <w:bookmarkStart w:id="781" w:name="_Toc9787"/>
      <w:bookmarkStart w:id="782" w:name="_Toc523055200"/>
      <w:bookmarkStart w:id="783" w:name="_Toc8225"/>
      <w:bookmarkStart w:id="784" w:name="_Hlk522899576"/>
      <w:r>
        <w:rPr>
          <w:rFonts w:hint="eastAsia" w:ascii="黑体" w:hAnsi="黑体" w:eastAsia="黑体" w:cs="黑体"/>
          <w:b/>
          <w:bCs w:val="0"/>
          <w:color w:val="auto"/>
          <w:sz w:val="36"/>
          <w:szCs w:val="36"/>
          <w:lang w:val="en-US" w:eastAsia="zh-CN"/>
        </w:rPr>
        <w:t>3.1主要危险、有害因素辨识与分析过程</w:t>
      </w:r>
      <w:bookmarkEnd w:id="781"/>
      <w:bookmarkEnd w:id="782"/>
      <w:bookmarkEnd w:id="783"/>
      <w:bookmarkEnd w:id="784"/>
    </w:p>
    <w:p w14:paraId="0EDA787C">
      <w:pPr>
        <w:pStyle w:val="5"/>
        <w:keepNext/>
        <w:keepLines/>
        <w:pageBreakBefore w:val="0"/>
        <w:widowControl w:val="0"/>
        <w:numPr>
          <w:ilvl w:val="2"/>
          <w:numId w:val="0"/>
        </w:numPr>
        <w:kinsoku/>
        <w:wordWrap/>
        <w:overflowPunct/>
        <w:topLinePunct w:val="0"/>
        <w:autoSpaceDE/>
        <w:autoSpaceDN/>
        <w:bidi w:val="0"/>
        <w:adjustRightInd/>
        <w:snapToGrid w:val="0"/>
        <w:spacing w:line="360" w:lineRule="auto"/>
        <w:ind w:leftChars="100"/>
        <w:textAlignment w:val="auto"/>
        <w:rPr>
          <w:rFonts w:hint="default" w:ascii="Times New Roman" w:hAnsi="Times New Roman" w:eastAsia="黑体" w:cs="Times New Roman"/>
          <w:snapToGrid w:val="0"/>
          <w:color w:val="000000"/>
          <w:kern w:val="0"/>
          <w:sz w:val="32"/>
        </w:rPr>
      </w:pPr>
      <w:bookmarkStart w:id="785" w:name="_Toc19874"/>
      <w:bookmarkStart w:id="786" w:name="_Toc6131"/>
      <w:bookmarkStart w:id="787" w:name="_Toc213436468"/>
      <w:bookmarkStart w:id="788" w:name="_Toc17090"/>
      <w:bookmarkStart w:id="789" w:name="_Toc195889306"/>
      <w:bookmarkStart w:id="790" w:name="_Toc349511630"/>
      <w:bookmarkStart w:id="791" w:name="_Toc335511829"/>
      <w:bookmarkStart w:id="792" w:name="_Toc217055054"/>
      <w:bookmarkStart w:id="793" w:name="_Toc354667686"/>
      <w:bookmarkStart w:id="794" w:name="_Toc387488506"/>
      <w:bookmarkStart w:id="795" w:name="_Toc387703496"/>
      <w:bookmarkStart w:id="796" w:name="_Toc292639628"/>
      <w:bookmarkStart w:id="797" w:name="_Toc213436577"/>
      <w:bookmarkStart w:id="798" w:name="_Toc297653206"/>
      <w:bookmarkStart w:id="799" w:name="_Toc335599673"/>
      <w:bookmarkStart w:id="800" w:name="_Toc460364901"/>
      <w:bookmarkStart w:id="801" w:name="_Toc292639445"/>
      <w:bookmarkStart w:id="802" w:name="_Toc213744489"/>
      <w:bookmarkStart w:id="803" w:name="_Toc297416363"/>
      <w:bookmarkStart w:id="804" w:name="_Toc297452822"/>
      <w:bookmarkStart w:id="805" w:name="_Toc354667454"/>
      <w:r>
        <w:rPr>
          <w:rFonts w:hint="default" w:ascii="Times New Roman" w:hAnsi="Times New Roman" w:eastAsia="黑体" w:cs="Times New Roman"/>
          <w:snapToGrid w:val="0"/>
          <w:color w:val="000000"/>
          <w:kern w:val="0"/>
          <w:sz w:val="32"/>
        </w:rPr>
        <w:t>3.1.1主要危险、有害因素辨识与分析的目的</w:t>
      </w:r>
      <w:bookmarkEnd w:id="785"/>
      <w:bookmarkEnd w:id="786"/>
    </w:p>
    <w:p w14:paraId="358A63E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危险、有害因素辨识与分析是安全评价的基础。</w:t>
      </w:r>
    </w:p>
    <w:p w14:paraId="20244CB1">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cs="Times New Roman"/>
          <w:color w:val="000000"/>
          <w:sz w:val="28"/>
        </w:rPr>
      </w:pPr>
      <w:r>
        <w:rPr>
          <w:rFonts w:hint="default" w:ascii="Times New Roman" w:hAnsi="Times New Roman" w:cs="Times New Roman"/>
          <w:color w:val="000000"/>
          <w:sz w:val="28"/>
        </w:rPr>
        <w:t>危险因素是指系统（人、机械、材料、设施、工艺、环境）中存在的，能对人造成伤亡或对物造成突发性损害的因素。</w:t>
      </w:r>
    </w:p>
    <w:p w14:paraId="0DAFFF1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cs="Times New Roman"/>
          <w:color w:val="000000"/>
          <w:sz w:val="28"/>
        </w:rPr>
      </w:pPr>
      <w:r>
        <w:rPr>
          <w:rFonts w:hint="default" w:ascii="Times New Roman" w:hAnsi="Times New Roman" w:cs="Times New Roman"/>
          <w:color w:val="000000"/>
          <w:sz w:val="28"/>
        </w:rPr>
        <w:t>有害因素是指影响人的身体健康，导致疾病，或对物造成慢性损害的因素。</w:t>
      </w:r>
    </w:p>
    <w:p w14:paraId="1DA71C5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cs="Times New Roman"/>
          <w:color w:val="000000"/>
          <w:sz w:val="28"/>
        </w:rPr>
      </w:pPr>
      <w:r>
        <w:rPr>
          <w:rFonts w:hint="default" w:ascii="Times New Roman" w:hAnsi="Times New Roman" w:cs="Times New Roman"/>
          <w:color w:val="000000"/>
          <w:sz w:val="28"/>
        </w:rPr>
        <w:t>通常情况下，二者不加以区分而统称为危险、有害因素，主要指客观存在的危险、有害物质或能量超过一定限值的设备、设施和场所等。</w:t>
      </w:r>
    </w:p>
    <w:p w14:paraId="2E03032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主要危险、有害因素的识别，就是找出生产、经营过程中最有可能引发重大事故，导致不良后果的人、机、物、工艺、环境和组织等，识别可能发生的事故、后果和条件，以便采取预防和控制措施。</w:t>
      </w:r>
    </w:p>
    <w:p w14:paraId="28D756A0">
      <w:pPr>
        <w:pStyle w:val="5"/>
        <w:keepNext/>
        <w:keepLines/>
        <w:pageBreakBefore w:val="0"/>
        <w:widowControl w:val="0"/>
        <w:numPr>
          <w:ilvl w:val="2"/>
          <w:numId w:val="0"/>
        </w:numPr>
        <w:kinsoku/>
        <w:wordWrap/>
        <w:overflowPunct/>
        <w:topLinePunct w:val="0"/>
        <w:autoSpaceDE/>
        <w:autoSpaceDN/>
        <w:bidi w:val="0"/>
        <w:adjustRightInd/>
        <w:snapToGrid w:val="0"/>
        <w:spacing w:line="360" w:lineRule="auto"/>
        <w:ind w:leftChars="100"/>
        <w:textAlignment w:val="auto"/>
        <w:rPr>
          <w:rFonts w:hint="default" w:ascii="Times New Roman" w:hAnsi="Times New Roman" w:eastAsia="黑体" w:cs="Times New Roman"/>
          <w:snapToGrid w:val="0"/>
          <w:color w:val="000000"/>
          <w:kern w:val="0"/>
          <w:sz w:val="32"/>
        </w:rPr>
      </w:pPr>
      <w:bookmarkStart w:id="806" w:name="_Toc4595"/>
      <w:bookmarkStart w:id="807" w:name="_Toc191729707"/>
      <w:bookmarkStart w:id="808" w:name="_Toc191728147"/>
      <w:bookmarkStart w:id="809" w:name="_Toc191730003"/>
      <w:bookmarkStart w:id="810" w:name="_Toc208398706"/>
      <w:bookmarkStart w:id="811" w:name="_Toc194389911"/>
      <w:bookmarkStart w:id="812" w:name="_Toc121910215"/>
      <w:bookmarkStart w:id="813" w:name="_Toc17507"/>
      <w:r>
        <w:rPr>
          <w:rFonts w:hint="default" w:ascii="Times New Roman" w:hAnsi="Times New Roman" w:eastAsia="黑体" w:cs="Times New Roman"/>
          <w:snapToGrid w:val="0"/>
          <w:color w:val="000000"/>
          <w:kern w:val="0"/>
          <w:sz w:val="32"/>
        </w:rPr>
        <w:t>3.1.2辨识与分析的方法</w:t>
      </w:r>
      <w:bookmarkEnd w:id="806"/>
      <w:bookmarkEnd w:id="807"/>
      <w:bookmarkEnd w:id="808"/>
      <w:bookmarkEnd w:id="809"/>
      <w:bookmarkEnd w:id="810"/>
      <w:bookmarkEnd w:id="811"/>
      <w:bookmarkEnd w:id="812"/>
      <w:bookmarkEnd w:id="813"/>
    </w:p>
    <w:p w14:paraId="58C47B7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本报告对危险、有害因素的辨识方法，是根据</w:t>
      </w:r>
      <w:r>
        <w:rPr>
          <w:rFonts w:hint="default" w:ascii="Times New Roman" w:hAnsi="Times New Roman" w:eastAsia="宋体" w:cs="Times New Roman"/>
          <w:color w:val="000000"/>
          <w:sz w:val="28"/>
          <w:szCs w:val="28"/>
          <w:lang w:eastAsia="zh-CN"/>
        </w:rPr>
        <w:t>本</w:t>
      </w:r>
      <w:r>
        <w:rPr>
          <w:rFonts w:hint="default" w:ascii="Times New Roman" w:hAnsi="Times New Roman" w:eastAsia="宋体" w:cs="Times New Roman"/>
          <w:color w:val="000000"/>
          <w:sz w:val="28"/>
          <w:szCs w:val="28"/>
        </w:rPr>
        <w:t>项目涉及的各物料的危险特性、工艺、设备和安全管理等方面进行分析，以辨识项目在生产过程中存在的主要危险、有害因素。</w:t>
      </w:r>
    </w:p>
    <w:p w14:paraId="449CAF24">
      <w:pPr>
        <w:pStyle w:val="5"/>
        <w:keepNext/>
        <w:keepLines/>
        <w:pageBreakBefore w:val="0"/>
        <w:widowControl w:val="0"/>
        <w:numPr>
          <w:ilvl w:val="2"/>
          <w:numId w:val="0"/>
        </w:numPr>
        <w:kinsoku/>
        <w:wordWrap/>
        <w:overflowPunct/>
        <w:topLinePunct w:val="0"/>
        <w:autoSpaceDE/>
        <w:autoSpaceDN/>
        <w:bidi w:val="0"/>
        <w:adjustRightInd/>
        <w:snapToGrid w:val="0"/>
        <w:spacing w:line="360" w:lineRule="auto"/>
        <w:ind w:leftChars="100"/>
        <w:textAlignment w:val="auto"/>
        <w:rPr>
          <w:rFonts w:hint="default" w:ascii="Times New Roman" w:hAnsi="Times New Roman" w:eastAsia="黑体" w:cs="Times New Roman"/>
          <w:snapToGrid w:val="0"/>
          <w:color w:val="000000"/>
          <w:kern w:val="0"/>
          <w:sz w:val="32"/>
        </w:rPr>
      </w:pPr>
      <w:bookmarkStart w:id="814" w:name="_Toc96760970"/>
      <w:bookmarkStart w:id="815" w:name="_Toc87589398"/>
      <w:bookmarkStart w:id="816" w:name="_Toc87774356"/>
      <w:bookmarkStart w:id="817" w:name="_Toc84829701"/>
      <w:bookmarkStart w:id="818" w:name="_Toc88228691"/>
      <w:bookmarkStart w:id="819" w:name="_Toc84838492"/>
      <w:bookmarkStart w:id="820" w:name="_Toc96760725"/>
      <w:bookmarkStart w:id="821" w:name="_Toc84909160"/>
      <w:bookmarkStart w:id="822" w:name="_Toc88254466"/>
      <w:bookmarkStart w:id="823" w:name="_Toc86631513"/>
      <w:bookmarkStart w:id="824" w:name="_Toc88254725"/>
      <w:bookmarkStart w:id="825" w:name="_Toc96761105"/>
      <w:bookmarkStart w:id="826" w:name="_Toc96759953"/>
      <w:bookmarkStart w:id="827" w:name="_Toc194389912"/>
      <w:bookmarkStart w:id="828" w:name="_Toc191730004"/>
      <w:bookmarkStart w:id="829" w:name="_Toc191729708"/>
      <w:bookmarkStart w:id="830" w:name="_Toc12594"/>
      <w:bookmarkStart w:id="831" w:name="_Toc208398707"/>
      <w:bookmarkStart w:id="832" w:name="_Toc4724"/>
      <w:bookmarkStart w:id="833" w:name="_Toc191728148"/>
      <w:r>
        <w:rPr>
          <w:rFonts w:hint="default" w:ascii="Times New Roman" w:hAnsi="Times New Roman" w:eastAsia="黑体" w:cs="Times New Roman"/>
          <w:snapToGrid w:val="0"/>
          <w:color w:val="000000"/>
          <w:kern w:val="0"/>
          <w:sz w:val="32"/>
        </w:rPr>
        <w:t>3.</w:t>
      </w:r>
      <w:bookmarkEnd w:id="814"/>
      <w:bookmarkEnd w:id="815"/>
      <w:bookmarkEnd w:id="816"/>
      <w:bookmarkEnd w:id="817"/>
      <w:bookmarkEnd w:id="818"/>
      <w:bookmarkEnd w:id="819"/>
      <w:bookmarkEnd w:id="820"/>
      <w:bookmarkEnd w:id="821"/>
      <w:bookmarkEnd w:id="822"/>
      <w:bookmarkEnd w:id="823"/>
      <w:bookmarkEnd w:id="824"/>
      <w:bookmarkEnd w:id="825"/>
      <w:bookmarkEnd w:id="826"/>
      <w:r>
        <w:rPr>
          <w:rFonts w:hint="default" w:ascii="Times New Roman" w:hAnsi="Times New Roman" w:eastAsia="黑体" w:cs="Times New Roman"/>
          <w:snapToGrid w:val="0"/>
          <w:color w:val="000000"/>
          <w:kern w:val="0"/>
          <w:sz w:val="32"/>
        </w:rPr>
        <w:t>1.3危险、有害因素产生的原因</w:t>
      </w:r>
      <w:bookmarkEnd w:id="827"/>
      <w:bookmarkEnd w:id="828"/>
      <w:bookmarkEnd w:id="829"/>
      <w:bookmarkEnd w:id="830"/>
      <w:bookmarkEnd w:id="831"/>
      <w:bookmarkEnd w:id="832"/>
      <w:bookmarkEnd w:id="833"/>
    </w:p>
    <w:p w14:paraId="0A1B987B">
      <w:pPr>
        <w:pStyle w:val="6"/>
        <w:keepNext/>
        <w:keepLines/>
        <w:pageBreakBefore w:val="0"/>
        <w:widowControl w:val="0"/>
        <w:numPr>
          <w:ilvl w:val="2"/>
          <w:numId w:val="0"/>
        </w:numPr>
        <w:tabs>
          <w:tab w:val="left" w:pos="931"/>
        </w:tabs>
        <w:kinsoku/>
        <w:wordWrap/>
        <w:overflowPunct/>
        <w:topLinePunct w:val="0"/>
        <w:autoSpaceDE/>
        <w:autoSpaceDN/>
        <w:bidi w:val="0"/>
        <w:adjustRightInd/>
        <w:snapToGrid w:val="0"/>
        <w:spacing w:line="360" w:lineRule="auto"/>
        <w:ind w:leftChars="100"/>
        <w:textAlignment w:val="auto"/>
        <w:outlineLvl w:val="3"/>
        <w:rPr>
          <w:rFonts w:hint="default" w:ascii="Times New Roman" w:hAnsi="Times New Roman" w:eastAsia="黑体" w:cs="Times New Roman"/>
          <w:snapToGrid w:val="0"/>
          <w:color w:val="000000"/>
          <w:kern w:val="0"/>
          <w:sz w:val="28"/>
          <w:szCs w:val="28"/>
        </w:rPr>
      </w:pPr>
      <w:bookmarkStart w:id="834" w:name="_Toc208398708"/>
      <w:bookmarkStart w:id="835" w:name="_Toc191730005"/>
      <w:bookmarkStart w:id="836" w:name="_Toc191728149"/>
      <w:bookmarkStart w:id="837" w:name="_Toc191729709"/>
      <w:bookmarkStart w:id="838" w:name="_Toc194389913"/>
      <w:r>
        <w:rPr>
          <w:rFonts w:hint="default" w:ascii="Times New Roman" w:hAnsi="Times New Roman" w:eastAsia="黑体" w:cs="Times New Roman"/>
          <w:snapToGrid w:val="0"/>
          <w:color w:val="000000"/>
          <w:kern w:val="0"/>
          <w:sz w:val="28"/>
          <w:szCs w:val="28"/>
        </w:rPr>
        <w:t>3.1.3.1运行失控与设备故障</w:t>
      </w:r>
      <w:bookmarkEnd w:id="834"/>
      <w:bookmarkEnd w:id="835"/>
      <w:bookmarkEnd w:id="836"/>
      <w:bookmarkEnd w:id="837"/>
      <w:bookmarkEnd w:id="838"/>
    </w:p>
    <w:p w14:paraId="3A007BDF">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运行失控是指装置运行过程中偏离或超过了正常的工艺技术条件，出现危险状态。故障是指设备、元件等在运行过程中由于性能低下而不能实现预期功能的现象。在生产过程中运行失控故障的发生是可能的，故障具有随机性和突发性，故障的发生一般是随机事件。造成故障发生的原因很复杂（如设计、制造、安装、腐蚀、疲劳、检查和维修保养、人员失误、环境及其它系统的影响等），但故障发生的规律是可知的，通过定期检查、维修、保养可使故障在预定期间内得到控制、避免、减少。</w:t>
      </w:r>
    </w:p>
    <w:p w14:paraId="1DD34C24">
      <w:pPr>
        <w:pStyle w:val="6"/>
        <w:keepNext/>
        <w:keepLines/>
        <w:pageBreakBefore w:val="0"/>
        <w:widowControl w:val="0"/>
        <w:numPr>
          <w:ilvl w:val="2"/>
          <w:numId w:val="0"/>
        </w:numPr>
        <w:tabs>
          <w:tab w:val="left" w:pos="931"/>
        </w:tabs>
        <w:kinsoku/>
        <w:wordWrap/>
        <w:overflowPunct/>
        <w:topLinePunct w:val="0"/>
        <w:autoSpaceDE/>
        <w:autoSpaceDN/>
        <w:bidi w:val="0"/>
        <w:adjustRightInd/>
        <w:snapToGrid w:val="0"/>
        <w:spacing w:line="360" w:lineRule="auto"/>
        <w:ind w:leftChars="100"/>
        <w:textAlignment w:val="auto"/>
        <w:outlineLvl w:val="3"/>
        <w:rPr>
          <w:rFonts w:hint="default" w:ascii="Times New Roman" w:hAnsi="Times New Roman" w:eastAsia="黑体" w:cs="Times New Roman"/>
          <w:snapToGrid w:val="0"/>
          <w:color w:val="000000"/>
          <w:kern w:val="0"/>
          <w:sz w:val="28"/>
          <w:szCs w:val="28"/>
          <w:lang w:val="en-US" w:eastAsia="zh-CN"/>
        </w:rPr>
      </w:pPr>
      <w:bookmarkStart w:id="839" w:name="_Toc191728150"/>
      <w:bookmarkStart w:id="840" w:name="_Toc191729710"/>
      <w:bookmarkStart w:id="841" w:name="_Toc194389914"/>
      <w:bookmarkStart w:id="842" w:name="_Toc208398709"/>
      <w:bookmarkStart w:id="843" w:name="_Toc191730006"/>
      <w:r>
        <w:rPr>
          <w:rFonts w:hint="default" w:ascii="Times New Roman" w:hAnsi="Times New Roman" w:eastAsia="黑体" w:cs="Times New Roman"/>
          <w:snapToGrid w:val="0"/>
          <w:color w:val="000000"/>
          <w:kern w:val="0"/>
          <w:sz w:val="28"/>
          <w:szCs w:val="28"/>
          <w:lang w:val="en-US" w:eastAsia="zh-CN"/>
        </w:rPr>
        <w:t>3.1.3.2人员失误</w:t>
      </w:r>
      <w:bookmarkEnd w:id="839"/>
      <w:bookmarkEnd w:id="840"/>
      <w:bookmarkEnd w:id="841"/>
      <w:bookmarkEnd w:id="842"/>
      <w:bookmarkEnd w:id="843"/>
    </w:p>
    <w:p w14:paraId="1E7C148E">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人员失误系指不安全行为（指职工在劳动过程中违反劳动纪律、操作程序、方法等具有危险性的作法）产生不良后果的行为。人员失误在生产过程中是不可避免的，它具有随机性和偶然性，往往是不可预测的意外行为。影响人员失误的因素很多，但发生人员失误的规律和失误率通过大量的观测、统计分析是可以预测的。</w:t>
      </w:r>
    </w:p>
    <w:p w14:paraId="655AF1C4">
      <w:pPr>
        <w:pStyle w:val="6"/>
        <w:keepNext/>
        <w:keepLines/>
        <w:pageBreakBefore w:val="0"/>
        <w:widowControl w:val="0"/>
        <w:numPr>
          <w:ilvl w:val="2"/>
          <w:numId w:val="0"/>
        </w:numPr>
        <w:tabs>
          <w:tab w:val="left" w:pos="931"/>
        </w:tabs>
        <w:kinsoku/>
        <w:wordWrap/>
        <w:overflowPunct/>
        <w:topLinePunct w:val="0"/>
        <w:autoSpaceDE/>
        <w:autoSpaceDN/>
        <w:bidi w:val="0"/>
        <w:adjustRightInd/>
        <w:snapToGrid w:val="0"/>
        <w:spacing w:line="360" w:lineRule="auto"/>
        <w:ind w:leftChars="100"/>
        <w:textAlignment w:val="auto"/>
        <w:outlineLvl w:val="3"/>
        <w:rPr>
          <w:rFonts w:hint="default" w:ascii="Times New Roman" w:hAnsi="Times New Roman" w:eastAsia="黑体" w:cs="Times New Roman"/>
          <w:snapToGrid w:val="0"/>
          <w:color w:val="000000"/>
          <w:kern w:val="0"/>
          <w:sz w:val="28"/>
          <w:szCs w:val="28"/>
          <w:lang w:val="en-US" w:eastAsia="zh-CN"/>
        </w:rPr>
      </w:pPr>
      <w:bookmarkStart w:id="844" w:name="_Toc191730007"/>
      <w:bookmarkStart w:id="845" w:name="_Toc194389915"/>
      <w:bookmarkStart w:id="846" w:name="_Toc208398710"/>
      <w:bookmarkStart w:id="847" w:name="_Toc191729711"/>
      <w:bookmarkStart w:id="848" w:name="_Toc191728151"/>
      <w:r>
        <w:rPr>
          <w:rFonts w:hint="default" w:ascii="Times New Roman" w:hAnsi="Times New Roman" w:eastAsia="黑体" w:cs="Times New Roman"/>
          <w:snapToGrid w:val="0"/>
          <w:color w:val="000000"/>
          <w:kern w:val="0"/>
          <w:sz w:val="28"/>
          <w:szCs w:val="28"/>
          <w:lang w:val="en-US" w:eastAsia="zh-CN"/>
        </w:rPr>
        <w:t>3.1.3.3管理缺陷</w:t>
      </w:r>
      <w:bookmarkEnd w:id="844"/>
      <w:bookmarkEnd w:id="845"/>
      <w:bookmarkEnd w:id="846"/>
      <w:bookmarkEnd w:id="847"/>
      <w:bookmarkEnd w:id="848"/>
    </w:p>
    <w:p w14:paraId="000209C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安全管理是为保证及时、有效地实现既定的安全目标，是在预测、分析的基础上进行的计划、组织、协调、检查等工作，是预防故障和人员失误发生的有效手段，因此，管理缺陷是影响运行失控发生的重要因素。</w:t>
      </w:r>
    </w:p>
    <w:p w14:paraId="653BA271">
      <w:pPr>
        <w:pStyle w:val="6"/>
        <w:keepNext/>
        <w:keepLines/>
        <w:pageBreakBefore w:val="0"/>
        <w:widowControl w:val="0"/>
        <w:numPr>
          <w:ilvl w:val="2"/>
          <w:numId w:val="0"/>
        </w:numPr>
        <w:tabs>
          <w:tab w:val="left" w:pos="931"/>
        </w:tabs>
        <w:kinsoku/>
        <w:wordWrap/>
        <w:overflowPunct/>
        <w:topLinePunct w:val="0"/>
        <w:autoSpaceDE/>
        <w:autoSpaceDN/>
        <w:bidi w:val="0"/>
        <w:adjustRightInd/>
        <w:snapToGrid w:val="0"/>
        <w:spacing w:line="360" w:lineRule="auto"/>
        <w:ind w:leftChars="100"/>
        <w:textAlignment w:val="auto"/>
        <w:outlineLvl w:val="3"/>
        <w:rPr>
          <w:rFonts w:hint="default" w:ascii="Times New Roman" w:hAnsi="Times New Roman" w:eastAsia="黑体" w:cs="Times New Roman"/>
          <w:snapToGrid w:val="0"/>
          <w:color w:val="000000"/>
          <w:kern w:val="0"/>
          <w:sz w:val="28"/>
          <w:szCs w:val="28"/>
          <w:lang w:val="en-US" w:eastAsia="zh-CN"/>
        </w:rPr>
      </w:pPr>
      <w:r>
        <w:rPr>
          <w:rFonts w:hint="default" w:ascii="Times New Roman" w:hAnsi="Times New Roman" w:eastAsia="黑体" w:cs="Times New Roman"/>
          <w:snapToGrid w:val="0"/>
          <w:color w:val="000000"/>
          <w:kern w:val="0"/>
          <w:sz w:val="28"/>
          <w:szCs w:val="28"/>
          <w:lang w:val="en-US" w:eastAsia="zh-CN"/>
        </w:rPr>
        <w:t>3.1.3.4环境因素</w:t>
      </w:r>
    </w:p>
    <w:p w14:paraId="60BDB30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不良环境的影响包括自然环境和作业环境。作业环境如温度、湿度、通风、照明、噪声、采光等因素的变化均可能导致人的情绪异常而引发误操作，从而引发事故；自然环境如风、雨、雷电、水文地质条件等均可能引发安全事故。</w:t>
      </w:r>
    </w:p>
    <w:p w14:paraId="5E56D923">
      <w:pPr>
        <w:pStyle w:val="5"/>
        <w:keepNext/>
        <w:keepLines/>
        <w:pageBreakBefore w:val="0"/>
        <w:widowControl w:val="0"/>
        <w:numPr>
          <w:ilvl w:val="2"/>
          <w:numId w:val="0"/>
        </w:numPr>
        <w:kinsoku/>
        <w:wordWrap/>
        <w:overflowPunct/>
        <w:topLinePunct w:val="0"/>
        <w:autoSpaceDE/>
        <w:autoSpaceDN/>
        <w:bidi w:val="0"/>
        <w:adjustRightInd/>
        <w:snapToGrid w:val="0"/>
        <w:spacing w:line="360" w:lineRule="auto"/>
        <w:ind w:leftChars="100"/>
        <w:textAlignment w:val="auto"/>
        <w:rPr>
          <w:rFonts w:hint="default" w:ascii="Times New Roman" w:hAnsi="Times New Roman" w:eastAsia="黑体" w:cs="Times New Roman"/>
          <w:snapToGrid w:val="0"/>
          <w:color w:val="000000"/>
          <w:kern w:val="0"/>
          <w:sz w:val="32"/>
          <w:lang w:val="en-US" w:eastAsia="zh-CN"/>
        </w:rPr>
      </w:pPr>
      <w:bookmarkStart w:id="849" w:name="_Toc120607105"/>
      <w:bookmarkStart w:id="850" w:name="_Toc208398711"/>
      <w:bookmarkStart w:id="851" w:name="_Toc191730008"/>
      <w:bookmarkStart w:id="852" w:name="_Toc17169"/>
      <w:bookmarkStart w:id="853" w:name="_Toc191728152"/>
      <w:bookmarkStart w:id="854" w:name="_Toc191729712"/>
      <w:bookmarkStart w:id="855" w:name="_Toc22224"/>
      <w:bookmarkStart w:id="856" w:name="_Toc194389916"/>
      <w:r>
        <w:rPr>
          <w:rFonts w:hint="default" w:ascii="Times New Roman" w:hAnsi="Times New Roman" w:eastAsia="黑体" w:cs="Times New Roman"/>
          <w:snapToGrid w:val="0"/>
          <w:color w:val="000000"/>
          <w:kern w:val="0"/>
          <w:sz w:val="32"/>
          <w:lang w:val="en-US" w:eastAsia="zh-CN"/>
        </w:rPr>
        <w:t>3.1.4主要</w:t>
      </w:r>
      <w:bookmarkEnd w:id="849"/>
      <w:r>
        <w:rPr>
          <w:rFonts w:hint="default" w:ascii="Times New Roman" w:hAnsi="Times New Roman" w:eastAsia="黑体" w:cs="Times New Roman"/>
          <w:snapToGrid w:val="0"/>
          <w:color w:val="000000"/>
          <w:kern w:val="0"/>
          <w:sz w:val="32"/>
          <w:lang w:val="en-US" w:eastAsia="zh-CN"/>
        </w:rPr>
        <w:t>危险、有害物质辨识</w:t>
      </w:r>
      <w:bookmarkEnd w:id="850"/>
      <w:bookmarkEnd w:id="851"/>
      <w:bookmarkEnd w:id="852"/>
      <w:bookmarkEnd w:id="853"/>
      <w:bookmarkEnd w:id="854"/>
      <w:bookmarkEnd w:id="855"/>
      <w:bookmarkEnd w:id="856"/>
    </w:p>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p w14:paraId="0DC19C51">
      <w:pPr>
        <w:pStyle w:val="6"/>
        <w:keepNext/>
        <w:keepLines/>
        <w:pageBreakBefore w:val="0"/>
        <w:widowControl w:val="0"/>
        <w:numPr>
          <w:ilvl w:val="2"/>
          <w:numId w:val="0"/>
        </w:numPr>
        <w:tabs>
          <w:tab w:val="left" w:pos="931"/>
        </w:tabs>
        <w:kinsoku/>
        <w:wordWrap/>
        <w:overflowPunct/>
        <w:topLinePunct w:val="0"/>
        <w:autoSpaceDE/>
        <w:autoSpaceDN/>
        <w:bidi w:val="0"/>
        <w:adjustRightInd/>
        <w:snapToGrid w:val="0"/>
        <w:spacing w:line="360" w:lineRule="auto"/>
        <w:ind w:leftChars="100"/>
        <w:textAlignment w:val="auto"/>
        <w:outlineLvl w:val="3"/>
        <w:rPr>
          <w:rFonts w:hint="default" w:ascii="Times New Roman" w:hAnsi="Times New Roman" w:eastAsia="黑体" w:cs="Times New Roman"/>
          <w:snapToGrid w:val="0"/>
          <w:color w:val="000000"/>
          <w:kern w:val="0"/>
          <w:sz w:val="28"/>
          <w:szCs w:val="28"/>
          <w:lang w:val="en-US" w:eastAsia="zh-CN"/>
        </w:rPr>
      </w:pPr>
      <w:bookmarkStart w:id="857" w:name="_Toc191729713"/>
      <w:bookmarkStart w:id="858" w:name="_Toc208398712"/>
      <w:bookmarkStart w:id="859" w:name="_Toc191728153"/>
      <w:bookmarkStart w:id="860" w:name="_Toc191730009"/>
      <w:bookmarkStart w:id="861" w:name="_Toc194389917"/>
      <w:bookmarkStart w:id="862" w:name="_Toc210062835"/>
      <w:bookmarkStart w:id="863" w:name="_Toc354667688"/>
      <w:bookmarkStart w:id="864" w:name="_Toc254436253"/>
      <w:bookmarkStart w:id="865" w:name="_Toc387488508"/>
      <w:bookmarkStart w:id="866" w:name="_Toc335985683"/>
      <w:bookmarkStart w:id="867" w:name="_Toc198837946"/>
      <w:bookmarkStart w:id="868" w:name="_Toc246779968"/>
      <w:bookmarkStart w:id="869" w:name="_Toc238231140"/>
      <w:bookmarkStart w:id="870" w:name="_Toc238230949"/>
      <w:bookmarkStart w:id="871" w:name="_Toc387703498"/>
      <w:bookmarkStart w:id="872" w:name="_Toc246774715"/>
      <w:bookmarkStart w:id="873" w:name="_Toc354667456"/>
      <w:bookmarkStart w:id="874" w:name="_Toc216116265"/>
      <w:bookmarkStart w:id="875" w:name="_Toc247034052"/>
      <w:bookmarkStart w:id="876" w:name="_Toc254514793"/>
      <w:bookmarkStart w:id="877" w:name="_Toc460364903"/>
      <w:bookmarkStart w:id="878" w:name="_Toc195889308"/>
      <w:bookmarkStart w:id="879" w:name="_Toc337543039"/>
      <w:bookmarkStart w:id="880" w:name="_Toc349511632"/>
      <w:bookmarkStart w:id="881" w:name="_Toc195889451"/>
      <w:bookmarkStart w:id="882" w:name="_Toc346708594"/>
      <w:bookmarkStart w:id="883" w:name="_Toc238230566"/>
      <w:bookmarkStart w:id="884" w:name="_Toc230529441"/>
      <w:bookmarkStart w:id="885" w:name="_Toc238491700"/>
      <w:bookmarkStart w:id="886" w:name="_Toc241856837"/>
      <w:r>
        <w:rPr>
          <w:rFonts w:hint="default" w:ascii="Times New Roman" w:hAnsi="Times New Roman" w:eastAsia="黑体" w:cs="Times New Roman"/>
          <w:snapToGrid w:val="0"/>
          <w:color w:val="000000"/>
          <w:kern w:val="0"/>
          <w:sz w:val="28"/>
          <w:szCs w:val="28"/>
          <w:lang w:val="en-US" w:eastAsia="zh-CN"/>
        </w:rPr>
        <w:t>3.1.4.1主要危险、有害物质辨识</w:t>
      </w:r>
      <w:bookmarkEnd w:id="857"/>
      <w:bookmarkEnd w:id="858"/>
      <w:bookmarkEnd w:id="859"/>
      <w:bookmarkEnd w:id="860"/>
      <w:bookmarkEnd w:id="861"/>
    </w:p>
    <w:p w14:paraId="03C3BB8D">
      <w:pPr>
        <w:adjustRightInd w:val="0"/>
        <w:ind w:firstLine="560" w:firstLineChars="200"/>
        <w:jc w:val="left"/>
        <w:rPr>
          <w:rFonts w:hint="eastAsia" w:ascii="Times New Roman" w:hAnsi="Times New Roman"/>
          <w:color w:val="auto"/>
          <w:kern w:val="3"/>
          <w:sz w:val="28"/>
          <w:szCs w:val="28"/>
        </w:rPr>
        <w:sectPr>
          <w:pgSz w:w="11905" w:h="16838"/>
          <w:pgMar w:top="1417" w:right="1134" w:bottom="1134" w:left="1587" w:header="850" w:footer="680" w:gutter="0"/>
          <w:pgNumType w:fmt="decimal"/>
          <w:cols w:space="0" w:num="1"/>
          <w:rtlGutter w:val="0"/>
          <w:docGrid w:type="lines" w:linePitch="386" w:charSpace="0"/>
        </w:sectPr>
      </w:pPr>
      <w:r>
        <w:rPr>
          <w:rFonts w:hint="eastAsia"/>
        </w:rPr>
        <w:t>本项目外管廊主要输送介质包含中压蒸汽、生活水、工艺水、脱盐水、消防水、氟硅酸、浓硫酸、再浆水、稀硫酸、渣浆水、过滤机洗水等。</w:t>
      </w:r>
      <w:r>
        <w:rPr>
          <w:rFonts w:hint="eastAsia" w:ascii="Times New Roman" w:hAnsi="Times New Roman"/>
          <w:color w:val="auto"/>
          <w:kern w:val="3"/>
          <w:sz w:val="28"/>
          <w:szCs w:val="28"/>
        </w:rPr>
        <w:t>根据《危险化学品目录（20</w:t>
      </w:r>
      <w:r>
        <w:rPr>
          <w:rFonts w:ascii="Times New Roman" w:hAnsi="Times New Roman"/>
          <w:color w:val="auto"/>
          <w:kern w:val="3"/>
          <w:sz w:val="28"/>
          <w:szCs w:val="28"/>
        </w:rPr>
        <w:t>22</w:t>
      </w:r>
      <w:r>
        <w:rPr>
          <w:rFonts w:hint="eastAsia" w:ascii="Times New Roman" w:hAnsi="Times New Roman"/>
          <w:color w:val="auto"/>
          <w:kern w:val="3"/>
          <w:sz w:val="28"/>
          <w:szCs w:val="28"/>
        </w:rPr>
        <w:t>调整版）》，本项目外管廊输送的物料涉及的危险化学品包括：氟硅酸、浓硫酸、稀硫酸，具体理化特性详见下表等，分布情况见下表：</w:t>
      </w:r>
    </w:p>
    <w:p w14:paraId="78B1FF8F">
      <w:pPr>
        <w:adjustRightInd w:val="0"/>
        <w:jc w:val="center"/>
        <w:rPr>
          <w:rFonts w:ascii="Times New Roman" w:hAnsi="Times New Roman"/>
          <w:b/>
          <w:color w:val="auto"/>
          <w:kern w:val="3"/>
          <w:sz w:val="24"/>
          <w:szCs w:val="24"/>
        </w:rPr>
      </w:pPr>
      <w:r>
        <w:rPr>
          <w:rFonts w:ascii="Times New Roman" w:hAnsi="Times New Roman"/>
          <w:b/>
          <w:color w:val="auto"/>
          <w:kern w:val="3"/>
          <w:sz w:val="24"/>
          <w:szCs w:val="24"/>
        </w:rPr>
        <w:t>附表</w:t>
      </w:r>
      <w:r>
        <w:rPr>
          <w:rFonts w:hint="eastAsia" w:ascii="Times New Roman"/>
          <w:b/>
          <w:color w:val="auto"/>
          <w:kern w:val="3"/>
          <w:sz w:val="24"/>
          <w:szCs w:val="24"/>
          <w:lang w:val="en-US" w:eastAsia="zh-CN"/>
        </w:rPr>
        <w:t>3.1</w:t>
      </w:r>
      <w:r>
        <w:rPr>
          <w:rFonts w:hint="eastAsia" w:ascii="Times New Roman" w:hAnsi="Times New Roman"/>
          <w:b/>
          <w:color w:val="auto"/>
          <w:kern w:val="3"/>
          <w:sz w:val="24"/>
          <w:szCs w:val="24"/>
        </w:rPr>
        <w:t>-1项目涉及危险化学品的主要危险特性及所在主要场所</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475"/>
        <w:gridCol w:w="1303"/>
        <w:gridCol w:w="346"/>
        <w:gridCol w:w="545"/>
        <w:gridCol w:w="718"/>
        <w:gridCol w:w="491"/>
        <w:gridCol w:w="946"/>
        <w:gridCol w:w="1463"/>
        <w:gridCol w:w="852"/>
        <w:gridCol w:w="675"/>
        <w:gridCol w:w="1149"/>
      </w:tblGrid>
      <w:tr w14:paraId="5A73E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233" w:type="pct"/>
            <w:vAlign w:val="center"/>
          </w:tcPr>
          <w:p w14:paraId="522A2AFD">
            <w:pPr>
              <w:keepNext w:val="0"/>
              <w:keepLines w:val="0"/>
              <w:pageBreakBefore w:val="0"/>
              <w:kinsoku/>
              <w:wordWrap/>
              <w:overflowPunct/>
              <w:topLinePunct w:val="0"/>
              <w:autoSpaceDE/>
              <w:autoSpaceDN/>
              <w:bidi w:val="0"/>
              <w:snapToGrid w:val="0"/>
              <w:spacing w:line="240" w:lineRule="auto"/>
              <w:jc w:val="center"/>
              <w:textAlignment w:val="auto"/>
              <w:rPr>
                <w:rFonts w:hAnsi="宋体"/>
                <w:b/>
                <w:color w:val="auto"/>
                <w:sz w:val="21"/>
              </w:rPr>
            </w:pPr>
            <w:r>
              <w:rPr>
                <w:rFonts w:hint="eastAsia" w:hAnsi="宋体"/>
                <w:b/>
                <w:color w:val="auto"/>
                <w:sz w:val="21"/>
              </w:rPr>
              <w:t>序号</w:t>
            </w:r>
          </w:p>
        </w:tc>
        <w:tc>
          <w:tcPr>
            <w:tcW w:w="253" w:type="pct"/>
            <w:vAlign w:val="center"/>
          </w:tcPr>
          <w:p w14:paraId="483DB842">
            <w:pPr>
              <w:keepNext w:val="0"/>
              <w:keepLines w:val="0"/>
              <w:pageBreakBefore w:val="0"/>
              <w:kinsoku/>
              <w:wordWrap/>
              <w:overflowPunct/>
              <w:topLinePunct w:val="0"/>
              <w:autoSpaceDE/>
              <w:autoSpaceDN/>
              <w:bidi w:val="0"/>
              <w:snapToGrid w:val="0"/>
              <w:spacing w:line="240" w:lineRule="auto"/>
              <w:jc w:val="center"/>
              <w:textAlignment w:val="auto"/>
              <w:rPr>
                <w:rFonts w:hAnsi="宋体"/>
                <w:b/>
                <w:color w:val="auto"/>
                <w:sz w:val="21"/>
              </w:rPr>
            </w:pPr>
            <w:r>
              <w:rPr>
                <w:rFonts w:hint="eastAsia" w:hAnsi="宋体"/>
                <w:b/>
                <w:color w:val="auto"/>
                <w:sz w:val="21"/>
              </w:rPr>
              <w:t>名称</w:t>
            </w:r>
          </w:p>
        </w:tc>
        <w:tc>
          <w:tcPr>
            <w:tcW w:w="693" w:type="pct"/>
            <w:vAlign w:val="center"/>
          </w:tcPr>
          <w:p w14:paraId="3CF4EC97">
            <w:pPr>
              <w:keepNext w:val="0"/>
              <w:keepLines w:val="0"/>
              <w:pageBreakBefore w:val="0"/>
              <w:kinsoku/>
              <w:wordWrap/>
              <w:overflowPunct/>
              <w:topLinePunct w:val="0"/>
              <w:autoSpaceDE/>
              <w:autoSpaceDN/>
              <w:bidi w:val="0"/>
              <w:snapToGrid w:val="0"/>
              <w:spacing w:line="240" w:lineRule="auto"/>
              <w:jc w:val="center"/>
              <w:textAlignment w:val="auto"/>
              <w:rPr>
                <w:rFonts w:hAnsi="宋体"/>
                <w:b/>
                <w:color w:val="auto"/>
                <w:sz w:val="21"/>
              </w:rPr>
            </w:pPr>
            <w:r>
              <w:rPr>
                <w:rFonts w:hint="eastAsia" w:hAnsi="宋体"/>
                <w:b/>
                <w:color w:val="auto"/>
                <w:sz w:val="21"/>
              </w:rPr>
              <w:t>危险性类别</w:t>
            </w:r>
          </w:p>
        </w:tc>
        <w:tc>
          <w:tcPr>
            <w:tcW w:w="184" w:type="pct"/>
            <w:vAlign w:val="center"/>
          </w:tcPr>
          <w:p w14:paraId="33E40016">
            <w:pPr>
              <w:keepNext w:val="0"/>
              <w:keepLines w:val="0"/>
              <w:pageBreakBefore w:val="0"/>
              <w:kinsoku/>
              <w:wordWrap/>
              <w:overflowPunct/>
              <w:topLinePunct w:val="0"/>
              <w:autoSpaceDE/>
              <w:autoSpaceDN/>
              <w:bidi w:val="0"/>
              <w:snapToGrid w:val="0"/>
              <w:spacing w:line="240" w:lineRule="auto"/>
              <w:jc w:val="center"/>
              <w:textAlignment w:val="auto"/>
              <w:rPr>
                <w:rFonts w:hAnsi="宋体"/>
                <w:b/>
                <w:color w:val="auto"/>
                <w:sz w:val="21"/>
              </w:rPr>
            </w:pPr>
            <w:r>
              <w:rPr>
                <w:rFonts w:hint="eastAsia" w:hAnsi="宋体"/>
                <w:b/>
                <w:color w:val="auto"/>
                <w:sz w:val="21"/>
              </w:rPr>
              <w:t>闪点℃</w:t>
            </w:r>
          </w:p>
        </w:tc>
        <w:tc>
          <w:tcPr>
            <w:tcW w:w="290" w:type="pct"/>
            <w:vAlign w:val="center"/>
          </w:tcPr>
          <w:p w14:paraId="15BBBEAD">
            <w:pPr>
              <w:keepNext w:val="0"/>
              <w:keepLines w:val="0"/>
              <w:pageBreakBefore w:val="0"/>
              <w:kinsoku/>
              <w:wordWrap/>
              <w:overflowPunct/>
              <w:topLinePunct w:val="0"/>
              <w:autoSpaceDE/>
              <w:autoSpaceDN/>
              <w:bidi w:val="0"/>
              <w:snapToGrid w:val="0"/>
              <w:spacing w:line="240" w:lineRule="auto"/>
              <w:jc w:val="center"/>
              <w:textAlignment w:val="auto"/>
              <w:rPr>
                <w:rFonts w:hAnsi="宋体"/>
                <w:b/>
                <w:color w:val="auto"/>
                <w:sz w:val="21"/>
              </w:rPr>
            </w:pPr>
            <w:r>
              <w:rPr>
                <w:rFonts w:hint="eastAsia" w:hAnsi="宋体"/>
                <w:b/>
                <w:color w:val="auto"/>
                <w:sz w:val="21"/>
              </w:rPr>
              <w:t>爆炸下限%</w:t>
            </w:r>
          </w:p>
        </w:tc>
        <w:tc>
          <w:tcPr>
            <w:tcW w:w="382" w:type="pct"/>
            <w:vAlign w:val="center"/>
          </w:tcPr>
          <w:p w14:paraId="1B408E3F">
            <w:pPr>
              <w:keepNext w:val="0"/>
              <w:keepLines w:val="0"/>
              <w:pageBreakBefore w:val="0"/>
              <w:kinsoku/>
              <w:wordWrap/>
              <w:overflowPunct/>
              <w:topLinePunct w:val="0"/>
              <w:autoSpaceDE/>
              <w:autoSpaceDN/>
              <w:bidi w:val="0"/>
              <w:snapToGrid w:val="0"/>
              <w:spacing w:line="240" w:lineRule="auto"/>
              <w:jc w:val="center"/>
              <w:textAlignment w:val="auto"/>
              <w:rPr>
                <w:rFonts w:hAnsi="宋体"/>
                <w:b/>
                <w:color w:val="auto"/>
                <w:sz w:val="21"/>
              </w:rPr>
            </w:pPr>
            <w:r>
              <w:rPr>
                <w:rFonts w:hint="eastAsia" w:hAnsi="宋体"/>
                <w:b/>
                <w:color w:val="auto"/>
                <w:sz w:val="21"/>
              </w:rPr>
              <w:t>爆炸上限%</w:t>
            </w:r>
          </w:p>
        </w:tc>
        <w:tc>
          <w:tcPr>
            <w:tcW w:w="261" w:type="pct"/>
            <w:vAlign w:val="center"/>
          </w:tcPr>
          <w:p w14:paraId="596589DB">
            <w:pPr>
              <w:keepNext w:val="0"/>
              <w:keepLines w:val="0"/>
              <w:pageBreakBefore w:val="0"/>
              <w:kinsoku/>
              <w:wordWrap/>
              <w:overflowPunct/>
              <w:topLinePunct w:val="0"/>
              <w:autoSpaceDE/>
              <w:autoSpaceDN/>
              <w:bidi w:val="0"/>
              <w:snapToGrid w:val="0"/>
              <w:spacing w:line="240" w:lineRule="auto"/>
              <w:jc w:val="center"/>
              <w:textAlignment w:val="auto"/>
              <w:rPr>
                <w:rFonts w:hAnsi="宋体"/>
                <w:b/>
                <w:color w:val="auto"/>
                <w:sz w:val="21"/>
              </w:rPr>
            </w:pPr>
            <w:r>
              <w:rPr>
                <w:rFonts w:hint="eastAsia" w:hAnsi="宋体"/>
                <w:b/>
                <w:color w:val="auto"/>
                <w:sz w:val="21"/>
              </w:rPr>
              <w:t>火灾危险类别</w:t>
            </w:r>
          </w:p>
        </w:tc>
        <w:tc>
          <w:tcPr>
            <w:tcW w:w="503" w:type="pct"/>
            <w:vAlign w:val="center"/>
          </w:tcPr>
          <w:p w14:paraId="37A12493">
            <w:pPr>
              <w:keepNext w:val="0"/>
              <w:keepLines w:val="0"/>
              <w:pageBreakBefore w:val="0"/>
              <w:kinsoku/>
              <w:wordWrap/>
              <w:overflowPunct/>
              <w:topLinePunct w:val="0"/>
              <w:autoSpaceDE/>
              <w:autoSpaceDN/>
              <w:bidi w:val="0"/>
              <w:snapToGrid w:val="0"/>
              <w:spacing w:line="240" w:lineRule="auto"/>
              <w:jc w:val="center"/>
              <w:textAlignment w:val="auto"/>
              <w:rPr>
                <w:rFonts w:hAnsi="宋体"/>
                <w:b/>
                <w:color w:val="auto"/>
                <w:sz w:val="21"/>
              </w:rPr>
            </w:pPr>
            <w:r>
              <w:rPr>
                <w:rFonts w:hint="eastAsia" w:hAnsi="宋体"/>
                <w:b/>
                <w:color w:val="auto"/>
                <w:sz w:val="21"/>
              </w:rPr>
              <w:t>毒性</w:t>
            </w:r>
          </w:p>
        </w:tc>
        <w:tc>
          <w:tcPr>
            <w:tcW w:w="778" w:type="pct"/>
            <w:vAlign w:val="center"/>
          </w:tcPr>
          <w:p w14:paraId="6868591E">
            <w:pPr>
              <w:keepNext w:val="0"/>
              <w:keepLines w:val="0"/>
              <w:pageBreakBefore w:val="0"/>
              <w:kinsoku/>
              <w:wordWrap/>
              <w:overflowPunct/>
              <w:topLinePunct w:val="0"/>
              <w:autoSpaceDE/>
              <w:autoSpaceDN/>
              <w:bidi w:val="0"/>
              <w:snapToGrid w:val="0"/>
              <w:spacing w:line="240" w:lineRule="auto"/>
              <w:jc w:val="center"/>
              <w:textAlignment w:val="auto"/>
              <w:rPr>
                <w:rFonts w:hAnsi="宋体"/>
                <w:b/>
                <w:color w:val="auto"/>
                <w:sz w:val="21"/>
              </w:rPr>
            </w:pPr>
            <w:r>
              <w:rPr>
                <w:rFonts w:hint="eastAsia" w:hAnsi="宋体"/>
                <w:b/>
                <w:color w:val="auto"/>
                <w:sz w:val="21"/>
              </w:rPr>
              <w:t>危险特性</w:t>
            </w:r>
          </w:p>
        </w:tc>
        <w:tc>
          <w:tcPr>
            <w:tcW w:w="453" w:type="pct"/>
            <w:vAlign w:val="center"/>
          </w:tcPr>
          <w:p w14:paraId="537D506B">
            <w:pPr>
              <w:keepNext w:val="0"/>
              <w:keepLines w:val="0"/>
              <w:pageBreakBefore w:val="0"/>
              <w:kinsoku/>
              <w:wordWrap/>
              <w:overflowPunct/>
              <w:topLinePunct w:val="0"/>
              <w:autoSpaceDE/>
              <w:autoSpaceDN/>
              <w:bidi w:val="0"/>
              <w:snapToGrid w:val="0"/>
              <w:spacing w:line="240" w:lineRule="auto"/>
              <w:jc w:val="center"/>
              <w:textAlignment w:val="auto"/>
              <w:rPr>
                <w:rFonts w:hAnsi="宋体"/>
                <w:b/>
                <w:color w:val="auto"/>
                <w:sz w:val="21"/>
              </w:rPr>
            </w:pPr>
            <w:r>
              <w:rPr>
                <w:rFonts w:hint="eastAsia" w:hAnsi="宋体"/>
                <w:b/>
                <w:color w:val="auto"/>
                <w:sz w:val="21"/>
              </w:rPr>
              <w:t>CAS号</w:t>
            </w:r>
          </w:p>
        </w:tc>
        <w:tc>
          <w:tcPr>
            <w:tcW w:w="359" w:type="pct"/>
            <w:vAlign w:val="center"/>
          </w:tcPr>
          <w:p w14:paraId="3E4524BF">
            <w:pPr>
              <w:keepNext w:val="0"/>
              <w:keepLines w:val="0"/>
              <w:pageBreakBefore w:val="0"/>
              <w:kinsoku/>
              <w:wordWrap/>
              <w:overflowPunct/>
              <w:topLinePunct w:val="0"/>
              <w:autoSpaceDE/>
              <w:autoSpaceDN/>
              <w:bidi w:val="0"/>
              <w:snapToGrid w:val="0"/>
              <w:spacing w:line="240" w:lineRule="auto"/>
              <w:jc w:val="center"/>
              <w:textAlignment w:val="auto"/>
              <w:rPr>
                <w:rFonts w:hAnsi="宋体"/>
                <w:b/>
                <w:color w:val="auto"/>
                <w:sz w:val="21"/>
              </w:rPr>
            </w:pPr>
            <w:r>
              <w:rPr>
                <w:rFonts w:hint="eastAsia" w:hAnsi="宋体"/>
                <w:b/>
                <w:color w:val="auto"/>
                <w:sz w:val="21"/>
              </w:rPr>
              <w:t>分布场所</w:t>
            </w:r>
          </w:p>
        </w:tc>
        <w:tc>
          <w:tcPr>
            <w:tcW w:w="611" w:type="pct"/>
            <w:vAlign w:val="center"/>
          </w:tcPr>
          <w:p w14:paraId="30A9232D">
            <w:pPr>
              <w:keepNext w:val="0"/>
              <w:keepLines w:val="0"/>
              <w:pageBreakBefore w:val="0"/>
              <w:kinsoku/>
              <w:wordWrap/>
              <w:overflowPunct/>
              <w:topLinePunct w:val="0"/>
              <w:autoSpaceDE/>
              <w:autoSpaceDN/>
              <w:bidi w:val="0"/>
              <w:snapToGrid w:val="0"/>
              <w:spacing w:line="240" w:lineRule="auto"/>
              <w:jc w:val="center"/>
              <w:textAlignment w:val="auto"/>
              <w:rPr>
                <w:rFonts w:hAnsi="宋体"/>
                <w:b/>
                <w:color w:val="auto"/>
                <w:sz w:val="21"/>
              </w:rPr>
            </w:pPr>
            <w:r>
              <w:rPr>
                <w:rFonts w:hint="eastAsia" w:hAnsi="宋体"/>
                <w:b/>
                <w:color w:val="auto"/>
                <w:sz w:val="21"/>
              </w:rPr>
              <w:t>用途</w:t>
            </w:r>
          </w:p>
        </w:tc>
      </w:tr>
      <w:tr w14:paraId="40F06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3" w:type="pct"/>
            <w:vAlign w:val="center"/>
          </w:tcPr>
          <w:p w14:paraId="7F6ED818">
            <w:pPr>
              <w:keepNext w:val="0"/>
              <w:keepLines w:val="0"/>
              <w:pageBreakBefore w:val="0"/>
              <w:numPr>
                <w:ilvl w:val="0"/>
                <w:numId w:val="33"/>
              </w:numPr>
              <w:kinsoku/>
              <w:wordWrap/>
              <w:overflowPunct/>
              <w:topLinePunct w:val="0"/>
              <w:autoSpaceDE/>
              <w:autoSpaceDN/>
              <w:bidi w:val="0"/>
              <w:snapToGrid w:val="0"/>
              <w:spacing w:line="240" w:lineRule="auto"/>
              <w:ind w:left="0" w:firstLine="0"/>
              <w:jc w:val="left"/>
              <w:textAlignment w:val="auto"/>
              <w:rPr>
                <w:rFonts w:hAnsi="宋体"/>
                <w:color w:val="auto"/>
                <w:sz w:val="21"/>
              </w:rPr>
            </w:pPr>
          </w:p>
        </w:tc>
        <w:tc>
          <w:tcPr>
            <w:tcW w:w="253" w:type="pct"/>
            <w:vAlign w:val="center"/>
          </w:tcPr>
          <w:p w14:paraId="206E9D21">
            <w:pPr>
              <w:keepNext w:val="0"/>
              <w:keepLines w:val="0"/>
              <w:pageBreakBefore w:val="0"/>
              <w:kinsoku/>
              <w:wordWrap/>
              <w:overflowPunct/>
              <w:topLinePunct w:val="0"/>
              <w:autoSpaceDE/>
              <w:autoSpaceDN/>
              <w:bidi w:val="0"/>
              <w:snapToGrid w:val="0"/>
              <w:spacing w:line="240" w:lineRule="auto"/>
              <w:jc w:val="left"/>
              <w:textAlignment w:val="auto"/>
              <w:rPr>
                <w:rFonts w:hAnsi="宋体"/>
                <w:color w:val="auto"/>
                <w:sz w:val="21"/>
              </w:rPr>
            </w:pPr>
            <w:r>
              <w:rPr>
                <w:rFonts w:hint="eastAsia" w:hAnsi="宋体"/>
                <w:color w:val="auto"/>
                <w:sz w:val="21"/>
              </w:rPr>
              <w:t>硫酸</w:t>
            </w:r>
          </w:p>
        </w:tc>
        <w:tc>
          <w:tcPr>
            <w:tcW w:w="693" w:type="pct"/>
            <w:vAlign w:val="center"/>
          </w:tcPr>
          <w:p w14:paraId="31CB22AA">
            <w:pPr>
              <w:keepNext w:val="0"/>
              <w:keepLines w:val="0"/>
              <w:pageBreakBefore w:val="0"/>
              <w:widowControl/>
              <w:kinsoku/>
              <w:wordWrap/>
              <w:overflowPunct/>
              <w:topLinePunct w:val="0"/>
              <w:autoSpaceDE/>
              <w:autoSpaceDN/>
              <w:bidi w:val="0"/>
              <w:snapToGrid w:val="0"/>
              <w:spacing w:line="240" w:lineRule="auto"/>
              <w:jc w:val="left"/>
              <w:textAlignment w:val="auto"/>
              <w:rPr>
                <w:rFonts w:hAnsi="宋体" w:cs="宋体"/>
                <w:color w:val="auto"/>
                <w:kern w:val="0"/>
                <w:sz w:val="21"/>
                <w:szCs w:val="21"/>
              </w:rPr>
            </w:pPr>
            <w:r>
              <w:rPr>
                <w:rFonts w:hAnsi="宋体" w:cs="宋体"/>
                <w:color w:val="auto"/>
                <w:kern w:val="0"/>
                <w:sz w:val="21"/>
                <w:szCs w:val="21"/>
              </w:rPr>
              <w:t>皮肤腐蚀/刺激,类别1A</w:t>
            </w:r>
          </w:p>
          <w:p w14:paraId="29F9E49B">
            <w:pPr>
              <w:keepNext w:val="0"/>
              <w:keepLines w:val="0"/>
              <w:pageBreakBefore w:val="0"/>
              <w:kinsoku/>
              <w:wordWrap/>
              <w:overflowPunct/>
              <w:topLinePunct w:val="0"/>
              <w:autoSpaceDE/>
              <w:autoSpaceDN/>
              <w:bidi w:val="0"/>
              <w:snapToGrid w:val="0"/>
              <w:spacing w:line="240" w:lineRule="auto"/>
              <w:jc w:val="left"/>
              <w:textAlignment w:val="auto"/>
              <w:rPr>
                <w:rFonts w:hAnsi="宋体"/>
                <w:color w:val="auto"/>
                <w:sz w:val="21"/>
              </w:rPr>
            </w:pPr>
            <w:r>
              <w:rPr>
                <w:rFonts w:hAnsi="宋体" w:cs="宋体"/>
                <w:color w:val="auto"/>
                <w:kern w:val="0"/>
                <w:sz w:val="21"/>
                <w:szCs w:val="21"/>
              </w:rPr>
              <w:t>严重眼损伤/眼刺激,类别1</w:t>
            </w:r>
          </w:p>
        </w:tc>
        <w:tc>
          <w:tcPr>
            <w:tcW w:w="184" w:type="pct"/>
            <w:vAlign w:val="center"/>
          </w:tcPr>
          <w:p w14:paraId="3E75D311">
            <w:pPr>
              <w:keepNext w:val="0"/>
              <w:keepLines w:val="0"/>
              <w:pageBreakBefore w:val="0"/>
              <w:kinsoku/>
              <w:wordWrap/>
              <w:overflowPunct/>
              <w:topLinePunct w:val="0"/>
              <w:autoSpaceDE/>
              <w:autoSpaceDN/>
              <w:bidi w:val="0"/>
              <w:snapToGrid w:val="0"/>
              <w:spacing w:line="240" w:lineRule="auto"/>
              <w:jc w:val="left"/>
              <w:textAlignment w:val="auto"/>
              <w:rPr>
                <w:rFonts w:hAnsi="宋体"/>
                <w:color w:val="auto"/>
                <w:sz w:val="21"/>
              </w:rPr>
            </w:pPr>
            <w:r>
              <w:rPr>
                <w:rFonts w:hint="eastAsia" w:hAnsi="宋体"/>
                <w:color w:val="auto"/>
                <w:sz w:val="21"/>
              </w:rPr>
              <w:t>无意义</w:t>
            </w:r>
          </w:p>
        </w:tc>
        <w:tc>
          <w:tcPr>
            <w:tcW w:w="290" w:type="pct"/>
            <w:vAlign w:val="center"/>
          </w:tcPr>
          <w:p w14:paraId="7D5681E1">
            <w:pPr>
              <w:keepNext w:val="0"/>
              <w:keepLines w:val="0"/>
              <w:pageBreakBefore w:val="0"/>
              <w:kinsoku/>
              <w:wordWrap/>
              <w:overflowPunct/>
              <w:topLinePunct w:val="0"/>
              <w:autoSpaceDE/>
              <w:autoSpaceDN/>
              <w:bidi w:val="0"/>
              <w:snapToGrid w:val="0"/>
              <w:spacing w:line="240" w:lineRule="auto"/>
              <w:jc w:val="left"/>
              <w:textAlignment w:val="auto"/>
              <w:rPr>
                <w:rFonts w:hAnsi="宋体"/>
                <w:color w:val="auto"/>
                <w:sz w:val="21"/>
              </w:rPr>
            </w:pPr>
            <w:r>
              <w:rPr>
                <w:rFonts w:hint="eastAsia" w:hAnsi="宋体"/>
                <w:color w:val="auto"/>
                <w:sz w:val="21"/>
              </w:rPr>
              <w:t>无意义</w:t>
            </w:r>
          </w:p>
        </w:tc>
        <w:tc>
          <w:tcPr>
            <w:tcW w:w="382" w:type="pct"/>
            <w:vAlign w:val="center"/>
          </w:tcPr>
          <w:p w14:paraId="2B803C83">
            <w:pPr>
              <w:keepNext w:val="0"/>
              <w:keepLines w:val="0"/>
              <w:pageBreakBefore w:val="0"/>
              <w:kinsoku/>
              <w:wordWrap/>
              <w:overflowPunct/>
              <w:topLinePunct w:val="0"/>
              <w:autoSpaceDE/>
              <w:autoSpaceDN/>
              <w:bidi w:val="0"/>
              <w:snapToGrid w:val="0"/>
              <w:spacing w:line="240" w:lineRule="auto"/>
              <w:jc w:val="left"/>
              <w:textAlignment w:val="auto"/>
              <w:rPr>
                <w:rFonts w:hAnsi="宋体"/>
                <w:color w:val="auto"/>
                <w:sz w:val="21"/>
              </w:rPr>
            </w:pPr>
            <w:r>
              <w:rPr>
                <w:rFonts w:hint="eastAsia" w:hAnsi="宋体"/>
                <w:color w:val="auto"/>
                <w:sz w:val="21"/>
              </w:rPr>
              <w:t>无意义</w:t>
            </w:r>
          </w:p>
        </w:tc>
        <w:tc>
          <w:tcPr>
            <w:tcW w:w="261" w:type="pct"/>
            <w:vAlign w:val="center"/>
          </w:tcPr>
          <w:p w14:paraId="44E698CC">
            <w:pPr>
              <w:keepNext w:val="0"/>
              <w:keepLines w:val="0"/>
              <w:pageBreakBefore w:val="0"/>
              <w:kinsoku/>
              <w:wordWrap/>
              <w:overflowPunct/>
              <w:topLinePunct w:val="0"/>
              <w:autoSpaceDE/>
              <w:autoSpaceDN/>
              <w:bidi w:val="0"/>
              <w:snapToGrid w:val="0"/>
              <w:spacing w:line="240" w:lineRule="auto"/>
              <w:jc w:val="left"/>
              <w:textAlignment w:val="auto"/>
              <w:rPr>
                <w:rFonts w:hAnsi="宋体"/>
                <w:color w:val="auto"/>
                <w:sz w:val="21"/>
              </w:rPr>
            </w:pPr>
            <w:r>
              <w:rPr>
                <w:rFonts w:hint="eastAsia" w:hAnsi="宋体"/>
                <w:color w:val="auto"/>
                <w:sz w:val="21"/>
              </w:rPr>
              <w:t>戊</w:t>
            </w:r>
          </w:p>
        </w:tc>
        <w:tc>
          <w:tcPr>
            <w:tcW w:w="503" w:type="pct"/>
            <w:vAlign w:val="center"/>
          </w:tcPr>
          <w:p w14:paraId="063AABD8">
            <w:pPr>
              <w:keepNext w:val="0"/>
              <w:keepLines w:val="0"/>
              <w:pageBreakBefore w:val="0"/>
              <w:kinsoku/>
              <w:wordWrap/>
              <w:overflowPunct/>
              <w:topLinePunct w:val="0"/>
              <w:autoSpaceDE/>
              <w:autoSpaceDN/>
              <w:bidi w:val="0"/>
              <w:adjustRightInd w:val="0"/>
              <w:snapToGrid w:val="0"/>
              <w:spacing w:line="240" w:lineRule="auto"/>
              <w:jc w:val="left"/>
              <w:textAlignment w:val="auto"/>
              <w:rPr>
                <w:rFonts w:ascii="宋体" w:hAnsi="宋体"/>
                <w:bCs/>
                <w:color w:val="auto"/>
                <w:sz w:val="21"/>
                <w:szCs w:val="21"/>
              </w:rPr>
            </w:pPr>
            <w:r>
              <w:rPr>
                <w:rFonts w:hint="eastAsia" w:ascii="宋体" w:hAnsi="宋体"/>
                <w:bCs/>
                <w:color w:val="auto"/>
                <w:sz w:val="21"/>
                <w:szCs w:val="21"/>
              </w:rPr>
              <w:t>急性毒性： LD</w:t>
            </w:r>
            <w:r>
              <w:rPr>
                <w:rFonts w:hint="eastAsia" w:ascii="宋体" w:hAnsi="宋体"/>
                <w:bCs/>
                <w:color w:val="auto"/>
                <w:sz w:val="21"/>
                <w:szCs w:val="21"/>
                <w:vertAlign w:val="subscript"/>
              </w:rPr>
              <w:t xml:space="preserve">50 </w:t>
            </w:r>
            <w:r>
              <w:rPr>
                <w:rFonts w:hint="eastAsia" w:ascii="宋体" w:hAnsi="宋体"/>
                <w:bCs/>
                <w:color w:val="auto"/>
                <w:sz w:val="21"/>
                <w:szCs w:val="21"/>
              </w:rPr>
              <w:t xml:space="preserve"> </w:t>
            </w:r>
            <w:r>
              <w:rPr>
                <w:rFonts w:ascii="宋体" w:hAnsi="宋体"/>
                <w:bCs/>
                <w:color w:val="auto"/>
                <w:sz w:val="21"/>
                <w:szCs w:val="21"/>
              </w:rPr>
              <w:t>2140 mg/kg(大鼠经口)</w:t>
            </w:r>
            <w:r>
              <w:rPr>
                <w:rFonts w:hint="eastAsia" w:ascii="宋体" w:hAnsi="宋体"/>
                <w:bCs/>
                <w:color w:val="auto"/>
                <w:sz w:val="21"/>
                <w:szCs w:val="21"/>
              </w:rPr>
              <w:t xml:space="preserve">  </w:t>
            </w:r>
          </w:p>
          <w:p w14:paraId="79F4988F">
            <w:pPr>
              <w:keepNext w:val="0"/>
              <w:keepLines w:val="0"/>
              <w:pageBreakBefore w:val="0"/>
              <w:kinsoku/>
              <w:wordWrap/>
              <w:overflowPunct/>
              <w:topLinePunct w:val="0"/>
              <w:autoSpaceDE/>
              <w:autoSpaceDN/>
              <w:bidi w:val="0"/>
              <w:snapToGrid w:val="0"/>
              <w:spacing w:line="240" w:lineRule="auto"/>
              <w:jc w:val="left"/>
              <w:textAlignment w:val="auto"/>
              <w:rPr>
                <w:rFonts w:hAnsi="宋体"/>
                <w:color w:val="auto"/>
                <w:sz w:val="21"/>
              </w:rPr>
            </w:pPr>
            <w:r>
              <w:rPr>
                <w:rFonts w:hint="eastAsia" w:ascii="宋体" w:hAnsi="宋体"/>
                <w:bCs/>
                <w:color w:val="auto"/>
                <w:sz w:val="21"/>
                <w:szCs w:val="21"/>
              </w:rPr>
              <w:t>LC</w:t>
            </w:r>
            <w:r>
              <w:rPr>
                <w:rFonts w:hint="eastAsia" w:ascii="宋体" w:hAnsi="宋体"/>
                <w:bCs/>
                <w:color w:val="auto"/>
                <w:sz w:val="21"/>
                <w:szCs w:val="21"/>
                <w:vertAlign w:val="subscript"/>
              </w:rPr>
              <w:t>50</w:t>
            </w:r>
            <w:r>
              <w:rPr>
                <w:rFonts w:hint="eastAsia" w:ascii="宋体" w:hAnsi="宋体"/>
                <w:bCs/>
                <w:color w:val="auto"/>
                <w:sz w:val="21"/>
                <w:szCs w:val="21"/>
              </w:rPr>
              <w:t xml:space="preserve">  </w:t>
            </w:r>
            <w:r>
              <w:rPr>
                <w:rFonts w:ascii="宋体" w:hAnsi="宋体"/>
                <w:bCs/>
                <w:color w:val="auto"/>
                <w:sz w:val="21"/>
                <w:szCs w:val="21"/>
              </w:rPr>
              <w:t>510mg/</w:t>
            </w:r>
            <w:r>
              <w:rPr>
                <w:rFonts w:hint="eastAsia" w:ascii="MS Mincho" w:hAnsi="MS Mincho" w:eastAsia="MS Mincho" w:cs="MS Mincho"/>
                <w:bCs/>
                <w:color w:val="auto"/>
                <w:sz w:val="21"/>
                <w:szCs w:val="21"/>
              </w:rPr>
              <w:t>㎥</w:t>
            </w:r>
            <w:r>
              <w:rPr>
                <w:rFonts w:ascii="宋体" w:hAnsi="宋体"/>
                <w:bCs/>
                <w:color w:val="auto"/>
                <w:sz w:val="21"/>
                <w:szCs w:val="21"/>
              </w:rPr>
              <w:t>，2h(大鼠吸入)；320mg/</w:t>
            </w:r>
            <w:r>
              <w:rPr>
                <w:rFonts w:hint="eastAsia" w:ascii="MS Mincho" w:hAnsi="MS Mincho" w:eastAsia="MS Mincho" w:cs="MS Mincho"/>
                <w:bCs/>
                <w:color w:val="auto"/>
                <w:sz w:val="21"/>
                <w:szCs w:val="21"/>
              </w:rPr>
              <w:t>㎥</w:t>
            </w:r>
            <w:r>
              <w:rPr>
                <w:rFonts w:ascii="宋体" w:hAnsi="宋体"/>
                <w:bCs/>
                <w:color w:val="auto"/>
                <w:sz w:val="21"/>
                <w:szCs w:val="21"/>
              </w:rPr>
              <w:t>，2h(小鼠吸入)</w:t>
            </w:r>
          </w:p>
        </w:tc>
        <w:tc>
          <w:tcPr>
            <w:tcW w:w="778" w:type="pct"/>
            <w:vAlign w:val="center"/>
          </w:tcPr>
          <w:p w14:paraId="6ADFEDEA">
            <w:pPr>
              <w:keepNext w:val="0"/>
              <w:keepLines w:val="0"/>
              <w:pageBreakBefore w:val="0"/>
              <w:kinsoku/>
              <w:wordWrap/>
              <w:overflowPunct/>
              <w:topLinePunct w:val="0"/>
              <w:autoSpaceDE/>
              <w:autoSpaceDN/>
              <w:bidi w:val="0"/>
              <w:snapToGrid w:val="0"/>
              <w:spacing w:line="240" w:lineRule="auto"/>
              <w:jc w:val="left"/>
              <w:textAlignment w:val="auto"/>
              <w:rPr>
                <w:rFonts w:hAnsi="宋体"/>
                <w:color w:val="auto"/>
                <w:sz w:val="21"/>
              </w:rPr>
            </w:pPr>
            <w:r>
              <w:rPr>
                <w:rFonts w:hint="eastAsia" w:ascii="宋体" w:hAnsi="宋体"/>
                <w:bCs/>
                <w:color w:val="auto"/>
                <w:sz w:val="21"/>
                <w:szCs w:val="21"/>
              </w:rPr>
              <w:t>遇水大量放热</w:t>
            </w:r>
            <w:r>
              <w:rPr>
                <w:rFonts w:ascii="宋体" w:hAnsi="宋体"/>
                <w:bCs/>
                <w:color w:val="auto"/>
                <w:sz w:val="21"/>
                <w:szCs w:val="21"/>
              </w:rPr>
              <w:t>, 可发生沸溅。与易燃物（如苯）和可燃物（如糖、纤维素等）接触会发生剧烈反应，甚至引起燃烧。遇电石、高氯酸盐、雷酸盐、硝酸盐、苦味酸盐、金属粉末等猛烈反应，发生爆炸或燃烧。有强烈的腐蚀性和吸水性。</w:t>
            </w:r>
          </w:p>
        </w:tc>
        <w:tc>
          <w:tcPr>
            <w:tcW w:w="453" w:type="pct"/>
            <w:vAlign w:val="center"/>
          </w:tcPr>
          <w:p w14:paraId="0ABB355E">
            <w:pPr>
              <w:keepNext w:val="0"/>
              <w:keepLines w:val="0"/>
              <w:pageBreakBefore w:val="0"/>
              <w:kinsoku/>
              <w:wordWrap/>
              <w:overflowPunct/>
              <w:topLinePunct w:val="0"/>
              <w:autoSpaceDE/>
              <w:autoSpaceDN/>
              <w:bidi w:val="0"/>
              <w:snapToGrid w:val="0"/>
              <w:spacing w:line="240" w:lineRule="auto"/>
              <w:jc w:val="left"/>
              <w:textAlignment w:val="auto"/>
              <w:rPr>
                <w:rFonts w:hAnsi="宋体"/>
                <w:color w:val="auto"/>
                <w:sz w:val="21"/>
              </w:rPr>
            </w:pPr>
            <w:r>
              <w:rPr>
                <w:color w:val="auto"/>
                <w:kern w:val="0"/>
                <w:sz w:val="21"/>
                <w:szCs w:val="21"/>
              </w:rPr>
              <w:t>7664-93-9</w:t>
            </w:r>
          </w:p>
        </w:tc>
        <w:tc>
          <w:tcPr>
            <w:tcW w:w="359" w:type="pct"/>
            <w:vAlign w:val="center"/>
          </w:tcPr>
          <w:p w14:paraId="50BD18AA">
            <w:pPr>
              <w:keepNext w:val="0"/>
              <w:keepLines w:val="0"/>
              <w:pageBreakBefore w:val="0"/>
              <w:kinsoku/>
              <w:wordWrap/>
              <w:overflowPunct/>
              <w:topLinePunct w:val="0"/>
              <w:autoSpaceDE/>
              <w:autoSpaceDN/>
              <w:bidi w:val="0"/>
              <w:snapToGrid w:val="0"/>
              <w:spacing w:line="240" w:lineRule="auto"/>
              <w:jc w:val="left"/>
              <w:textAlignment w:val="auto"/>
              <w:rPr>
                <w:rFonts w:hAnsi="宋体"/>
                <w:color w:val="auto"/>
                <w:sz w:val="21"/>
              </w:rPr>
            </w:pPr>
            <w:r>
              <w:rPr>
                <w:rFonts w:hint="eastAsia" w:hAnsi="宋体"/>
                <w:color w:val="auto"/>
                <w:sz w:val="21"/>
              </w:rPr>
              <w:t>浓硫酸、稀硫酸输送泵及管道</w:t>
            </w:r>
          </w:p>
        </w:tc>
        <w:tc>
          <w:tcPr>
            <w:tcW w:w="611" w:type="pct"/>
            <w:vAlign w:val="center"/>
          </w:tcPr>
          <w:p w14:paraId="6BD8500E">
            <w:pPr>
              <w:keepNext w:val="0"/>
              <w:keepLines w:val="0"/>
              <w:pageBreakBefore w:val="0"/>
              <w:kinsoku/>
              <w:wordWrap/>
              <w:overflowPunct/>
              <w:topLinePunct w:val="0"/>
              <w:autoSpaceDE/>
              <w:autoSpaceDN/>
              <w:bidi w:val="0"/>
              <w:snapToGrid w:val="0"/>
              <w:spacing w:line="240" w:lineRule="auto"/>
              <w:jc w:val="left"/>
              <w:textAlignment w:val="auto"/>
              <w:rPr>
                <w:rFonts w:hAnsi="宋体"/>
                <w:color w:val="auto"/>
                <w:sz w:val="21"/>
              </w:rPr>
            </w:pPr>
            <w:r>
              <w:rPr>
                <w:rFonts w:hint="eastAsia" w:hAnsi="宋体"/>
                <w:color w:val="auto"/>
                <w:sz w:val="21"/>
              </w:rPr>
              <w:t>浓硫酸为无水氟化氢装置原料、稀硫酸为无水氟化氢装置副产品</w:t>
            </w:r>
          </w:p>
        </w:tc>
      </w:tr>
      <w:tr w14:paraId="6B888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3" w:type="pct"/>
            <w:vAlign w:val="center"/>
          </w:tcPr>
          <w:p w14:paraId="73D9197D">
            <w:pPr>
              <w:keepNext w:val="0"/>
              <w:keepLines w:val="0"/>
              <w:pageBreakBefore w:val="0"/>
              <w:numPr>
                <w:ilvl w:val="0"/>
                <w:numId w:val="33"/>
              </w:numPr>
              <w:kinsoku/>
              <w:wordWrap/>
              <w:overflowPunct/>
              <w:topLinePunct w:val="0"/>
              <w:autoSpaceDE/>
              <w:autoSpaceDN/>
              <w:bidi w:val="0"/>
              <w:snapToGrid w:val="0"/>
              <w:spacing w:line="240" w:lineRule="auto"/>
              <w:ind w:left="0" w:firstLine="0"/>
              <w:jc w:val="left"/>
              <w:textAlignment w:val="auto"/>
              <w:rPr>
                <w:rFonts w:hAnsi="宋体"/>
                <w:color w:val="auto"/>
                <w:sz w:val="21"/>
              </w:rPr>
            </w:pPr>
          </w:p>
        </w:tc>
        <w:tc>
          <w:tcPr>
            <w:tcW w:w="253" w:type="pct"/>
            <w:vAlign w:val="center"/>
          </w:tcPr>
          <w:p w14:paraId="4BAEDA87">
            <w:pPr>
              <w:keepNext w:val="0"/>
              <w:keepLines w:val="0"/>
              <w:pageBreakBefore w:val="0"/>
              <w:kinsoku/>
              <w:wordWrap/>
              <w:overflowPunct/>
              <w:topLinePunct w:val="0"/>
              <w:autoSpaceDE/>
              <w:autoSpaceDN/>
              <w:bidi w:val="0"/>
              <w:snapToGrid w:val="0"/>
              <w:spacing w:line="240" w:lineRule="auto"/>
              <w:jc w:val="left"/>
              <w:textAlignment w:val="auto"/>
              <w:rPr>
                <w:rFonts w:hAnsi="宋体"/>
                <w:color w:val="auto"/>
                <w:sz w:val="21"/>
              </w:rPr>
            </w:pPr>
            <w:r>
              <w:rPr>
                <w:rFonts w:hint="eastAsia" w:hAnsi="宋体"/>
                <w:color w:val="auto"/>
                <w:sz w:val="21"/>
              </w:rPr>
              <w:t>氟硅酸</w:t>
            </w:r>
          </w:p>
        </w:tc>
        <w:tc>
          <w:tcPr>
            <w:tcW w:w="693" w:type="pct"/>
            <w:vAlign w:val="center"/>
          </w:tcPr>
          <w:p w14:paraId="5865EB74">
            <w:pPr>
              <w:keepNext w:val="0"/>
              <w:keepLines w:val="0"/>
              <w:pageBreakBefore w:val="0"/>
              <w:widowControl/>
              <w:kinsoku/>
              <w:wordWrap/>
              <w:overflowPunct/>
              <w:topLinePunct w:val="0"/>
              <w:autoSpaceDE/>
              <w:autoSpaceDN/>
              <w:bidi w:val="0"/>
              <w:snapToGrid w:val="0"/>
              <w:spacing w:line="240" w:lineRule="auto"/>
              <w:textAlignment w:val="auto"/>
              <w:rPr>
                <w:rFonts w:hAnsi="宋体" w:cs="宋体"/>
                <w:color w:val="auto"/>
                <w:kern w:val="0"/>
                <w:sz w:val="21"/>
                <w:szCs w:val="21"/>
              </w:rPr>
            </w:pPr>
            <w:r>
              <w:rPr>
                <w:rFonts w:hAnsi="宋体" w:cs="宋体"/>
                <w:color w:val="auto"/>
                <w:kern w:val="0"/>
                <w:sz w:val="21"/>
                <w:szCs w:val="21"/>
              </w:rPr>
              <w:t>皮肤腐蚀/刺激,类别1B</w:t>
            </w:r>
          </w:p>
          <w:p w14:paraId="7BFF8CC9">
            <w:pPr>
              <w:keepNext w:val="0"/>
              <w:keepLines w:val="0"/>
              <w:pageBreakBefore w:val="0"/>
              <w:kinsoku/>
              <w:wordWrap/>
              <w:overflowPunct/>
              <w:topLinePunct w:val="0"/>
              <w:autoSpaceDE/>
              <w:autoSpaceDN/>
              <w:bidi w:val="0"/>
              <w:snapToGrid w:val="0"/>
              <w:spacing w:line="240" w:lineRule="auto"/>
              <w:jc w:val="left"/>
              <w:textAlignment w:val="auto"/>
              <w:rPr>
                <w:rFonts w:hAnsi="宋体"/>
                <w:color w:val="auto"/>
                <w:sz w:val="21"/>
              </w:rPr>
            </w:pPr>
            <w:r>
              <w:rPr>
                <w:rFonts w:hAnsi="宋体" w:cs="宋体"/>
                <w:color w:val="auto"/>
                <w:kern w:val="0"/>
                <w:sz w:val="21"/>
                <w:szCs w:val="21"/>
              </w:rPr>
              <w:t>严重眼损伤/眼刺激,类别1</w:t>
            </w:r>
          </w:p>
        </w:tc>
        <w:tc>
          <w:tcPr>
            <w:tcW w:w="184" w:type="pct"/>
            <w:vAlign w:val="center"/>
          </w:tcPr>
          <w:p w14:paraId="5E4E1E53">
            <w:pPr>
              <w:keepNext w:val="0"/>
              <w:keepLines w:val="0"/>
              <w:pageBreakBefore w:val="0"/>
              <w:kinsoku/>
              <w:wordWrap/>
              <w:overflowPunct/>
              <w:topLinePunct w:val="0"/>
              <w:autoSpaceDE/>
              <w:autoSpaceDN/>
              <w:bidi w:val="0"/>
              <w:snapToGrid w:val="0"/>
              <w:spacing w:line="240" w:lineRule="auto"/>
              <w:jc w:val="left"/>
              <w:textAlignment w:val="auto"/>
              <w:rPr>
                <w:rFonts w:hAnsi="宋体"/>
                <w:color w:val="auto"/>
                <w:sz w:val="21"/>
              </w:rPr>
            </w:pPr>
            <w:r>
              <w:rPr>
                <w:rFonts w:hint="eastAsia" w:hAnsi="宋体"/>
                <w:color w:val="auto"/>
                <w:sz w:val="21"/>
              </w:rPr>
              <w:t>无意义</w:t>
            </w:r>
          </w:p>
        </w:tc>
        <w:tc>
          <w:tcPr>
            <w:tcW w:w="290" w:type="pct"/>
            <w:vAlign w:val="center"/>
          </w:tcPr>
          <w:p w14:paraId="664F8818">
            <w:pPr>
              <w:keepNext w:val="0"/>
              <w:keepLines w:val="0"/>
              <w:pageBreakBefore w:val="0"/>
              <w:kinsoku/>
              <w:wordWrap/>
              <w:overflowPunct/>
              <w:topLinePunct w:val="0"/>
              <w:autoSpaceDE/>
              <w:autoSpaceDN/>
              <w:bidi w:val="0"/>
              <w:snapToGrid w:val="0"/>
              <w:spacing w:line="240" w:lineRule="auto"/>
              <w:jc w:val="left"/>
              <w:textAlignment w:val="auto"/>
              <w:rPr>
                <w:rFonts w:hAnsi="宋体"/>
                <w:color w:val="auto"/>
                <w:sz w:val="21"/>
              </w:rPr>
            </w:pPr>
            <w:r>
              <w:rPr>
                <w:rFonts w:hint="eastAsia" w:hAnsi="宋体"/>
                <w:color w:val="auto"/>
                <w:sz w:val="21"/>
              </w:rPr>
              <w:t>无意义</w:t>
            </w:r>
          </w:p>
        </w:tc>
        <w:tc>
          <w:tcPr>
            <w:tcW w:w="382" w:type="pct"/>
            <w:vAlign w:val="center"/>
          </w:tcPr>
          <w:p w14:paraId="386616B9">
            <w:pPr>
              <w:keepNext w:val="0"/>
              <w:keepLines w:val="0"/>
              <w:pageBreakBefore w:val="0"/>
              <w:kinsoku/>
              <w:wordWrap/>
              <w:overflowPunct/>
              <w:topLinePunct w:val="0"/>
              <w:autoSpaceDE/>
              <w:autoSpaceDN/>
              <w:bidi w:val="0"/>
              <w:snapToGrid w:val="0"/>
              <w:spacing w:line="240" w:lineRule="auto"/>
              <w:jc w:val="left"/>
              <w:textAlignment w:val="auto"/>
              <w:rPr>
                <w:rFonts w:hAnsi="宋体"/>
                <w:color w:val="auto"/>
                <w:sz w:val="21"/>
              </w:rPr>
            </w:pPr>
            <w:r>
              <w:rPr>
                <w:rFonts w:hint="eastAsia" w:hAnsi="宋体"/>
                <w:color w:val="auto"/>
                <w:sz w:val="21"/>
              </w:rPr>
              <w:t>无意义</w:t>
            </w:r>
          </w:p>
        </w:tc>
        <w:tc>
          <w:tcPr>
            <w:tcW w:w="261" w:type="pct"/>
            <w:vAlign w:val="center"/>
          </w:tcPr>
          <w:p w14:paraId="3A74E0F6">
            <w:pPr>
              <w:keepNext w:val="0"/>
              <w:keepLines w:val="0"/>
              <w:pageBreakBefore w:val="0"/>
              <w:kinsoku/>
              <w:wordWrap/>
              <w:overflowPunct/>
              <w:topLinePunct w:val="0"/>
              <w:autoSpaceDE/>
              <w:autoSpaceDN/>
              <w:bidi w:val="0"/>
              <w:snapToGrid w:val="0"/>
              <w:spacing w:line="240" w:lineRule="auto"/>
              <w:jc w:val="left"/>
              <w:textAlignment w:val="auto"/>
              <w:rPr>
                <w:rFonts w:hAnsi="宋体"/>
                <w:color w:val="auto"/>
                <w:sz w:val="21"/>
              </w:rPr>
            </w:pPr>
            <w:r>
              <w:rPr>
                <w:rFonts w:hint="eastAsia" w:hAnsi="宋体"/>
                <w:color w:val="auto"/>
                <w:sz w:val="21"/>
              </w:rPr>
              <w:t>戊</w:t>
            </w:r>
          </w:p>
        </w:tc>
        <w:tc>
          <w:tcPr>
            <w:tcW w:w="503" w:type="pct"/>
            <w:vAlign w:val="center"/>
          </w:tcPr>
          <w:p w14:paraId="70D3C2D4">
            <w:pPr>
              <w:keepNext w:val="0"/>
              <w:keepLines w:val="0"/>
              <w:pageBreakBefore w:val="0"/>
              <w:kinsoku/>
              <w:wordWrap/>
              <w:overflowPunct/>
              <w:topLinePunct w:val="0"/>
              <w:autoSpaceDE/>
              <w:autoSpaceDN/>
              <w:bidi w:val="0"/>
              <w:adjustRightInd w:val="0"/>
              <w:snapToGrid w:val="0"/>
              <w:spacing w:line="240" w:lineRule="auto"/>
              <w:jc w:val="left"/>
              <w:textAlignment w:val="auto"/>
              <w:rPr>
                <w:rFonts w:ascii="宋体" w:hAnsi="宋体"/>
                <w:bCs/>
                <w:color w:val="auto"/>
                <w:sz w:val="21"/>
                <w:szCs w:val="21"/>
              </w:rPr>
            </w:pPr>
            <w:r>
              <w:rPr>
                <w:rFonts w:hint="eastAsia" w:ascii="宋体" w:hAnsi="宋体"/>
                <w:bCs/>
                <w:color w:val="auto"/>
                <w:sz w:val="21"/>
                <w:szCs w:val="21"/>
              </w:rPr>
              <w:t>急性毒性： LD</w:t>
            </w:r>
            <w:r>
              <w:rPr>
                <w:rFonts w:hint="eastAsia" w:ascii="宋体" w:hAnsi="宋体"/>
                <w:bCs/>
                <w:color w:val="auto"/>
                <w:sz w:val="21"/>
                <w:szCs w:val="21"/>
                <w:vertAlign w:val="subscript"/>
              </w:rPr>
              <w:t xml:space="preserve">50 </w:t>
            </w:r>
            <w:r>
              <w:rPr>
                <w:rFonts w:hint="eastAsia" w:ascii="宋体" w:hAnsi="宋体"/>
                <w:bCs/>
                <w:color w:val="auto"/>
                <w:sz w:val="21"/>
                <w:szCs w:val="21"/>
              </w:rPr>
              <w:t xml:space="preserve"> 无资料  </w:t>
            </w:r>
          </w:p>
          <w:p w14:paraId="32568DD9">
            <w:pPr>
              <w:keepNext w:val="0"/>
              <w:keepLines w:val="0"/>
              <w:pageBreakBefore w:val="0"/>
              <w:kinsoku/>
              <w:wordWrap/>
              <w:overflowPunct/>
              <w:topLinePunct w:val="0"/>
              <w:autoSpaceDE/>
              <w:autoSpaceDN/>
              <w:bidi w:val="0"/>
              <w:snapToGrid w:val="0"/>
              <w:spacing w:line="240" w:lineRule="auto"/>
              <w:jc w:val="left"/>
              <w:textAlignment w:val="auto"/>
              <w:rPr>
                <w:rFonts w:hAnsi="宋体"/>
                <w:color w:val="auto"/>
                <w:sz w:val="21"/>
              </w:rPr>
            </w:pPr>
            <w:r>
              <w:rPr>
                <w:rFonts w:hint="eastAsia" w:ascii="宋体" w:hAnsi="宋体"/>
                <w:bCs/>
                <w:color w:val="auto"/>
                <w:sz w:val="21"/>
                <w:szCs w:val="21"/>
              </w:rPr>
              <w:t>LC</w:t>
            </w:r>
            <w:r>
              <w:rPr>
                <w:rFonts w:hint="eastAsia" w:ascii="宋体" w:hAnsi="宋体"/>
                <w:bCs/>
                <w:color w:val="auto"/>
                <w:sz w:val="21"/>
                <w:szCs w:val="21"/>
                <w:vertAlign w:val="subscript"/>
              </w:rPr>
              <w:t>50</w:t>
            </w:r>
            <w:r>
              <w:rPr>
                <w:rFonts w:hint="eastAsia" w:ascii="宋体" w:hAnsi="宋体"/>
                <w:bCs/>
                <w:color w:val="auto"/>
                <w:sz w:val="21"/>
                <w:szCs w:val="21"/>
              </w:rPr>
              <w:t xml:space="preserve">  无资料</w:t>
            </w:r>
          </w:p>
        </w:tc>
        <w:tc>
          <w:tcPr>
            <w:tcW w:w="778" w:type="pct"/>
            <w:vAlign w:val="center"/>
          </w:tcPr>
          <w:p w14:paraId="53BC5E58">
            <w:pPr>
              <w:keepNext w:val="0"/>
              <w:keepLines w:val="0"/>
              <w:pageBreakBefore w:val="0"/>
              <w:kinsoku/>
              <w:wordWrap/>
              <w:overflowPunct/>
              <w:topLinePunct w:val="0"/>
              <w:autoSpaceDE/>
              <w:autoSpaceDN/>
              <w:bidi w:val="0"/>
              <w:snapToGrid w:val="0"/>
              <w:spacing w:line="240" w:lineRule="auto"/>
              <w:jc w:val="left"/>
              <w:textAlignment w:val="auto"/>
              <w:rPr>
                <w:rFonts w:hAnsi="宋体"/>
                <w:color w:val="auto"/>
                <w:sz w:val="21"/>
              </w:rPr>
            </w:pPr>
            <w:r>
              <w:rPr>
                <w:rFonts w:hint="eastAsia" w:ascii="宋体" w:hAnsi="宋体"/>
                <w:bCs/>
                <w:color w:val="auto"/>
                <w:sz w:val="21"/>
                <w:szCs w:val="21"/>
              </w:rPr>
              <w:t>热分解放出有毒的氟化物气体。具有较强的腐蚀性</w:t>
            </w:r>
          </w:p>
        </w:tc>
        <w:tc>
          <w:tcPr>
            <w:tcW w:w="453" w:type="pct"/>
            <w:vAlign w:val="center"/>
          </w:tcPr>
          <w:p w14:paraId="79BFA2D8">
            <w:pPr>
              <w:keepNext w:val="0"/>
              <w:keepLines w:val="0"/>
              <w:pageBreakBefore w:val="0"/>
              <w:kinsoku/>
              <w:wordWrap/>
              <w:overflowPunct/>
              <w:topLinePunct w:val="0"/>
              <w:autoSpaceDE/>
              <w:autoSpaceDN/>
              <w:bidi w:val="0"/>
              <w:snapToGrid w:val="0"/>
              <w:spacing w:line="240" w:lineRule="auto"/>
              <w:jc w:val="left"/>
              <w:textAlignment w:val="auto"/>
              <w:rPr>
                <w:rFonts w:hAnsi="宋体"/>
                <w:color w:val="auto"/>
                <w:sz w:val="21"/>
              </w:rPr>
            </w:pPr>
            <w:r>
              <w:rPr>
                <w:color w:val="auto"/>
                <w:kern w:val="0"/>
                <w:sz w:val="21"/>
                <w:szCs w:val="21"/>
              </w:rPr>
              <w:t>16961-83-4</w:t>
            </w:r>
          </w:p>
        </w:tc>
        <w:tc>
          <w:tcPr>
            <w:tcW w:w="359" w:type="pct"/>
            <w:vAlign w:val="center"/>
          </w:tcPr>
          <w:p w14:paraId="4F35F31E">
            <w:pPr>
              <w:keepNext w:val="0"/>
              <w:keepLines w:val="0"/>
              <w:pageBreakBefore w:val="0"/>
              <w:kinsoku/>
              <w:wordWrap/>
              <w:overflowPunct/>
              <w:topLinePunct w:val="0"/>
              <w:autoSpaceDE/>
              <w:autoSpaceDN/>
              <w:bidi w:val="0"/>
              <w:snapToGrid w:val="0"/>
              <w:spacing w:line="240" w:lineRule="auto"/>
              <w:jc w:val="left"/>
              <w:textAlignment w:val="auto"/>
              <w:rPr>
                <w:rFonts w:hAnsi="宋体"/>
                <w:color w:val="auto"/>
                <w:sz w:val="21"/>
              </w:rPr>
            </w:pPr>
            <w:r>
              <w:rPr>
                <w:rFonts w:hint="eastAsia" w:hAnsi="宋体"/>
                <w:color w:val="auto"/>
                <w:sz w:val="21"/>
              </w:rPr>
              <w:t>氟硅酸输送泵及管道</w:t>
            </w:r>
          </w:p>
        </w:tc>
        <w:tc>
          <w:tcPr>
            <w:tcW w:w="611" w:type="pct"/>
            <w:vAlign w:val="center"/>
          </w:tcPr>
          <w:p w14:paraId="200C4866">
            <w:pPr>
              <w:keepNext w:val="0"/>
              <w:keepLines w:val="0"/>
              <w:pageBreakBefore w:val="0"/>
              <w:kinsoku/>
              <w:wordWrap/>
              <w:overflowPunct/>
              <w:topLinePunct w:val="0"/>
              <w:autoSpaceDE/>
              <w:autoSpaceDN/>
              <w:bidi w:val="0"/>
              <w:snapToGrid w:val="0"/>
              <w:spacing w:line="240" w:lineRule="auto"/>
              <w:jc w:val="left"/>
              <w:textAlignment w:val="auto"/>
              <w:rPr>
                <w:rFonts w:hAnsi="宋体"/>
                <w:color w:val="auto"/>
                <w:sz w:val="21"/>
              </w:rPr>
            </w:pPr>
            <w:r>
              <w:rPr>
                <w:rFonts w:hint="eastAsia" w:hAnsi="宋体"/>
                <w:color w:val="auto"/>
                <w:sz w:val="21"/>
              </w:rPr>
              <w:t>无水氟化氢装置反应工序原料</w:t>
            </w:r>
          </w:p>
        </w:tc>
      </w:tr>
    </w:tbl>
    <w:p w14:paraId="0AD65D3B">
      <w:pPr>
        <w:pStyle w:val="6"/>
        <w:keepNext/>
        <w:keepLines/>
        <w:pageBreakBefore w:val="0"/>
        <w:widowControl w:val="0"/>
        <w:numPr>
          <w:ilvl w:val="2"/>
          <w:numId w:val="0"/>
        </w:numPr>
        <w:tabs>
          <w:tab w:val="left" w:pos="931"/>
        </w:tabs>
        <w:kinsoku/>
        <w:wordWrap/>
        <w:overflowPunct/>
        <w:topLinePunct w:val="0"/>
        <w:autoSpaceDE/>
        <w:autoSpaceDN/>
        <w:bidi w:val="0"/>
        <w:adjustRightInd/>
        <w:snapToGrid w:val="0"/>
        <w:spacing w:line="360" w:lineRule="auto"/>
        <w:ind w:leftChars="100"/>
        <w:textAlignment w:val="auto"/>
        <w:outlineLvl w:val="3"/>
        <w:rPr>
          <w:rFonts w:hint="default" w:ascii="Times New Roman" w:hAnsi="Times New Roman" w:eastAsia="黑体" w:cs="Times New Roman"/>
          <w:snapToGrid w:val="0"/>
          <w:color w:val="000000"/>
          <w:kern w:val="0"/>
          <w:sz w:val="28"/>
          <w:szCs w:val="28"/>
          <w:lang w:val="en-US" w:eastAsia="zh-CN"/>
        </w:rPr>
      </w:pPr>
      <w:bookmarkStart w:id="887" w:name="_Toc3649"/>
      <w:r>
        <w:rPr>
          <w:rFonts w:hint="eastAsia" w:ascii="Times New Roman" w:hAnsi="Times New Roman" w:cs="Times New Roman"/>
          <w:snapToGrid w:val="0"/>
          <w:color w:val="000000"/>
          <w:kern w:val="0"/>
          <w:sz w:val="28"/>
          <w:szCs w:val="28"/>
          <w:lang w:val="en-US" w:eastAsia="zh-CN"/>
        </w:rPr>
        <w:t>3.1.4.2</w:t>
      </w:r>
      <w:r>
        <w:rPr>
          <w:rFonts w:hint="eastAsia" w:ascii="Times New Roman" w:hAnsi="Times New Roman" w:eastAsia="黑体" w:cs="Times New Roman"/>
          <w:snapToGrid w:val="0"/>
          <w:color w:val="000000"/>
          <w:kern w:val="0"/>
          <w:sz w:val="28"/>
          <w:szCs w:val="28"/>
          <w:lang w:val="en-US" w:eastAsia="zh-CN"/>
        </w:rPr>
        <w:t>主要危险化学品的理化特性</w:t>
      </w:r>
      <w:bookmarkEnd w:id="887"/>
    </w:p>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14:paraId="06A0F821">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b/>
          <w:color w:val="auto"/>
          <w:kern w:val="3"/>
          <w:szCs w:val="28"/>
        </w:rPr>
      </w:pPr>
      <w:bookmarkStart w:id="888" w:name="_Toc460364932"/>
      <w:bookmarkStart w:id="889" w:name="_Toc295205274"/>
      <w:bookmarkStart w:id="890" w:name="_Toc338795868"/>
      <w:bookmarkStart w:id="891" w:name="_Toc337543138"/>
      <w:r>
        <w:rPr>
          <w:rFonts w:hint="eastAsia" w:ascii="Times New Roman" w:hAnsi="Times New Roman"/>
          <w:b/>
          <w:color w:val="auto"/>
          <w:kern w:val="3"/>
          <w:szCs w:val="28"/>
        </w:rPr>
        <w:t>附表</w:t>
      </w:r>
      <w:r>
        <w:rPr>
          <w:rFonts w:hint="eastAsia" w:ascii="Times New Roman"/>
          <w:b/>
          <w:color w:val="auto"/>
          <w:kern w:val="3"/>
          <w:szCs w:val="28"/>
          <w:lang w:val="en-US" w:eastAsia="zh-CN"/>
        </w:rPr>
        <w:t>3.1</w:t>
      </w:r>
      <w:r>
        <w:rPr>
          <w:rFonts w:hint="eastAsia" w:ascii="Times New Roman" w:hAnsi="Times New Roman"/>
          <w:b/>
          <w:color w:val="auto"/>
          <w:kern w:val="3"/>
          <w:szCs w:val="28"/>
        </w:rPr>
        <w:t>-</w:t>
      </w:r>
      <w:r>
        <w:rPr>
          <w:rFonts w:ascii="Times New Roman" w:hAnsi="Times New Roman"/>
          <w:b/>
          <w:color w:val="auto"/>
          <w:kern w:val="3"/>
          <w:szCs w:val="28"/>
        </w:rPr>
        <w:t>2</w:t>
      </w:r>
      <w:r>
        <w:rPr>
          <w:rFonts w:hint="eastAsia" w:ascii="Times New Roman" w:hAnsi="Times New Roman"/>
          <w:b/>
          <w:color w:val="auto"/>
          <w:kern w:val="3"/>
          <w:szCs w:val="28"/>
        </w:rPr>
        <w:t>硫酸的理化特性表</w:t>
      </w:r>
    </w:p>
    <w:tbl>
      <w:tblPr>
        <w:tblStyle w:val="80"/>
        <w:tblW w:w="9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36"/>
        <w:gridCol w:w="6899"/>
      </w:tblGrid>
      <w:tr w14:paraId="0E31C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435" w:type="dxa"/>
            <w:gridSpan w:val="2"/>
            <w:tcBorders>
              <w:top w:val="single" w:color="auto" w:sz="4" w:space="0"/>
              <w:left w:val="single" w:color="auto" w:sz="4" w:space="0"/>
              <w:bottom w:val="single" w:color="auto" w:sz="4" w:space="0"/>
              <w:right w:val="single" w:color="auto" w:sz="4" w:space="0"/>
            </w:tcBorders>
          </w:tcPr>
          <w:p w14:paraId="4F57AB93">
            <w:pPr>
              <w:pStyle w:val="106"/>
              <w:jc w:val="center"/>
              <w:rPr>
                <w:rFonts w:hint="eastAsia" w:ascii="..ì." w:hAnsi="..ì." w:cs="Times New Roman"/>
                <w:color w:val="auto"/>
                <w:sz w:val="21"/>
                <w:szCs w:val="21"/>
              </w:rPr>
            </w:pPr>
            <w:r>
              <w:rPr>
                <w:rFonts w:cs="Times New Roman"/>
                <w:b/>
                <w:bCs/>
                <w:color w:val="auto"/>
                <w:sz w:val="21"/>
                <w:szCs w:val="21"/>
              </w:rPr>
              <w:t>第一部分 化学品标识</w:t>
            </w:r>
          </w:p>
        </w:tc>
      </w:tr>
      <w:tr w14:paraId="6421A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4543A2E2">
            <w:pPr>
              <w:pStyle w:val="106"/>
              <w:jc w:val="center"/>
              <w:rPr>
                <w:rFonts w:cs="Times New Roman"/>
                <w:color w:val="auto"/>
                <w:sz w:val="21"/>
                <w:szCs w:val="21"/>
              </w:rPr>
            </w:pPr>
            <w:r>
              <w:rPr>
                <w:rFonts w:cs="Times New Roman"/>
                <w:color w:val="auto"/>
                <w:sz w:val="21"/>
                <w:szCs w:val="21"/>
              </w:rPr>
              <w:t>化学品中文名</w:t>
            </w:r>
          </w:p>
        </w:tc>
        <w:tc>
          <w:tcPr>
            <w:tcW w:w="6899" w:type="dxa"/>
            <w:tcBorders>
              <w:top w:val="single" w:color="auto" w:sz="4" w:space="0"/>
              <w:left w:val="nil"/>
              <w:bottom w:val="single" w:color="auto" w:sz="4" w:space="0"/>
              <w:right w:val="single" w:color="auto" w:sz="4" w:space="0"/>
            </w:tcBorders>
            <w:vAlign w:val="center"/>
          </w:tcPr>
          <w:p w14:paraId="5608BD88">
            <w:pPr>
              <w:widowControl/>
              <w:spacing w:line="240" w:lineRule="auto"/>
              <w:jc w:val="left"/>
              <w:rPr>
                <w:rFonts w:ascii="宋体" w:hAnsi="宋体" w:cs="Calibri"/>
                <w:color w:val="auto"/>
                <w:sz w:val="21"/>
                <w:szCs w:val="21"/>
              </w:rPr>
            </w:pPr>
            <w:r>
              <w:rPr>
                <w:rFonts w:hint="eastAsia" w:ascii="宋体" w:hAnsi="宋体"/>
                <w:color w:val="auto"/>
                <w:sz w:val="21"/>
                <w:szCs w:val="21"/>
              </w:rPr>
              <w:t>硫酸</w:t>
            </w:r>
          </w:p>
        </w:tc>
      </w:tr>
      <w:tr w14:paraId="5F287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0E0A8807">
            <w:pPr>
              <w:pStyle w:val="106"/>
              <w:jc w:val="center"/>
              <w:rPr>
                <w:rFonts w:hAnsi="宋体" w:cs="Times New Roman"/>
                <w:color w:val="auto"/>
                <w:sz w:val="21"/>
                <w:szCs w:val="21"/>
              </w:rPr>
            </w:pPr>
            <w:r>
              <w:rPr>
                <w:rFonts w:cs="Times New Roman"/>
                <w:color w:val="auto"/>
                <w:sz w:val="21"/>
                <w:szCs w:val="21"/>
              </w:rPr>
              <w:t>化学品英文名</w:t>
            </w:r>
          </w:p>
        </w:tc>
        <w:tc>
          <w:tcPr>
            <w:tcW w:w="6899" w:type="dxa"/>
            <w:tcBorders>
              <w:top w:val="single" w:color="auto" w:sz="4" w:space="0"/>
              <w:left w:val="nil"/>
              <w:bottom w:val="single" w:color="auto" w:sz="4" w:space="0"/>
              <w:right w:val="single" w:color="auto" w:sz="4" w:space="0"/>
            </w:tcBorders>
            <w:vAlign w:val="center"/>
          </w:tcPr>
          <w:p w14:paraId="6850F75A">
            <w:pPr>
              <w:widowControl/>
              <w:spacing w:line="240" w:lineRule="auto"/>
              <w:jc w:val="left"/>
              <w:rPr>
                <w:rFonts w:ascii="宋体" w:hAnsi="宋体" w:cs="Calibri"/>
                <w:color w:val="auto"/>
                <w:sz w:val="21"/>
                <w:szCs w:val="21"/>
              </w:rPr>
            </w:pPr>
            <w:r>
              <w:rPr>
                <w:rFonts w:hint="eastAsia" w:ascii="宋体" w:hAnsi="宋体"/>
                <w:color w:val="auto"/>
                <w:kern w:val="0"/>
                <w:sz w:val="21"/>
                <w:szCs w:val="21"/>
              </w:rPr>
              <w:t>sulfuricacid</w:t>
            </w:r>
          </w:p>
        </w:tc>
      </w:tr>
      <w:tr w14:paraId="22AA2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02B101FF">
            <w:pPr>
              <w:pStyle w:val="106"/>
              <w:jc w:val="center"/>
              <w:rPr>
                <w:rFonts w:hAnsi="宋体" w:cs="Times New Roman"/>
                <w:color w:val="auto"/>
                <w:sz w:val="21"/>
                <w:szCs w:val="21"/>
              </w:rPr>
            </w:pPr>
            <w:r>
              <w:rPr>
                <w:rFonts w:cs="Times New Roman"/>
                <w:color w:val="auto"/>
                <w:sz w:val="21"/>
                <w:szCs w:val="21"/>
              </w:rPr>
              <w:t>分子式</w:t>
            </w:r>
          </w:p>
        </w:tc>
        <w:tc>
          <w:tcPr>
            <w:tcW w:w="6899" w:type="dxa"/>
            <w:tcBorders>
              <w:top w:val="single" w:color="auto" w:sz="4" w:space="0"/>
              <w:left w:val="nil"/>
              <w:bottom w:val="single" w:color="auto" w:sz="4" w:space="0"/>
              <w:right w:val="single" w:color="auto" w:sz="4" w:space="0"/>
            </w:tcBorders>
            <w:vAlign w:val="center"/>
          </w:tcPr>
          <w:p w14:paraId="61B2C234">
            <w:pPr>
              <w:widowControl/>
              <w:spacing w:line="240" w:lineRule="auto"/>
              <w:jc w:val="left"/>
              <w:rPr>
                <w:rFonts w:ascii="宋体" w:hAnsi="宋体" w:cs="Calibri"/>
                <w:color w:val="auto"/>
                <w:sz w:val="21"/>
                <w:szCs w:val="21"/>
              </w:rPr>
            </w:pPr>
            <w:r>
              <w:rPr>
                <w:rFonts w:hint="eastAsia" w:ascii="宋体" w:hAnsi="宋体"/>
                <w:color w:val="auto"/>
                <w:sz w:val="21"/>
                <w:szCs w:val="21"/>
              </w:rPr>
              <w:t>H</w:t>
            </w:r>
            <w:r>
              <w:rPr>
                <w:rFonts w:hint="eastAsia" w:ascii="宋体" w:hAnsi="宋体"/>
                <w:color w:val="auto"/>
                <w:sz w:val="21"/>
                <w:szCs w:val="21"/>
                <w:vertAlign w:val="subscript"/>
              </w:rPr>
              <w:t>2</w:t>
            </w:r>
            <w:r>
              <w:rPr>
                <w:rFonts w:hint="eastAsia" w:ascii="宋体" w:hAnsi="宋体"/>
                <w:color w:val="auto"/>
                <w:sz w:val="21"/>
                <w:szCs w:val="21"/>
              </w:rPr>
              <w:t>SO</w:t>
            </w:r>
            <w:r>
              <w:rPr>
                <w:rFonts w:hint="eastAsia" w:ascii="宋体" w:hAnsi="宋体"/>
                <w:color w:val="auto"/>
                <w:sz w:val="21"/>
                <w:szCs w:val="21"/>
                <w:vertAlign w:val="subscript"/>
              </w:rPr>
              <w:t>4</w:t>
            </w:r>
          </w:p>
        </w:tc>
      </w:tr>
      <w:tr w14:paraId="75858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66587A06">
            <w:pPr>
              <w:pStyle w:val="106"/>
              <w:jc w:val="center"/>
              <w:rPr>
                <w:rFonts w:hAnsi="宋体" w:cs="Times New Roman"/>
                <w:color w:val="auto"/>
                <w:sz w:val="21"/>
                <w:szCs w:val="21"/>
              </w:rPr>
            </w:pPr>
            <w:r>
              <w:rPr>
                <w:rFonts w:cs="Times New Roman"/>
                <w:color w:val="auto"/>
                <w:sz w:val="21"/>
                <w:szCs w:val="21"/>
              </w:rPr>
              <w:t>相对分子质量</w:t>
            </w:r>
          </w:p>
        </w:tc>
        <w:tc>
          <w:tcPr>
            <w:tcW w:w="6899" w:type="dxa"/>
            <w:tcBorders>
              <w:top w:val="single" w:color="auto" w:sz="4" w:space="0"/>
              <w:left w:val="nil"/>
              <w:bottom w:val="single" w:color="auto" w:sz="4" w:space="0"/>
              <w:right w:val="single" w:color="auto" w:sz="4" w:space="0"/>
            </w:tcBorders>
            <w:vAlign w:val="center"/>
          </w:tcPr>
          <w:p w14:paraId="1EC446AB">
            <w:pPr>
              <w:pStyle w:val="106"/>
              <w:jc w:val="both"/>
              <w:rPr>
                <w:rFonts w:hint="eastAsia" w:ascii="..ì." w:hAnsi="..ì." w:cs="Times New Roman"/>
                <w:color w:val="auto"/>
                <w:sz w:val="21"/>
                <w:szCs w:val="21"/>
              </w:rPr>
            </w:pPr>
            <w:r>
              <w:rPr>
                <w:rFonts w:cs="Times New Roman"/>
                <w:color w:val="auto"/>
                <w:sz w:val="21"/>
                <w:szCs w:val="21"/>
              </w:rPr>
              <w:t>98.08</w:t>
            </w:r>
          </w:p>
        </w:tc>
      </w:tr>
      <w:tr w14:paraId="272A7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0D42EB45">
            <w:pPr>
              <w:pStyle w:val="106"/>
              <w:jc w:val="center"/>
              <w:rPr>
                <w:rFonts w:cs="Times New Roman"/>
                <w:color w:val="auto"/>
                <w:sz w:val="21"/>
                <w:szCs w:val="21"/>
              </w:rPr>
            </w:pPr>
            <w:r>
              <w:rPr>
                <w:rFonts w:cs="Times New Roman"/>
                <w:color w:val="auto"/>
                <w:sz w:val="21"/>
                <w:szCs w:val="21"/>
              </w:rPr>
              <w:t>结构式</w:t>
            </w:r>
          </w:p>
        </w:tc>
        <w:tc>
          <w:tcPr>
            <w:tcW w:w="6899" w:type="dxa"/>
            <w:tcBorders>
              <w:top w:val="single" w:color="auto" w:sz="4" w:space="0"/>
              <w:left w:val="nil"/>
              <w:bottom w:val="single" w:color="auto" w:sz="4" w:space="0"/>
              <w:right w:val="single" w:color="auto" w:sz="4" w:space="0"/>
            </w:tcBorders>
            <w:vAlign w:val="center"/>
          </w:tcPr>
          <w:p w14:paraId="54C3605B">
            <w:pPr>
              <w:pStyle w:val="106"/>
              <w:jc w:val="both"/>
              <w:rPr>
                <w:rFonts w:cs="Times New Roman"/>
                <w:color w:val="auto"/>
                <w:sz w:val="21"/>
                <w:szCs w:val="21"/>
              </w:rPr>
            </w:pPr>
            <w:r>
              <w:rPr>
                <w:rFonts w:hint="eastAsia" w:cs="Times New Roman"/>
                <w:color w:val="auto"/>
                <w:sz w:val="21"/>
                <w:szCs w:val="21"/>
              </w:rPr>
              <w:drawing>
                <wp:inline distT="0" distB="0" distL="0" distR="0">
                  <wp:extent cx="588645" cy="506730"/>
                  <wp:effectExtent l="0" t="0" r="8255" b="1270"/>
                  <wp:docPr id="20164701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70171" name="图片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88645" cy="506730"/>
                          </a:xfrm>
                          <a:prstGeom prst="rect">
                            <a:avLst/>
                          </a:prstGeom>
                          <a:noFill/>
                          <a:ln>
                            <a:noFill/>
                          </a:ln>
                        </pic:spPr>
                      </pic:pic>
                    </a:graphicData>
                  </a:graphic>
                </wp:inline>
              </w:drawing>
            </w:r>
          </w:p>
        </w:tc>
      </w:tr>
      <w:tr w14:paraId="7FDC1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0A109608">
            <w:pPr>
              <w:pStyle w:val="106"/>
              <w:jc w:val="center"/>
              <w:rPr>
                <w:rFonts w:cs="Times New Roman"/>
                <w:color w:val="auto"/>
                <w:sz w:val="21"/>
                <w:szCs w:val="21"/>
              </w:rPr>
            </w:pPr>
            <w:r>
              <w:rPr>
                <w:rFonts w:cs="Times New Roman"/>
                <w:color w:val="auto"/>
                <w:sz w:val="21"/>
                <w:szCs w:val="21"/>
              </w:rPr>
              <w:t>化学品的推荐及限制用途</w:t>
            </w:r>
          </w:p>
        </w:tc>
        <w:tc>
          <w:tcPr>
            <w:tcW w:w="6899" w:type="dxa"/>
            <w:tcBorders>
              <w:top w:val="single" w:color="auto" w:sz="4" w:space="0"/>
              <w:left w:val="nil"/>
              <w:bottom w:val="single" w:color="auto" w:sz="4" w:space="0"/>
              <w:right w:val="single" w:color="auto" w:sz="4" w:space="0"/>
            </w:tcBorders>
            <w:vAlign w:val="center"/>
          </w:tcPr>
          <w:p w14:paraId="3F814B9D">
            <w:pPr>
              <w:widowControl/>
              <w:spacing w:line="240" w:lineRule="auto"/>
              <w:jc w:val="left"/>
              <w:rPr>
                <w:rFonts w:ascii="宋体" w:hAnsi="宋体" w:cs="Calibri"/>
                <w:color w:val="auto"/>
                <w:kern w:val="0"/>
                <w:sz w:val="21"/>
                <w:szCs w:val="21"/>
              </w:rPr>
            </w:pPr>
            <w:r>
              <w:rPr>
                <w:rFonts w:hint="eastAsia" w:ascii="宋体" w:hAnsi="宋体"/>
                <w:color w:val="auto"/>
                <w:kern w:val="0"/>
                <w:sz w:val="21"/>
                <w:szCs w:val="21"/>
              </w:rPr>
              <w:t>用于生产化学肥料,在化工、医药、塑料、染料、石油提炼等工业也有广泛的应用</w:t>
            </w:r>
          </w:p>
        </w:tc>
      </w:tr>
      <w:tr w14:paraId="5DEA1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435" w:type="dxa"/>
            <w:gridSpan w:val="2"/>
            <w:tcBorders>
              <w:top w:val="single" w:color="auto" w:sz="4" w:space="0"/>
              <w:left w:val="single" w:color="auto" w:sz="4" w:space="0"/>
              <w:bottom w:val="single" w:color="auto" w:sz="4" w:space="0"/>
              <w:right w:val="single" w:color="auto" w:sz="4" w:space="0"/>
            </w:tcBorders>
            <w:vAlign w:val="center"/>
          </w:tcPr>
          <w:p w14:paraId="05A742BB">
            <w:pPr>
              <w:pStyle w:val="106"/>
              <w:jc w:val="center"/>
              <w:rPr>
                <w:rFonts w:hAnsi="宋体" w:cs="Times New Roman"/>
                <w:color w:val="auto"/>
                <w:sz w:val="21"/>
                <w:szCs w:val="21"/>
              </w:rPr>
            </w:pPr>
            <w:r>
              <w:rPr>
                <w:rFonts w:cs="Times New Roman"/>
                <w:b/>
                <w:bCs/>
                <w:color w:val="auto"/>
                <w:sz w:val="21"/>
                <w:szCs w:val="21"/>
              </w:rPr>
              <w:t>第二部分 危险性概述</w:t>
            </w:r>
          </w:p>
        </w:tc>
      </w:tr>
      <w:tr w14:paraId="36222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714C9507">
            <w:pPr>
              <w:pStyle w:val="106"/>
              <w:jc w:val="center"/>
              <w:rPr>
                <w:rFonts w:hint="eastAsia" w:ascii="..ì." w:hAnsi="..ì." w:cs="Times New Roman"/>
                <w:color w:val="auto"/>
                <w:sz w:val="21"/>
                <w:szCs w:val="21"/>
              </w:rPr>
            </w:pPr>
            <w:r>
              <w:rPr>
                <w:rFonts w:cs="Times New Roman"/>
                <w:color w:val="auto"/>
                <w:sz w:val="21"/>
                <w:szCs w:val="21"/>
              </w:rPr>
              <w:t>紧急情况概述</w:t>
            </w:r>
          </w:p>
        </w:tc>
        <w:tc>
          <w:tcPr>
            <w:tcW w:w="6899" w:type="dxa"/>
            <w:tcBorders>
              <w:top w:val="single" w:color="auto" w:sz="4" w:space="0"/>
              <w:left w:val="nil"/>
              <w:bottom w:val="single" w:color="auto" w:sz="4" w:space="0"/>
              <w:right w:val="single" w:color="auto" w:sz="4" w:space="0"/>
            </w:tcBorders>
            <w:vAlign w:val="center"/>
          </w:tcPr>
          <w:p w14:paraId="4AE3E3B9">
            <w:pPr>
              <w:widowControl/>
              <w:spacing w:line="240" w:lineRule="auto"/>
              <w:jc w:val="left"/>
              <w:rPr>
                <w:rFonts w:ascii="宋体" w:hAnsi="宋体" w:cs="Calibri"/>
                <w:color w:val="auto"/>
                <w:sz w:val="21"/>
                <w:szCs w:val="21"/>
              </w:rPr>
            </w:pPr>
            <w:r>
              <w:rPr>
                <w:rFonts w:hint="eastAsia" w:ascii="宋体" w:hAnsi="宋体"/>
                <w:color w:val="auto"/>
                <w:kern w:val="0"/>
                <w:sz w:val="21"/>
                <w:szCs w:val="21"/>
              </w:rPr>
              <w:t>造成严重的皮肤灼伤和眼损伤</w:t>
            </w:r>
          </w:p>
        </w:tc>
      </w:tr>
      <w:tr w14:paraId="0DE78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6FFC18BD">
            <w:pPr>
              <w:pStyle w:val="106"/>
              <w:jc w:val="center"/>
              <w:rPr>
                <w:rFonts w:hAnsi="宋体" w:cs="Times New Roman"/>
                <w:color w:val="auto"/>
                <w:sz w:val="21"/>
                <w:szCs w:val="21"/>
              </w:rPr>
            </w:pPr>
            <w:r>
              <w:rPr>
                <w:rFonts w:cs="Times New Roman"/>
                <w:color w:val="auto"/>
                <w:sz w:val="21"/>
                <w:szCs w:val="21"/>
              </w:rPr>
              <w:t>GHS危险性类别</w:t>
            </w:r>
          </w:p>
        </w:tc>
        <w:tc>
          <w:tcPr>
            <w:tcW w:w="6899" w:type="dxa"/>
            <w:tcBorders>
              <w:top w:val="single" w:color="auto" w:sz="4" w:space="0"/>
              <w:left w:val="nil"/>
              <w:bottom w:val="single" w:color="auto" w:sz="4" w:space="0"/>
              <w:right w:val="single" w:color="auto" w:sz="4" w:space="0"/>
            </w:tcBorders>
            <w:vAlign w:val="center"/>
          </w:tcPr>
          <w:p w14:paraId="0B352914">
            <w:pPr>
              <w:widowControl/>
              <w:spacing w:line="240" w:lineRule="auto"/>
              <w:jc w:val="left"/>
              <w:rPr>
                <w:rFonts w:ascii="宋体" w:hAnsi="宋体" w:cs="Calibri"/>
                <w:color w:val="auto"/>
                <w:kern w:val="0"/>
                <w:sz w:val="21"/>
                <w:szCs w:val="21"/>
              </w:rPr>
            </w:pPr>
            <w:r>
              <w:rPr>
                <w:rFonts w:hint="eastAsia" w:ascii="宋体" w:hAnsi="宋体"/>
                <w:color w:val="auto"/>
                <w:kern w:val="0"/>
                <w:sz w:val="21"/>
                <w:szCs w:val="21"/>
              </w:rPr>
              <w:t>皮肤腐蚀/刺激,类别1A;严重眼损伤/眼刺 激,类别1;危害水生环境-急性危害,类别3</w:t>
            </w:r>
          </w:p>
        </w:tc>
      </w:tr>
      <w:tr w14:paraId="24DDF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69B2BE5D">
            <w:pPr>
              <w:pStyle w:val="106"/>
              <w:jc w:val="center"/>
              <w:rPr>
                <w:rFonts w:hAnsi="宋体" w:cs="Times New Roman"/>
                <w:color w:val="auto"/>
                <w:sz w:val="21"/>
                <w:szCs w:val="21"/>
              </w:rPr>
            </w:pPr>
            <w:r>
              <w:rPr>
                <w:rFonts w:cs="Times New Roman"/>
                <w:color w:val="auto"/>
                <w:sz w:val="21"/>
                <w:szCs w:val="21"/>
              </w:rPr>
              <w:t>标签要素</w:t>
            </w:r>
          </w:p>
          <w:p w14:paraId="0E57026A">
            <w:pPr>
              <w:pStyle w:val="106"/>
              <w:jc w:val="center"/>
              <w:rPr>
                <w:rFonts w:hint="eastAsia" w:ascii="..ì." w:hAnsi="..ì." w:cs="Times New Roman"/>
                <w:color w:val="auto"/>
                <w:sz w:val="21"/>
                <w:szCs w:val="21"/>
              </w:rPr>
            </w:pPr>
            <w:r>
              <w:rPr>
                <w:rFonts w:cs="Times New Roman"/>
                <w:color w:val="auto"/>
                <w:sz w:val="21"/>
                <w:szCs w:val="21"/>
              </w:rPr>
              <w:t>象形图</w:t>
            </w:r>
          </w:p>
        </w:tc>
        <w:tc>
          <w:tcPr>
            <w:tcW w:w="6899" w:type="dxa"/>
            <w:tcBorders>
              <w:top w:val="single" w:color="auto" w:sz="4" w:space="0"/>
              <w:left w:val="nil"/>
              <w:bottom w:val="single" w:color="auto" w:sz="4" w:space="0"/>
              <w:right w:val="single" w:color="auto" w:sz="4" w:space="0"/>
            </w:tcBorders>
            <w:vAlign w:val="center"/>
          </w:tcPr>
          <w:p w14:paraId="4E024E8C">
            <w:pPr>
              <w:pStyle w:val="106"/>
              <w:jc w:val="both"/>
              <w:rPr>
                <w:rFonts w:cs="Times New Roman"/>
                <w:color w:val="auto"/>
                <w:sz w:val="21"/>
                <w:szCs w:val="21"/>
              </w:rPr>
            </w:pPr>
            <w:r>
              <w:rPr>
                <w:rFonts w:hint="eastAsia" w:cs="Times New Roman"/>
                <w:color w:val="auto"/>
                <w:sz w:val="21"/>
                <w:szCs w:val="21"/>
              </w:rPr>
              <w:drawing>
                <wp:inline distT="0" distB="0" distL="0" distR="0">
                  <wp:extent cx="588645" cy="570230"/>
                  <wp:effectExtent l="0" t="0" r="8255" b="1270"/>
                  <wp:docPr id="1538348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4861" name="图片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88645" cy="570230"/>
                          </a:xfrm>
                          <a:prstGeom prst="rect">
                            <a:avLst/>
                          </a:prstGeom>
                          <a:noFill/>
                          <a:ln>
                            <a:noFill/>
                          </a:ln>
                        </pic:spPr>
                      </pic:pic>
                    </a:graphicData>
                  </a:graphic>
                </wp:inline>
              </w:drawing>
            </w:r>
          </w:p>
        </w:tc>
      </w:tr>
      <w:tr w14:paraId="44151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5E9F912C">
            <w:pPr>
              <w:pStyle w:val="106"/>
              <w:jc w:val="center"/>
              <w:rPr>
                <w:rFonts w:cs="Times New Roman"/>
                <w:color w:val="auto"/>
                <w:sz w:val="21"/>
                <w:szCs w:val="21"/>
              </w:rPr>
            </w:pPr>
            <w:r>
              <w:rPr>
                <w:rFonts w:cs="Times New Roman"/>
                <w:color w:val="auto"/>
                <w:sz w:val="21"/>
                <w:szCs w:val="21"/>
              </w:rPr>
              <w:t>警示词</w:t>
            </w:r>
          </w:p>
        </w:tc>
        <w:tc>
          <w:tcPr>
            <w:tcW w:w="6899" w:type="dxa"/>
            <w:tcBorders>
              <w:top w:val="single" w:color="auto" w:sz="4" w:space="0"/>
              <w:left w:val="nil"/>
              <w:bottom w:val="single" w:color="auto" w:sz="4" w:space="0"/>
              <w:right w:val="single" w:color="auto" w:sz="4" w:space="0"/>
            </w:tcBorders>
            <w:vAlign w:val="center"/>
          </w:tcPr>
          <w:p w14:paraId="24099DCF">
            <w:pPr>
              <w:pStyle w:val="106"/>
              <w:jc w:val="both"/>
              <w:rPr>
                <w:rFonts w:cs="Times New Roman"/>
                <w:color w:val="auto"/>
                <w:sz w:val="21"/>
                <w:szCs w:val="21"/>
              </w:rPr>
            </w:pPr>
            <w:r>
              <w:rPr>
                <w:rFonts w:cs="Times New Roman"/>
                <w:color w:val="auto"/>
                <w:sz w:val="21"/>
                <w:szCs w:val="21"/>
              </w:rPr>
              <w:t>危险</w:t>
            </w:r>
          </w:p>
        </w:tc>
      </w:tr>
      <w:tr w14:paraId="6E7A9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1C22D621">
            <w:pPr>
              <w:pStyle w:val="106"/>
              <w:jc w:val="center"/>
              <w:rPr>
                <w:rFonts w:cs="Times New Roman"/>
                <w:color w:val="auto"/>
                <w:sz w:val="21"/>
                <w:szCs w:val="21"/>
              </w:rPr>
            </w:pPr>
            <w:r>
              <w:rPr>
                <w:rFonts w:cs="Times New Roman"/>
                <w:color w:val="auto"/>
                <w:sz w:val="21"/>
                <w:szCs w:val="21"/>
              </w:rPr>
              <w:t>危险性说明</w:t>
            </w:r>
          </w:p>
        </w:tc>
        <w:tc>
          <w:tcPr>
            <w:tcW w:w="6899" w:type="dxa"/>
            <w:tcBorders>
              <w:top w:val="single" w:color="auto" w:sz="4" w:space="0"/>
              <w:left w:val="nil"/>
              <w:bottom w:val="single" w:color="auto" w:sz="4" w:space="0"/>
              <w:right w:val="single" w:color="auto" w:sz="4" w:space="0"/>
            </w:tcBorders>
            <w:vAlign w:val="center"/>
          </w:tcPr>
          <w:p w14:paraId="40BBC5ED">
            <w:pPr>
              <w:widowControl/>
              <w:spacing w:line="240" w:lineRule="auto"/>
              <w:jc w:val="left"/>
              <w:rPr>
                <w:rFonts w:ascii="宋体" w:hAnsi="宋体" w:cs="Calibri"/>
                <w:color w:val="auto"/>
                <w:kern w:val="0"/>
                <w:sz w:val="21"/>
                <w:szCs w:val="21"/>
              </w:rPr>
            </w:pPr>
            <w:r>
              <w:rPr>
                <w:rFonts w:hint="eastAsia" w:ascii="宋体" w:hAnsi="宋体"/>
                <w:color w:val="auto"/>
                <w:kern w:val="0"/>
                <w:sz w:val="21"/>
                <w:szCs w:val="21"/>
              </w:rPr>
              <w:t>造成严重的皮肤灼伤和眼损伤,对水生生物有害</w:t>
            </w:r>
          </w:p>
        </w:tc>
      </w:tr>
      <w:tr w14:paraId="1054F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639AF7CB">
            <w:pPr>
              <w:pStyle w:val="106"/>
              <w:jc w:val="center"/>
              <w:rPr>
                <w:rFonts w:hAnsi="宋体" w:cs="Times New Roman"/>
                <w:color w:val="auto"/>
                <w:sz w:val="21"/>
                <w:szCs w:val="21"/>
              </w:rPr>
            </w:pPr>
            <w:r>
              <w:rPr>
                <w:rFonts w:cs="Times New Roman"/>
                <w:color w:val="auto"/>
                <w:sz w:val="21"/>
                <w:szCs w:val="21"/>
              </w:rPr>
              <w:t>防范说明</w:t>
            </w:r>
          </w:p>
        </w:tc>
        <w:tc>
          <w:tcPr>
            <w:tcW w:w="6899" w:type="dxa"/>
            <w:tcBorders>
              <w:top w:val="single" w:color="auto" w:sz="4" w:space="0"/>
              <w:left w:val="nil"/>
              <w:bottom w:val="single" w:color="auto" w:sz="4" w:space="0"/>
              <w:right w:val="single" w:color="auto" w:sz="4" w:space="0"/>
            </w:tcBorders>
            <w:vAlign w:val="center"/>
          </w:tcPr>
          <w:p w14:paraId="03E1A8CE">
            <w:pPr>
              <w:widowControl/>
              <w:spacing w:line="240" w:lineRule="auto"/>
              <w:jc w:val="left"/>
              <w:rPr>
                <w:rFonts w:ascii="宋体" w:hAnsi="宋体" w:cs="Calibri"/>
                <w:color w:val="auto"/>
                <w:kern w:val="0"/>
                <w:sz w:val="21"/>
                <w:szCs w:val="21"/>
              </w:rPr>
            </w:pPr>
            <w:r>
              <w:rPr>
                <w:rFonts w:hint="eastAsia" w:ascii="宋体" w:hAnsi="宋体"/>
                <w:color w:val="auto"/>
                <w:kern w:val="0"/>
                <w:sz w:val="21"/>
                <w:szCs w:val="21"/>
              </w:rPr>
              <w:t>预防措施  避免接触眼睛、皮肤,操作后彻底清洗。戴防护手套,穿防护服,戴防护眼镜、防护面罩。禁止排入环境。</w:t>
            </w:r>
          </w:p>
          <w:p w14:paraId="496D10C5">
            <w:pPr>
              <w:widowControl/>
              <w:spacing w:line="240" w:lineRule="auto"/>
              <w:jc w:val="left"/>
              <w:rPr>
                <w:rFonts w:ascii="宋体" w:hAnsi="宋体" w:cs="Times New Roman"/>
                <w:color w:val="auto"/>
                <w:kern w:val="0"/>
                <w:sz w:val="21"/>
                <w:szCs w:val="21"/>
              </w:rPr>
            </w:pPr>
            <w:r>
              <w:rPr>
                <w:rFonts w:hint="eastAsia" w:ascii="宋体" w:hAnsi="宋体"/>
                <w:color w:val="auto"/>
                <w:kern w:val="0"/>
                <w:sz w:val="21"/>
                <w:szCs w:val="21"/>
              </w:rPr>
              <w:t>事故响应  如吸入:将患者转移到空气新鲜处,休息,保持利于呼吸的体位。立即呼叫中毒控制中心或就医。皮肤(或头发)接触:立即脱掉所有被污染的衣服,用水冲洗皮肤,淋浴。污染的衣服须洗净后方可重新使用。接触眼睛:用水细心冲洗数分钟。如戴隐形眼镜并可方便地取出,取出隐形眼镜继续冲洗。食入:漱口。不要催吐。</w:t>
            </w:r>
          </w:p>
          <w:p w14:paraId="1AE6FFBD">
            <w:pPr>
              <w:widowControl/>
              <w:spacing w:line="240" w:lineRule="auto"/>
              <w:jc w:val="left"/>
              <w:rPr>
                <w:rFonts w:ascii="宋体" w:hAnsi="宋体"/>
                <w:color w:val="auto"/>
                <w:kern w:val="0"/>
                <w:sz w:val="21"/>
                <w:szCs w:val="21"/>
              </w:rPr>
            </w:pPr>
            <w:r>
              <w:rPr>
                <w:rFonts w:hint="eastAsia" w:ascii="宋体" w:hAnsi="宋体"/>
                <w:color w:val="auto"/>
                <w:kern w:val="0"/>
                <w:sz w:val="21"/>
                <w:szCs w:val="21"/>
              </w:rPr>
              <w:t>安全储存  上锁保管。</w:t>
            </w:r>
          </w:p>
          <w:p w14:paraId="1FB22E0D">
            <w:pPr>
              <w:widowControl/>
              <w:spacing w:line="240" w:lineRule="auto"/>
              <w:jc w:val="left"/>
              <w:rPr>
                <w:rFonts w:ascii="宋体" w:hAnsi="宋体"/>
                <w:color w:val="auto"/>
                <w:kern w:val="0"/>
                <w:sz w:val="21"/>
                <w:szCs w:val="21"/>
              </w:rPr>
            </w:pPr>
            <w:r>
              <w:rPr>
                <w:rFonts w:hint="eastAsia" w:ascii="宋体" w:hAnsi="宋体"/>
                <w:color w:val="auto"/>
                <w:kern w:val="0"/>
                <w:sz w:val="21"/>
                <w:szCs w:val="21"/>
              </w:rPr>
              <w:t>废弃处置  本品及内装物、容器依据国家和地方法规处置。</w:t>
            </w:r>
          </w:p>
        </w:tc>
      </w:tr>
      <w:tr w14:paraId="13935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0E9137BA">
            <w:pPr>
              <w:pStyle w:val="106"/>
              <w:jc w:val="center"/>
              <w:rPr>
                <w:rFonts w:hAnsi="宋体" w:cs="Times New Roman"/>
                <w:color w:val="auto"/>
                <w:sz w:val="21"/>
                <w:szCs w:val="21"/>
              </w:rPr>
            </w:pPr>
            <w:r>
              <w:rPr>
                <w:rFonts w:cs="Times New Roman"/>
                <w:color w:val="auto"/>
                <w:sz w:val="21"/>
                <w:szCs w:val="21"/>
              </w:rPr>
              <w:t>物理和化学危险</w:t>
            </w:r>
          </w:p>
        </w:tc>
        <w:tc>
          <w:tcPr>
            <w:tcW w:w="6899" w:type="dxa"/>
            <w:tcBorders>
              <w:top w:val="single" w:color="auto" w:sz="4" w:space="0"/>
              <w:left w:val="nil"/>
              <w:bottom w:val="single" w:color="auto" w:sz="4" w:space="0"/>
              <w:right w:val="single" w:color="auto" w:sz="4" w:space="0"/>
            </w:tcBorders>
            <w:vAlign w:val="center"/>
          </w:tcPr>
          <w:p w14:paraId="04A10234">
            <w:pPr>
              <w:widowControl/>
              <w:spacing w:line="240" w:lineRule="auto"/>
              <w:jc w:val="left"/>
              <w:rPr>
                <w:rFonts w:ascii="宋体" w:hAnsi="宋体" w:cs="Calibri"/>
                <w:color w:val="auto"/>
                <w:kern w:val="0"/>
                <w:sz w:val="21"/>
                <w:szCs w:val="21"/>
              </w:rPr>
            </w:pPr>
            <w:r>
              <w:rPr>
                <w:rFonts w:hint="eastAsia" w:ascii="宋体" w:hAnsi="宋体"/>
                <w:color w:val="auto"/>
                <w:kern w:val="0"/>
                <w:sz w:val="21"/>
                <w:szCs w:val="21"/>
              </w:rPr>
              <w:t>不燃,无特殊燃爆特性。浓硫酸与可燃物接触易着火燃烧</w:t>
            </w:r>
          </w:p>
        </w:tc>
      </w:tr>
      <w:tr w14:paraId="4D044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29CED8DB">
            <w:pPr>
              <w:pStyle w:val="106"/>
              <w:jc w:val="center"/>
              <w:rPr>
                <w:rFonts w:hAnsi="宋体" w:cs="Times New Roman"/>
                <w:color w:val="auto"/>
                <w:sz w:val="21"/>
                <w:szCs w:val="21"/>
              </w:rPr>
            </w:pPr>
            <w:r>
              <w:rPr>
                <w:rFonts w:cs="Times New Roman"/>
                <w:color w:val="auto"/>
                <w:sz w:val="21"/>
                <w:szCs w:val="21"/>
              </w:rPr>
              <w:t>健康危害</w:t>
            </w:r>
          </w:p>
        </w:tc>
        <w:tc>
          <w:tcPr>
            <w:tcW w:w="6899" w:type="dxa"/>
            <w:tcBorders>
              <w:top w:val="single" w:color="auto" w:sz="4" w:space="0"/>
              <w:left w:val="nil"/>
              <w:bottom w:val="single" w:color="auto" w:sz="4" w:space="0"/>
              <w:right w:val="single" w:color="auto" w:sz="4" w:space="0"/>
            </w:tcBorders>
            <w:vAlign w:val="center"/>
          </w:tcPr>
          <w:p w14:paraId="5B2D2FED">
            <w:pPr>
              <w:widowControl/>
              <w:spacing w:line="240" w:lineRule="auto"/>
              <w:jc w:val="left"/>
              <w:rPr>
                <w:rFonts w:ascii="宋体" w:hAnsi="宋体" w:cs="Calibri"/>
                <w:color w:val="auto"/>
                <w:kern w:val="0"/>
                <w:sz w:val="21"/>
                <w:szCs w:val="21"/>
              </w:rPr>
            </w:pPr>
            <w:r>
              <w:rPr>
                <w:rFonts w:hint="eastAsia" w:ascii="宋体" w:hAnsi="宋体"/>
                <w:color w:val="auto"/>
                <w:kern w:val="0"/>
                <w:sz w:val="21"/>
                <w:szCs w:val="21"/>
              </w:rPr>
              <w:t>对皮肤、黏膜等组织有强烈的刺激和腐蚀作用。蒸气或雾可引起结膜炎、结膜水肿、角膜混浊,以致失明;引起呼吸道刺激,重者发生呼吸困难和肺水肿;高浓度引起喉痉挛或声门水肿而窒息死亡。口服后引起消化道灼伤以致溃疡形成;严重者可能有胃穿孔、腹膜炎、肾损害、休克等。皮肤灼伤轻者出现红斑、重者形成溃疡,愈后癍痕收缩影响功能。溅入眼内可造成灼伤,甚至角膜穿孔、全眼炎以致失明慢性影响 牙齿酸蚀症、慢性支气管炎、肺气肿和肺硬化。</w:t>
            </w:r>
          </w:p>
        </w:tc>
      </w:tr>
      <w:tr w14:paraId="74F7F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3F427E9F">
            <w:pPr>
              <w:pStyle w:val="106"/>
              <w:jc w:val="center"/>
              <w:rPr>
                <w:rFonts w:hAnsi="宋体" w:cs="Times New Roman"/>
                <w:color w:val="auto"/>
                <w:sz w:val="21"/>
                <w:szCs w:val="21"/>
              </w:rPr>
            </w:pPr>
            <w:r>
              <w:rPr>
                <w:rFonts w:cs="Times New Roman"/>
                <w:color w:val="auto"/>
                <w:sz w:val="21"/>
                <w:szCs w:val="21"/>
              </w:rPr>
              <w:t>环境危害</w:t>
            </w:r>
          </w:p>
        </w:tc>
        <w:tc>
          <w:tcPr>
            <w:tcW w:w="6899" w:type="dxa"/>
            <w:tcBorders>
              <w:top w:val="single" w:color="auto" w:sz="4" w:space="0"/>
              <w:left w:val="nil"/>
              <w:bottom w:val="single" w:color="auto" w:sz="4" w:space="0"/>
              <w:right w:val="single" w:color="auto" w:sz="4" w:space="0"/>
            </w:tcBorders>
            <w:vAlign w:val="center"/>
          </w:tcPr>
          <w:p w14:paraId="5D222D08">
            <w:pPr>
              <w:widowControl/>
              <w:spacing w:line="240" w:lineRule="auto"/>
              <w:jc w:val="left"/>
              <w:rPr>
                <w:rFonts w:ascii="宋体" w:hAnsi="宋体" w:cs="Calibri"/>
                <w:color w:val="auto"/>
                <w:sz w:val="21"/>
                <w:szCs w:val="21"/>
              </w:rPr>
            </w:pPr>
            <w:r>
              <w:rPr>
                <w:rFonts w:hint="eastAsia" w:ascii="宋体" w:hAnsi="宋体"/>
                <w:color w:val="auto"/>
                <w:sz w:val="21"/>
                <w:szCs w:val="21"/>
              </w:rPr>
              <w:t>对水生生物有害</w:t>
            </w:r>
          </w:p>
        </w:tc>
      </w:tr>
      <w:tr w14:paraId="3801A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435" w:type="dxa"/>
            <w:gridSpan w:val="2"/>
            <w:tcBorders>
              <w:top w:val="single" w:color="auto" w:sz="4" w:space="0"/>
              <w:left w:val="single" w:color="auto" w:sz="4" w:space="0"/>
              <w:bottom w:val="single" w:color="auto" w:sz="4" w:space="0"/>
              <w:right w:val="single" w:color="auto" w:sz="4" w:space="0"/>
            </w:tcBorders>
            <w:vAlign w:val="center"/>
          </w:tcPr>
          <w:p w14:paraId="52BC131E">
            <w:pPr>
              <w:pStyle w:val="106"/>
              <w:jc w:val="center"/>
              <w:rPr>
                <w:rFonts w:hAnsi="宋体" w:cs="Times New Roman"/>
                <w:color w:val="auto"/>
                <w:sz w:val="21"/>
                <w:szCs w:val="21"/>
              </w:rPr>
            </w:pPr>
            <w:r>
              <w:rPr>
                <w:rFonts w:cs="Times New Roman"/>
                <w:b/>
                <w:bCs/>
                <w:color w:val="auto"/>
                <w:sz w:val="21"/>
                <w:szCs w:val="21"/>
              </w:rPr>
              <w:t>第三部分 成分/组成信息</w:t>
            </w:r>
          </w:p>
        </w:tc>
      </w:tr>
      <w:tr w14:paraId="7365A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480FA2A1">
            <w:pPr>
              <w:pStyle w:val="106"/>
              <w:jc w:val="center"/>
              <w:rPr>
                <w:rFonts w:hint="eastAsia" w:ascii="..ì." w:hAnsi="..ì." w:cs="Times New Roman"/>
                <w:color w:val="auto"/>
                <w:sz w:val="21"/>
                <w:szCs w:val="21"/>
              </w:rPr>
            </w:pPr>
            <w:r>
              <w:rPr>
                <w:rFonts w:cs="Times New Roman"/>
                <w:color w:val="auto"/>
                <w:sz w:val="21"/>
                <w:szCs w:val="21"/>
              </w:rPr>
              <w:t>√物质</w:t>
            </w:r>
          </w:p>
        </w:tc>
        <w:tc>
          <w:tcPr>
            <w:tcW w:w="6899" w:type="dxa"/>
            <w:tcBorders>
              <w:top w:val="single" w:color="auto" w:sz="4" w:space="0"/>
              <w:left w:val="nil"/>
              <w:bottom w:val="single" w:color="auto" w:sz="4" w:space="0"/>
              <w:right w:val="single" w:color="auto" w:sz="4" w:space="0"/>
            </w:tcBorders>
            <w:vAlign w:val="center"/>
          </w:tcPr>
          <w:p w14:paraId="04ACD214">
            <w:pPr>
              <w:pStyle w:val="106"/>
              <w:jc w:val="both"/>
              <w:rPr>
                <w:rFonts w:cs="Times New Roman"/>
                <w:color w:val="auto"/>
                <w:sz w:val="21"/>
                <w:szCs w:val="21"/>
              </w:rPr>
            </w:pPr>
            <w:r>
              <w:rPr>
                <w:rFonts w:cs="Times New Roman"/>
                <w:color w:val="auto"/>
                <w:sz w:val="21"/>
                <w:szCs w:val="21"/>
              </w:rPr>
              <w:t>混合物</w:t>
            </w:r>
          </w:p>
        </w:tc>
      </w:tr>
      <w:tr w14:paraId="0E3C8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3AF40F77">
            <w:pPr>
              <w:pStyle w:val="106"/>
              <w:jc w:val="center"/>
              <w:rPr>
                <w:rFonts w:cs="Times New Roman"/>
                <w:color w:val="auto"/>
                <w:sz w:val="21"/>
                <w:szCs w:val="21"/>
              </w:rPr>
            </w:pPr>
            <w:r>
              <w:rPr>
                <w:rFonts w:cs="Times New Roman"/>
                <w:color w:val="auto"/>
                <w:sz w:val="21"/>
                <w:szCs w:val="21"/>
              </w:rPr>
              <w:t>组分</w:t>
            </w:r>
          </w:p>
        </w:tc>
        <w:tc>
          <w:tcPr>
            <w:tcW w:w="6899" w:type="dxa"/>
            <w:tcBorders>
              <w:top w:val="single" w:color="auto" w:sz="4" w:space="0"/>
              <w:left w:val="nil"/>
              <w:bottom w:val="single" w:color="auto" w:sz="4" w:space="0"/>
              <w:right w:val="single" w:color="auto" w:sz="4" w:space="0"/>
            </w:tcBorders>
            <w:vAlign w:val="center"/>
          </w:tcPr>
          <w:p w14:paraId="30ACAC2C">
            <w:pPr>
              <w:widowControl/>
              <w:spacing w:line="240" w:lineRule="auto"/>
              <w:jc w:val="left"/>
              <w:rPr>
                <w:rFonts w:ascii="宋体" w:hAnsi="宋体" w:cs="Calibri"/>
                <w:color w:val="auto"/>
                <w:sz w:val="21"/>
                <w:szCs w:val="21"/>
              </w:rPr>
            </w:pPr>
            <w:r>
              <w:rPr>
                <w:rFonts w:hint="eastAsia" w:ascii="宋体" w:hAnsi="宋体"/>
                <w:color w:val="auto"/>
                <w:sz w:val="21"/>
                <w:szCs w:val="21"/>
              </w:rPr>
              <w:t>硫酸</w:t>
            </w:r>
          </w:p>
        </w:tc>
      </w:tr>
      <w:tr w14:paraId="20006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5B2505D3">
            <w:pPr>
              <w:pStyle w:val="106"/>
              <w:jc w:val="center"/>
              <w:rPr>
                <w:rFonts w:hAnsi="宋体" w:cs="Times New Roman"/>
                <w:color w:val="auto"/>
                <w:sz w:val="21"/>
                <w:szCs w:val="21"/>
              </w:rPr>
            </w:pPr>
            <w:r>
              <w:rPr>
                <w:rFonts w:cs="Times New Roman"/>
                <w:color w:val="auto"/>
                <w:sz w:val="21"/>
                <w:szCs w:val="21"/>
              </w:rPr>
              <w:t>浓度</w:t>
            </w:r>
          </w:p>
        </w:tc>
        <w:tc>
          <w:tcPr>
            <w:tcW w:w="6899" w:type="dxa"/>
            <w:tcBorders>
              <w:top w:val="single" w:color="auto" w:sz="4" w:space="0"/>
              <w:left w:val="nil"/>
              <w:bottom w:val="single" w:color="auto" w:sz="4" w:space="0"/>
              <w:right w:val="single" w:color="auto" w:sz="4" w:space="0"/>
            </w:tcBorders>
            <w:vAlign w:val="center"/>
          </w:tcPr>
          <w:p w14:paraId="2766F105">
            <w:pPr>
              <w:pStyle w:val="106"/>
              <w:jc w:val="both"/>
              <w:rPr>
                <w:rFonts w:hint="eastAsia" w:ascii="..ì." w:hAnsi="..ì." w:cs="Times New Roman"/>
                <w:color w:val="auto"/>
                <w:sz w:val="21"/>
                <w:szCs w:val="21"/>
              </w:rPr>
            </w:pPr>
          </w:p>
        </w:tc>
      </w:tr>
      <w:tr w14:paraId="71E47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05FCD9D9">
            <w:pPr>
              <w:pStyle w:val="106"/>
              <w:jc w:val="center"/>
              <w:rPr>
                <w:rFonts w:cs="Times New Roman"/>
                <w:color w:val="auto"/>
                <w:sz w:val="21"/>
                <w:szCs w:val="21"/>
              </w:rPr>
            </w:pPr>
            <w:r>
              <w:rPr>
                <w:rFonts w:cs="Times New Roman"/>
                <w:color w:val="auto"/>
                <w:sz w:val="21"/>
                <w:szCs w:val="21"/>
              </w:rPr>
              <w:t>CASNo.</w:t>
            </w:r>
          </w:p>
        </w:tc>
        <w:tc>
          <w:tcPr>
            <w:tcW w:w="6899" w:type="dxa"/>
            <w:tcBorders>
              <w:top w:val="single" w:color="auto" w:sz="4" w:space="0"/>
              <w:left w:val="nil"/>
              <w:bottom w:val="single" w:color="auto" w:sz="4" w:space="0"/>
              <w:right w:val="single" w:color="auto" w:sz="4" w:space="0"/>
            </w:tcBorders>
            <w:vAlign w:val="center"/>
          </w:tcPr>
          <w:p w14:paraId="3DFC08A2">
            <w:pPr>
              <w:widowControl/>
              <w:spacing w:line="240" w:lineRule="auto"/>
              <w:jc w:val="left"/>
              <w:rPr>
                <w:rFonts w:ascii="宋体" w:hAnsi="宋体" w:cs="Calibri"/>
                <w:color w:val="auto"/>
                <w:sz w:val="21"/>
                <w:szCs w:val="21"/>
              </w:rPr>
            </w:pPr>
            <w:r>
              <w:rPr>
                <w:rFonts w:hint="eastAsia" w:ascii="宋体" w:hAnsi="宋体"/>
                <w:color w:val="auto"/>
                <w:kern w:val="0"/>
                <w:sz w:val="21"/>
                <w:szCs w:val="21"/>
              </w:rPr>
              <w:t>7664-93-9</w:t>
            </w:r>
          </w:p>
        </w:tc>
      </w:tr>
      <w:tr w14:paraId="4C26A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435" w:type="dxa"/>
            <w:gridSpan w:val="2"/>
            <w:tcBorders>
              <w:top w:val="single" w:color="auto" w:sz="4" w:space="0"/>
              <w:left w:val="single" w:color="auto" w:sz="4" w:space="0"/>
              <w:bottom w:val="single" w:color="auto" w:sz="4" w:space="0"/>
              <w:right w:val="single" w:color="auto" w:sz="4" w:space="0"/>
            </w:tcBorders>
            <w:vAlign w:val="center"/>
          </w:tcPr>
          <w:p w14:paraId="5AEB1125">
            <w:pPr>
              <w:pStyle w:val="106"/>
              <w:jc w:val="center"/>
              <w:rPr>
                <w:rFonts w:hAnsi="宋体" w:cs="Times New Roman"/>
                <w:color w:val="auto"/>
                <w:sz w:val="21"/>
                <w:szCs w:val="21"/>
              </w:rPr>
            </w:pPr>
            <w:r>
              <w:rPr>
                <w:rFonts w:cs="Times New Roman"/>
                <w:b/>
                <w:bCs/>
                <w:color w:val="auto"/>
                <w:sz w:val="21"/>
                <w:szCs w:val="21"/>
              </w:rPr>
              <w:t>第四部分 急救措施</w:t>
            </w:r>
          </w:p>
        </w:tc>
      </w:tr>
      <w:tr w14:paraId="0B152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0DDA02C2">
            <w:pPr>
              <w:pStyle w:val="106"/>
              <w:jc w:val="center"/>
              <w:rPr>
                <w:rFonts w:hint="eastAsia" w:ascii="..ì." w:hAnsi="..ì." w:cs="Times New Roman"/>
                <w:color w:val="auto"/>
                <w:sz w:val="21"/>
                <w:szCs w:val="21"/>
              </w:rPr>
            </w:pPr>
            <w:r>
              <w:rPr>
                <w:rFonts w:cs="Times New Roman"/>
                <w:color w:val="auto"/>
                <w:sz w:val="21"/>
                <w:szCs w:val="21"/>
              </w:rPr>
              <w:t>吸入</w:t>
            </w:r>
          </w:p>
        </w:tc>
        <w:tc>
          <w:tcPr>
            <w:tcW w:w="6899" w:type="dxa"/>
            <w:tcBorders>
              <w:top w:val="single" w:color="auto" w:sz="4" w:space="0"/>
              <w:left w:val="nil"/>
              <w:bottom w:val="single" w:color="auto" w:sz="4" w:space="0"/>
              <w:right w:val="single" w:color="auto" w:sz="4" w:space="0"/>
            </w:tcBorders>
            <w:vAlign w:val="center"/>
          </w:tcPr>
          <w:p w14:paraId="35862D02">
            <w:pPr>
              <w:widowControl/>
              <w:spacing w:line="240" w:lineRule="auto"/>
              <w:jc w:val="left"/>
              <w:rPr>
                <w:rFonts w:ascii="宋体" w:hAnsi="宋体" w:cs="Calibri"/>
                <w:color w:val="auto"/>
                <w:kern w:val="0"/>
                <w:sz w:val="21"/>
                <w:szCs w:val="21"/>
              </w:rPr>
            </w:pPr>
            <w:r>
              <w:rPr>
                <w:rFonts w:hint="eastAsia" w:ascii="宋体" w:hAnsi="宋体"/>
                <w:color w:val="auto"/>
                <w:kern w:val="0"/>
                <w:sz w:val="21"/>
                <w:szCs w:val="21"/>
              </w:rPr>
              <w:t>迅速脱离现场至空气新鲜处。保持呼吸道通畅。如呼吸困难,给输氧。如呼吸、心跳停止,立即进行心肺复苏术。就医</w:t>
            </w:r>
          </w:p>
        </w:tc>
      </w:tr>
      <w:tr w14:paraId="33ECC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0CDD3D66">
            <w:pPr>
              <w:pStyle w:val="106"/>
              <w:jc w:val="center"/>
              <w:rPr>
                <w:rFonts w:hAnsi="宋体" w:cs="Times New Roman"/>
                <w:color w:val="auto"/>
                <w:sz w:val="21"/>
                <w:szCs w:val="21"/>
              </w:rPr>
            </w:pPr>
            <w:r>
              <w:rPr>
                <w:rFonts w:cs="Times New Roman"/>
                <w:color w:val="auto"/>
                <w:sz w:val="21"/>
                <w:szCs w:val="21"/>
              </w:rPr>
              <w:t>皮肤接触</w:t>
            </w:r>
          </w:p>
        </w:tc>
        <w:tc>
          <w:tcPr>
            <w:tcW w:w="6899" w:type="dxa"/>
            <w:tcBorders>
              <w:top w:val="single" w:color="auto" w:sz="4" w:space="0"/>
              <w:left w:val="nil"/>
              <w:bottom w:val="single" w:color="auto" w:sz="4" w:space="0"/>
              <w:right w:val="single" w:color="auto" w:sz="4" w:space="0"/>
            </w:tcBorders>
            <w:vAlign w:val="center"/>
          </w:tcPr>
          <w:p w14:paraId="609EB527">
            <w:pPr>
              <w:widowControl/>
              <w:spacing w:line="240" w:lineRule="auto"/>
              <w:jc w:val="left"/>
              <w:rPr>
                <w:rFonts w:ascii="宋体" w:hAnsi="宋体" w:cs="Calibri"/>
                <w:color w:val="auto"/>
                <w:kern w:val="0"/>
                <w:sz w:val="21"/>
                <w:szCs w:val="21"/>
              </w:rPr>
            </w:pPr>
            <w:r>
              <w:rPr>
                <w:rFonts w:hint="eastAsia" w:ascii="宋体" w:hAnsi="宋体"/>
                <w:color w:val="auto"/>
                <w:kern w:val="0"/>
                <w:sz w:val="21"/>
                <w:szCs w:val="21"/>
              </w:rPr>
              <w:t>立即脱去污染的衣着,用大量流动清水彻底冲洗至少15min。就医</w:t>
            </w:r>
          </w:p>
        </w:tc>
      </w:tr>
      <w:tr w14:paraId="1E444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2F18A451">
            <w:pPr>
              <w:widowControl/>
              <w:spacing w:line="240" w:lineRule="auto"/>
              <w:jc w:val="center"/>
              <w:rPr>
                <w:rFonts w:ascii="宋体" w:hAnsi="宋体" w:cs="Times New Roman"/>
                <w:color w:val="auto"/>
                <w:kern w:val="0"/>
                <w:sz w:val="21"/>
                <w:szCs w:val="21"/>
              </w:rPr>
            </w:pPr>
            <w:r>
              <w:rPr>
                <w:rFonts w:hint="eastAsia" w:ascii="宋体" w:hAnsi="宋体"/>
                <w:color w:val="auto"/>
                <w:kern w:val="0"/>
                <w:sz w:val="21"/>
                <w:szCs w:val="21"/>
              </w:rPr>
              <w:t>眼睛接触</w:t>
            </w:r>
          </w:p>
        </w:tc>
        <w:tc>
          <w:tcPr>
            <w:tcW w:w="6899" w:type="dxa"/>
            <w:tcBorders>
              <w:top w:val="single" w:color="auto" w:sz="4" w:space="0"/>
              <w:left w:val="nil"/>
              <w:bottom w:val="single" w:color="auto" w:sz="4" w:space="0"/>
              <w:right w:val="single" w:color="auto" w:sz="4" w:space="0"/>
            </w:tcBorders>
            <w:vAlign w:val="center"/>
          </w:tcPr>
          <w:p w14:paraId="2979B8AC">
            <w:pPr>
              <w:widowControl/>
              <w:spacing w:line="240" w:lineRule="auto"/>
              <w:jc w:val="left"/>
              <w:rPr>
                <w:rFonts w:ascii="宋体" w:hAnsi="宋体"/>
                <w:color w:val="auto"/>
                <w:kern w:val="0"/>
                <w:sz w:val="21"/>
                <w:szCs w:val="21"/>
              </w:rPr>
            </w:pPr>
            <w:r>
              <w:rPr>
                <w:rFonts w:hint="eastAsia" w:ascii="宋体" w:hAnsi="宋体"/>
                <w:color w:val="auto"/>
                <w:kern w:val="0"/>
                <w:sz w:val="21"/>
                <w:szCs w:val="21"/>
              </w:rPr>
              <w:t>立即分开眼睑,用流动清水或生理盐水彻底冲洗5～10min。就医</w:t>
            </w:r>
          </w:p>
        </w:tc>
      </w:tr>
      <w:tr w14:paraId="30170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4FE38165">
            <w:pPr>
              <w:pStyle w:val="106"/>
              <w:jc w:val="center"/>
              <w:rPr>
                <w:rFonts w:hAnsi="宋体" w:cs="Times New Roman"/>
                <w:color w:val="auto"/>
                <w:sz w:val="21"/>
                <w:szCs w:val="21"/>
              </w:rPr>
            </w:pPr>
            <w:r>
              <w:rPr>
                <w:rFonts w:cs="Times New Roman"/>
                <w:color w:val="auto"/>
                <w:sz w:val="21"/>
                <w:szCs w:val="21"/>
              </w:rPr>
              <w:t>食入</w:t>
            </w:r>
          </w:p>
        </w:tc>
        <w:tc>
          <w:tcPr>
            <w:tcW w:w="6899" w:type="dxa"/>
            <w:tcBorders>
              <w:top w:val="single" w:color="auto" w:sz="4" w:space="0"/>
              <w:left w:val="nil"/>
              <w:bottom w:val="single" w:color="auto" w:sz="4" w:space="0"/>
              <w:right w:val="single" w:color="auto" w:sz="4" w:space="0"/>
            </w:tcBorders>
            <w:vAlign w:val="center"/>
          </w:tcPr>
          <w:p w14:paraId="383A773B">
            <w:pPr>
              <w:widowControl/>
              <w:spacing w:line="240" w:lineRule="auto"/>
              <w:jc w:val="left"/>
              <w:rPr>
                <w:rFonts w:ascii="宋体" w:hAnsi="宋体" w:cs="Calibri"/>
                <w:color w:val="auto"/>
                <w:kern w:val="0"/>
                <w:sz w:val="21"/>
                <w:szCs w:val="21"/>
              </w:rPr>
            </w:pPr>
            <w:r>
              <w:rPr>
                <w:rFonts w:hint="eastAsia" w:ascii="宋体" w:hAnsi="宋体"/>
                <w:color w:val="auto"/>
                <w:kern w:val="0"/>
                <w:sz w:val="21"/>
                <w:szCs w:val="21"/>
              </w:rPr>
              <w:t>用水漱口,禁止催吐。给饮牛奶或蛋清。就医</w:t>
            </w:r>
          </w:p>
        </w:tc>
      </w:tr>
      <w:tr w14:paraId="154C4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327C179C">
            <w:pPr>
              <w:pStyle w:val="106"/>
              <w:jc w:val="center"/>
              <w:rPr>
                <w:rFonts w:hAnsi="宋体" w:cs="Times New Roman"/>
                <w:color w:val="auto"/>
                <w:sz w:val="21"/>
                <w:szCs w:val="21"/>
              </w:rPr>
            </w:pPr>
            <w:r>
              <w:rPr>
                <w:rFonts w:cs="Times New Roman"/>
                <w:color w:val="auto"/>
                <w:sz w:val="21"/>
                <w:szCs w:val="21"/>
              </w:rPr>
              <w:t>对保护施救者的忠告</w:t>
            </w:r>
          </w:p>
        </w:tc>
        <w:tc>
          <w:tcPr>
            <w:tcW w:w="6899" w:type="dxa"/>
            <w:tcBorders>
              <w:top w:val="single" w:color="auto" w:sz="4" w:space="0"/>
              <w:left w:val="nil"/>
              <w:bottom w:val="single" w:color="auto" w:sz="4" w:space="0"/>
              <w:right w:val="single" w:color="auto" w:sz="4" w:space="0"/>
            </w:tcBorders>
            <w:vAlign w:val="center"/>
          </w:tcPr>
          <w:p w14:paraId="011B4CBE">
            <w:pPr>
              <w:widowControl/>
              <w:spacing w:line="240" w:lineRule="auto"/>
              <w:jc w:val="left"/>
              <w:rPr>
                <w:rFonts w:ascii="宋体" w:hAnsi="宋体" w:cs="Calibri"/>
                <w:color w:val="auto"/>
                <w:sz w:val="21"/>
                <w:szCs w:val="21"/>
              </w:rPr>
            </w:pPr>
            <w:r>
              <w:rPr>
                <w:rFonts w:hint="eastAsia" w:ascii="宋体" w:hAnsi="宋体"/>
                <w:color w:val="auto"/>
                <w:kern w:val="0"/>
                <w:sz w:val="21"/>
                <w:szCs w:val="21"/>
              </w:rPr>
              <w:t>根据需要使用个人防护设备</w:t>
            </w:r>
          </w:p>
        </w:tc>
      </w:tr>
      <w:tr w14:paraId="039E0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69EF6CCF">
            <w:pPr>
              <w:pStyle w:val="106"/>
              <w:jc w:val="center"/>
              <w:rPr>
                <w:rFonts w:hAnsi="宋体" w:cs="Times New Roman"/>
                <w:color w:val="auto"/>
                <w:sz w:val="21"/>
                <w:szCs w:val="21"/>
              </w:rPr>
            </w:pPr>
            <w:r>
              <w:rPr>
                <w:rFonts w:cs="Times New Roman"/>
                <w:color w:val="auto"/>
                <w:sz w:val="21"/>
                <w:szCs w:val="21"/>
              </w:rPr>
              <w:t>对医生的特别提示</w:t>
            </w:r>
          </w:p>
        </w:tc>
        <w:tc>
          <w:tcPr>
            <w:tcW w:w="6899" w:type="dxa"/>
            <w:tcBorders>
              <w:top w:val="single" w:color="auto" w:sz="4" w:space="0"/>
              <w:left w:val="nil"/>
              <w:bottom w:val="single" w:color="auto" w:sz="4" w:space="0"/>
              <w:right w:val="single" w:color="auto" w:sz="4" w:space="0"/>
            </w:tcBorders>
            <w:vAlign w:val="center"/>
          </w:tcPr>
          <w:p w14:paraId="27C79CC5">
            <w:pPr>
              <w:pStyle w:val="106"/>
              <w:rPr>
                <w:rFonts w:hint="eastAsia" w:ascii="..ì." w:hAnsi="..ì." w:cs="Times New Roman"/>
                <w:color w:val="auto"/>
                <w:sz w:val="21"/>
                <w:szCs w:val="21"/>
              </w:rPr>
            </w:pPr>
            <w:r>
              <w:rPr>
                <w:rFonts w:cs="Times New Roman"/>
                <w:color w:val="auto"/>
                <w:sz w:val="21"/>
                <w:szCs w:val="21"/>
              </w:rPr>
              <w:t>对症处理</w:t>
            </w:r>
          </w:p>
        </w:tc>
      </w:tr>
      <w:tr w14:paraId="3EBBF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435" w:type="dxa"/>
            <w:gridSpan w:val="2"/>
            <w:tcBorders>
              <w:top w:val="single" w:color="auto" w:sz="4" w:space="0"/>
              <w:left w:val="single" w:color="auto" w:sz="4" w:space="0"/>
              <w:bottom w:val="single" w:color="auto" w:sz="4" w:space="0"/>
              <w:right w:val="single" w:color="auto" w:sz="4" w:space="0"/>
            </w:tcBorders>
            <w:vAlign w:val="center"/>
          </w:tcPr>
          <w:p w14:paraId="69629C61">
            <w:pPr>
              <w:pStyle w:val="106"/>
              <w:jc w:val="center"/>
              <w:rPr>
                <w:rFonts w:cs="Times New Roman"/>
                <w:color w:val="auto"/>
                <w:sz w:val="21"/>
                <w:szCs w:val="21"/>
              </w:rPr>
            </w:pPr>
            <w:r>
              <w:rPr>
                <w:rFonts w:cs="Times New Roman"/>
                <w:b/>
                <w:bCs/>
                <w:color w:val="auto"/>
                <w:sz w:val="21"/>
                <w:szCs w:val="21"/>
              </w:rPr>
              <w:t>第五部分 消防措施</w:t>
            </w:r>
          </w:p>
        </w:tc>
      </w:tr>
      <w:tr w14:paraId="1B0F7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17131F6C">
            <w:pPr>
              <w:pStyle w:val="106"/>
              <w:jc w:val="center"/>
              <w:rPr>
                <w:rFonts w:cs="Times New Roman"/>
                <w:color w:val="auto"/>
                <w:sz w:val="21"/>
                <w:szCs w:val="21"/>
              </w:rPr>
            </w:pPr>
            <w:r>
              <w:rPr>
                <w:rFonts w:cs="Times New Roman"/>
                <w:color w:val="auto"/>
                <w:sz w:val="21"/>
                <w:szCs w:val="21"/>
              </w:rPr>
              <w:t>灭火剂</w:t>
            </w:r>
          </w:p>
        </w:tc>
        <w:tc>
          <w:tcPr>
            <w:tcW w:w="6899" w:type="dxa"/>
            <w:tcBorders>
              <w:top w:val="single" w:color="auto" w:sz="4" w:space="0"/>
              <w:left w:val="nil"/>
              <w:bottom w:val="single" w:color="auto" w:sz="4" w:space="0"/>
              <w:right w:val="single" w:color="auto" w:sz="4" w:space="0"/>
            </w:tcBorders>
            <w:vAlign w:val="center"/>
          </w:tcPr>
          <w:p w14:paraId="09F57116">
            <w:pPr>
              <w:widowControl/>
              <w:spacing w:line="240" w:lineRule="auto"/>
              <w:jc w:val="left"/>
              <w:rPr>
                <w:rFonts w:ascii="宋体" w:hAnsi="宋体" w:cs="Calibri"/>
                <w:color w:val="auto"/>
                <w:kern w:val="0"/>
                <w:sz w:val="21"/>
                <w:szCs w:val="21"/>
              </w:rPr>
            </w:pPr>
            <w:r>
              <w:rPr>
                <w:rFonts w:hint="eastAsia" w:ascii="宋体" w:hAnsi="宋体"/>
                <w:color w:val="auto"/>
                <w:kern w:val="0"/>
                <w:sz w:val="21"/>
                <w:szCs w:val="21"/>
              </w:rPr>
              <w:t>本品不燃。根据着火原因选择适当灭火剂灭火</w:t>
            </w:r>
          </w:p>
        </w:tc>
      </w:tr>
      <w:tr w14:paraId="28D81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3D7A87A3">
            <w:pPr>
              <w:pStyle w:val="106"/>
              <w:jc w:val="center"/>
              <w:rPr>
                <w:rFonts w:hAnsi="宋体" w:cs="Times New Roman"/>
                <w:color w:val="auto"/>
                <w:sz w:val="21"/>
                <w:szCs w:val="21"/>
              </w:rPr>
            </w:pPr>
            <w:r>
              <w:rPr>
                <w:rFonts w:cs="Times New Roman"/>
                <w:color w:val="auto"/>
                <w:sz w:val="21"/>
                <w:szCs w:val="21"/>
              </w:rPr>
              <w:t>特别危险性</w:t>
            </w:r>
          </w:p>
        </w:tc>
        <w:tc>
          <w:tcPr>
            <w:tcW w:w="6899" w:type="dxa"/>
            <w:tcBorders>
              <w:top w:val="single" w:color="auto" w:sz="4" w:space="0"/>
              <w:left w:val="nil"/>
              <w:bottom w:val="single" w:color="auto" w:sz="4" w:space="0"/>
              <w:right w:val="single" w:color="auto" w:sz="4" w:space="0"/>
            </w:tcBorders>
            <w:vAlign w:val="center"/>
          </w:tcPr>
          <w:p w14:paraId="79E0DE72">
            <w:pPr>
              <w:widowControl/>
              <w:spacing w:line="240" w:lineRule="auto"/>
              <w:jc w:val="left"/>
              <w:rPr>
                <w:rFonts w:ascii="宋体" w:hAnsi="宋体" w:cs="Calibri"/>
                <w:color w:val="auto"/>
                <w:kern w:val="0"/>
                <w:sz w:val="21"/>
                <w:szCs w:val="21"/>
              </w:rPr>
            </w:pPr>
            <w:r>
              <w:rPr>
                <w:rFonts w:hint="eastAsia" w:ascii="宋体" w:hAnsi="宋体"/>
                <w:color w:val="auto"/>
                <w:kern w:val="0"/>
                <w:sz w:val="21"/>
                <w:szCs w:val="21"/>
              </w:rPr>
              <w:t>遇水大量放热,可发生沸溅。与易燃物(如苯)和可燃物(如糖、纤维素等)接触会发生剧烈反应,甚至引起燃烧。遇电石、高氯酸盐、雷酸盐、硝酸盐、苦味酸盐、金属粉末等发生猛烈反应,引起爆炸或燃烧。有强烈的腐蚀性和吸水性</w:t>
            </w:r>
          </w:p>
        </w:tc>
      </w:tr>
      <w:tr w14:paraId="57FC7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05588D7F">
            <w:pPr>
              <w:pStyle w:val="106"/>
              <w:jc w:val="center"/>
              <w:rPr>
                <w:rFonts w:hAnsi="宋体" w:cs="Times New Roman"/>
                <w:color w:val="auto"/>
                <w:sz w:val="21"/>
                <w:szCs w:val="21"/>
              </w:rPr>
            </w:pPr>
            <w:r>
              <w:rPr>
                <w:rFonts w:cs="Times New Roman"/>
                <w:color w:val="auto"/>
                <w:sz w:val="21"/>
                <w:szCs w:val="21"/>
              </w:rPr>
              <w:t>灭火注意事项及防护措施</w:t>
            </w:r>
          </w:p>
        </w:tc>
        <w:tc>
          <w:tcPr>
            <w:tcW w:w="6899" w:type="dxa"/>
            <w:tcBorders>
              <w:top w:val="single" w:color="auto" w:sz="4" w:space="0"/>
              <w:left w:val="nil"/>
              <w:bottom w:val="single" w:color="auto" w:sz="4" w:space="0"/>
              <w:right w:val="single" w:color="auto" w:sz="4" w:space="0"/>
            </w:tcBorders>
            <w:vAlign w:val="center"/>
          </w:tcPr>
          <w:p w14:paraId="4CBCEFF2">
            <w:pPr>
              <w:widowControl/>
              <w:spacing w:line="240" w:lineRule="auto"/>
              <w:jc w:val="left"/>
              <w:rPr>
                <w:rFonts w:ascii="宋体" w:hAnsi="宋体" w:cs="Calibri"/>
                <w:color w:val="auto"/>
                <w:kern w:val="0"/>
                <w:sz w:val="21"/>
                <w:szCs w:val="21"/>
              </w:rPr>
            </w:pPr>
            <w:r>
              <w:rPr>
                <w:rFonts w:hint="eastAsia" w:ascii="宋体" w:hAnsi="宋体"/>
                <w:color w:val="auto"/>
                <w:kern w:val="0"/>
                <w:sz w:val="21"/>
                <w:szCs w:val="21"/>
              </w:rPr>
              <w:t>消防人员必须穿全身耐酸碱消防服、佩戴空气呼吸器灭火。尽可能将容器从火场移至空旷处。喷水保持火场容器冷却,直至灭火结束，避免水流冲击物品,以免遇水会放出大量热量发生喷溅而灼伤皮肤。</w:t>
            </w:r>
          </w:p>
        </w:tc>
      </w:tr>
      <w:tr w14:paraId="0AC46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435" w:type="dxa"/>
            <w:gridSpan w:val="2"/>
            <w:tcBorders>
              <w:top w:val="single" w:color="auto" w:sz="4" w:space="0"/>
              <w:left w:val="single" w:color="auto" w:sz="4" w:space="0"/>
              <w:bottom w:val="single" w:color="auto" w:sz="4" w:space="0"/>
              <w:right w:val="single" w:color="auto" w:sz="4" w:space="0"/>
            </w:tcBorders>
            <w:vAlign w:val="center"/>
          </w:tcPr>
          <w:p w14:paraId="7B07D9E2">
            <w:pPr>
              <w:pStyle w:val="106"/>
              <w:jc w:val="center"/>
              <w:rPr>
                <w:rFonts w:hAnsi="宋体" w:cs="Times New Roman"/>
                <w:color w:val="auto"/>
                <w:sz w:val="21"/>
                <w:szCs w:val="21"/>
              </w:rPr>
            </w:pPr>
            <w:r>
              <w:rPr>
                <w:rFonts w:cs="Times New Roman"/>
                <w:b/>
                <w:bCs/>
                <w:color w:val="auto"/>
                <w:sz w:val="21"/>
                <w:szCs w:val="21"/>
              </w:rPr>
              <w:t>第六部分 泄漏应急处理</w:t>
            </w:r>
          </w:p>
        </w:tc>
      </w:tr>
      <w:tr w14:paraId="4B7EA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5810FF70">
            <w:pPr>
              <w:pStyle w:val="106"/>
              <w:jc w:val="center"/>
              <w:rPr>
                <w:rFonts w:hint="eastAsia" w:ascii="..ì." w:hAnsi="..ì." w:cs="Times New Roman"/>
                <w:color w:val="auto"/>
                <w:sz w:val="21"/>
                <w:szCs w:val="21"/>
              </w:rPr>
            </w:pPr>
            <w:r>
              <w:rPr>
                <w:rFonts w:cs="Times New Roman"/>
                <w:color w:val="auto"/>
                <w:sz w:val="21"/>
                <w:szCs w:val="21"/>
              </w:rPr>
              <w:t>作业人员防护措施、防护装备和应急处置程序</w:t>
            </w:r>
          </w:p>
        </w:tc>
        <w:tc>
          <w:tcPr>
            <w:tcW w:w="6899" w:type="dxa"/>
            <w:tcBorders>
              <w:top w:val="single" w:color="auto" w:sz="4" w:space="0"/>
              <w:left w:val="nil"/>
              <w:bottom w:val="single" w:color="auto" w:sz="4" w:space="0"/>
              <w:right w:val="single" w:color="auto" w:sz="4" w:space="0"/>
            </w:tcBorders>
            <w:vAlign w:val="center"/>
          </w:tcPr>
          <w:p w14:paraId="2DD23BF1">
            <w:pPr>
              <w:widowControl/>
              <w:spacing w:line="240" w:lineRule="auto"/>
              <w:jc w:val="left"/>
              <w:rPr>
                <w:rFonts w:ascii="宋体" w:hAnsi="宋体" w:cs="Calibri"/>
                <w:color w:val="auto"/>
                <w:kern w:val="0"/>
                <w:sz w:val="21"/>
                <w:szCs w:val="21"/>
              </w:rPr>
            </w:pPr>
            <w:r>
              <w:rPr>
                <w:rFonts w:hint="eastAsia" w:ascii="宋体" w:hAnsi="宋体"/>
                <w:color w:val="auto"/>
                <w:kern w:val="0"/>
                <w:sz w:val="21"/>
                <w:szCs w:val="21"/>
              </w:rPr>
              <w:t>根据液体流动和蒸气扩散的影响区域划定警戒区,无关人员从侧风、上风向撤离至安全区。建议应急处理人员戴正压自给式呼吸器,穿防酸碱服,戴橡胶耐酸碱手套。穿上适当的防护服前严禁接触破裂的容器和泄漏物。尽可能切断泄漏源。勿使泄漏物与可燃物质(如木材、纸、油等)接触。</w:t>
            </w:r>
          </w:p>
        </w:tc>
      </w:tr>
      <w:tr w14:paraId="29A63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0AAA0D48">
            <w:pPr>
              <w:pStyle w:val="106"/>
              <w:jc w:val="center"/>
              <w:rPr>
                <w:rFonts w:hAnsi="宋体" w:cs="Times New Roman"/>
                <w:color w:val="auto"/>
                <w:sz w:val="21"/>
                <w:szCs w:val="21"/>
              </w:rPr>
            </w:pPr>
            <w:r>
              <w:rPr>
                <w:rFonts w:cs="Times New Roman"/>
                <w:color w:val="auto"/>
                <w:sz w:val="21"/>
                <w:szCs w:val="21"/>
              </w:rPr>
              <w:t>环境保护措施</w:t>
            </w:r>
          </w:p>
        </w:tc>
        <w:tc>
          <w:tcPr>
            <w:tcW w:w="6899" w:type="dxa"/>
            <w:tcBorders>
              <w:top w:val="single" w:color="auto" w:sz="4" w:space="0"/>
              <w:left w:val="nil"/>
              <w:bottom w:val="single" w:color="auto" w:sz="4" w:space="0"/>
              <w:right w:val="single" w:color="auto" w:sz="4" w:space="0"/>
            </w:tcBorders>
            <w:vAlign w:val="center"/>
          </w:tcPr>
          <w:p w14:paraId="230F1D33">
            <w:pPr>
              <w:widowControl/>
              <w:spacing w:line="240" w:lineRule="auto"/>
              <w:jc w:val="left"/>
              <w:rPr>
                <w:rFonts w:ascii="宋体" w:hAnsi="宋体" w:cs="Calibri"/>
                <w:color w:val="auto"/>
                <w:kern w:val="0"/>
                <w:sz w:val="21"/>
                <w:szCs w:val="21"/>
              </w:rPr>
            </w:pPr>
            <w:r>
              <w:rPr>
                <w:rFonts w:hint="eastAsia" w:ascii="宋体" w:hAnsi="宋体"/>
                <w:color w:val="auto"/>
                <w:kern w:val="0"/>
                <w:sz w:val="21"/>
                <w:szCs w:val="21"/>
              </w:rPr>
              <w:t>防止泄漏物进入水体、下水道、地下室或有限空间</w:t>
            </w:r>
          </w:p>
        </w:tc>
      </w:tr>
      <w:tr w14:paraId="2F6C8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742FDD4A">
            <w:pPr>
              <w:pStyle w:val="106"/>
              <w:jc w:val="center"/>
              <w:rPr>
                <w:rFonts w:hAnsi="宋体" w:cs="Times New Roman"/>
                <w:color w:val="auto"/>
                <w:sz w:val="21"/>
                <w:szCs w:val="21"/>
              </w:rPr>
            </w:pPr>
            <w:r>
              <w:rPr>
                <w:rFonts w:cs="Times New Roman"/>
                <w:color w:val="auto"/>
                <w:sz w:val="21"/>
                <w:szCs w:val="21"/>
              </w:rPr>
              <w:t>泄漏化学品的收容、清除方法及所使用的处置材料</w:t>
            </w:r>
          </w:p>
        </w:tc>
        <w:tc>
          <w:tcPr>
            <w:tcW w:w="6899" w:type="dxa"/>
            <w:tcBorders>
              <w:top w:val="single" w:color="auto" w:sz="4" w:space="0"/>
              <w:left w:val="nil"/>
              <w:bottom w:val="single" w:color="auto" w:sz="4" w:space="0"/>
              <w:right w:val="single" w:color="auto" w:sz="4" w:space="0"/>
            </w:tcBorders>
            <w:vAlign w:val="center"/>
          </w:tcPr>
          <w:p w14:paraId="72860FEF">
            <w:pPr>
              <w:widowControl/>
              <w:spacing w:line="240" w:lineRule="auto"/>
              <w:jc w:val="left"/>
              <w:rPr>
                <w:rFonts w:ascii="宋体" w:hAnsi="宋体" w:cs="Calibri"/>
                <w:color w:val="auto"/>
                <w:kern w:val="0"/>
                <w:sz w:val="21"/>
                <w:szCs w:val="21"/>
              </w:rPr>
            </w:pPr>
            <w:r>
              <w:rPr>
                <w:rFonts w:hint="eastAsia" w:ascii="宋体" w:hAnsi="宋体"/>
                <w:color w:val="auto"/>
                <w:kern w:val="0"/>
                <w:sz w:val="21"/>
                <w:szCs w:val="21"/>
              </w:rPr>
              <w:t>小量泄漏:用干燥的砂土或其他不燃材料覆盖泄漏物,用洁净的无火花工具收集泄漏物,置于一盖子较松的塑料容器中,待处置。大量泄漏:构筑围堤或挖坑收容。用砂土、惰性物质或蛭石吸收大量液体。用石灰(CaO)、碎石灰石(CaCO</w:t>
            </w:r>
            <w:r>
              <w:rPr>
                <w:rFonts w:hint="eastAsia" w:ascii="宋体" w:hAnsi="宋体"/>
                <w:color w:val="auto"/>
                <w:kern w:val="0"/>
                <w:sz w:val="21"/>
                <w:szCs w:val="21"/>
                <w:vertAlign w:val="subscript"/>
              </w:rPr>
              <w:t>3</w:t>
            </w:r>
            <w:r>
              <w:rPr>
                <w:rFonts w:hint="eastAsia" w:ascii="宋体" w:hAnsi="宋体"/>
                <w:color w:val="auto"/>
                <w:kern w:val="0"/>
                <w:sz w:val="21"/>
                <w:szCs w:val="21"/>
              </w:rPr>
              <w:t>)或碳酸氢钠(NaHCO</w:t>
            </w:r>
            <w:r>
              <w:rPr>
                <w:rFonts w:hint="eastAsia" w:ascii="宋体" w:hAnsi="宋体"/>
                <w:color w:val="auto"/>
                <w:kern w:val="0"/>
                <w:sz w:val="21"/>
                <w:szCs w:val="21"/>
                <w:vertAlign w:val="subscript"/>
              </w:rPr>
              <w:t>3</w:t>
            </w:r>
            <w:r>
              <w:rPr>
                <w:rFonts w:hint="eastAsia" w:ascii="宋体" w:hAnsi="宋体"/>
                <w:color w:val="auto"/>
                <w:kern w:val="0"/>
                <w:sz w:val="21"/>
                <w:szCs w:val="21"/>
              </w:rPr>
              <w:t>)中和。用耐腐蚀泵转移至槽车或专用收集器内。</w:t>
            </w:r>
          </w:p>
        </w:tc>
      </w:tr>
      <w:tr w14:paraId="24449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435" w:type="dxa"/>
            <w:gridSpan w:val="2"/>
            <w:tcBorders>
              <w:top w:val="single" w:color="auto" w:sz="4" w:space="0"/>
              <w:left w:val="single" w:color="auto" w:sz="4" w:space="0"/>
              <w:bottom w:val="single" w:color="auto" w:sz="4" w:space="0"/>
              <w:right w:val="single" w:color="auto" w:sz="4" w:space="0"/>
            </w:tcBorders>
            <w:vAlign w:val="center"/>
          </w:tcPr>
          <w:p w14:paraId="2BD12CE5">
            <w:pPr>
              <w:pStyle w:val="106"/>
              <w:jc w:val="center"/>
              <w:rPr>
                <w:rFonts w:hAnsi="宋体" w:cs="Times New Roman"/>
                <w:color w:val="auto"/>
                <w:sz w:val="21"/>
                <w:szCs w:val="21"/>
              </w:rPr>
            </w:pPr>
            <w:r>
              <w:rPr>
                <w:rFonts w:cs="Times New Roman"/>
                <w:b/>
                <w:bCs/>
                <w:color w:val="auto"/>
                <w:sz w:val="21"/>
                <w:szCs w:val="21"/>
              </w:rPr>
              <w:t>第七部分 操作处置与储存</w:t>
            </w:r>
          </w:p>
        </w:tc>
      </w:tr>
      <w:tr w14:paraId="12B0C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268C75F2">
            <w:pPr>
              <w:pStyle w:val="106"/>
              <w:jc w:val="center"/>
              <w:rPr>
                <w:rFonts w:hint="eastAsia" w:ascii="..ì." w:hAnsi="..ì." w:cs="Times New Roman"/>
                <w:color w:val="auto"/>
                <w:sz w:val="21"/>
                <w:szCs w:val="21"/>
              </w:rPr>
            </w:pPr>
            <w:r>
              <w:rPr>
                <w:rFonts w:cs="Times New Roman"/>
                <w:color w:val="auto"/>
                <w:sz w:val="21"/>
                <w:szCs w:val="21"/>
              </w:rPr>
              <w:t>操作注意事项</w:t>
            </w:r>
          </w:p>
        </w:tc>
        <w:tc>
          <w:tcPr>
            <w:tcW w:w="6899" w:type="dxa"/>
            <w:tcBorders>
              <w:top w:val="single" w:color="auto" w:sz="4" w:space="0"/>
              <w:left w:val="nil"/>
              <w:bottom w:val="single" w:color="auto" w:sz="4" w:space="0"/>
              <w:right w:val="single" w:color="auto" w:sz="4" w:space="0"/>
            </w:tcBorders>
            <w:vAlign w:val="center"/>
          </w:tcPr>
          <w:p w14:paraId="15312A5C">
            <w:pPr>
              <w:widowControl/>
              <w:spacing w:line="240" w:lineRule="auto"/>
              <w:jc w:val="left"/>
              <w:rPr>
                <w:rFonts w:ascii="宋体" w:hAnsi="宋体" w:cs="Calibri"/>
                <w:color w:val="auto"/>
                <w:kern w:val="0"/>
                <w:sz w:val="21"/>
                <w:szCs w:val="21"/>
              </w:rPr>
            </w:pPr>
            <w:r>
              <w:rPr>
                <w:rFonts w:hint="eastAsia" w:ascii="宋体" w:hAnsi="宋体"/>
                <w:color w:val="auto"/>
                <w:kern w:val="0"/>
                <w:sz w:val="21"/>
                <w:szCs w:val="21"/>
              </w:rPr>
              <w:t>密闭操作,注意通风。操作尽可能机械化、自动化。操作人员必须经过专门培训,严格遵守操作规程。建议操作人员佩戴自吸过滤式防毒面具(全面罩),穿橡胶耐酸碱服,戴橡胶耐酸碱手套。远离火种、热源。工作场所严禁吸烟。远离易燃、可燃物。防止蒸气泄漏到工作场所空气中。避免与还原剂、碱类、碱金属接触。搬运时要轻装轻卸,防止包装及容器损坏。配备相应品种和数量的消防器材及泄漏应急处理设备。倒空的容器可能残留有害物。稀释或制备溶液时,应把酸加入水中,避免沸腾和飞溅。</w:t>
            </w:r>
          </w:p>
        </w:tc>
      </w:tr>
      <w:tr w14:paraId="7E8DD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607B5F57">
            <w:pPr>
              <w:pStyle w:val="106"/>
              <w:jc w:val="center"/>
              <w:rPr>
                <w:rFonts w:hAnsi="宋体" w:cs="Times New Roman"/>
                <w:color w:val="auto"/>
                <w:sz w:val="21"/>
                <w:szCs w:val="21"/>
              </w:rPr>
            </w:pPr>
            <w:r>
              <w:rPr>
                <w:rFonts w:cs="Times New Roman"/>
                <w:color w:val="auto"/>
                <w:sz w:val="21"/>
                <w:szCs w:val="21"/>
              </w:rPr>
              <w:t>储存注意事项</w:t>
            </w:r>
          </w:p>
        </w:tc>
        <w:tc>
          <w:tcPr>
            <w:tcW w:w="6899" w:type="dxa"/>
            <w:tcBorders>
              <w:top w:val="single" w:color="auto" w:sz="4" w:space="0"/>
              <w:left w:val="nil"/>
              <w:bottom w:val="single" w:color="auto" w:sz="4" w:space="0"/>
              <w:right w:val="single" w:color="auto" w:sz="4" w:space="0"/>
            </w:tcBorders>
            <w:vAlign w:val="center"/>
          </w:tcPr>
          <w:p w14:paraId="5308F737">
            <w:pPr>
              <w:widowControl/>
              <w:spacing w:line="240" w:lineRule="auto"/>
              <w:jc w:val="left"/>
              <w:rPr>
                <w:rFonts w:ascii="宋体" w:hAnsi="宋体" w:cs="Calibri"/>
                <w:color w:val="auto"/>
                <w:kern w:val="0"/>
                <w:sz w:val="21"/>
                <w:szCs w:val="21"/>
              </w:rPr>
            </w:pPr>
            <w:r>
              <w:rPr>
                <w:rFonts w:hint="eastAsia" w:ascii="宋体" w:hAnsi="宋体"/>
                <w:color w:val="auto"/>
                <w:kern w:val="0"/>
                <w:sz w:val="21"/>
                <w:szCs w:val="21"/>
              </w:rPr>
              <w:t>储存于阴凉、通风的库房。保持容器密封。应与易(可)燃物、还原剂、碱类、碱金属、食用化学品分开存放,切忌混储。储区应备有泄漏应急处理设备和合适的收容材料</w:t>
            </w:r>
          </w:p>
        </w:tc>
      </w:tr>
      <w:tr w14:paraId="43214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435" w:type="dxa"/>
            <w:gridSpan w:val="2"/>
            <w:tcBorders>
              <w:top w:val="single" w:color="auto" w:sz="4" w:space="0"/>
              <w:left w:val="single" w:color="auto" w:sz="4" w:space="0"/>
              <w:bottom w:val="single" w:color="auto" w:sz="4" w:space="0"/>
              <w:right w:val="single" w:color="auto" w:sz="4" w:space="0"/>
            </w:tcBorders>
            <w:vAlign w:val="center"/>
          </w:tcPr>
          <w:p w14:paraId="498948E0">
            <w:pPr>
              <w:pStyle w:val="106"/>
              <w:jc w:val="center"/>
              <w:rPr>
                <w:rFonts w:hAnsi="宋体" w:cs="Times New Roman"/>
                <w:b/>
                <w:bCs/>
                <w:color w:val="auto"/>
                <w:sz w:val="21"/>
                <w:szCs w:val="21"/>
              </w:rPr>
            </w:pPr>
            <w:r>
              <w:rPr>
                <w:rFonts w:cs="Times New Roman"/>
                <w:b/>
                <w:bCs/>
                <w:color w:val="auto"/>
                <w:sz w:val="21"/>
                <w:szCs w:val="21"/>
              </w:rPr>
              <w:t>第八部分 接触控制/个体防护</w:t>
            </w:r>
          </w:p>
        </w:tc>
      </w:tr>
      <w:tr w14:paraId="75199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636A9065">
            <w:pPr>
              <w:pStyle w:val="106"/>
              <w:jc w:val="center"/>
              <w:rPr>
                <w:rFonts w:hint="eastAsia" w:ascii="..ì." w:hAnsi="..ì." w:cs="Times New Roman"/>
                <w:color w:val="auto"/>
                <w:sz w:val="21"/>
                <w:szCs w:val="21"/>
              </w:rPr>
            </w:pPr>
            <w:r>
              <w:rPr>
                <w:rFonts w:cs="Times New Roman"/>
                <w:color w:val="auto"/>
                <w:sz w:val="21"/>
                <w:szCs w:val="21"/>
              </w:rPr>
              <w:t>职业接触限值</w:t>
            </w:r>
          </w:p>
        </w:tc>
        <w:tc>
          <w:tcPr>
            <w:tcW w:w="6899" w:type="dxa"/>
            <w:tcBorders>
              <w:top w:val="single" w:color="auto" w:sz="4" w:space="0"/>
              <w:left w:val="nil"/>
              <w:bottom w:val="single" w:color="auto" w:sz="4" w:space="0"/>
              <w:right w:val="single" w:color="auto" w:sz="4" w:space="0"/>
            </w:tcBorders>
            <w:vAlign w:val="center"/>
          </w:tcPr>
          <w:p w14:paraId="13456755">
            <w:pPr>
              <w:widowControl/>
              <w:spacing w:line="240" w:lineRule="auto"/>
              <w:jc w:val="left"/>
              <w:rPr>
                <w:rFonts w:ascii="宋体" w:hAnsi="宋体" w:cs="Calibri"/>
                <w:color w:val="auto"/>
                <w:kern w:val="0"/>
                <w:sz w:val="21"/>
                <w:szCs w:val="21"/>
              </w:rPr>
            </w:pPr>
            <w:r>
              <w:rPr>
                <w:rFonts w:hint="eastAsia" w:ascii="宋体" w:hAnsi="宋体"/>
                <w:color w:val="auto"/>
                <w:kern w:val="0"/>
                <w:sz w:val="21"/>
                <w:szCs w:val="21"/>
              </w:rPr>
              <w:t>中国  PC-TWA:1mg/m</w:t>
            </w:r>
            <w:r>
              <w:rPr>
                <w:rFonts w:hint="eastAsia" w:ascii="宋体" w:hAnsi="宋体"/>
                <w:color w:val="auto"/>
                <w:kern w:val="0"/>
                <w:sz w:val="21"/>
                <w:szCs w:val="21"/>
                <w:vertAlign w:val="superscript"/>
              </w:rPr>
              <w:t>3</w:t>
            </w:r>
            <w:r>
              <w:rPr>
                <w:rFonts w:hint="eastAsia" w:ascii="宋体" w:hAnsi="宋体"/>
                <w:color w:val="auto"/>
                <w:kern w:val="0"/>
                <w:sz w:val="21"/>
                <w:szCs w:val="21"/>
              </w:rPr>
              <w:t>[G1]</w:t>
            </w:r>
          </w:p>
          <w:p w14:paraId="7D3AF704">
            <w:pPr>
              <w:widowControl/>
              <w:spacing w:line="240" w:lineRule="auto"/>
              <w:jc w:val="left"/>
              <w:rPr>
                <w:rFonts w:ascii="宋体" w:hAnsi="宋体" w:cs="Times New Roman"/>
                <w:color w:val="auto"/>
                <w:kern w:val="0"/>
                <w:sz w:val="21"/>
                <w:szCs w:val="21"/>
              </w:rPr>
            </w:pPr>
            <w:r>
              <w:rPr>
                <w:rFonts w:hint="eastAsia" w:ascii="宋体" w:hAnsi="宋体"/>
                <w:color w:val="auto"/>
                <w:kern w:val="0"/>
                <w:sz w:val="21"/>
                <w:szCs w:val="21"/>
              </w:rPr>
              <w:t>美国(ACGIH)  TLV-TWA:0.2mg/m</w:t>
            </w:r>
            <w:r>
              <w:rPr>
                <w:rFonts w:hint="eastAsia" w:ascii="宋体" w:hAnsi="宋体"/>
                <w:color w:val="auto"/>
                <w:kern w:val="0"/>
                <w:sz w:val="21"/>
                <w:szCs w:val="21"/>
                <w:vertAlign w:val="superscript"/>
              </w:rPr>
              <w:t>3</w:t>
            </w:r>
          </w:p>
        </w:tc>
      </w:tr>
      <w:tr w14:paraId="0B313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763585C9">
            <w:pPr>
              <w:pStyle w:val="106"/>
              <w:jc w:val="center"/>
              <w:rPr>
                <w:rFonts w:hAnsi="宋体" w:cs="Times New Roman"/>
                <w:color w:val="auto"/>
                <w:sz w:val="21"/>
                <w:szCs w:val="21"/>
              </w:rPr>
            </w:pPr>
            <w:r>
              <w:rPr>
                <w:rFonts w:cs="Times New Roman"/>
                <w:color w:val="auto"/>
                <w:sz w:val="21"/>
                <w:szCs w:val="21"/>
              </w:rPr>
              <w:t>生物接触限值</w:t>
            </w:r>
          </w:p>
        </w:tc>
        <w:tc>
          <w:tcPr>
            <w:tcW w:w="6899" w:type="dxa"/>
            <w:tcBorders>
              <w:top w:val="single" w:color="auto" w:sz="4" w:space="0"/>
              <w:left w:val="nil"/>
              <w:bottom w:val="single" w:color="auto" w:sz="4" w:space="0"/>
              <w:right w:val="single" w:color="auto" w:sz="4" w:space="0"/>
            </w:tcBorders>
            <w:vAlign w:val="center"/>
          </w:tcPr>
          <w:p w14:paraId="5CE2615B">
            <w:pPr>
              <w:pStyle w:val="106"/>
              <w:rPr>
                <w:rFonts w:hint="eastAsia" w:ascii="..ì." w:hAnsi="..ì." w:cs="Times New Roman"/>
                <w:color w:val="auto"/>
                <w:sz w:val="21"/>
                <w:szCs w:val="21"/>
              </w:rPr>
            </w:pPr>
            <w:r>
              <w:rPr>
                <w:rFonts w:cs="Times New Roman"/>
                <w:color w:val="auto"/>
                <w:sz w:val="21"/>
                <w:szCs w:val="21"/>
              </w:rPr>
              <w:t>未制定标准</w:t>
            </w:r>
          </w:p>
        </w:tc>
      </w:tr>
      <w:tr w14:paraId="4FCD5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0CE526DA">
            <w:pPr>
              <w:pStyle w:val="106"/>
              <w:jc w:val="center"/>
              <w:rPr>
                <w:rFonts w:cs="Times New Roman"/>
                <w:color w:val="auto"/>
                <w:sz w:val="21"/>
                <w:szCs w:val="21"/>
              </w:rPr>
            </w:pPr>
            <w:r>
              <w:rPr>
                <w:rFonts w:cs="Times New Roman"/>
                <w:color w:val="auto"/>
                <w:sz w:val="21"/>
                <w:szCs w:val="21"/>
              </w:rPr>
              <w:t>监测方法</w:t>
            </w:r>
          </w:p>
        </w:tc>
        <w:tc>
          <w:tcPr>
            <w:tcW w:w="6899" w:type="dxa"/>
            <w:tcBorders>
              <w:top w:val="single" w:color="auto" w:sz="4" w:space="0"/>
              <w:left w:val="nil"/>
              <w:bottom w:val="single" w:color="auto" w:sz="4" w:space="0"/>
              <w:right w:val="single" w:color="auto" w:sz="4" w:space="0"/>
            </w:tcBorders>
            <w:vAlign w:val="center"/>
          </w:tcPr>
          <w:p w14:paraId="3DF8FCB2">
            <w:pPr>
              <w:widowControl/>
              <w:spacing w:line="240" w:lineRule="auto"/>
              <w:jc w:val="left"/>
              <w:rPr>
                <w:rFonts w:ascii="宋体" w:hAnsi="宋体" w:cs="Calibri"/>
                <w:color w:val="auto"/>
                <w:kern w:val="0"/>
                <w:sz w:val="21"/>
                <w:szCs w:val="21"/>
              </w:rPr>
            </w:pPr>
            <w:r>
              <w:rPr>
                <w:rFonts w:hint="eastAsia" w:ascii="宋体" w:hAnsi="宋体"/>
                <w:color w:val="auto"/>
                <w:kern w:val="0"/>
                <w:sz w:val="21"/>
                <w:szCs w:val="21"/>
              </w:rPr>
              <w:t>空气中有毒物质测定方法:氯化钡比色法;离子色谱法。</w:t>
            </w:r>
          </w:p>
          <w:p w14:paraId="45C12F68">
            <w:pPr>
              <w:widowControl/>
              <w:spacing w:line="240" w:lineRule="auto"/>
              <w:jc w:val="left"/>
              <w:rPr>
                <w:rFonts w:ascii="宋体" w:hAnsi="宋体" w:cs="Times New Roman"/>
                <w:color w:val="auto"/>
                <w:sz w:val="21"/>
                <w:szCs w:val="21"/>
              </w:rPr>
            </w:pPr>
            <w:r>
              <w:rPr>
                <w:rFonts w:hint="eastAsia" w:ascii="宋体" w:hAnsi="宋体"/>
                <w:color w:val="auto"/>
                <w:kern w:val="0"/>
                <w:sz w:val="21"/>
                <w:szCs w:val="21"/>
              </w:rPr>
              <w:t>生物监测检验方法:未制定标准</w:t>
            </w:r>
          </w:p>
        </w:tc>
      </w:tr>
      <w:tr w14:paraId="6BC94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51317D30">
            <w:pPr>
              <w:pStyle w:val="106"/>
              <w:jc w:val="center"/>
              <w:rPr>
                <w:rFonts w:hAnsi="宋体" w:cs="Times New Roman"/>
                <w:color w:val="auto"/>
                <w:sz w:val="21"/>
                <w:szCs w:val="21"/>
              </w:rPr>
            </w:pPr>
            <w:r>
              <w:rPr>
                <w:rFonts w:cs="Times New Roman"/>
                <w:color w:val="auto"/>
                <w:sz w:val="21"/>
                <w:szCs w:val="21"/>
              </w:rPr>
              <w:t>工程控制</w:t>
            </w:r>
          </w:p>
        </w:tc>
        <w:tc>
          <w:tcPr>
            <w:tcW w:w="6899" w:type="dxa"/>
            <w:tcBorders>
              <w:top w:val="single" w:color="auto" w:sz="4" w:space="0"/>
              <w:left w:val="nil"/>
              <w:bottom w:val="single" w:color="auto" w:sz="4" w:space="0"/>
              <w:right w:val="single" w:color="auto" w:sz="4" w:space="0"/>
            </w:tcBorders>
            <w:vAlign w:val="center"/>
          </w:tcPr>
          <w:p w14:paraId="4C582542">
            <w:pPr>
              <w:widowControl/>
              <w:spacing w:line="240" w:lineRule="auto"/>
              <w:jc w:val="left"/>
              <w:rPr>
                <w:rFonts w:ascii="宋体" w:hAnsi="宋体" w:cs="Calibri"/>
                <w:color w:val="auto"/>
                <w:kern w:val="0"/>
                <w:sz w:val="21"/>
                <w:szCs w:val="21"/>
              </w:rPr>
            </w:pPr>
            <w:r>
              <w:rPr>
                <w:rFonts w:hint="eastAsia" w:ascii="宋体" w:hAnsi="宋体"/>
                <w:color w:val="auto"/>
                <w:kern w:val="0"/>
                <w:sz w:val="21"/>
                <w:szCs w:val="21"/>
              </w:rPr>
              <w:t>密闭操作,注意通风。提供安全的淋浴和洗眼设备</w:t>
            </w:r>
          </w:p>
        </w:tc>
      </w:tr>
      <w:tr w14:paraId="25243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1FAFD5FF">
            <w:pPr>
              <w:pStyle w:val="106"/>
              <w:jc w:val="center"/>
              <w:rPr>
                <w:rFonts w:hAnsi="宋体" w:cs="Times New Roman"/>
                <w:color w:val="auto"/>
                <w:sz w:val="21"/>
                <w:szCs w:val="21"/>
              </w:rPr>
            </w:pPr>
            <w:r>
              <w:rPr>
                <w:rFonts w:cs="Times New Roman"/>
                <w:color w:val="auto"/>
                <w:sz w:val="21"/>
                <w:szCs w:val="21"/>
              </w:rPr>
              <w:t>个体防护装备</w:t>
            </w:r>
          </w:p>
        </w:tc>
        <w:tc>
          <w:tcPr>
            <w:tcW w:w="6899" w:type="dxa"/>
            <w:tcBorders>
              <w:top w:val="single" w:color="auto" w:sz="4" w:space="0"/>
              <w:left w:val="nil"/>
              <w:bottom w:val="single" w:color="auto" w:sz="4" w:space="0"/>
              <w:right w:val="single" w:color="auto" w:sz="4" w:space="0"/>
            </w:tcBorders>
            <w:vAlign w:val="center"/>
          </w:tcPr>
          <w:p w14:paraId="54D37B32">
            <w:pPr>
              <w:widowControl/>
              <w:spacing w:line="240" w:lineRule="auto"/>
              <w:jc w:val="left"/>
              <w:rPr>
                <w:rFonts w:ascii="宋体" w:hAnsi="宋体" w:cs="Calibri"/>
                <w:color w:val="auto"/>
                <w:kern w:val="0"/>
                <w:sz w:val="21"/>
                <w:szCs w:val="21"/>
              </w:rPr>
            </w:pPr>
            <w:r>
              <w:rPr>
                <w:rFonts w:hint="eastAsia" w:ascii="宋体" w:hAnsi="宋体"/>
                <w:color w:val="auto"/>
                <w:kern w:val="0"/>
                <w:sz w:val="21"/>
                <w:szCs w:val="21"/>
              </w:rPr>
              <w:t>呼吸系统防护  可能接触其烟雾时,佩戴过滤式防毒面具(全面罩)或空气呼吸器。紧急事态抢救或撤离时,建议佩戴空气呼吸器</w:t>
            </w:r>
          </w:p>
          <w:p w14:paraId="34CED79D">
            <w:pPr>
              <w:widowControl/>
              <w:spacing w:line="240" w:lineRule="auto"/>
              <w:jc w:val="left"/>
              <w:rPr>
                <w:rFonts w:ascii="宋体" w:hAnsi="宋体" w:cs="Times New Roman"/>
                <w:color w:val="auto"/>
                <w:kern w:val="0"/>
                <w:sz w:val="21"/>
                <w:szCs w:val="21"/>
              </w:rPr>
            </w:pPr>
            <w:r>
              <w:rPr>
                <w:rFonts w:hint="eastAsia" w:ascii="宋体" w:hAnsi="宋体"/>
                <w:color w:val="auto"/>
                <w:kern w:val="0"/>
                <w:sz w:val="21"/>
                <w:szCs w:val="21"/>
              </w:rPr>
              <w:t>眼睛防护  呼吸系统防护中已作防护</w:t>
            </w:r>
          </w:p>
          <w:p w14:paraId="25FDCBB2">
            <w:pPr>
              <w:widowControl/>
              <w:spacing w:line="240" w:lineRule="auto"/>
              <w:jc w:val="left"/>
              <w:rPr>
                <w:rFonts w:ascii="宋体" w:hAnsi="宋体"/>
                <w:color w:val="auto"/>
                <w:kern w:val="0"/>
                <w:sz w:val="21"/>
                <w:szCs w:val="21"/>
              </w:rPr>
            </w:pPr>
            <w:r>
              <w:rPr>
                <w:rFonts w:hint="eastAsia" w:ascii="宋体" w:hAnsi="宋体"/>
                <w:color w:val="auto"/>
                <w:kern w:val="0"/>
                <w:sz w:val="21"/>
                <w:szCs w:val="21"/>
              </w:rPr>
              <w:t>皮肤和身体防护  穿橡胶耐酸碱服</w:t>
            </w:r>
          </w:p>
          <w:p w14:paraId="258F2C7F">
            <w:pPr>
              <w:widowControl/>
              <w:spacing w:line="240" w:lineRule="auto"/>
              <w:jc w:val="left"/>
              <w:rPr>
                <w:rFonts w:ascii="宋体" w:hAnsi="宋体"/>
                <w:color w:val="auto"/>
                <w:sz w:val="21"/>
                <w:szCs w:val="21"/>
              </w:rPr>
            </w:pPr>
            <w:r>
              <w:rPr>
                <w:rFonts w:hint="eastAsia" w:ascii="宋体" w:hAnsi="宋体"/>
                <w:color w:val="auto"/>
                <w:kern w:val="0"/>
                <w:sz w:val="21"/>
                <w:szCs w:val="21"/>
              </w:rPr>
              <w:t xml:space="preserve">手防护  戴橡胶耐酸碱手套 </w:t>
            </w:r>
          </w:p>
        </w:tc>
      </w:tr>
      <w:tr w14:paraId="2BEE6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435" w:type="dxa"/>
            <w:gridSpan w:val="2"/>
            <w:tcBorders>
              <w:top w:val="single" w:color="auto" w:sz="4" w:space="0"/>
              <w:left w:val="single" w:color="auto" w:sz="4" w:space="0"/>
              <w:bottom w:val="single" w:color="auto" w:sz="4" w:space="0"/>
              <w:right w:val="single" w:color="auto" w:sz="4" w:space="0"/>
            </w:tcBorders>
            <w:vAlign w:val="center"/>
          </w:tcPr>
          <w:p w14:paraId="3DDECA17">
            <w:pPr>
              <w:pStyle w:val="106"/>
              <w:jc w:val="center"/>
              <w:rPr>
                <w:rFonts w:hAnsi="宋体" w:cs="Times New Roman"/>
                <w:color w:val="auto"/>
                <w:sz w:val="21"/>
                <w:szCs w:val="21"/>
              </w:rPr>
            </w:pPr>
            <w:r>
              <w:rPr>
                <w:rFonts w:cs="Times New Roman"/>
                <w:b/>
                <w:bCs/>
                <w:color w:val="auto"/>
                <w:sz w:val="21"/>
                <w:szCs w:val="21"/>
              </w:rPr>
              <w:t>第九部分 理化特性</w:t>
            </w:r>
          </w:p>
        </w:tc>
      </w:tr>
      <w:tr w14:paraId="16A90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1A111DB9">
            <w:pPr>
              <w:pStyle w:val="106"/>
              <w:jc w:val="center"/>
              <w:rPr>
                <w:rFonts w:hint="eastAsia" w:ascii="..ì." w:hAnsi="..ì." w:cs="Times New Roman"/>
                <w:color w:val="auto"/>
                <w:sz w:val="21"/>
                <w:szCs w:val="21"/>
              </w:rPr>
            </w:pPr>
            <w:r>
              <w:rPr>
                <w:rFonts w:cs="Times New Roman"/>
                <w:color w:val="auto"/>
                <w:sz w:val="21"/>
                <w:szCs w:val="21"/>
              </w:rPr>
              <w:t>外观与性状</w:t>
            </w:r>
          </w:p>
        </w:tc>
        <w:tc>
          <w:tcPr>
            <w:tcW w:w="6899" w:type="dxa"/>
            <w:tcBorders>
              <w:top w:val="single" w:color="auto" w:sz="4" w:space="0"/>
              <w:left w:val="nil"/>
              <w:bottom w:val="single" w:color="auto" w:sz="4" w:space="0"/>
              <w:right w:val="single" w:color="auto" w:sz="4" w:space="0"/>
            </w:tcBorders>
            <w:vAlign w:val="center"/>
          </w:tcPr>
          <w:p w14:paraId="1067C9C1">
            <w:pPr>
              <w:widowControl/>
              <w:spacing w:line="240" w:lineRule="auto"/>
              <w:jc w:val="left"/>
              <w:rPr>
                <w:rFonts w:ascii="宋体" w:hAnsi="宋体" w:cs="Calibri"/>
                <w:color w:val="auto"/>
                <w:kern w:val="0"/>
                <w:sz w:val="21"/>
                <w:szCs w:val="21"/>
              </w:rPr>
            </w:pPr>
            <w:r>
              <w:rPr>
                <w:rFonts w:hint="eastAsia" w:ascii="宋体" w:hAnsi="宋体"/>
                <w:color w:val="auto"/>
                <w:kern w:val="0"/>
                <w:sz w:val="21"/>
                <w:szCs w:val="21"/>
              </w:rPr>
              <w:t>纯品为无色透明油状液体,无臭</w:t>
            </w:r>
          </w:p>
        </w:tc>
      </w:tr>
      <w:tr w14:paraId="2C9AA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6F1B6F3C">
            <w:pPr>
              <w:pStyle w:val="106"/>
              <w:jc w:val="center"/>
              <w:rPr>
                <w:rFonts w:hAnsi="宋体" w:cs="Times New Roman"/>
                <w:color w:val="auto"/>
                <w:sz w:val="21"/>
                <w:szCs w:val="21"/>
              </w:rPr>
            </w:pPr>
            <w:r>
              <w:rPr>
                <w:rFonts w:cs="Times New Roman"/>
                <w:color w:val="auto"/>
                <w:sz w:val="21"/>
                <w:szCs w:val="21"/>
              </w:rPr>
              <w:t>PH值</w:t>
            </w:r>
          </w:p>
        </w:tc>
        <w:tc>
          <w:tcPr>
            <w:tcW w:w="6899" w:type="dxa"/>
            <w:tcBorders>
              <w:top w:val="single" w:color="auto" w:sz="4" w:space="0"/>
              <w:left w:val="nil"/>
              <w:bottom w:val="single" w:color="auto" w:sz="4" w:space="0"/>
              <w:right w:val="single" w:color="auto" w:sz="4" w:space="0"/>
            </w:tcBorders>
            <w:vAlign w:val="center"/>
          </w:tcPr>
          <w:p w14:paraId="0F152672">
            <w:pPr>
              <w:widowControl/>
              <w:spacing w:line="240" w:lineRule="auto"/>
              <w:jc w:val="left"/>
              <w:rPr>
                <w:rFonts w:ascii="宋体" w:hAnsi="宋体" w:cs="Calibri"/>
                <w:color w:val="auto"/>
                <w:sz w:val="21"/>
                <w:szCs w:val="21"/>
              </w:rPr>
            </w:pPr>
            <w:r>
              <w:rPr>
                <w:rFonts w:hint="eastAsia" w:ascii="宋体" w:hAnsi="宋体"/>
                <w:color w:val="auto"/>
                <w:kern w:val="0"/>
                <w:sz w:val="21"/>
                <w:szCs w:val="21"/>
              </w:rPr>
              <w:t>无资料</w:t>
            </w:r>
          </w:p>
        </w:tc>
      </w:tr>
      <w:tr w14:paraId="6F4D3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7186B6BF">
            <w:pPr>
              <w:pStyle w:val="106"/>
              <w:jc w:val="center"/>
              <w:rPr>
                <w:rFonts w:hAnsi="宋体" w:cs="Times New Roman"/>
                <w:color w:val="auto"/>
                <w:sz w:val="21"/>
                <w:szCs w:val="21"/>
              </w:rPr>
            </w:pPr>
            <w:r>
              <w:rPr>
                <w:rFonts w:cs="Times New Roman"/>
                <w:color w:val="auto"/>
                <w:sz w:val="21"/>
                <w:szCs w:val="21"/>
              </w:rPr>
              <w:t>熔点(</w:t>
            </w:r>
            <w:r>
              <w:rPr>
                <w:rFonts w:hint="eastAsia" w:hAnsi="宋体"/>
                <w:color w:val="auto"/>
                <w:sz w:val="21"/>
                <w:szCs w:val="21"/>
              </w:rPr>
              <w:t>℃</w:t>
            </w:r>
            <w:r>
              <w:rPr>
                <w:rFonts w:cs="Times New Roman"/>
                <w:color w:val="auto"/>
                <w:sz w:val="21"/>
                <w:szCs w:val="21"/>
              </w:rPr>
              <w:t>)</w:t>
            </w:r>
          </w:p>
        </w:tc>
        <w:tc>
          <w:tcPr>
            <w:tcW w:w="6899" w:type="dxa"/>
            <w:tcBorders>
              <w:top w:val="single" w:color="auto" w:sz="4" w:space="0"/>
              <w:left w:val="nil"/>
              <w:bottom w:val="single" w:color="auto" w:sz="4" w:space="0"/>
              <w:right w:val="single" w:color="auto" w:sz="4" w:space="0"/>
            </w:tcBorders>
            <w:vAlign w:val="center"/>
          </w:tcPr>
          <w:p w14:paraId="116786D9">
            <w:pPr>
              <w:widowControl/>
              <w:spacing w:line="240" w:lineRule="auto"/>
              <w:jc w:val="left"/>
              <w:rPr>
                <w:rFonts w:ascii="宋体" w:hAnsi="宋体" w:cs="Calibri"/>
                <w:color w:val="auto"/>
                <w:sz w:val="21"/>
                <w:szCs w:val="21"/>
              </w:rPr>
            </w:pPr>
            <w:r>
              <w:rPr>
                <w:rFonts w:hint="eastAsia" w:ascii="宋体" w:hAnsi="宋体"/>
                <w:color w:val="auto"/>
                <w:kern w:val="0"/>
                <w:sz w:val="21"/>
                <w:szCs w:val="21"/>
              </w:rPr>
              <w:t>10～10.49</w:t>
            </w:r>
          </w:p>
        </w:tc>
      </w:tr>
      <w:tr w14:paraId="6B433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414BB02F">
            <w:pPr>
              <w:pStyle w:val="106"/>
              <w:jc w:val="center"/>
              <w:rPr>
                <w:rFonts w:hAnsi="宋体" w:cs="Times New Roman"/>
                <w:color w:val="auto"/>
                <w:sz w:val="21"/>
                <w:szCs w:val="21"/>
              </w:rPr>
            </w:pPr>
            <w:r>
              <w:rPr>
                <w:rFonts w:cs="Times New Roman"/>
                <w:color w:val="auto"/>
                <w:sz w:val="21"/>
                <w:szCs w:val="21"/>
              </w:rPr>
              <w:t>沸点(</w:t>
            </w:r>
            <w:r>
              <w:rPr>
                <w:rFonts w:hint="eastAsia" w:hAnsi="宋体"/>
                <w:color w:val="auto"/>
                <w:sz w:val="21"/>
                <w:szCs w:val="21"/>
              </w:rPr>
              <w:t>℃</w:t>
            </w:r>
            <w:r>
              <w:rPr>
                <w:rFonts w:cs="Times New Roman"/>
                <w:color w:val="auto"/>
                <w:sz w:val="21"/>
                <w:szCs w:val="21"/>
              </w:rPr>
              <w:t>)</w:t>
            </w:r>
          </w:p>
        </w:tc>
        <w:tc>
          <w:tcPr>
            <w:tcW w:w="6899" w:type="dxa"/>
            <w:tcBorders>
              <w:top w:val="single" w:color="auto" w:sz="4" w:space="0"/>
              <w:left w:val="nil"/>
              <w:bottom w:val="single" w:color="auto" w:sz="4" w:space="0"/>
              <w:right w:val="single" w:color="auto" w:sz="4" w:space="0"/>
            </w:tcBorders>
            <w:vAlign w:val="center"/>
          </w:tcPr>
          <w:p w14:paraId="42747066">
            <w:pPr>
              <w:pStyle w:val="106"/>
              <w:rPr>
                <w:rFonts w:hint="eastAsia" w:ascii="..ì." w:hAnsi="..ì." w:cs="Times New Roman"/>
                <w:color w:val="auto"/>
                <w:sz w:val="21"/>
                <w:szCs w:val="21"/>
              </w:rPr>
            </w:pPr>
            <w:r>
              <w:rPr>
                <w:rFonts w:cs="Times New Roman"/>
                <w:color w:val="auto"/>
                <w:sz w:val="21"/>
                <w:szCs w:val="21"/>
              </w:rPr>
              <w:t>330</w:t>
            </w:r>
          </w:p>
        </w:tc>
      </w:tr>
      <w:tr w14:paraId="27CFE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67896377">
            <w:pPr>
              <w:pStyle w:val="106"/>
              <w:jc w:val="center"/>
              <w:rPr>
                <w:rFonts w:cs="Times New Roman"/>
                <w:color w:val="auto"/>
                <w:sz w:val="21"/>
                <w:szCs w:val="21"/>
              </w:rPr>
            </w:pPr>
            <w:r>
              <w:rPr>
                <w:rFonts w:cs="Times New Roman"/>
                <w:color w:val="auto"/>
                <w:sz w:val="21"/>
                <w:szCs w:val="21"/>
              </w:rPr>
              <w:t>相对密度（水=1）</w:t>
            </w:r>
          </w:p>
        </w:tc>
        <w:tc>
          <w:tcPr>
            <w:tcW w:w="6899" w:type="dxa"/>
            <w:tcBorders>
              <w:top w:val="single" w:color="auto" w:sz="4" w:space="0"/>
              <w:left w:val="nil"/>
              <w:bottom w:val="single" w:color="auto" w:sz="4" w:space="0"/>
              <w:right w:val="single" w:color="auto" w:sz="4" w:space="0"/>
            </w:tcBorders>
            <w:vAlign w:val="center"/>
          </w:tcPr>
          <w:p w14:paraId="4ADF33E1">
            <w:pPr>
              <w:pStyle w:val="106"/>
              <w:rPr>
                <w:rFonts w:cs="Times New Roman"/>
                <w:color w:val="auto"/>
                <w:sz w:val="21"/>
                <w:szCs w:val="21"/>
              </w:rPr>
            </w:pPr>
            <w:r>
              <w:rPr>
                <w:rFonts w:cs="Times New Roman"/>
                <w:color w:val="auto"/>
                <w:sz w:val="21"/>
                <w:szCs w:val="21"/>
              </w:rPr>
              <w:t>1.84</w:t>
            </w:r>
          </w:p>
        </w:tc>
      </w:tr>
      <w:tr w14:paraId="78A94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2957B267">
            <w:pPr>
              <w:pStyle w:val="106"/>
              <w:jc w:val="center"/>
              <w:rPr>
                <w:rFonts w:cs="Times New Roman"/>
                <w:color w:val="auto"/>
                <w:sz w:val="21"/>
                <w:szCs w:val="21"/>
              </w:rPr>
            </w:pPr>
            <w:r>
              <w:rPr>
                <w:rFonts w:cs="Times New Roman"/>
                <w:color w:val="auto"/>
                <w:sz w:val="21"/>
                <w:szCs w:val="21"/>
              </w:rPr>
              <w:t>相对蒸气密度(空气=1)</w:t>
            </w:r>
          </w:p>
        </w:tc>
        <w:tc>
          <w:tcPr>
            <w:tcW w:w="6899" w:type="dxa"/>
            <w:tcBorders>
              <w:top w:val="single" w:color="auto" w:sz="4" w:space="0"/>
              <w:left w:val="nil"/>
              <w:bottom w:val="single" w:color="auto" w:sz="4" w:space="0"/>
              <w:right w:val="single" w:color="auto" w:sz="4" w:space="0"/>
            </w:tcBorders>
            <w:vAlign w:val="center"/>
          </w:tcPr>
          <w:p w14:paraId="2C10A9B8">
            <w:pPr>
              <w:pStyle w:val="106"/>
              <w:rPr>
                <w:rFonts w:cs="Times New Roman"/>
                <w:color w:val="auto"/>
                <w:sz w:val="21"/>
                <w:szCs w:val="21"/>
              </w:rPr>
            </w:pPr>
            <w:r>
              <w:rPr>
                <w:rFonts w:cs="Times New Roman"/>
                <w:color w:val="auto"/>
                <w:sz w:val="21"/>
                <w:szCs w:val="21"/>
              </w:rPr>
              <w:t>3.4</w:t>
            </w:r>
          </w:p>
        </w:tc>
      </w:tr>
      <w:tr w14:paraId="7E567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65D52822">
            <w:pPr>
              <w:pStyle w:val="106"/>
              <w:jc w:val="center"/>
              <w:rPr>
                <w:rFonts w:cs="Times New Roman"/>
                <w:color w:val="auto"/>
                <w:sz w:val="21"/>
                <w:szCs w:val="21"/>
              </w:rPr>
            </w:pPr>
            <w:r>
              <w:rPr>
                <w:rFonts w:cs="Times New Roman"/>
                <w:color w:val="auto"/>
                <w:sz w:val="21"/>
                <w:szCs w:val="21"/>
              </w:rPr>
              <w:t>饱和蒸气压(kPa)</w:t>
            </w:r>
          </w:p>
        </w:tc>
        <w:tc>
          <w:tcPr>
            <w:tcW w:w="6899" w:type="dxa"/>
            <w:tcBorders>
              <w:top w:val="single" w:color="auto" w:sz="4" w:space="0"/>
              <w:left w:val="nil"/>
              <w:bottom w:val="single" w:color="auto" w:sz="4" w:space="0"/>
              <w:right w:val="single" w:color="auto" w:sz="4" w:space="0"/>
            </w:tcBorders>
            <w:vAlign w:val="center"/>
          </w:tcPr>
          <w:p w14:paraId="78014B7F">
            <w:pPr>
              <w:pStyle w:val="106"/>
              <w:rPr>
                <w:rFonts w:cs="Times New Roman"/>
                <w:color w:val="auto"/>
                <w:sz w:val="21"/>
                <w:szCs w:val="21"/>
              </w:rPr>
            </w:pPr>
            <w:r>
              <w:rPr>
                <w:rFonts w:cs="Times New Roman"/>
                <w:color w:val="auto"/>
                <w:sz w:val="21"/>
                <w:szCs w:val="21"/>
              </w:rPr>
              <w:t>0.13(145.8</w:t>
            </w:r>
            <w:r>
              <w:rPr>
                <w:rFonts w:hint="eastAsia" w:hAnsi="宋体"/>
                <w:color w:val="auto"/>
                <w:sz w:val="21"/>
                <w:szCs w:val="21"/>
              </w:rPr>
              <w:t>℃</w:t>
            </w:r>
            <w:r>
              <w:rPr>
                <w:rFonts w:cs="Times New Roman"/>
                <w:color w:val="auto"/>
                <w:sz w:val="21"/>
                <w:szCs w:val="21"/>
              </w:rPr>
              <w:t>)</w:t>
            </w:r>
          </w:p>
        </w:tc>
      </w:tr>
      <w:tr w14:paraId="59EF2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1319DB55">
            <w:pPr>
              <w:pStyle w:val="106"/>
              <w:jc w:val="center"/>
              <w:rPr>
                <w:rFonts w:cs="Times New Roman"/>
                <w:color w:val="auto"/>
                <w:sz w:val="21"/>
                <w:szCs w:val="21"/>
              </w:rPr>
            </w:pPr>
            <w:r>
              <w:rPr>
                <w:rFonts w:cs="Times New Roman"/>
                <w:color w:val="auto"/>
                <w:sz w:val="21"/>
                <w:szCs w:val="21"/>
              </w:rPr>
              <w:t>燃烧热(kJ/mol)</w:t>
            </w:r>
          </w:p>
        </w:tc>
        <w:tc>
          <w:tcPr>
            <w:tcW w:w="6899" w:type="dxa"/>
            <w:tcBorders>
              <w:top w:val="single" w:color="auto" w:sz="4" w:space="0"/>
              <w:left w:val="nil"/>
              <w:bottom w:val="single" w:color="auto" w:sz="4" w:space="0"/>
              <w:right w:val="single" w:color="auto" w:sz="4" w:space="0"/>
            </w:tcBorders>
            <w:vAlign w:val="center"/>
          </w:tcPr>
          <w:p w14:paraId="2872043F">
            <w:pPr>
              <w:pStyle w:val="106"/>
              <w:rPr>
                <w:rFonts w:cs="Times New Roman"/>
                <w:color w:val="auto"/>
                <w:sz w:val="21"/>
                <w:szCs w:val="21"/>
              </w:rPr>
            </w:pPr>
            <w:r>
              <w:rPr>
                <w:rFonts w:cs="Times New Roman"/>
                <w:color w:val="auto"/>
                <w:sz w:val="21"/>
                <w:szCs w:val="21"/>
              </w:rPr>
              <w:t>无资料</w:t>
            </w:r>
          </w:p>
        </w:tc>
      </w:tr>
      <w:tr w14:paraId="0989A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788205B0">
            <w:pPr>
              <w:pStyle w:val="106"/>
              <w:jc w:val="center"/>
              <w:rPr>
                <w:rFonts w:cs="Times New Roman"/>
                <w:color w:val="auto"/>
                <w:sz w:val="21"/>
                <w:szCs w:val="21"/>
              </w:rPr>
            </w:pPr>
            <w:r>
              <w:rPr>
                <w:rFonts w:cs="Times New Roman"/>
                <w:color w:val="auto"/>
                <w:sz w:val="21"/>
                <w:szCs w:val="21"/>
              </w:rPr>
              <w:t>临界温度(</w:t>
            </w:r>
            <w:r>
              <w:rPr>
                <w:rFonts w:hint="eastAsia" w:hAnsi="宋体"/>
                <w:color w:val="auto"/>
                <w:sz w:val="21"/>
                <w:szCs w:val="21"/>
              </w:rPr>
              <w:t>℃</w:t>
            </w:r>
            <w:r>
              <w:rPr>
                <w:rFonts w:cs="Times New Roman"/>
                <w:color w:val="auto"/>
                <w:sz w:val="21"/>
                <w:szCs w:val="21"/>
              </w:rPr>
              <w:t>)</w:t>
            </w:r>
          </w:p>
        </w:tc>
        <w:tc>
          <w:tcPr>
            <w:tcW w:w="6899" w:type="dxa"/>
            <w:tcBorders>
              <w:top w:val="single" w:color="auto" w:sz="4" w:space="0"/>
              <w:left w:val="nil"/>
              <w:bottom w:val="single" w:color="auto" w:sz="4" w:space="0"/>
              <w:right w:val="single" w:color="auto" w:sz="4" w:space="0"/>
            </w:tcBorders>
            <w:vAlign w:val="center"/>
          </w:tcPr>
          <w:p w14:paraId="450C52AD">
            <w:pPr>
              <w:pStyle w:val="106"/>
              <w:rPr>
                <w:rFonts w:cs="Times New Roman"/>
                <w:color w:val="auto"/>
                <w:sz w:val="21"/>
                <w:szCs w:val="21"/>
              </w:rPr>
            </w:pPr>
            <w:r>
              <w:rPr>
                <w:rFonts w:cs="Times New Roman"/>
                <w:color w:val="auto"/>
                <w:sz w:val="21"/>
                <w:szCs w:val="21"/>
              </w:rPr>
              <w:t>无资料</w:t>
            </w:r>
          </w:p>
        </w:tc>
      </w:tr>
      <w:tr w14:paraId="184F1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343C3A2F">
            <w:pPr>
              <w:pStyle w:val="106"/>
              <w:jc w:val="center"/>
              <w:rPr>
                <w:rFonts w:cs="Times New Roman"/>
                <w:color w:val="auto"/>
                <w:sz w:val="21"/>
                <w:szCs w:val="21"/>
              </w:rPr>
            </w:pPr>
            <w:r>
              <w:rPr>
                <w:rFonts w:cs="Times New Roman"/>
                <w:color w:val="auto"/>
                <w:sz w:val="21"/>
                <w:szCs w:val="21"/>
              </w:rPr>
              <w:t>临界压力(MPa)</w:t>
            </w:r>
          </w:p>
        </w:tc>
        <w:tc>
          <w:tcPr>
            <w:tcW w:w="6899" w:type="dxa"/>
            <w:tcBorders>
              <w:top w:val="single" w:color="auto" w:sz="4" w:space="0"/>
              <w:left w:val="nil"/>
              <w:bottom w:val="single" w:color="auto" w:sz="4" w:space="0"/>
              <w:right w:val="single" w:color="auto" w:sz="4" w:space="0"/>
            </w:tcBorders>
            <w:vAlign w:val="center"/>
          </w:tcPr>
          <w:p w14:paraId="68858C8C">
            <w:pPr>
              <w:pStyle w:val="106"/>
              <w:rPr>
                <w:rFonts w:cs="Times New Roman"/>
                <w:color w:val="auto"/>
                <w:sz w:val="21"/>
                <w:szCs w:val="21"/>
              </w:rPr>
            </w:pPr>
            <w:r>
              <w:rPr>
                <w:rFonts w:cs="Times New Roman"/>
                <w:color w:val="auto"/>
                <w:sz w:val="21"/>
                <w:szCs w:val="21"/>
              </w:rPr>
              <w:t>6.4</w:t>
            </w:r>
          </w:p>
        </w:tc>
      </w:tr>
      <w:tr w14:paraId="57BAB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54178E58">
            <w:pPr>
              <w:pStyle w:val="106"/>
              <w:jc w:val="center"/>
              <w:rPr>
                <w:rFonts w:cs="Times New Roman"/>
                <w:color w:val="auto"/>
                <w:sz w:val="21"/>
                <w:szCs w:val="21"/>
              </w:rPr>
            </w:pPr>
            <w:r>
              <w:rPr>
                <w:rFonts w:cs="Times New Roman"/>
                <w:color w:val="auto"/>
                <w:sz w:val="21"/>
                <w:szCs w:val="21"/>
              </w:rPr>
              <w:t>辛醇/水分配系数</w:t>
            </w:r>
          </w:p>
        </w:tc>
        <w:tc>
          <w:tcPr>
            <w:tcW w:w="6899" w:type="dxa"/>
            <w:tcBorders>
              <w:top w:val="single" w:color="auto" w:sz="4" w:space="0"/>
              <w:left w:val="nil"/>
              <w:bottom w:val="single" w:color="auto" w:sz="4" w:space="0"/>
              <w:right w:val="single" w:color="auto" w:sz="4" w:space="0"/>
            </w:tcBorders>
            <w:vAlign w:val="center"/>
          </w:tcPr>
          <w:p w14:paraId="7C2E65C9">
            <w:pPr>
              <w:pStyle w:val="106"/>
              <w:rPr>
                <w:rFonts w:cs="Times New Roman"/>
                <w:color w:val="auto"/>
                <w:sz w:val="21"/>
                <w:szCs w:val="21"/>
              </w:rPr>
            </w:pPr>
            <w:r>
              <w:rPr>
                <w:rFonts w:cs="Times New Roman"/>
                <w:color w:val="auto"/>
                <w:sz w:val="21"/>
                <w:szCs w:val="21"/>
              </w:rPr>
              <w:t>-2.2</w:t>
            </w:r>
          </w:p>
        </w:tc>
      </w:tr>
      <w:tr w14:paraId="72BA9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5C60D045">
            <w:pPr>
              <w:pStyle w:val="106"/>
              <w:jc w:val="center"/>
              <w:rPr>
                <w:rFonts w:cs="Times New Roman"/>
                <w:color w:val="auto"/>
                <w:sz w:val="21"/>
                <w:szCs w:val="21"/>
              </w:rPr>
            </w:pPr>
            <w:r>
              <w:rPr>
                <w:rFonts w:cs="Times New Roman"/>
                <w:color w:val="auto"/>
                <w:sz w:val="21"/>
                <w:szCs w:val="21"/>
              </w:rPr>
              <w:t>闪点(</w:t>
            </w:r>
            <w:r>
              <w:rPr>
                <w:rFonts w:hint="eastAsia" w:hAnsi="宋体"/>
                <w:color w:val="auto"/>
                <w:sz w:val="21"/>
                <w:szCs w:val="21"/>
              </w:rPr>
              <w:t>℃</w:t>
            </w:r>
            <w:r>
              <w:rPr>
                <w:rFonts w:cs="Times New Roman"/>
                <w:color w:val="auto"/>
                <w:sz w:val="21"/>
                <w:szCs w:val="21"/>
              </w:rPr>
              <w:t>)</w:t>
            </w:r>
          </w:p>
        </w:tc>
        <w:tc>
          <w:tcPr>
            <w:tcW w:w="6899" w:type="dxa"/>
            <w:tcBorders>
              <w:top w:val="single" w:color="auto" w:sz="4" w:space="0"/>
              <w:left w:val="nil"/>
              <w:bottom w:val="single" w:color="auto" w:sz="4" w:space="0"/>
              <w:right w:val="single" w:color="auto" w:sz="4" w:space="0"/>
            </w:tcBorders>
            <w:vAlign w:val="center"/>
          </w:tcPr>
          <w:p w14:paraId="44379C90">
            <w:pPr>
              <w:widowControl/>
              <w:spacing w:line="240" w:lineRule="auto"/>
              <w:jc w:val="left"/>
              <w:rPr>
                <w:rFonts w:ascii="宋体" w:hAnsi="宋体" w:cs="Calibri"/>
                <w:color w:val="auto"/>
                <w:sz w:val="21"/>
                <w:szCs w:val="21"/>
              </w:rPr>
            </w:pPr>
            <w:r>
              <w:rPr>
                <w:rFonts w:hint="eastAsia" w:ascii="宋体" w:hAnsi="宋体"/>
                <w:color w:val="auto"/>
                <w:sz w:val="21"/>
                <w:szCs w:val="21"/>
              </w:rPr>
              <w:t>无意义</w:t>
            </w:r>
          </w:p>
        </w:tc>
      </w:tr>
      <w:tr w14:paraId="27838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5B020918">
            <w:pPr>
              <w:pStyle w:val="106"/>
              <w:jc w:val="center"/>
              <w:rPr>
                <w:rFonts w:hAnsi="宋体" w:cs="Times New Roman"/>
                <w:color w:val="auto"/>
                <w:sz w:val="21"/>
                <w:szCs w:val="21"/>
              </w:rPr>
            </w:pPr>
            <w:r>
              <w:rPr>
                <w:rFonts w:cs="Times New Roman"/>
                <w:color w:val="auto"/>
                <w:sz w:val="21"/>
                <w:szCs w:val="21"/>
              </w:rPr>
              <w:t>自燃温度(</w:t>
            </w:r>
            <w:r>
              <w:rPr>
                <w:rFonts w:hint="eastAsia" w:hAnsi="宋体"/>
                <w:color w:val="auto"/>
                <w:sz w:val="21"/>
                <w:szCs w:val="21"/>
              </w:rPr>
              <w:t>℃</w:t>
            </w:r>
            <w:r>
              <w:rPr>
                <w:rFonts w:cs="Times New Roman"/>
                <w:color w:val="auto"/>
                <w:sz w:val="21"/>
                <w:szCs w:val="21"/>
              </w:rPr>
              <w:t>)</w:t>
            </w:r>
          </w:p>
        </w:tc>
        <w:tc>
          <w:tcPr>
            <w:tcW w:w="6899" w:type="dxa"/>
            <w:tcBorders>
              <w:top w:val="single" w:color="auto" w:sz="4" w:space="0"/>
              <w:left w:val="nil"/>
              <w:bottom w:val="single" w:color="auto" w:sz="4" w:space="0"/>
              <w:right w:val="single" w:color="auto" w:sz="4" w:space="0"/>
            </w:tcBorders>
            <w:vAlign w:val="center"/>
          </w:tcPr>
          <w:p w14:paraId="06AB20E6">
            <w:pPr>
              <w:autoSpaceDE w:val="0"/>
              <w:autoSpaceDN w:val="0"/>
              <w:adjustRightInd w:val="0"/>
              <w:spacing w:line="240" w:lineRule="auto"/>
              <w:jc w:val="left"/>
              <w:rPr>
                <w:rFonts w:ascii="宋体" w:hAnsi="宋体" w:cs="Calibri"/>
                <w:color w:val="auto"/>
                <w:sz w:val="21"/>
                <w:szCs w:val="21"/>
              </w:rPr>
            </w:pPr>
            <w:r>
              <w:rPr>
                <w:rFonts w:hint="eastAsia" w:ascii="宋体" w:hAnsi="宋体"/>
                <w:color w:val="auto"/>
                <w:sz w:val="21"/>
                <w:szCs w:val="21"/>
              </w:rPr>
              <w:t>无意义</w:t>
            </w:r>
          </w:p>
        </w:tc>
      </w:tr>
      <w:tr w14:paraId="3CE38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26C16715">
            <w:pPr>
              <w:pStyle w:val="106"/>
              <w:jc w:val="center"/>
              <w:rPr>
                <w:rFonts w:hAnsi="宋体" w:cs="Times New Roman"/>
                <w:color w:val="auto"/>
                <w:sz w:val="21"/>
                <w:szCs w:val="21"/>
              </w:rPr>
            </w:pPr>
            <w:r>
              <w:rPr>
                <w:rFonts w:cs="Times New Roman"/>
                <w:color w:val="auto"/>
                <w:sz w:val="21"/>
                <w:szCs w:val="21"/>
              </w:rPr>
              <w:t>爆炸下限(%)</w:t>
            </w:r>
          </w:p>
        </w:tc>
        <w:tc>
          <w:tcPr>
            <w:tcW w:w="6899" w:type="dxa"/>
            <w:tcBorders>
              <w:top w:val="single" w:color="auto" w:sz="4" w:space="0"/>
              <w:left w:val="nil"/>
              <w:bottom w:val="single" w:color="auto" w:sz="4" w:space="0"/>
              <w:right w:val="single" w:color="auto" w:sz="4" w:space="0"/>
            </w:tcBorders>
            <w:vAlign w:val="center"/>
          </w:tcPr>
          <w:p w14:paraId="46F88525">
            <w:pPr>
              <w:autoSpaceDE w:val="0"/>
              <w:autoSpaceDN w:val="0"/>
              <w:adjustRightInd w:val="0"/>
              <w:spacing w:line="240" w:lineRule="auto"/>
              <w:jc w:val="left"/>
              <w:rPr>
                <w:rFonts w:ascii="宋体" w:hAnsi="宋体" w:cs="Calibri"/>
                <w:color w:val="auto"/>
                <w:sz w:val="21"/>
                <w:szCs w:val="21"/>
              </w:rPr>
            </w:pPr>
            <w:r>
              <w:rPr>
                <w:rFonts w:hint="eastAsia" w:ascii="宋体" w:hAnsi="宋体"/>
                <w:color w:val="auto"/>
                <w:sz w:val="21"/>
                <w:szCs w:val="21"/>
              </w:rPr>
              <w:t>无意义</w:t>
            </w:r>
          </w:p>
        </w:tc>
      </w:tr>
      <w:tr w14:paraId="62921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1AA5C4F6">
            <w:pPr>
              <w:pStyle w:val="106"/>
              <w:jc w:val="center"/>
              <w:rPr>
                <w:rFonts w:hAnsi="宋体" w:cs="Times New Roman"/>
                <w:color w:val="auto"/>
                <w:sz w:val="21"/>
                <w:szCs w:val="21"/>
              </w:rPr>
            </w:pPr>
            <w:r>
              <w:rPr>
                <w:rFonts w:cs="Times New Roman"/>
                <w:color w:val="auto"/>
                <w:sz w:val="21"/>
                <w:szCs w:val="21"/>
              </w:rPr>
              <w:t>爆炸上限(%)</w:t>
            </w:r>
          </w:p>
        </w:tc>
        <w:tc>
          <w:tcPr>
            <w:tcW w:w="6899" w:type="dxa"/>
            <w:tcBorders>
              <w:top w:val="single" w:color="auto" w:sz="4" w:space="0"/>
              <w:left w:val="nil"/>
              <w:bottom w:val="single" w:color="auto" w:sz="4" w:space="0"/>
              <w:right w:val="single" w:color="auto" w:sz="4" w:space="0"/>
            </w:tcBorders>
            <w:vAlign w:val="center"/>
          </w:tcPr>
          <w:p w14:paraId="28B5E740">
            <w:pPr>
              <w:autoSpaceDE w:val="0"/>
              <w:autoSpaceDN w:val="0"/>
              <w:adjustRightInd w:val="0"/>
              <w:spacing w:line="240" w:lineRule="auto"/>
              <w:jc w:val="left"/>
              <w:rPr>
                <w:rFonts w:ascii="宋体" w:hAnsi="宋体" w:cs="Calibri"/>
                <w:color w:val="auto"/>
                <w:sz w:val="21"/>
                <w:szCs w:val="21"/>
              </w:rPr>
            </w:pPr>
            <w:r>
              <w:rPr>
                <w:rFonts w:hint="eastAsia" w:ascii="宋体" w:hAnsi="宋体"/>
                <w:color w:val="auto"/>
                <w:sz w:val="21"/>
                <w:szCs w:val="21"/>
              </w:rPr>
              <w:t>无意义</w:t>
            </w:r>
          </w:p>
        </w:tc>
      </w:tr>
      <w:tr w14:paraId="376E4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21D4D425">
            <w:pPr>
              <w:pStyle w:val="106"/>
              <w:jc w:val="center"/>
              <w:rPr>
                <w:rFonts w:hAnsi="宋体" w:cs="Times New Roman"/>
                <w:color w:val="auto"/>
                <w:sz w:val="21"/>
                <w:szCs w:val="21"/>
              </w:rPr>
            </w:pPr>
            <w:r>
              <w:rPr>
                <w:rFonts w:cs="Times New Roman"/>
                <w:color w:val="auto"/>
                <w:sz w:val="21"/>
                <w:szCs w:val="21"/>
              </w:rPr>
              <w:t>分解温度(</w:t>
            </w:r>
            <w:r>
              <w:rPr>
                <w:rFonts w:hint="eastAsia" w:hAnsi="宋体"/>
                <w:color w:val="auto"/>
                <w:sz w:val="21"/>
                <w:szCs w:val="21"/>
              </w:rPr>
              <w:t>℃</w:t>
            </w:r>
            <w:r>
              <w:rPr>
                <w:rFonts w:cs="Times New Roman"/>
                <w:color w:val="auto"/>
                <w:sz w:val="21"/>
                <w:szCs w:val="21"/>
              </w:rPr>
              <w:t>)</w:t>
            </w:r>
          </w:p>
        </w:tc>
        <w:tc>
          <w:tcPr>
            <w:tcW w:w="6899" w:type="dxa"/>
            <w:tcBorders>
              <w:top w:val="single" w:color="auto" w:sz="4" w:space="0"/>
              <w:left w:val="nil"/>
              <w:bottom w:val="single" w:color="auto" w:sz="4" w:space="0"/>
              <w:right w:val="single" w:color="auto" w:sz="4" w:space="0"/>
            </w:tcBorders>
            <w:vAlign w:val="center"/>
          </w:tcPr>
          <w:p w14:paraId="37D1E24F">
            <w:pPr>
              <w:pStyle w:val="106"/>
              <w:rPr>
                <w:rFonts w:hint="eastAsia" w:ascii="..ì." w:hAnsi="..ì." w:cs="Times New Roman"/>
                <w:color w:val="auto"/>
                <w:sz w:val="21"/>
                <w:szCs w:val="21"/>
              </w:rPr>
            </w:pPr>
            <w:r>
              <w:rPr>
                <w:rFonts w:cs="Times New Roman"/>
                <w:color w:val="auto"/>
                <w:sz w:val="21"/>
                <w:szCs w:val="21"/>
              </w:rPr>
              <w:t>无资料</w:t>
            </w:r>
          </w:p>
        </w:tc>
      </w:tr>
      <w:tr w14:paraId="7BA92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47C65AB9">
            <w:pPr>
              <w:pStyle w:val="106"/>
              <w:jc w:val="center"/>
              <w:rPr>
                <w:rFonts w:cs="Times New Roman"/>
                <w:color w:val="auto"/>
                <w:sz w:val="21"/>
                <w:szCs w:val="21"/>
              </w:rPr>
            </w:pPr>
            <w:r>
              <w:rPr>
                <w:rFonts w:cs="Times New Roman"/>
                <w:color w:val="auto"/>
                <w:sz w:val="21"/>
                <w:szCs w:val="21"/>
              </w:rPr>
              <w:t>黏度(mPa·s)</w:t>
            </w:r>
          </w:p>
        </w:tc>
        <w:tc>
          <w:tcPr>
            <w:tcW w:w="6899" w:type="dxa"/>
            <w:tcBorders>
              <w:top w:val="single" w:color="auto" w:sz="4" w:space="0"/>
              <w:left w:val="nil"/>
              <w:bottom w:val="single" w:color="auto" w:sz="4" w:space="0"/>
              <w:right w:val="single" w:color="auto" w:sz="4" w:space="0"/>
            </w:tcBorders>
            <w:vAlign w:val="center"/>
          </w:tcPr>
          <w:p w14:paraId="4FBC3A63">
            <w:pPr>
              <w:widowControl/>
              <w:spacing w:line="240" w:lineRule="auto"/>
              <w:jc w:val="left"/>
              <w:rPr>
                <w:rFonts w:ascii="宋体" w:hAnsi="宋体" w:cs="Calibri"/>
                <w:color w:val="auto"/>
                <w:sz w:val="21"/>
                <w:szCs w:val="21"/>
              </w:rPr>
            </w:pPr>
            <w:r>
              <w:rPr>
                <w:rFonts w:hAnsi="宋体" w:cs="宋体"/>
                <w:color w:val="auto"/>
                <w:sz w:val="21"/>
                <w:szCs w:val="21"/>
              </w:rPr>
              <w:t>21</w:t>
            </w:r>
            <w:r>
              <w:rPr>
                <w:rFonts w:hint="eastAsia" w:ascii="宋体" w:hAnsi="宋体"/>
                <w:color w:val="auto"/>
                <w:sz w:val="21"/>
                <w:szCs w:val="21"/>
              </w:rPr>
              <w:t>(</w:t>
            </w:r>
            <w:r>
              <w:rPr>
                <w:rFonts w:hAnsi="宋体" w:cs="宋体"/>
                <w:color w:val="auto"/>
                <w:sz w:val="21"/>
                <w:szCs w:val="21"/>
              </w:rPr>
              <w:t>25</w:t>
            </w:r>
            <w:r>
              <w:rPr>
                <w:rFonts w:hint="eastAsia" w:ascii="宋体" w:hAnsi="宋体"/>
                <w:color w:val="auto"/>
                <w:sz w:val="21"/>
                <w:szCs w:val="21"/>
              </w:rPr>
              <w:t>℃)</w:t>
            </w:r>
          </w:p>
        </w:tc>
      </w:tr>
      <w:tr w14:paraId="4FF84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52F8546C">
            <w:pPr>
              <w:pStyle w:val="106"/>
              <w:jc w:val="center"/>
              <w:rPr>
                <w:rFonts w:hAnsi="宋体" w:cs="Times New Roman"/>
                <w:color w:val="auto"/>
                <w:sz w:val="21"/>
                <w:szCs w:val="21"/>
              </w:rPr>
            </w:pPr>
            <w:r>
              <w:rPr>
                <w:rFonts w:cs="Times New Roman"/>
                <w:color w:val="auto"/>
                <w:sz w:val="21"/>
                <w:szCs w:val="21"/>
              </w:rPr>
              <w:t>溶解性</w:t>
            </w:r>
          </w:p>
        </w:tc>
        <w:tc>
          <w:tcPr>
            <w:tcW w:w="6899" w:type="dxa"/>
            <w:tcBorders>
              <w:top w:val="single" w:color="auto" w:sz="4" w:space="0"/>
              <w:left w:val="nil"/>
              <w:bottom w:val="single" w:color="auto" w:sz="4" w:space="0"/>
              <w:right w:val="single" w:color="auto" w:sz="4" w:space="0"/>
            </w:tcBorders>
            <w:vAlign w:val="center"/>
          </w:tcPr>
          <w:p w14:paraId="6EAEF095">
            <w:pPr>
              <w:widowControl/>
              <w:spacing w:line="240" w:lineRule="auto"/>
              <w:jc w:val="left"/>
              <w:rPr>
                <w:rFonts w:ascii="宋体" w:hAnsi="宋体" w:cs="Calibri"/>
                <w:color w:val="auto"/>
                <w:sz w:val="21"/>
                <w:szCs w:val="21"/>
              </w:rPr>
            </w:pPr>
            <w:r>
              <w:rPr>
                <w:rFonts w:hint="eastAsia" w:ascii="宋体" w:hAnsi="宋体"/>
                <w:color w:val="auto"/>
                <w:sz w:val="21"/>
                <w:szCs w:val="21"/>
              </w:rPr>
              <w:t>与水、乙醇混溶</w:t>
            </w:r>
          </w:p>
        </w:tc>
      </w:tr>
      <w:tr w14:paraId="738A8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435" w:type="dxa"/>
            <w:gridSpan w:val="2"/>
            <w:tcBorders>
              <w:top w:val="single" w:color="auto" w:sz="4" w:space="0"/>
              <w:left w:val="single" w:color="auto" w:sz="4" w:space="0"/>
              <w:bottom w:val="single" w:color="auto" w:sz="4" w:space="0"/>
              <w:right w:val="single" w:color="auto" w:sz="4" w:space="0"/>
            </w:tcBorders>
            <w:vAlign w:val="center"/>
          </w:tcPr>
          <w:p w14:paraId="60F7ED1A">
            <w:pPr>
              <w:pStyle w:val="106"/>
              <w:jc w:val="center"/>
              <w:rPr>
                <w:rFonts w:hAnsi="宋体" w:cs="Times New Roman"/>
                <w:color w:val="auto"/>
                <w:sz w:val="21"/>
                <w:szCs w:val="21"/>
              </w:rPr>
            </w:pPr>
            <w:r>
              <w:rPr>
                <w:rFonts w:cs="Times New Roman"/>
                <w:b/>
                <w:bCs/>
                <w:color w:val="auto"/>
                <w:sz w:val="21"/>
                <w:szCs w:val="21"/>
              </w:rPr>
              <w:t>第十部分 稳定性和反应性</w:t>
            </w:r>
          </w:p>
        </w:tc>
      </w:tr>
      <w:tr w14:paraId="20B19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7E2CF850">
            <w:pPr>
              <w:pStyle w:val="106"/>
              <w:jc w:val="center"/>
              <w:rPr>
                <w:rFonts w:hint="eastAsia" w:ascii="..ì." w:hAnsi="..ì." w:cs="Times New Roman"/>
                <w:color w:val="auto"/>
                <w:sz w:val="21"/>
                <w:szCs w:val="21"/>
              </w:rPr>
            </w:pPr>
            <w:r>
              <w:rPr>
                <w:rFonts w:cs="Times New Roman"/>
                <w:color w:val="auto"/>
                <w:sz w:val="21"/>
                <w:szCs w:val="21"/>
              </w:rPr>
              <w:t>稳定性</w:t>
            </w:r>
          </w:p>
        </w:tc>
        <w:tc>
          <w:tcPr>
            <w:tcW w:w="6899" w:type="dxa"/>
            <w:tcBorders>
              <w:top w:val="single" w:color="auto" w:sz="4" w:space="0"/>
              <w:left w:val="nil"/>
              <w:bottom w:val="single" w:color="auto" w:sz="4" w:space="0"/>
              <w:right w:val="single" w:color="auto" w:sz="4" w:space="0"/>
            </w:tcBorders>
            <w:vAlign w:val="center"/>
          </w:tcPr>
          <w:p w14:paraId="4F8A79E1">
            <w:pPr>
              <w:pStyle w:val="106"/>
              <w:rPr>
                <w:rFonts w:cs="Times New Roman"/>
                <w:color w:val="auto"/>
                <w:sz w:val="21"/>
                <w:szCs w:val="21"/>
              </w:rPr>
            </w:pPr>
            <w:r>
              <w:rPr>
                <w:rFonts w:cs="Times New Roman"/>
                <w:color w:val="auto"/>
                <w:sz w:val="21"/>
                <w:szCs w:val="21"/>
              </w:rPr>
              <w:t>稳定</w:t>
            </w:r>
          </w:p>
        </w:tc>
      </w:tr>
      <w:tr w14:paraId="7AA2B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356FE77C">
            <w:pPr>
              <w:pStyle w:val="106"/>
              <w:jc w:val="center"/>
              <w:rPr>
                <w:rFonts w:cs="Times New Roman"/>
                <w:color w:val="auto"/>
                <w:sz w:val="21"/>
                <w:szCs w:val="21"/>
              </w:rPr>
            </w:pPr>
            <w:r>
              <w:rPr>
                <w:rFonts w:cs="Times New Roman"/>
                <w:color w:val="auto"/>
                <w:sz w:val="21"/>
                <w:szCs w:val="21"/>
              </w:rPr>
              <w:t>危险反应</w:t>
            </w:r>
          </w:p>
        </w:tc>
        <w:tc>
          <w:tcPr>
            <w:tcW w:w="6899" w:type="dxa"/>
            <w:tcBorders>
              <w:top w:val="single" w:color="auto" w:sz="4" w:space="0"/>
              <w:left w:val="nil"/>
              <w:bottom w:val="single" w:color="auto" w:sz="4" w:space="0"/>
              <w:right w:val="single" w:color="auto" w:sz="4" w:space="0"/>
            </w:tcBorders>
            <w:vAlign w:val="center"/>
          </w:tcPr>
          <w:p w14:paraId="35EC7192">
            <w:pPr>
              <w:pStyle w:val="106"/>
              <w:rPr>
                <w:rFonts w:cs="Times New Roman"/>
                <w:color w:val="auto"/>
                <w:sz w:val="21"/>
                <w:szCs w:val="21"/>
              </w:rPr>
            </w:pPr>
            <w:r>
              <w:rPr>
                <w:rFonts w:cs="Times New Roman"/>
                <w:color w:val="auto"/>
                <w:sz w:val="21"/>
                <w:szCs w:val="21"/>
              </w:rPr>
              <w:t>与易燃或可燃物、电石、高氯酸盐、金属粉末等发生剧烈反应,有发生火</w:t>
            </w:r>
          </w:p>
        </w:tc>
      </w:tr>
      <w:tr w14:paraId="733CF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3903B73E">
            <w:pPr>
              <w:pStyle w:val="106"/>
              <w:jc w:val="center"/>
              <w:rPr>
                <w:rFonts w:cs="Times New Roman"/>
                <w:color w:val="auto"/>
                <w:sz w:val="21"/>
                <w:szCs w:val="21"/>
              </w:rPr>
            </w:pPr>
            <w:r>
              <w:rPr>
                <w:rFonts w:cs="Times New Roman"/>
                <w:color w:val="auto"/>
                <w:sz w:val="21"/>
                <w:szCs w:val="21"/>
              </w:rPr>
              <w:t>避免接触的条件</w:t>
            </w:r>
          </w:p>
        </w:tc>
        <w:tc>
          <w:tcPr>
            <w:tcW w:w="6899" w:type="dxa"/>
            <w:tcBorders>
              <w:top w:val="single" w:color="auto" w:sz="4" w:space="0"/>
              <w:left w:val="nil"/>
              <w:bottom w:val="single" w:color="auto" w:sz="4" w:space="0"/>
              <w:right w:val="single" w:color="auto" w:sz="4" w:space="0"/>
            </w:tcBorders>
            <w:vAlign w:val="center"/>
          </w:tcPr>
          <w:p w14:paraId="57587775">
            <w:pPr>
              <w:pStyle w:val="106"/>
              <w:rPr>
                <w:rFonts w:cs="Times New Roman"/>
                <w:color w:val="auto"/>
                <w:sz w:val="21"/>
                <w:szCs w:val="21"/>
              </w:rPr>
            </w:pPr>
            <w:r>
              <w:rPr>
                <w:rFonts w:cs="Times New Roman"/>
                <w:color w:val="auto"/>
                <w:sz w:val="21"/>
                <w:szCs w:val="21"/>
              </w:rPr>
              <w:t>水</w:t>
            </w:r>
          </w:p>
        </w:tc>
      </w:tr>
      <w:tr w14:paraId="7B8C9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3A205BEC">
            <w:pPr>
              <w:pStyle w:val="106"/>
              <w:jc w:val="center"/>
              <w:rPr>
                <w:rFonts w:cs="Times New Roman"/>
                <w:color w:val="auto"/>
                <w:sz w:val="21"/>
                <w:szCs w:val="21"/>
              </w:rPr>
            </w:pPr>
            <w:r>
              <w:rPr>
                <w:rFonts w:cs="Times New Roman"/>
                <w:color w:val="auto"/>
                <w:sz w:val="21"/>
                <w:szCs w:val="21"/>
              </w:rPr>
              <w:t>禁配物</w:t>
            </w:r>
          </w:p>
        </w:tc>
        <w:tc>
          <w:tcPr>
            <w:tcW w:w="6899" w:type="dxa"/>
            <w:tcBorders>
              <w:top w:val="single" w:color="auto" w:sz="4" w:space="0"/>
              <w:left w:val="nil"/>
              <w:bottom w:val="single" w:color="auto" w:sz="4" w:space="0"/>
              <w:right w:val="single" w:color="auto" w:sz="4" w:space="0"/>
            </w:tcBorders>
            <w:vAlign w:val="center"/>
          </w:tcPr>
          <w:p w14:paraId="70440822">
            <w:pPr>
              <w:widowControl/>
              <w:spacing w:line="240" w:lineRule="auto"/>
              <w:jc w:val="left"/>
              <w:rPr>
                <w:rFonts w:ascii="宋体" w:hAnsi="宋体" w:cs="Calibri"/>
                <w:color w:val="auto"/>
                <w:kern w:val="0"/>
                <w:sz w:val="21"/>
                <w:szCs w:val="21"/>
              </w:rPr>
            </w:pPr>
            <w:r>
              <w:rPr>
                <w:rFonts w:hint="eastAsia" w:ascii="宋体" w:hAnsi="宋体"/>
                <w:color w:val="auto"/>
                <w:kern w:val="0"/>
                <w:sz w:val="21"/>
                <w:szCs w:val="21"/>
              </w:rPr>
              <w:t>碱类、强还原剂、易燃或可燃物、电石、高氯酸盐、雷酸盐、硝酸盐、苦味酸盐、金属粉末等</w:t>
            </w:r>
          </w:p>
        </w:tc>
      </w:tr>
      <w:tr w14:paraId="39D9C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77FD904A">
            <w:pPr>
              <w:pStyle w:val="106"/>
              <w:jc w:val="center"/>
              <w:rPr>
                <w:rFonts w:hAnsi="宋体" w:cs="Times New Roman"/>
                <w:color w:val="auto"/>
                <w:sz w:val="21"/>
                <w:szCs w:val="21"/>
              </w:rPr>
            </w:pPr>
            <w:r>
              <w:rPr>
                <w:rFonts w:cs="Times New Roman"/>
                <w:color w:val="auto"/>
                <w:sz w:val="21"/>
                <w:szCs w:val="21"/>
              </w:rPr>
              <w:t>危险的分解产物</w:t>
            </w:r>
          </w:p>
        </w:tc>
        <w:tc>
          <w:tcPr>
            <w:tcW w:w="6899" w:type="dxa"/>
            <w:tcBorders>
              <w:top w:val="single" w:color="auto" w:sz="4" w:space="0"/>
              <w:left w:val="nil"/>
              <w:bottom w:val="single" w:color="auto" w:sz="4" w:space="0"/>
              <w:right w:val="single" w:color="auto" w:sz="4" w:space="0"/>
            </w:tcBorders>
            <w:vAlign w:val="center"/>
          </w:tcPr>
          <w:p w14:paraId="199C5A3A">
            <w:pPr>
              <w:widowControl/>
              <w:spacing w:line="240" w:lineRule="auto"/>
              <w:jc w:val="left"/>
              <w:rPr>
                <w:rFonts w:ascii="宋体" w:hAnsi="宋体" w:cs="Calibri"/>
                <w:color w:val="auto"/>
                <w:sz w:val="21"/>
                <w:szCs w:val="21"/>
              </w:rPr>
            </w:pPr>
            <w:r>
              <w:rPr>
                <w:rFonts w:hint="eastAsia" w:ascii="宋体" w:hAnsi="宋体"/>
                <w:color w:val="auto"/>
                <w:kern w:val="0"/>
                <w:sz w:val="21"/>
                <w:szCs w:val="21"/>
              </w:rPr>
              <w:t>氧化硫</w:t>
            </w:r>
          </w:p>
        </w:tc>
      </w:tr>
      <w:tr w14:paraId="6D1C7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435" w:type="dxa"/>
            <w:gridSpan w:val="2"/>
            <w:tcBorders>
              <w:top w:val="single" w:color="auto" w:sz="4" w:space="0"/>
              <w:left w:val="single" w:color="auto" w:sz="4" w:space="0"/>
              <w:bottom w:val="single" w:color="auto" w:sz="4" w:space="0"/>
              <w:right w:val="single" w:color="auto" w:sz="4" w:space="0"/>
            </w:tcBorders>
            <w:vAlign w:val="center"/>
          </w:tcPr>
          <w:p w14:paraId="1314961E">
            <w:pPr>
              <w:pStyle w:val="106"/>
              <w:jc w:val="center"/>
              <w:rPr>
                <w:rFonts w:hAnsi="宋体" w:cs="Times New Roman"/>
                <w:color w:val="auto"/>
                <w:sz w:val="21"/>
                <w:szCs w:val="21"/>
              </w:rPr>
            </w:pPr>
            <w:r>
              <w:rPr>
                <w:rFonts w:cs="Times New Roman"/>
                <w:b/>
                <w:bCs/>
                <w:color w:val="auto"/>
                <w:sz w:val="21"/>
                <w:szCs w:val="21"/>
              </w:rPr>
              <w:t>第十一部分 毒理学信息</w:t>
            </w:r>
          </w:p>
        </w:tc>
      </w:tr>
      <w:tr w14:paraId="7494D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73AE2516">
            <w:pPr>
              <w:pStyle w:val="106"/>
              <w:jc w:val="center"/>
              <w:rPr>
                <w:rFonts w:hint="eastAsia" w:ascii="..ì." w:hAnsi="..ì." w:cs="Times New Roman"/>
                <w:color w:val="auto"/>
                <w:sz w:val="21"/>
                <w:szCs w:val="21"/>
              </w:rPr>
            </w:pPr>
            <w:r>
              <w:rPr>
                <w:rFonts w:cs="Times New Roman"/>
                <w:color w:val="auto"/>
                <w:sz w:val="21"/>
                <w:szCs w:val="21"/>
              </w:rPr>
              <w:t>急性毒性</w:t>
            </w:r>
          </w:p>
        </w:tc>
        <w:tc>
          <w:tcPr>
            <w:tcW w:w="6899" w:type="dxa"/>
            <w:tcBorders>
              <w:top w:val="single" w:color="auto" w:sz="4" w:space="0"/>
              <w:left w:val="nil"/>
              <w:bottom w:val="single" w:color="auto" w:sz="4" w:space="0"/>
              <w:right w:val="single" w:color="auto" w:sz="4" w:space="0"/>
            </w:tcBorders>
            <w:vAlign w:val="center"/>
          </w:tcPr>
          <w:p w14:paraId="40BB6AE2">
            <w:pPr>
              <w:widowControl/>
              <w:spacing w:line="240" w:lineRule="auto"/>
              <w:jc w:val="left"/>
              <w:rPr>
                <w:rFonts w:ascii="宋体" w:hAnsi="宋体" w:cs="Calibri"/>
                <w:color w:val="auto"/>
                <w:kern w:val="0"/>
                <w:sz w:val="21"/>
                <w:szCs w:val="21"/>
              </w:rPr>
            </w:pPr>
            <w:r>
              <w:rPr>
                <w:rFonts w:hint="eastAsia" w:ascii="宋体" w:hAnsi="宋体"/>
                <w:color w:val="auto"/>
                <w:kern w:val="0"/>
                <w:sz w:val="21"/>
                <w:szCs w:val="21"/>
              </w:rPr>
              <w:t>LD</w:t>
            </w:r>
            <w:r>
              <w:rPr>
                <w:rFonts w:hint="eastAsia" w:ascii="宋体" w:hAnsi="宋体"/>
                <w:color w:val="auto"/>
                <w:kern w:val="0"/>
                <w:sz w:val="21"/>
                <w:szCs w:val="21"/>
                <w:vertAlign w:val="subscript"/>
              </w:rPr>
              <w:t>50</w:t>
            </w:r>
            <w:r>
              <w:rPr>
                <w:rFonts w:hint="eastAsia" w:ascii="宋体" w:hAnsi="宋体"/>
                <w:color w:val="auto"/>
                <w:kern w:val="0"/>
                <w:sz w:val="21"/>
                <w:szCs w:val="21"/>
              </w:rPr>
              <w:t xml:space="preserve">  2140mg/kg(大鼠经口)</w:t>
            </w:r>
          </w:p>
          <w:p w14:paraId="21BDCADE">
            <w:pPr>
              <w:widowControl/>
              <w:spacing w:line="240" w:lineRule="auto"/>
              <w:jc w:val="left"/>
              <w:rPr>
                <w:rFonts w:hAnsi="宋体" w:cs="Times New Roman"/>
                <w:color w:val="auto"/>
                <w:sz w:val="21"/>
                <w:szCs w:val="21"/>
              </w:rPr>
            </w:pPr>
            <w:r>
              <w:rPr>
                <w:rFonts w:hint="eastAsia" w:ascii="宋体" w:hAnsi="宋体"/>
                <w:color w:val="auto"/>
                <w:kern w:val="0"/>
                <w:sz w:val="21"/>
                <w:szCs w:val="21"/>
              </w:rPr>
              <w:t>LC</w:t>
            </w:r>
            <w:r>
              <w:rPr>
                <w:rFonts w:hint="eastAsia" w:ascii="宋体" w:hAnsi="宋体"/>
                <w:color w:val="auto"/>
                <w:kern w:val="0"/>
                <w:sz w:val="21"/>
                <w:szCs w:val="21"/>
                <w:vertAlign w:val="subscript"/>
              </w:rPr>
              <w:t>50</w:t>
            </w:r>
            <w:r>
              <w:rPr>
                <w:rFonts w:hint="eastAsia" w:ascii="宋体" w:hAnsi="宋体"/>
                <w:color w:val="auto"/>
                <w:kern w:val="0"/>
                <w:sz w:val="21"/>
                <w:szCs w:val="21"/>
              </w:rPr>
              <w:t xml:space="preserve">  510mg/m</w:t>
            </w:r>
            <w:r>
              <w:rPr>
                <w:rFonts w:hint="eastAsia" w:ascii="宋体" w:hAnsi="宋体"/>
                <w:color w:val="auto"/>
                <w:kern w:val="0"/>
                <w:sz w:val="21"/>
                <w:szCs w:val="21"/>
                <w:vertAlign w:val="superscript"/>
              </w:rPr>
              <w:t>3</w:t>
            </w:r>
            <w:r>
              <w:rPr>
                <w:rFonts w:hint="eastAsia" w:ascii="宋体" w:hAnsi="宋体"/>
                <w:color w:val="auto"/>
                <w:kern w:val="0"/>
                <w:sz w:val="21"/>
                <w:szCs w:val="21"/>
              </w:rPr>
              <w:t>(大鼠吸入,2h);320mg/m</w:t>
            </w:r>
            <w:r>
              <w:rPr>
                <w:rFonts w:hint="eastAsia" w:ascii="宋体" w:hAnsi="宋体"/>
                <w:color w:val="auto"/>
                <w:kern w:val="0"/>
                <w:sz w:val="21"/>
                <w:szCs w:val="21"/>
                <w:vertAlign w:val="superscript"/>
              </w:rPr>
              <w:t>3</w:t>
            </w:r>
            <w:r>
              <w:rPr>
                <w:rFonts w:hint="eastAsia" w:ascii="宋体" w:hAnsi="宋体"/>
                <w:color w:val="auto"/>
                <w:kern w:val="0"/>
                <w:sz w:val="21"/>
                <w:szCs w:val="21"/>
              </w:rPr>
              <w:t>(小鼠吸入,2h)</w:t>
            </w:r>
          </w:p>
        </w:tc>
      </w:tr>
      <w:tr w14:paraId="1A405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54882F82">
            <w:pPr>
              <w:pStyle w:val="106"/>
              <w:jc w:val="center"/>
              <w:rPr>
                <w:rFonts w:ascii="..ì." w:hAnsi="宋体" w:cs="Times New Roman"/>
                <w:color w:val="auto"/>
                <w:sz w:val="21"/>
                <w:szCs w:val="21"/>
              </w:rPr>
            </w:pPr>
            <w:r>
              <w:rPr>
                <w:rFonts w:cs="Times New Roman"/>
                <w:color w:val="auto"/>
                <w:sz w:val="21"/>
                <w:szCs w:val="21"/>
              </w:rPr>
              <w:t>皮肤刺激或腐蚀</w:t>
            </w:r>
          </w:p>
        </w:tc>
        <w:tc>
          <w:tcPr>
            <w:tcW w:w="6899" w:type="dxa"/>
            <w:tcBorders>
              <w:top w:val="single" w:color="auto" w:sz="4" w:space="0"/>
              <w:left w:val="nil"/>
              <w:bottom w:val="single" w:color="auto" w:sz="4" w:space="0"/>
              <w:right w:val="single" w:color="auto" w:sz="4" w:space="0"/>
            </w:tcBorders>
            <w:vAlign w:val="center"/>
          </w:tcPr>
          <w:p w14:paraId="7F14C7A4">
            <w:pPr>
              <w:widowControl/>
              <w:spacing w:line="240" w:lineRule="auto"/>
              <w:jc w:val="left"/>
              <w:rPr>
                <w:rFonts w:ascii="宋体" w:hAnsi="宋体" w:cs="Calibri"/>
                <w:color w:val="auto"/>
                <w:kern w:val="0"/>
                <w:sz w:val="21"/>
                <w:szCs w:val="21"/>
              </w:rPr>
            </w:pPr>
            <w:r>
              <w:rPr>
                <w:rFonts w:hint="eastAsia" w:ascii="宋体" w:hAnsi="宋体"/>
                <w:color w:val="auto"/>
                <w:sz w:val="21"/>
                <w:szCs w:val="21"/>
              </w:rPr>
              <w:t>无资料</w:t>
            </w:r>
          </w:p>
        </w:tc>
      </w:tr>
      <w:tr w14:paraId="1B276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29FD687B">
            <w:pPr>
              <w:pStyle w:val="106"/>
              <w:jc w:val="center"/>
              <w:rPr>
                <w:rFonts w:hAnsi="宋体" w:cs="Times New Roman"/>
                <w:color w:val="auto"/>
                <w:sz w:val="21"/>
                <w:szCs w:val="21"/>
              </w:rPr>
            </w:pPr>
            <w:r>
              <w:rPr>
                <w:rFonts w:cs="Times New Roman"/>
                <w:color w:val="auto"/>
                <w:sz w:val="21"/>
                <w:szCs w:val="21"/>
              </w:rPr>
              <w:t>眼睛刺激或腐蚀</w:t>
            </w:r>
          </w:p>
        </w:tc>
        <w:tc>
          <w:tcPr>
            <w:tcW w:w="6899" w:type="dxa"/>
            <w:tcBorders>
              <w:top w:val="single" w:color="auto" w:sz="4" w:space="0"/>
              <w:left w:val="nil"/>
              <w:bottom w:val="single" w:color="auto" w:sz="4" w:space="0"/>
              <w:right w:val="single" w:color="auto" w:sz="4" w:space="0"/>
            </w:tcBorders>
            <w:vAlign w:val="center"/>
          </w:tcPr>
          <w:p w14:paraId="7C727738">
            <w:pPr>
              <w:widowControl/>
              <w:spacing w:line="240" w:lineRule="auto"/>
              <w:jc w:val="left"/>
              <w:rPr>
                <w:rFonts w:ascii="宋体" w:hAnsi="宋体" w:cs="Calibri"/>
                <w:color w:val="auto"/>
                <w:sz w:val="21"/>
                <w:szCs w:val="21"/>
              </w:rPr>
            </w:pPr>
            <w:r>
              <w:rPr>
                <w:rFonts w:hint="eastAsia" w:ascii="宋体" w:hAnsi="宋体"/>
                <w:color w:val="auto"/>
                <w:sz w:val="21"/>
                <w:szCs w:val="21"/>
              </w:rPr>
              <w:t>家兔经眼</w:t>
            </w:r>
            <w:r>
              <w:rPr>
                <w:rFonts w:hAnsi="宋体" w:cs="宋体"/>
                <w:color w:val="auto"/>
                <w:sz w:val="21"/>
                <w:szCs w:val="21"/>
              </w:rPr>
              <w:t>:1380</w:t>
            </w:r>
            <w:r>
              <w:rPr>
                <w:rFonts w:hint="eastAsia" w:ascii="宋体" w:hAnsi="宋体"/>
                <w:color w:val="auto"/>
                <w:sz w:val="21"/>
                <w:szCs w:val="21"/>
              </w:rPr>
              <w:t>μ</w:t>
            </w:r>
            <w:r>
              <w:rPr>
                <w:color w:val="auto"/>
                <w:sz w:val="21"/>
                <w:szCs w:val="21"/>
              </w:rPr>
              <w:t>g,</w:t>
            </w:r>
            <w:r>
              <w:rPr>
                <w:rFonts w:hint="eastAsia" w:ascii="宋体" w:hAnsi="宋体"/>
                <w:color w:val="auto"/>
                <w:sz w:val="21"/>
                <w:szCs w:val="21"/>
              </w:rPr>
              <w:t>重度刺激</w:t>
            </w:r>
          </w:p>
        </w:tc>
      </w:tr>
      <w:tr w14:paraId="65651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03E7BFC6">
            <w:pPr>
              <w:pStyle w:val="106"/>
              <w:jc w:val="center"/>
              <w:rPr>
                <w:rFonts w:ascii="..ì." w:hAnsi="宋体" w:cs="Times New Roman"/>
                <w:color w:val="auto"/>
                <w:sz w:val="21"/>
                <w:szCs w:val="21"/>
              </w:rPr>
            </w:pPr>
            <w:r>
              <w:rPr>
                <w:rFonts w:cs="Times New Roman"/>
                <w:color w:val="auto"/>
                <w:sz w:val="21"/>
                <w:szCs w:val="21"/>
              </w:rPr>
              <w:t>呼吸或皮肤过敏</w:t>
            </w:r>
          </w:p>
        </w:tc>
        <w:tc>
          <w:tcPr>
            <w:tcW w:w="6899" w:type="dxa"/>
            <w:tcBorders>
              <w:top w:val="single" w:color="auto" w:sz="4" w:space="0"/>
              <w:left w:val="nil"/>
              <w:bottom w:val="single" w:color="auto" w:sz="4" w:space="0"/>
              <w:right w:val="single" w:color="auto" w:sz="4" w:space="0"/>
            </w:tcBorders>
            <w:vAlign w:val="center"/>
          </w:tcPr>
          <w:p w14:paraId="588972A9">
            <w:pPr>
              <w:autoSpaceDE w:val="0"/>
              <w:autoSpaceDN w:val="0"/>
              <w:adjustRightInd w:val="0"/>
              <w:spacing w:line="240" w:lineRule="auto"/>
              <w:jc w:val="left"/>
              <w:rPr>
                <w:rFonts w:ascii="宋体" w:hAnsi="宋体" w:cs="Calibri"/>
                <w:color w:val="auto"/>
                <w:sz w:val="21"/>
                <w:szCs w:val="21"/>
              </w:rPr>
            </w:pPr>
            <w:r>
              <w:rPr>
                <w:rFonts w:hint="eastAsia" w:ascii="宋体" w:hAnsi="宋体"/>
                <w:color w:val="auto"/>
                <w:sz w:val="21"/>
                <w:szCs w:val="21"/>
              </w:rPr>
              <w:t>无资料</w:t>
            </w:r>
          </w:p>
        </w:tc>
      </w:tr>
      <w:tr w14:paraId="519B7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09E355BC">
            <w:pPr>
              <w:pStyle w:val="106"/>
              <w:jc w:val="center"/>
              <w:rPr>
                <w:rFonts w:ascii="..ì." w:hAnsi="宋体" w:cs="Times New Roman"/>
                <w:color w:val="auto"/>
                <w:sz w:val="21"/>
                <w:szCs w:val="21"/>
              </w:rPr>
            </w:pPr>
            <w:r>
              <w:rPr>
                <w:rFonts w:cs="Times New Roman"/>
                <w:color w:val="auto"/>
                <w:sz w:val="21"/>
                <w:szCs w:val="21"/>
              </w:rPr>
              <w:t>生殖细胞突变性</w:t>
            </w:r>
          </w:p>
        </w:tc>
        <w:tc>
          <w:tcPr>
            <w:tcW w:w="6899" w:type="dxa"/>
            <w:tcBorders>
              <w:top w:val="single" w:color="auto" w:sz="4" w:space="0"/>
              <w:left w:val="nil"/>
              <w:bottom w:val="single" w:color="auto" w:sz="4" w:space="0"/>
              <w:right w:val="single" w:color="auto" w:sz="4" w:space="0"/>
            </w:tcBorders>
          </w:tcPr>
          <w:p w14:paraId="2A3D91B1">
            <w:pPr>
              <w:widowControl/>
              <w:spacing w:line="240" w:lineRule="auto"/>
              <w:jc w:val="left"/>
              <w:rPr>
                <w:rFonts w:ascii="宋体" w:hAnsi="宋体" w:cs="Calibri"/>
                <w:color w:val="auto"/>
                <w:sz w:val="21"/>
                <w:szCs w:val="21"/>
              </w:rPr>
            </w:pPr>
            <w:r>
              <w:rPr>
                <w:rFonts w:hint="eastAsia" w:ascii="宋体" w:hAnsi="宋体"/>
                <w:color w:val="auto"/>
                <w:sz w:val="21"/>
                <w:szCs w:val="21"/>
              </w:rPr>
              <w:t>无资料</w:t>
            </w:r>
          </w:p>
        </w:tc>
      </w:tr>
      <w:tr w14:paraId="00CBE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731249EA">
            <w:pPr>
              <w:pStyle w:val="106"/>
              <w:jc w:val="center"/>
              <w:rPr>
                <w:rFonts w:ascii="..ì." w:hAnsi="宋体" w:cs="Times New Roman"/>
                <w:color w:val="auto"/>
                <w:sz w:val="21"/>
                <w:szCs w:val="21"/>
              </w:rPr>
            </w:pPr>
            <w:r>
              <w:rPr>
                <w:rFonts w:cs="Times New Roman"/>
                <w:color w:val="auto"/>
                <w:sz w:val="21"/>
                <w:szCs w:val="21"/>
              </w:rPr>
              <w:t>致癌性</w:t>
            </w:r>
          </w:p>
        </w:tc>
        <w:tc>
          <w:tcPr>
            <w:tcW w:w="6899" w:type="dxa"/>
            <w:tcBorders>
              <w:top w:val="single" w:color="auto" w:sz="4" w:space="0"/>
              <w:left w:val="nil"/>
              <w:bottom w:val="single" w:color="auto" w:sz="4" w:space="0"/>
              <w:right w:val="single" w:color="auto" w:sz="4" w:space="0"/>
            </w:tcBorders>
          </w:tcPr>
          <w:p w14:paraId="3ECF940E">
            <w:pPr>
              <w:widowControl/>
              <w:spacing w:line="240" w:lineRule="auto"/>
              <w:jc w:val="left"/>
              <w:rPr>
                <w:rFonts w:ascii="宋体" w:hAnsi="宋体" w:cs="Calibri"/>
                <w:color w:val="auto"/>
                <w:sz w:val="21"/>
                <w:szCs w:val="21"/>
              </w:rPr>
            </w:pPr>
            <w:r>
              <w:rPr>
                <w:rFonts w:hint="eastAsia" w:ascii="宋体" w:hAnsi="宋体"/>
                <w:color w:val="auto"/>
                <w:sz w:val="21"/>
                <w:szCs w:val="21"/>
              </w:rPr>
              <w:t>无资料</w:t>
            </w:r>
          </w:p>
        </w:tc>
      </w:tr>
      <w:tr w14:paraId="183F4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4283EF82">
            <w:pPr>
              <w:pStyle w:val="106"/>
              <w:jc w:val="center"/>
              <w:rPr>
                <w:rFonts w:ascii="..ì." w:hAnsi="宋体" w:cs="Times New Roman"/>
                <w:color w:val="auto"/>
                <w:sz w:val="21"/>
                <w:szCs w:val="21"/>
              </w:rPr>
            </w:pPr>
            <w:r>
              <w:rPr>
                <w:rFonts w:cs="Times New Roman"/>
                <w:color w:val="auto"/>
                <w:sz w:val="21"/>
                <w:szCs w:val="21"/>
              </w:rPr>
              <w:t>生殖毒性</w:t>
            </w:r>
          </w:p>
        </w:tc>
        <w:tc>
          <w:tcPr>
            <w:tcW w:w="6899" w:type="dxa"/>
            <w:tcBorders>
              <w:top w:val="single" w:color="auto" w:sz="4" w:space="0"/>
              <w:left w:val="nil"/>
              <w:bottom w:val="single" w:color="auto" w:sz="4" w:space="0"/>
              <w:right w:val="single" w:color="auto" w:sz="4" w:space="0"/>
            </w:tcBorders>
            <w:vAlign w:val="center"/>
          </w:tcPr>
          <w:p w14:paraId="0C828B73">
            <w:pPr>
              <w:widowControl/>
              <w:spacing w:line="240" w:lineRule="auto"/>
              <w:jc w:val="left"/>
              <w:rPr>
                <w:rFonts w:ascii="宋体" w:hAnsi="宋体" w:cs="Times New Roman"/>
                <w:color w:val="auto"/>
                <w:sz w:val="21"/>
                <w:szCs w:val="21"/>
              </w:rPr>
            </w:pPr>
            <w:r>
              <w:rPr>
                <w:rFonts w:hint="eastAsia" w:ascii="宋体" w:hAnsi="宋体"/>
                <w:color w:val="auto"/>
                <w:kern w:val="0"/>
                <w:sz w:val="21"/>
                <w:szCs w:val="21"/>
              </w:rPr>
              <w:t>无资料</w:t>
            </w:r>
          </w:p>
        </w:tc>
      </w:tr>
      <w:tr w14:paraId="514D6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541B0EA1">
            <w:pPr>
              <w:pStyle w:val="106"/>
              <w:jc w:val="center"/>
              <w:rPr>
                <w:rFonts w:hint="eastAsia" w:ascii="..ì." w:hAnsi="宋体" w:eastAsia="宋体" w:cs="Times New Roman"/>
                <w:color w:val="auto"/>
                <w:sz w:val="21"/>
                <w:szCs w:val="21"/>
                <w:lang w:val="en-US" w:eastAsia="zh-CN"/>
              </w:rPr>
            </w:pPr>
            <w:r>
              <w:rPr>
                <w:rFonts w:cs="Times New Roman"/>
                <w:color w:val="auto"/>
                <w:sz w:val="21"/>
                <w:szCs w:val="21"/>
              </w:rPr>
              <w:t>特异性靶器官系统毒性-一次接触</w:t>
            </w:r>
            <w:r>
              <w:rPr>
                <w:rFonts w:hint="eastAsia" w:cs="Times New Roman"/>
                <w:color w:val="auto"/>
                <w:sz w:val="21"/>
                <w:szCs w:val="21"/>
                <w:lang w:val="en-US" w:eastAsia="zh-CN"/>
              </w:rPr>
              <w:t xml:space="preserve"> </w:t>
            </w:r>
          </w:p>
        </w:tc>
        <w:tc>
          <w:tcPr>
            <w:tcW w:w="6899" w:type="dxa"/>
            <w:tcBorders>
              <w:top w:val="single" w:color="auto" w:sz="4" w:space="0"/>
              <w:left w:val="nil"/>
              <w:bottom w:val="single" w:color="auto" w:sz="4" w:space="0"/>
              <w:right w:val="single" w:color="auto" w:sz="4" w:space="0"/>
            </w:tcBorders>
            <w:vAlign w:val="center"/>
          </w:tcPr>
          <w:p w14:paraId="06C3F0B8">
            <w:pPr>
              <w:autoSpaceDE w:val="0"/>
              <w:autoSpaceDN w:val="0"/>
              <w:adjustRightInd w:val="0"/>
              <w:spacing w:line="240" w:lineRule="auto"/>
              <w:jc w:val="left"/>
              <w:rPr>
                <w:rFonts w:ascii="宋体" w:hAnsi="宋体" w:cs="Calibri"/>
                <w:color w:val="auto"/>
                <w:sz w:val="21"/>
                <w:szCs w:val="21"/>
              </w:rPr>
            </w:pPr>
            <w:r>
              <w:rPr>
                <w:rFonts w:hint="eastAsia" w:ascii="宋体" w:hAnsi="宋体"/>
                <w:color w:val="auto"/>
                <w:sz w:val="21"/>
                <w:szCs w:val="21"/>
              </w:rPr>
              <w:t>无资料</w:t>
            </w:r>
          </w:p>
        </w:tc>
      </w:tr>
      <w:tr w14:paraId="33ABD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1D5CE793">
            <w:pPr>
              <w:pStyle w:val="106"/>
              <w:jc w:val="center"/>
              <w:rPr>
                <w:rFonts w:ascii="..ì." w:hAnsi="宋体" w:cs="Times New Roman"/>
                <w:color w:val="auto"/>
                <w:sz w:val="21"/>
                <w:szCs w:val="21"/>
              </w:rPr>
            </w:pPr>
            <w:r>
              <w:rPr>
                <w:rFonts w:cs="Times New Roman"/>
                <w:color w:val="auto"/>
                <w:sz w:val="21"/>
                <w:szCs w:val="21"/>
              </w:rPr>
              <w:t>特异性靶器官系统毒性-反复接触</w:t>
            </w:r>
          </w:p>
        </w:tc>
        <w:tc>
          <w:tcPr>
            <w:tcW w:w="6899" w:type="dxa"/>
            <w:tcBorders>
              <w:top w:val="single" w:color="auto" w:sz="4" w:space="0"/>
              <w:left w:val="nil"/>
              <w:bottom w:val="single" w:color="auto" w:sz="4" w:space="0"/>
              <w:right w:val="single" w:color="auto" w:sz="4" w:space="0"/>
            </w:tcBorders>
            <w:vAlign w:val="center"/>
          </w:tcPr>
          <w:p w14:paraId="7E30BDF2">
            <w:pPr>
              <w:widowControl/>
              <w:spacing w:line="240" w:lineRule="auto"/>
              <w:jc w:val="left"/>
              <w:rPr>
                <w:rFonts w:ascii="宋体" w:hAnsi="宋体" w:cs="Calibri"/>
                <w:color w:val="auto"/>
                <w:sz w:val="21"/>
                <w:szCs w:val="21"/>
              </w:rPr>
            </w:pPr>
            <w:r>
              <w:rPr>
                <w:rFonts w:hint="eastAsia" w:ascii="宋体" w:hAnsi="宋体"/>
                <w:color w:val="auto"/>
                <w:sz w:val="21"/>
                <w:szCs w:val="21"/>
              </w:rPr>
              <w:t>牛长期每天摄入含硫酸的饮水</w:t>
            </w:r>
            <w:r>
              <w:rPr>
                <w:rFonts w:hAnsi="宋体" w:cs="宋体"/>
                <w:color w:val="auto"/>
                <w:sz w:val="21"/>
                <w:szCs w:val="21"/>
              </w:rPr>
              <w:t>(</w:t>
            </w:r>
            <w:r>
              <w:rPr>
                <w:rFonts w:hint="eastAsia" w:ascii="宋体" w:hAnsi="宋体"/>
                <w:color w:val="auto"/>
                <w:sz w:val="21"/>
                <w:szCs w:val="21"/>
              </w:rPr>
              <w:t>剂量</w:t>
            </w:r>
            <w:r>
              <w:rPr>
                <w:color w:val="auto"/>
                <w:sz w:val="21"/>
                <w:szCs w:val="21"/>
              </w:rPr>
              <w:t>110</w:t>
            </w:r>
            <w:r>
              <w:rPr>
                <w:rFonts w:hint="eastAsia" w:ascii="宋体" w:hAnsi="宋体"/>
                <w:color w:val="auto"/>
                <w:sz w:val="21"/>
                <w:szCs w:val="21"/>
              </w:rPr>
              <w:t>～</w:t>
            </w:r>
            <w:r>
              <w:rPr>
                <w:rFonts w:hAnsi="宋体" w:cs="宋体"/>
                <w:color w:val="auto"/>
                <w:sz w:val="21"/>
                <w:szCs w:val="21"/>
              </w:rPr>
              <w:t>190mg/kg),</w:t>
            </w:r>
            <w:r>
              <w:rPr>
                <w:rFonts w:hint="eastAsia" w:ascii="宋体" w:hAnsi="宋体"/>
                <w:color w:val="auto"/>
                <w:sz w:val="21"/>
                <w:szCs w:val="21"/>
              </w:rPr>
              <w:t>出现疲乏、外观极度衰弱</w:t>
            </w:r>
            <w:r>
              <w:rPr>
                <w:color w:val="auto"/>
                <w:sz w:val="21"/>
                <w:szCs w:val="21"/>
              </w:rPr>
              <w:t>,</w:t>
            </w:r>
            <w:r>
              <w:rPr>
                <w:rFonts w:hint="eastAsia" w:ascii="宋体" w:hAnsi="宋体"/>
                <w:color w:val="auto"/>
                <w:sz w:val="21"/>
                <w:szCs w:val="21"/>
              </w:rPr>
              <w:t>以致转入死亡。狗长期摄入含硫酸</w:t>
            </w:r>
            <w:r>
              <w:rPr>
                <w:color w:val="auto"/>
                <w:sz w:val="21"/>
                <w:szCs w:val="21"/>
              </w:rPr>
              <w:t>(115mg/kg)</w:t>
            </w:r>
            <w:r>
              <w:rPr>
                <w:rFonts w:hint="eastAsia" w:ascii="宋体" w:hAnsi="宋体"/>
                <w:color w:val="auto"/>
                <w:sz w:val="21"/>
                <w:szCs w:val="21"/>
              </w:rPr>
              <w:t>饮水</w:t>
            </w:r>
            <w:r>
              <w:rPr>
                <w:color w:val="auto"/>
                <w:sz w:val="21"/>
                <w:szCs w:val="21"/>
              </w:rPr>
              <w:t>,</w:t>
            </w:r>
            <w:r>
              <w:rPr>
                <w:rFonts w:hint="eastAsia" w:ascii="宋体" w:hAnsi="宋体"/>
                <w:color w:val="auto"/>
                <w:sz w:val="21"/>
                <w:szCs w:val="21"/>
              </w:rPr>
              <w:t>出现腹泻</w:t>
            </w:r>
          </w:p>
        </w:tc>
      </w:tr>
      <w:tr w14:paraId="220F9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57731FAF">
            <w:pPr>
              <w:pStyle w:val="106"/>
              <w:jc w:val="center"/>
              <w:rPr>
                <w:rFonts w:ascii="..ì." w:hAnsi="宋体" w:cs="Times New Roman"/>
                <w:color w:val="auto"/>
                <w:sz w:val="21"/>
                <w:szCs w:val="21"/>
              </w:rPr>
            </w:pPr>
            <w:r>
              <w:rPr>
                <w:rFonts w:cs="Times New Roman"/>
                <w:color w:val="auto"/>
                <w:sz w:val="21"/>
                <w:szCs w:val="21"/>
              </w:rPr>
              <w:t>吸入危害</w:t>
            </w:r>
          </w:p>
        </w:tc>
        <w:tc>
          <w:tcPr>
            <w:tcW w:w="6899" w:type="dxa"/>
            <w:tcBorders>
              <w:top w:val="single" w:color="auto" w:sz="4" w:space="0"/>
              <w:left w:val="nil"/>
              <w:bottom w:val="single" w:color="auto" w:sz="4" w:space="0"/>
              <w:right w:val="single" w:color="auto" w:sz="4" w:space="0"/>
            </w:tcBorders>
            <w:vAlign w:val="center"/>
          </w:tcPr>
          <w:p w14:paraId="5D501DC4">
            <w:pPr>
              <w:autoSpaceDE w:val="0"/>
              <w:autoSpaceDN w:val="0"/>
              <w:adjustRightInd w:val="0"/>
              <w:spacing w:line="240" w:lineRule="auto"/>
              <w:jc w:val="left"/>
              <w:rPr>
                <w:rFonts w:ascii="宋体" w:hAnsi="宋体" w:cs="Calibri"/>
                <w:color w:val="auto"/>
                <w:sz w:val="21"/>
                <w:szCs w:val="21"/>
              </w:rPr>
            </w:pPr>
            <w:r>
              <w:rPr>
                <w:rFonts w:hint="eastAsia" w:ascii="宋体" w:hAnsi="宋体"/>
                <w:color w:val="auto"/>
                <w:sz w:val="21"/>
                <w:szCs w:val="21"/>
              </w:rPr>
              <w:t>无资料</w:t>
            </w:r>
          </w:p>
        </w:tc>
      </w:tr>
      <w:tr w14:paraId="53A5D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435" w:type="dxa"/>
            <w:gridSpan w:val="2"/>
            <w:tcBorders>
              <w:top w:val="single" w:color="auto" w:sz="4" w:space="0"/>
              <w:left w:val="single" w:color="auto" w:sz="4" w:space="0"/>
              <w:bottom w:val="single" w:color="auto" w:sz="4" w:space="0"/>
              <w:right w:val="single" w:color="auto" w:sz="4" w:space="0"/>
            </w:tcBorders>
            <w:vAlign w:val="center"/>
          </w:tcPr>
          <w:p w14:paraId="26887FCD">
            <w:pPr>
              <w:pStyle w:val="106"/>
              <w:jc w:val="center"/>
              <w:rPr>
                <w:rFonts w:hAnsi="宋体" w:cs="Times New Roman"/>
                <w:color w:val="auto"/>
                <w:sz w:val="21"/>
                <w:szCs w:val="21"/>
              </w:rPr>
            </w:pPr>
            <w:r>
              <w:rPr>
                <w:rFonts w:cs="Times New Roman"/>
                <w:b/>
                <w:bCs/>
                <w:color w:val="auto"/>
                <w:sz w:val="21"/>
                <w:szCs w:val="21"/>
              </w:rPr>
              <w:t>第十二部分 生态学信息</w:t>
            </w:r>
          </w:p>
        </w:tc>
      </w:tr>
      <w:tr w14:paraId="2C71B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57C3FD9B">
            <w:pPr>
              <w:pStyle w:val="106"/>
              <w:jc w:val="center"/>
              <w:rPr>
                <w:rFonts w:hint="eastAsia" w:ascii="..ì." w:hAnsi="..ì." w:cs="Times New Roman"/>
                <w:color w:val="auto"/>
                <w:sz w:val="21"/>
                <w:szCs w:val="21"/>
              </w:rPr>
            </w:pPr>
            <w:r>
              <w:rPr>
                <w:rFonts w:cs="Times New Roman"/>
                <w:color w:val="auto"/>
                <w:sz w:val="21"/>
                <w:szCs w:val="21"/>
              </w:rPr>
              <w:t>生态毒性</w:t>
            </w:r>
          </w:p>
        </w:tc>
        <w:tc>
          <w:tcPr>
            <w:tcW w:w="6899" w:type="dxa"/>
            <w:tcBorders>
              <w:top w:val="single" w:color="auto" w:sz="4" w:space="0"/>
              <w:left w:val="nil"/>
              <w:bottom w:val="single" w:color="auto" w:sz="4" w:space="0"/>
              <w:right w:val="single" w:color="auto" w:sz="4" w:space="0"/>
            </w:tcBorders>
            <w:vAlign w:val="center"/>
          </w:tcPr>
          <w:p w14:paraId="6230F7B7">
            <w:pPr>
              <w:widowControl/>
              <w:spacing w:line="240" w:lineRule="auto"/>
              <w:jc w:val="left"/>
              <w:rPr>
                <w:rFonts w:ascii="宋体" w:hAnsi="宋体" w:cs="Calibri"/>
                <w:color w:val="auto"/>
                <w:sz w:val="21"/>
                <w:szCs w:val="21"/>
              </w:rPr>
            </w:pPr>
            <w:r>
              <w:rPr>
                <w:rFonts w:hAnsi="宋体" w:cs="宋体"/>
                <w:color w:val="auto"/>
                <w:sz w:val="21"/>
                <w:szCs w:val="21"/>
              </w:rPr>
              <w:t>TLm:42mg/L(48h)(</w:t>
            </w:r>
            <w:r>
              <w:rPr>
                <w:rFonts w:hint="eastAsia" w:ascii="宋体" w:hAnsi="宋体"/>
                <w:color w:val="auto"/>
                <w:sz w:val="21"/>
                <w:szCs w:val="21"/>
              </w:rPr>
              <w:t>食蚊鱼</w:t>
            </w:r>
            <w:r>
              <w:rPr>
                <w:color w:val="auto"/>
                <w:sz w:val="21"/>
                <w:szCs w:val="21"/>
              </w:rPr>
              <w:t>);49mg/L(48h)(</w:t>
            </w:r>
            <w:r>
              <w:rPr>
                <w:rFonts w:hint="eastAsia" w:ascii="宋体" w:hAnsi="宋体"/>
                <w:color w:val="auto"/>
                <w:sz w:val="21"/>
                <w:szCs w:val="21"/>
              </w:rPr>
              <w:t>蓝鳃太阳鱼</w:t>
            </w:r>
            <w:r>
              <w:rPr>
                <w:color w:val="auto"/>
                <w:sz w:val="21"/>
                <w:szCs w:val="21"/>
              </w:rPr>
              <w:t>)</w:t>
            </w:r>
          </w:p>
        </w:tc>
      </w:tr>
      <w:tr w14:paraId="0B576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7D6E1839">
            <w:pPr>
              <w:pStyle w:val="106"/>
              <w:jc w:val="center"/>
              <w:rPr>
                <w:rFonts w:ascii="..ì." w:hAnsi="宋体" w:cs="Times New Roman"/>
                <w:color w:val="auto"/>
                <w:sz w:val="21"/>
                <w:szCs w:val="21"/>
              </w:rPr>
            </w:pPr>
            <w:r>
              <w:rPr>
                <w:rFonts w:cs="Times New Roman"/>
                <w:color w:val="auto"/>
                <w:sz w:val="21"/>
                <w:szCs w:val="21"/>
              </w:rPr>
              <w:t>持久性和降解性</w:t>
            </w:r>
          </w:p>
        </w:tc>
        <w:tc>
          <w:tcPr>
            <w:tcW w:w="6899" w:type="dxa"/>
            <w:tcBorders>
              <w:top w:val="single" w:color="auto" w:sz="4" w:space="0"/>
              <w:left w:val="nil"/>
              <w:bottom w:val="single" w:color="auto" w:sz="4" w:space="0"/>
              <w:right w:val="single" w:color="auto" w:sz="4" w:space="0"/>
            </w:tcBorders>
            <w:vAlign w:val="center"/>
          </w:tcPr>
          <w:p w14:paraId="4D45AF64">
            <w:pPr>
              <w:widowControl/>
              <w:spacing w:line="240" w:lineRule="auto"/>
              <w:jc w:val="left"/>
              <w:rPr>
                <w:rFonts w:ascii="宋体" w:hAnsi="宋体" w:cs="Calibri"/>
                <w:color w:val="auto"/>
                <w:kern w:val="0"/>
                <w:sz w:val="21"/>
                <w:szCs w:val="21"/>
              </w:rPr>
            </w:pPr>
            <w:r>
              <w:rPr>
                <w:rFonts w:hint="eastAsia" w:ascii="宋体" w:hAnsi="宋体"/>
                <w:color w:val="auto"/>
                <w:kern w:val="0"/>
                <w:sz w:val="21"/>
                <w:szCs w:val="21"/>
              </w:rPr>
              <w:t xml:space="preserve">生物降解性 </w:t>
            </w:r>
            <w:r>
              <w:rPr>
                <w:rFonts w:hint="eastAsia" w:ascii="宋体" w:hAnsi="宋体"/>
                <w:color w:val="auto"/>
                <w:sz w:val="21"/>
                <w:szCs w:val="21"/>
              </w:rPr>
              <w:t>无资料</w:t>
            </w:r>
          </w:p>
          <w:p w14:paraId="55BA606A">
            <w:pPr>
              <w:widowControl/>
              <w:spacing w:line="240" w:lineRule="auto"/>
              <w:jc w:val="left"/>
              <w:rPr>
                <w:rFonts w:ascii="宋体" w:hAnsi="宋体" w:cs="Times New Roman"/>
                <w:color w:val="auto"/>
                <w:kern w:val="0"/>
                <w:sz w:val="21"/>
                <w:szCs w:val="21"/>
              </w:rPr>
            </w:pPr>
            <w:r>
              <w:rPr>
                <w:rFonts w:hint="eastAsia" w:ascii="宋体" w:hAnsi="宋体"/>
                <w:color w:val="auto"/>
                <w:kern w:val="0"/>
                <w:sz w:val="21"/>
                <w:szCs w:val="21"/>
              </w:rPr>
              <w:t xml:space="preserve">非生物降解性 </w:t>
            </w:r>
            <w:r>
              <w:rPr>
                <w:rFonts w:hint="eastAsia" w:ascii="宋体" w:hAnsi="宋体"/>
                <w:color w:val="auto"/>
                <w:sz w:val="21"/>
                <w:szCs w:val="21"/>
              </w:rPr>
              <w:t>无资料</w:t>
            </w:r>
          </w:p>
        </w:tc>
      </w:tr>
      <w:tr w14:paraId="5A67D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1A80BBC9">
            <w:pPr>
              <w:pStyle w:val="106"/>
              <w:jc w:val="center"/>
              <w:rPr>
                <w:rFonts w:hAnsi="宋体" w:cs="Times New Roman"/>
                <w:color w:val="auto"/>
                <w:sz w:val="21"/>
                <w:szCs w:val="21"/>
              </w:rPr>
            </w:pPr>
            <w:r>
              <w:rPr>
                <w:rFonts w:cs="Times New Roman"/>
                <w:color w:val="auto"/>
                <w:sz w:val="21"/>
                <w:szCs w:val="21"/>
              </w:rPr>
              <w:t>潜在的生物累积性</w:t>
            </w:r>
          </w:p>
        </w:tc>
        <w:tc>
          <w:tcPr>
            <w:tcW w:w="6899" w:type="dxa"/>
            <w:tcBorders>
              <w:top w:val="single" w:color="auto" w:sz="4" w:space="0"/>
              <w:left w:val="nil"/>
              <w:bottom w:val="single" w:color="auto" w:sz="4" w:space="0"/>
              <w:right w:val="single" w:color="auto" w:sz="4" w:space="0"/>
            </w:tcBorders>
            <w:vAlign w:val="center"/>
          </w:tcPr>
          <w:p w14:paraId="149F9C61">
            <w:pPr>
              <w:widowControl/>
              <w:spacing w:line="240" w:lineRule="auto"/>
              <w:jc w:val="left"/>
              <w:rPr>
                <w:rFonts w:ascii="宋体" w:hAnsi="宋体" w:cs="Calibri"/>
                <w:color w:val="auto"/>
                <w:sz w:val="21"/>
                <w:szCs w:val="21"/>
              </w:rPr>
            </w:pPr>
            <w:r>
              <w:rPr>
                <w:rFonts w:hint="eastAsia" w:ascii="宋体" w:hAnsi="宋体"/>
                <w:color w:val="auto"/>
                <w:sz w:val="21"/>
                <w:szCs w:val="21"/>
              </w:rPr>
              <w:t>无资料</w:t>
            </w:r>
            <w:r>
              <w:rPr>
                <w:rFonts w:hint="eastAsia" w:ascii="宋体" w:hAnsi="宋体"/>
                <w:color w:val="auto"/>
                <w:kern w:val="0"/>
                <w:sz w:val="21"/>
                <w:szCs w:val="21"/>
              </w:rPr>
              <w:t xml:space="preserve"> </w:t>
            </w:r>
          </w:p>
        </w:tc>
      </w:tr>
      <w:tr w14:paraId="193F6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0595E707">
            <w:pPr>
              <w:pStyle w:val="106"/>
              <w:jc w:val="center"/>
              <w:rPr>
                <w:rFonts w:hAnsi="宋体" w:cs="Times New Roman"/>
                <w:color w:val="auto"/>
                <w:sz w:val="21"/>
                <w:szCs w:val="21"/>
              </w:rPr>
            </w:pPr>
            <w:r>
              <w:rPr>
                <w:rFonts w:cs="Times New Roman"/>
                <w:color w:val="auto"/>
                <w:sz w:val="21"/>
                <w:szCs w:val="21"/>
              </w:rPr>
              <w:t>土壤中的迁移性</w:t>
            </w:r>
          </w:p>
        </w:tc>
        <w:tc>
          <w:tcPr>
            <w:tcW w:w="6899" w:type="dxa"/>
            <w:tcBorders>
              <w:top w:val="single" w:color="auto" w:sz="4" w:space="0"/>
              <w:left w:val="nil"/>
              <w:bottom w:val="single" w:color="auto" w:sz="4" w:space="0"/>
              <w:right w:val="single" w:color="auto" w:sz="4" w:space="0"/>
            </w:tcBorders>
            <w:vAlign w:val="center"/>
          </w:tcPr>
          <w:p w14:paraId="7A059EB8">
            <w:pPr>
              <w:widowControl/>
              <w:spacing w:line="240" w:lineRule="auto"/>
              <w:jc w:val="left"/>
              <w:rPr>
                <w:rFonts w:ascii="宋体" w:hAnsi="宋体" w:cs="Calibri"/>
                <w:color w:val="auto"/>
                <w:sz w:val="21"/>
                <w:szCs w:val="21"/>
              </w:rPr>
            </w:pPr>
            <w:r>
              <w:rPr>
                <w:rFonts w:hint="eastAsia" w:ascii="宋体" w:hAnsi="宋体"/>
                <w:color w:val="auto"/>
                <w:sz w:val="21"/>
                <w:szCs w:val="21"/>
              </w:rPr>
              <w:t>无资料</w:t>
            </w:r>
            <w:r>
              <w:rPr>
                <w:rFonts w:hint="eastAsia" w:ascii="宋体" w:hAnsi="宋体"/>
                <w:color w:val="auto"/>
                <w:kern w:val="0"/>
                <w:sz w:val="21"/>
                <w:szCs w:val="21"/>
              </w:rPr>
              <w:t xml:space="preserve"> </w:t>
            </w:r>
          </w:p>
        </w:tc>
      </w:tr>
      <w:tr w14:paraId="4E91B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435" w:type="dxa"/>
            <w:gridSpan w:val="2"/>
            <w:tcBorders>
              <w:top w:val="single" w:color="auto" w:sz="4" w:space="0"/>
              <w:left w:val="single" w:color="auto" w:sz="4" w:space="0"/>
              <w:bottom w:val="single" w:color="auto" w:sz="4" w:space="0"/>
              <w:right w:val="single" w:color="auto" w:sz="4" w:space="0"/>
            </w:tcBorders>
            <w:vAlign w:val="center"/>
          </w:tcPr>
          <w:p w14:paraId="2CAEBC34">
            <w:pPr>
              <w:pStyle w:val="106"/>
              <w:jc w:val="center"/>
              <w:rPr>
                <w:rFonts w:hAnsi="宋体" w:cs="Times New Roman"/>
                <w:color w:val="auto"/>
                <w:sz w:val="21"/>
                <w:szCs w:val="21"/>
              </w:rPr>
            </w:pPr>
            <w:r>
              <w:rPr>
                <w:rFonts w:cs="Times New Roman"/>
                <w:b/>
                <w:bCs/>
                <w:color w:val="auto"/>
                <w:sz w:val="21"/>
                <w:szCs w:val="21"/>
              </w:rPr>
              <w:t>第十三部分 废弃处置</w:t>
            </w:r>
          </w:p>
        </w:tc>
      </w:tr>
      <w:tr w14:paraId="6E82D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375FC197">
            <w:pPr>
              <w:pStyle w:val="106"/>
              <w:jc w:val="center"/>
              <w:rPr>
                <w:rFonts w:hint="eastAsia" w:ascii="..ì." w:hAnsi="..ì." w:cs="Times New Roman"/>
                <w:color w:val="auto"/>
                <w:sz w:val="21"/>
                <w:szCs w:val="21"/>
              </w:rPr>
            </w:pPr>
            <w:r>
              <w:rPr>
                <w:rFonts w:cs="Times New Roman"/>
                <w:color w:val="auto"/>
                <w:sz w:val="21"/>
                <w:szCs w:val="21"/>
              </w:rPr>
              <w:t>废弃化学品</w:t>
            </w:r>
          </w:p>
        </w:tc>
        <w:tc>
          <w:tcPr>
            <w:tcW w:w="6899" w:type="dxa"/>
            <w:tcBorders>
              <w:top w:val="single" w:color="auto" w:sz="4" w:space="0"/>
              <w:left w:val="nil"/>
              <w:bottom w:val="single" w:color="auto" w:sz="4" w:space="0"/>
              <w:right w:val="single" w:color="auto" w:sz="4" w:space="0"/>
            </w:tcBorders>
            <w:vAlign w:val="center"/>
          </w:tcPr>
          <w:p w14:paraId="0E248C79">
            <w:pPr>
              <w:widowControl/>
              <w:spacing w:line="240" w:lineRule="auto"/>
              <w:jc w:val="left"/>
              <w:rPr>
                <w:rFonts w:ascii="宋体" w:hAnsi="宋体" w:cs="Calibri"/>
                <w:color w:val="auto"/>
                <w:sz w:val="21"/>
                <w:szCs w:val="21"/>
              </w:rPr>
            </w:pPr>
            <w:r>
              <w:rPr>
                <w:rFonts w:hint="eastAsia" w:ascii="宋体" w:hAnsi="宋体"/>
                <w:color w:val="auto"/>
                <w:sz w:val="21"/>
                <w:szCs w:val="21"/>
              </w:rPr>
              <w:t>缓慢加入碱液</w:t>
            </w:r>
            <w:r>
              <w:rPr>
                <w:rFonts w:hAnsi="宋体" w:cs="宋体"/>
                <w:color w:val="auto"/>
                <w:sz w:val="21"/>
                <w:szCs w:val="21"/>
              </w:rPr>
              <w:t>(</w:t>
            </w:r>
            <w:r>
              <w:rPr>
                <w:rFonts w:hint="eastAsia" w:ascii="宋体" w:hAnsi="宋体"/>
                <w:color w:val="auto"/>
                <w:sz w:val="21"/>
                <w:szCs w:val="21"/>
              </w:rPr>
              <w:t>石灰水</w:t>
            </w:r>
            <w:r>
              <w:rPr>
                <w:color w:val="auto"/>
                <w:sz w:val="21"/>
                <w:szCs w:val="21"/>
              </w:rPr>
              <w:t>)</w:t>
            </w:r>
            <w:r>
              <w:rPr>
                <w:rFonts w:hint="eastAsia" w:ascii="宋体" w:hAnsi="宋体"/>
                <w:color w:val="auto"/>
                <w:sz w:val="21"/>
                <w:szCs w:val="21"/>
              </w:rPr>
              <w:t>中</w:t>
            </w:r>
            <w:r>
              <w:rPr>
                <w:color w:val="auto"/>
                <w:sz w:val="21"/>
                <w:szCs w:val="21"/>
              </w:rPr>
              <w:t>,</w:t>
            </w:r>
            <w:r>
              <w:rPr>
                <w:rFonts w:hint="eastAsia" w:ascii="宋体" w:hAnsi="宋体"/>
                <w:color w:val="auto"/>
                <w:sz w:val="21"/>
                <w:szCs w:val="21"/>
              </w:rPr>
              <w:t>并不断搅拌</w:t>
            </w:r>
            <w:r>
              <w:rPr>
                <w:color w:val="auto"/>
                <w:sz w:val="21"/>
                <w:szCs w:val="21"/>
              </w:rPr>
              <w:t xml:space="preserve">, </w:t>
            </w:r>
            <w:r>
              <w:rPr>
                <w:rFonts w:hint="eastAsia" w:ascii="宋体" w:hAnsi="宋体"/>
                <w:color w:val="auto"/>
                <w:sz w:val="21"/>
                <w:szCs w:val="21"/>
              </w:rPr>
              <w:t>反应停止后</w:t>
            </w:r>
            <w:r>
              <w:rPr>
                <w:color w:val="auto"/>
                <w:sz w:val="21"/>
                <w:szCs w:val="21"/>
              </w:rPr>
              <w:t>,</w:t>
            </w:r>
            <w:r>
              <w:rPr>
                <w:rFonts w:hint="eastAsia" w:ascii="宋体" w:hAnsi="宋体"/>
                <w:color w:val="auto"/>
                <w:sz w:val="21"/>
                <w:szCs w:val="21"/>
              </w:rPr>
              <w:t>用大量水冲入废水系统</w:t>
            </w:r>
          </w:p>
        </w:tc>
      </w:tr>
      <w:tr w14:paraId="5A00C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4CDB56BE">
            <w:pPr>
              <w:pStyle w:val="106"/>
              <w:jc w:val="center"/>
              <w:rPr>
                <w:rFonts w:ascii="..ì." w:hAnsi="宋体" w:cs="Times New Roman"/>
                <w:color w:val="auto"/>
                <w:sz w:val="21"/>
                <w:szCs w:val="21"/>
              </w:rPr>
            </w:pPr>
            <w:r>
              <w:rPr>
                <w:rFonts w:cs="Times New Roman"/>
                <w:color w:val="auto"/>
                <w:sz w:val="21"/>
                <w:szCs w:val="21"/>
              </w:rPr>
              <w:t>污染包装物</w:t>
            </w:r>
          </w:p>
        </w:tc>
        <w:tc>
          <w:tcPr>
            <w:tcW w:w="6899" w:type="dxa"/>
            <w:tcBorders>
              <w:top w:val="single" w:color="auto" w:sz="4" w:space="0"/>
              <w:left w:val="nil"/>
              <w:bottom w:val="single" w:color="auto" w:sz="4" w:space="0"/>
              <w:right w:val="single" w:color="auto" w:sz="4" w:space="0"/>
            </w:tcBorders>
            <w:vAlign w:val="center"/>
          </w:tcPr>
          <w:p w14:paraId="3ACCB98A">
            <w:pPr>
              <w:widowControl/>
              <w:spacing w:line="240" w:lineRule="auto"/>
              <w:jc w:val="left"/>
              <w:rPr>
                <w:rFonts w:ascii="宋体" w:hAnsi="宋体" w:cs="Calibri"/>
                <w:color w:val="auto"/>
                <w:sz w:val="21"/>
                <w:szCs w:val="21"/>
              </w:rPr>
            </w:pPr>
            <w:r>
              <w:rPr>
                <w:rFonts w:hint="eastAsia" w:ascii="宋体" w:hAnsi="宋体"/>
                <w:color w:val="auto"/>
                <w:sz w:val="21"/>
                <w:szCs w:val="21"/>
              </w:rPr>
              <w:t>将容器返还生产商或按照国家和地方法规处置</w:t>
            </w:r>
          </w:p>
        </w:tc>
      </w:tr>
      <w:tr w14:paraId="63445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07CCCFAE">
            <w:pPr>
              <w:pStyle w:val="106"/>
              <w:jc w:val="center"/>
              <w:rPr>
                <w:rFonts w:ascii="..ì." w:hAnsi="宋体" w:cs="Times New Roman"/>
                <w:color w:val="auto"/>
                <w:sz w:val="21"/>
                <w:szCs w:val="21"/>
              </w:rPr>
            </w:pPr>
            <w:r>
              <w:rPr>
                <w:rFonts w:cs="Times New Roman"/>
                <w:color w:val="auto"/>
                <w:sz w:val="21"/>
                <w:szCs w:val="21"/>
              </w:rPr>
              <w:t>废弃注意事项</w:t>
            </w:r>
          </w:p>
        </w:tc>
        <w:tc>
          <w:tcPr>
            <w:tcW w:w="6899" w:type="dxa"/>
            <w:tcBorders>
              <w:top w:val="single" w:color="auto" w:sz="4" w:space="0"/>
              <w:left w:val="nil"/>
              <w:bottom w:val="single" w:color="auto" w:sz="4" w:space="0"/>
              <w:right w:val="single" w:color="auto" w:sz="4" w:space="0"/>
            </w:tcBorders>
            <w:vAlign w:val="center"/>
          </w:tcPr>
          <w:p w14:paraId="6932E5F7">
            <w:pPr>
              <w:widowControl/>
              <w:spacing w:line="240" w:lineRule="auto"/>
              <w:jc w:val="left"/>
              <w:rPr>
                <w:rFonts w:ascii="宋体" w:hAnsi="宋体" w:cs="Calibri"/>
                <w:color w:val="auto"/>
                <w:kern w:val="0"/>
                <w:sz w:val="21"/>
                <w:szCs w:val="21"/>
              </w:rPr>
            </w:pPr>
            <w:r>
              <w:rPr>
                <w:rFonts w:hint="eastAsia" w:ascii="宋体" w:hAnsi="宋体"/>
                <w:color w:val="auto"/>
                <w:kern w:val="0"/>
                <w:sz w:val="21"/>
                <w:szCs w:val="21"/>
              </w:rPr>
              <w:t>处置前应参阅国家和地方有关法规</w:t>
            </w:r>
          </w:p>
        </w:tc>
      </w:tr>
      <w:tr w14:paraId="51D98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435" w:type="dxa"/>
            <w:gridSpan w:val="2"/>
            <w:tcBorders>
              <w:top w:val="single" w:color="auto" w:sz="4" w:space="0"/>
              <w:left w:val="single" w:color="auto" w:sz="4" w:space="0"/>
              <w:bottom w:val="single" w:color="auto" w:sz="4" w:space="0"/>
              <w:right w:val="single" w:color="auto" w:sz="4" w:space="0"/>
            </w:tcBorders>
            <w:vAlign w:val="center"/>
          </w:tcPr>
          <w:p w14:paraId="0F90CBC9">
            <w:pPr>
              <w:pStyle w:val="106"/>
              <w:jc w:val="center"/>
              <w:rPr>
                <w:rFonts w:hAnsi="宋体" w:cs="Times New Roman"/>
                <w:color w:val="auto"/>
                <w:sz w:val="21"/>
                <w:szCs w:val="21"/>
              </w:rPr>
            </w:pPr>
            <w:r>
              <w:rPr>
                <w:rFonts w:cs="Times New Roman"/>
                <w:b/>
                <w:bCs/>
                <w:color w:val="auto"/>
                <w:sz w:val="21"/>
                <w:szCs w:val="21"/>
              </w:rPr>
              <w:t>第十四部分 运输信息</w:t>
            </w:r>
          </w:p>
        </w:tc>
      </w:tr>
      <w:tr w14:paraId="2C528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6B60A70F">
            <w:pPr>
              <w:pStyle w:val="106"/>
              <w:jc w:val="center"/>
              <w:rPr>
                <w:rFonts w:hint="eastAsia" w:ascii="..ì." w:hAnsi="..ì." w:cs="Times New Roman"/>
                <w:color w:val="auto"/>
                <w:sz w:val="21"/>
                <w:szCs w:val="21"/>
              </w:rPr>
            </w:pPr>
            <w:r>
              <w:rPr>
                <w:rFonts w:cs="Times New Roman"/>
                <w:color w:val="auto"/>
                <w:sz w:val="21"/>
                <w:szCs w:val="21"/>
              </w:rPr>
              <w:t>联合国危险货物编号(UN号)</w:t>
            </w:r>
          </w:p>
        </w:tc>
        <w:tc>
          <w:tcPr>
            <w:tcW w:w="6899" w:type="dxa"/>
            <w:tcBorders>
              <w:top w:val="single" w:color="auto" w:sz="4" w:space="0"/>
              <w:left w:val="nil"/>
              <w:bottom w:val="single" w:color="auto" w:sz="4" w:space="0"/>
              <w:right w:val="single" w:color="auto" w:sz="4" w:space="0"/>
            </w:tcBorders>
            <w:vAlign w:val="center"/>
          </w:tcPr>
          <w:p w14:paraId="5ECC7283">
            <w:pPr>
              <w:widowControl/>
              <w:spacing w:line="240" w:lineRule="auto"/>
              <w:jc w:val="left"/>
              <w:rPr>
                <w:rFonts w:ascii="宋体" w:hAnsi="宋体" w:cs="Times New Roman"/>
                <w:color w:val="auto"/>
                <w:sz w:val="21"/>
                <w:szCs w:val="21"/>
              </w:rPr>
            </w:pPr>
            <w:r>
              <w:rPr>
                <w:rFonts w:hAnsi="宋体" w:cs="宋体"/>
                <w:color w:val="auto"/>
                <w:sz w:val="21"/>
                <w:szCs w:val="21"/>
              </w:rPr>
              <w:t>1830(&gt;51%);2796(</w:t>
            </w:r>
            <w:r>
              <w:rPr>
                <w:rFonts w:hint="eastAsia" w:ascii="宋体" w:hAnsi="宋体"/>
                <w:color w:val="auto"/>
                <w:sz w:val="21"/>
                <w:szCs w:val="21"/>
              </w:rPr>
              <w:t>≤</w:t>
            </w:r>
            <w:r>
              <w:rPr>
                <w:color w:val="auto"/>
                <w:sz w:val="21"/>
                <w:szCs w:val="21"/>
              </w:rPr>
              <w:t>51%)</w:t>
            </w:r>
          </w:p>
        </w:tc>
      </w:tr>
      <w:tr w14:paraId="2C571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4651C529">
            <w:pPr>
              <w:pStyle w:val="106"/>
              <w:jc w:val="center"/>
              <w:rPr>
                <w:rFonts w:ascii="..ì." w:hAnsi="宋体" w:cs="Times New Roman"/>
                <w:color w:val="auto"/>
                <w:sz w:val="21"/>
                <w:szCs w:val="21"/>
              </w:rPr>
            </w:pPr>
            <w:r>
              <w:rPr>
                <w:rFonts w:cs="Times New Roman"/>
                <w:color w:val="auto"/>
                <w:sz w:val="21"/>
                <w:szCs w:val="21"/>
              </w:rPr>
              <w:t>联合国运输名称</w:t>
            </w:r>
          </w:p>
        </w:tc>
        <w:tc>
          <w:tcPr>
            <w:tcW w:w="6899" w:type="dxa"/>
            <w:tcBorders>
              <w:top w:val="single" w:color="auto" w:sz="4" w:space="0"/>
              <w:left w:val="nil"/>
              <w:bottom w:val="single" w:color="auto" w:sz="4" w:space="0"/>
              <w:right w:val="single" w:color="auto" w:sz="4" w:space="0"/>
            </w:tcBorders>
            <w:vAlign w:val="center"/>
          </w:tcPr>
          <w:p w14:paraId="0A63BD78">
            <w:pPr>
              <w:widowControl/>
              <w:spacing w:line="240" w:lineRule="auto"/>
              <w:jc w:val="left"/>
              <w:rPr>
                <w:rFonts w:ascii="宋体" w:hAnsi="宋体" w:cs="Calibri"/>
                <w:color w:val="auto"/>
                <w:kern w:val="0"/>
                <w:sz w:val="21"/>
                <w:szCs w:val="21"/>
              </w:rPr>
            </w:pPr>
            <w:r>
              <w:rPr>
                <w:rFonts w:hint="eastAsia" w:ascii="宋体" w:hAnsi="宋体"/>
                <w:color w:val="auto"/>
                <w:kern w:val="0"/>
                <w:sz w:val="21"/>
                <w:szCs w:val="21"/>
              </w:rPr>
              <w:t>硫酸</w:t>
            </w:r>
          </w:p>
        </w:tc>
      </w:tr>
      <w:tr w14:paraId="2EFFD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469F7F32">
            <w:pPr>
              <w:pStyle w:val="106"/>
              <w:jc w:val="center"/>
              <w:rPr>
                <w:rFonts w:hAnsi="宋体" w:cs="Times New Roman"/>
                <w:color w:val="auto"/>
                <w:sz w:val="21"/>
                <w:szCs w:val="21"/>
              </w:rPr>
            </w:pPr>
            <w:r>
              <w:rPr>
                <w:rFonts w:cs="Times New Roman"/>
                <w:color w:val="auto"/>
                <w:sz w:val="21"/>
                <w:szCs w:val="21"/>
              </w:rPr>
              <w:t>联合国危险性类别</w:t>
            </w:r>
          </w:p>
        </w:tc>
        <w:tc>
          <w:tcPr>
            <w:tcW w:w="6899" w:type="dxa"/>
            <w:tcBorders>
              <w:top w:val="single" w:color="auto" w:sz="4" w:space="0"/>
              <w:left w:val="nil"/>
              <w:bottom w:val="single" w:color="auto" w:sz="4" w:space="0"/>
              <w:right w:val="single" w:color="auto" w:sz="4" w:space="0"/>
            </w:tcBorders>
            <w:vAlign w:val="center"/>
          </w:tcPr>
          <w:p w14:paraId="6674FA76">
            <w:pPr>
              <w:pStyle w:val="106"/>
              <w:jc w:val="both"/>
              <w:rPr>
                <w:rFonts w:hint="eastAsia" w:ascii="..ì." w:hAnsi="..ì." w:cs="Times New Roman"/>
                <w:color w:val="auto"/>
                <w:sz w:val="21"/>
                <w:szCs w:val="21"/>
              </w:rPr>
            </w:pPr>
            <w:r>
              <w:rPr>
                <w:rFonts w:cs="Times New Roman"/>
                <w:color w:val="auto"/>
                <w:sz w:val="21"/>
                <w:szCs w:val="21"/>
              </w:rPr>
              <w:t>8</w:t>
            </w:r>
          </w:p>
        </w:tc>
      </w:tr>
      <w:tr w14:paraId="4F1A6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5A572179">
            <w:pPr>
              <w:pStyle w:val="106"/>
              <w:jc w:val="center"/>
              <w:rPr>
                <w:rFonts w:cs="Times New Roman"/>
                <w:color w:val="auto"/>
                <w:sz w:val="21"/>
                <w:szCs w:val="21"/>
              </w:rPr>
            </w:pPr>
            <w:r>
              <w:rPr>
                <w:rFonts w:cs="Times New Roman"/>
                <w:color w:val="auto"/>
                <w:sz w:val="21"/>
                <w:szCs w:val="21"/>
              </w:rPr>
              <w:t>包装类别</w:t>
            </w:r>
          </w:p>
        </w:tc>
        <w:tc>
          <w:tcPr>
            <w:tcW w:w="6899" w:type="dxa"/>
            <w:tcBorders>
              <w:top w:val="single" w:color="auto" w:sz="4" w:space="0"/>
              <w:left w:val="nil"/>
              <w:bottom w:val="single" w:color="auto" w:sz="4" w:space="0"/>
              <w:right w:val="single" w:color="auto" w:sz="4" w:space="0"/>
            </w:tcBorders>
            <w:vAlign w:val="center"/>
          </w:tcPr>
          <w:p w14:paraId="430E0DE9">
            <w:pPr>
              <w:widowControl/>
              <w:spacing w:line="240" w:lineRule="auto"/>
              <w:jc w:val="left"/>
              <w:rPr>
                <w:rFonts w:ascii="宋体" w:hAnsi="宋体" w:cs="Calibri"/>
                <w:color w:val="auto"/>
                <w:sz w:val="21"/>
                <w:szCs w:val="21"/>
              </w:rPr>
            </w:pPr>
            <w:r>
              <w:rPr>
                <w:rFonts w:hint="eastAsia" w:ascii="宋体" w:hAnsi="宋体"/>
                <w:color w:val="auto"/>
                <w:kern w:val="0"/>
                <w:sz w:val="21"/>
                <w:szCs w:val="21"/>
              </w:rPr>
              <w:t xml:space="preserve">Ⅱ类包装 </w:t>
            </w:r>
          </w:p>
        </w:tc>
      </w:tr>
      <w:tr w14:paraId="2B76F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14FE9C67">
            <w:pPr>
              <w:pStyle w:val="106"/>
              <w:jc w:val="center"/>
              <w:rPr>
                <w:rFonts w:hAnsi="宋体" w:cs="Times New Roman"/>
                <w:color w:val="auto"/>
                <w:sz w:val="21"/>
                <w:szCs w:val="21"/>
              </w:rPr>
            </w:pPr>
            <w:r>
              <w:rPr>
                <w:rFonts w:cs="Times New Roman"/>
                <w:color w:val="auto"/>
                <w:sz w:val="21"/>
                <w:szCs w:val="21"/>
              </w:rPr>
              <w:t>包装标志</w:t>
            </w:r>
          </w:p>
        </w:tc>
        <w:tc>
          <w:tcPr>
            <w:tcW w:w="6899" w:type="dxa"/>
            <w:tcBorders>
              <w:top w:val="single" w:color="auto" w:sz="4" w:space="0"/>
              <w:left w:val="nil"/>
              <w:bottom w:val="single" w:color="auto" w:sz="4" w:space="0"/>
              <w:right w:val="single" w:color="auto" w:sz="4" w:space="0"/>
            </w:tcBorders>
            <w:vAlign w:val="center"/>
          </w:tcPr>
          <w:p w14:paraId="04693AE0">
            <w:pPr>
              <w:pStyle w:val="106"/>
              <w:rPr>
                <w:rFonts w:hint="eastAsia" w:ascii="..ì." w:hAnsi="..ì." w:cs="Times New Roman"/>
                <w:color w:val="auto"/>
                <w:sz w:val="21"/>
                <w:szCs w:val="21"/>
              </w:rPr>
            </w:pPr>
            <w:r>
              <w:rPr>
                <w:rFonts w:hint="eastAsia" w:cs="Times New Roman"/>
                <w:color w:val="auto"/>
                <w:sz w:val="21"/>
                <w:szCs w:val="21"/>
              </w:rPr>
              <w:drawing>
                <wp:inline distT="0" distB="0" distL="0" distR="0">
                  <wp:extent cx="579120" cy="570230"/>
                  <wp:effectExtent l="0" t="0" r="5080" b="1270"/>
                  <wp:docPr id="1742118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182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79120" cy="570230"/>
                          </a:xfrm>
                          <a:prstGeom prst="rect">
                            <a:avLst/>
                          </a:prstGeom>
                          <a:noFill/>
                          <a:ln>
                            <a:noFill/>
                          </a:ln>
                        </pic:spPr>
                      </pic:pic>
                    </a:graphicData>
                  </a:graphic>
                </wp:inline>
              </w:drawing>
            </w:r>
          </w:p>
        </w:tc>
      </w:tr>
      <w:tr w14:paraId="7F712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015A88CC">
            <w:pPr>
              <w:pStyle w:val="106"/>
              <w:jc w:val="center"/>
              <w:rPr>
                <w:rFonts w:cs="Times New Roman"/>
                <w:color w:val="auto"/>
                <w:sz w:val="21"/>
                <w:szCs w:val="21"/>
              </w:rPr>
            </w:pPr>
            <w:r>
              <w:rPr>
                <w:rFonts w:cs="Times New Roman"/>
                <w:color w:val="auto"/>
                <w:sz w:val="21"/>
                <w:szCs w:val="21"/>
              </w:rPr>
              <w:t>海洋污染物</w:t>
            </w:r>
          </w:p>
        </w:tc>
        <w:tc>
          <w:tcPr>
            <w:tcW w:w="6899" w:type="dxa"/>
            <w:tcBorders>
              <w:top w:val="single" w:color="auto" w:sz="4" w:space="0"/>
              <w:left w:val="nil"/>
              <w:bottom w:val="single" w:color="auto" w:sz="4" w:space="0"/>
              <w:right w:val="single" w:color="auto" w:sz="4" w:space="0"/>
            </w:tcBorders>
            <w:vAlign w:val="center"/>
          </w:tcPr>
          <w:p w14:paraId="0C33F57E">
            <w:pPr>
              <w:pStyle w:val="106"/>
              <w:rPr>
                <w:rFonts w:cs="Times New Roman"/>
                <w:color w:val="auto"/>
                <w:sz w:val="21"/>
                <w:szCs w:val="21"/>
              </w:rPr>
            </w:pPr>
            <w:r>
              <w:rPr>
                <w:rFonts w:cs="Times New Roman"/>
                <w:color w:val="auto"/>
                <w:sz w:val="21"/>
                <w:szCs w:val="21"/>
              </w:rPr>
              <w:t>否</w:t>
            </w:r>
          </w:p>
        </w:tc>
      </w:tr>
      <w:tr w14:paraId="55B37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13ECDE3A">
            <w:pPr>
              <w:pStyle w:val="106"/>
              <w:jc w:val="center"/>
              <w:rPr>
                <w:rFonts w:cs="Times New Roman"/>
                <w:color w:val="auto"/>
                <w:sz w:val="21"/>
                <w:szCs w:val="21"/>
              </w:rPr>
            </w:pPr>
            <w:r>
              <w:rPr>
                <w:rFonts w:cs="Times New Roman"/>
                <w:color w:val="auto"/>
                <w:sz w:val="21"/>
                <w:szCs w:val="21"/>
              </w:rPr>
              <w:t>运输注意事项</w:t>
            </w:r>
          </w:p>
        </w:tc>
        <w:tc>
          <w:tcPr>
            <w:tcW w:w="6899" w:type="dxa"/>
            <w:tcBorders>
              <w:top w:val="single" w:color="auto" w:sz="4" w:space="0"/>
              <w:left w:val="nil"/>
              <w:bottom w:val="single" w:color="auto" w:sz="4" w:space="0"/>
              <w:right w:val="single" w:color="auto" w:sz="4" w:space="0"/>
            </w:tcBorders>
            <w:vAlign w:val="center"/>
          </w:tcPr>
          <w:p w14:paraId="0E37D25D">
            <w:pPr>
              <w:widowControl/>
              <w:spacing w:line="240" w:lineRule="auto"/>
              <w:jc w:val="left"/>
              <w:rPr>
                <w:rFonts w:ascii="宋体" w:hAnsi="宋体" w:cs="Calibri"/>
                <w:color w:val="auto"/>
                <w:kern w:val="0"/>
                <w:sz w:val="21"/>
                <w:szCs w:val="21"/>
              </w:rPr>
            </w:pPr>
            <w:r>
              <w:rPr>
                <w:rFonts w:hint="eastAsia" w:ascii="宋体" w:hAnsi="宋体"/>
                <w:color w:val="auto"/>
                <w:kern w:val="0"/>
                <w:sz w:val="21"/>
                <w:szCs w:val="21"/>
              </w:rPr>
              <w:t>本品铁路运输时限使用钢制企业自备罐车装运,装运前需报有关部门批准。铁路非罐装运输时应严格按照 《危险货物运输规则》中的危险货物配装表进行配装。起运时包装要完整,装载应稳妥。运输过程中要确保容器不泄漏、不倒塌、不坠落、不损坏。严禁与易燃物或可燃物、还原剂、碱类、碱金属、食用化学品等混装混运。运输时运输车辆应配备泄漏应急处理设备。运输途中应防曝晒、雨淋,防高温。公路运输时要按规定路线行驶,勿在居民区和人口稠密区停留。本品属第三类易制毒化学品,托运时,须持有运出地县级人民政府发给的备案证明。</w:t>
            </w:r>
          </w:p>
        </w:tc>
      </w:tr>
      <w:tr w14:paraId="0F5B3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435" w:type="dxa"/>
            <w:gridSpan w:val="2"/>
            <w:tcBorders>
              <w:top w:val="single" w:color="auto" w:sz="4" w:space="0"/>
              <w:left w:val="single" w:color="auto" w:sz="4" w:space="0"/>
              <w:bottom w:val="single" w:color="auto" w:sz="4" w:space="0"/>
              <w:right w:val="single" w:color="auto" w:sz="4" w:space="0"/>
            </w:tcBorders>
            <w:vAlign w:val="center"/>
          </w:tcPr>
          <w:p w14:paraId="4926A6F3">
            <w:pPr>
              <w:pStyle w:val="106"/>
              <w:jc w:val="center"/>
              <w:rPr>
                <w:rFonts w:hAnsi="宋体" w:cs="Times New Roman"/>
                <w:color w:val="auto"/>
                <w:sz w:val="21"/>
                <w:szCs w:val="21"/>
              </w:rPr>
            </w:pPr>
            <w:r>
              <w:rPr>
                <w:rFonts w:cs="Times New Roman"/>
                <w:b/>
                <w:bCs/>
                <w:color w:val="auto"/>
                <w:sz w:val="21"/>
                <w:szCs w:val="21"/>
              </w:rPr>
              <w:t>第十五部分 法规信息</w:t>
            </w:r>
          </w:p>
        </w:tc>
      </w:tr>
      <w:tr w14:paraId="4293B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36B1528E">
            <w:pPr>
              <w:pStyle w:val="106"/>
              <w:jc w:val="center"/>
              <w:rPr>
                <w:rFonts w:hint="eastAsia" w:ascii="..ì." w:hAnsi="..ì." w:cs="Times New Roman"/>
                <w:color w:val="auto"/>
                <w:sz w:val="21"/>
                <w:szCs w:val="21"/>
              </w:rPr>
            </w:pPr>
            <w:r>
              <w:rPr>
                <w:rFonts w:cs="Times New Roman"/>
                <w:color w:val="auto"/>
                <w:sz w:val="21"/>
                <w:szCs w:val="21"/>
              </w:rPr>
              <w:t>中华人民共和国职业病防治法</w:t>
            </w:r>
          </w:p>
        </w:tc>
        <w:tc>
          <w:tcPr>
            <w:tcW w:w="6899" w:type="dxa"/>
            <w:tcBorders>
              <w:top w:val="single" w:color="auto" w:sz="4" w:space="0"/>
              <w:left w:val="nil"/>
              <w:bottom w:val="single" w:color="auto" w:sz="4" w:space="0"/>
              <w:right w:val="single" w:color="auto" w:sz="4" w:space="0"/>
            </w:tcBorders>
            <w:vAlign w:val="center"/>
          </w:tcPr>
          <w:p w14:paraId="0221E850">
            <w:pPr>
              <w:widowControl/>
              <w:spacing w:line="240" w:lineRule="auto"/>
              <w:jc w:val="left"/>
              <w:rPr>
                <w:rFonts w:ascii="宋体" w:hAnsi="宋体" w:cs="Calibri"/>
                <w:color w:val="auto"/>
                <w:sz w:val="21"/>
                <w:szCs w:val="21"/>
              </w:rPr>
            </w:pPr>
            <w:r>
              <w:rPr>
                <w:rFonts w:hint="eastAsia" w:ascii="宋体" w:hAnsi="宋体"/>
                <w:color w:val="auto"/>
                <w:kern w:val="0"/>
                <w:sz w:val="21"/>
                <w:szCs w:val="21"/>
              </w:rPr>
              <w:t xml:space="preserve">职业病分类和目录:未列入 </w:t>
            </w:r>
          </w:p>
        </w:tc>
      </w:tr>
      <w:tr w14:paraId="0AD8A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2D8BF6DC">
            <w:pPr>
              <w:pStyle w:val="106"/>
              <w:jc w:val="center"/>
              <w:rPr>
                <w:rFonts w:ascii="..ì." w:hAnsi="宋体" w:cs="Times New Roman"/>
                <w:color w:val="auto"/>
                <w:sz w:val="21"/>
                <w:szCs w:val="21"/>
              </w:rPr>
            </w:pPr>
            <w:r>
              <w:rPr>
                <w:rFonts w:cs="Times New Roman"/>
                <w:color w:val="auto"/>
                <w:sz w:val="21"/>
                <w:szCs w:val="21"/>
              </w:rPr>
              <w:t>危险化学品安全管理条例</w:t>
            </w:r>
          </w:p>
        </w:tc>
        <w:tc>
          <w:tcPr>
            <w:tcW w:w="6899" w:type="dxa"/>
            <w:tcBorders>
              <w:top w:val="single" w:color="auto" w:sz="4" w:space="0"/>
              <w:left w:val="nil"/>
              <w:bottom w:val="single" w:color="auto" w:sz="4" w:space="0"/>
              <w:right w:val="single" w:color="auto" w:sz="4" w:space="0"/>
            </w:tcBorders>
            <w:vAlign w:val="center"/>
          </w:tcPr>
          <w:p w14:paraId="73318D24">
            <w:pPr>
              <w:widowControl/>
              <w:spacing w:line="240" w:lineRule="auto"/>
              <w:jc w:val="left"/>
              <w:rPr>
                <w:rFonts w:ascii="宋体" w:hAnsi="宋体" w:cs="Calibri"/>
                <w:color w:val="auto"/>
                <w:kern w:val="0"/>
                <w:sz w:val="21"/>
                <w:szCs w:val="21"/>
              </w:rPr>
            </w:pPr>
            <w:r>
              <w:rPr>
                <w:rFonts w:hint="eastAsia" w:ascii="宋体" w:hAnsi="宋体"/>
                <w:color w:val="auto"/>
                <w:kern w:val="0"/>
                <w:sz w:val="21"/>
                <w:szCs w:val="21"/>
              </w:rPr>
              <w:t>危险化学品目录:列入。</w:t>
            </w:r>
          </w:p>
          <w:p w14:paraId="08DDFFB9">
            <w:pPr>
              <w:widowControl/>
              <w:spacing w:line="240" w:lineRule="auto"/>
              <w:jc w:val="left"/>
              <w:rPr>
                <w:rFonts w:ascii="宋体" w:hAnsi="宋体" w:cs="Times New Roman"/>
                <w:color w:val="auto"/>
                <w:kern w:val="0"/>
                <w:sz w:val="21"/>
                <w:szCs w:val="21"/>
              </w:rPr>
            </w:pPr>
            <w:r>
              <w:rPr>
                <w:rFonts w:hint="eastAsia" w:ascii="宋体" w:hAnsi="宋体"/>
                <w:color w:val="auto"/>
                <w:kern w:val="0"/>
                <w:sz w:val="21"/>
                <w:szCs w:val="21"/>
              </w:rPr>
              <w:t>易制爆危险化学品名录:未列入。</w:t>
            </w:r>
          </w:p>
          <w:p w14:paraId="529C3ACC">
            <w:pPr>
              <w:widowControl/>
              <w:spacing w:line="240" w:lineRule="auto"/>
              <w:jc w:val="left"/>
              <w:rPr>
                <w:rFonts w:ascii="宋体" w:hAnsi="宋体"/>
                <w:color w:val="auto"/>
                <w:kern w:val="0"/>
                <w:sz w:val="21"/>
                <w:szCs w:val="21"/>
              </w:rPr>
            </w:pPr>
            <w:r>
              <w:rPr>
                <w:rFonts w:hint="eastAsia" w:ascii="宋体" w:hAnsi="宋体"/>
                <w:color w:val="auto"/>
                <w:kern w:val="0"/>
                <w:sz w:val="21"/>
                <w:szCs w:val="21"/>
              </w:rPr>
              <w:t>重点监管的危险化学品名录:未列入。</w:t>
            </w:r>
          </w:p>
          <w:p w14:paraId="2D83CE84">
            <w:pPr>
              <w:widowControl/>
              <w:spacing w:line="240" w:lineRule="auto"/>
              <w:jc w:val="left"/>
              <w:rPr>
                <w:rFonts w:hAnsi="宋体"/>
                <w:color w:val="auto"/>
                <w:sz w:val="21"/>
                <w:szCs w:val="21"/>
              </w:rPr>
            </w:pPr>
            <w:r>
              <w:rPr>
                <w:rFonts w:hint="eastAsia" w:ascii="宋体" w:hAnsi="宋体"/>
                <w:color w:val="auto"/>
                <w:kern w:val="0"/>
                <w:sz w:val="21"/>
                <w:szCs w:val="21"/>
              </w:rPr>
              <w:t>GB18218—2009 《危险化学品重大危险源辨识》(表1):列入。</w:t>
            </w:r>
          </w:p>
        </w:tc>
      </w:tr>
      <w:tr w14:paraId="0B495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3F3B0559">
            <w:pPr>
              <w:pStyle w:val="106"/>
              <w:jc w:val="center"/>
              <w:rPr>
                <w:rFonts w:ascii="..ì." w:hAnsi="宋体" w:cs="Times New Roman"/>
                <w:color w:val="auto"/>
                <w:sz w:val="21"/>
                <w:szCs w:val="21"/>
              </w:rPr>
            </w:pPr>
            <w:r>
              <w:rPr>
                <w:rFonts w:cs="Times New Roman"/>
                <w:color w:val="auto"/>
                <w:sz w:val="21"/>
                <w:szCs w:val="21"/>
              </w:rPr>
              <w:t>使用有毒物品作业场所劳动保护条例</w:t>
            </w:r>
          </w:p>
        </w:tc>
        <w:tc>
          <w:tcPr>
            <w:tcW w:w="6899" w:type="dxa"/>
            <w:tcBorders>
              <w:top w:val="single" w:color="auto" w:sz="4" w:space="0"/>
              <w:left w:val="nil"/>
              <w:bottom w:val="single" w:color="auto" w:sz="4" w:space="0"/>
              <w:right w:val="single" w:color="auto" w:sz="4" w:space="0"/>
            </w:tcBorders>
            <w:vAlign w:val="center"/>
          </w:tcPr>
          <w:p w14:paraId="00A9998C">
            <w:pPr>
              <w:pStyle w:val="106"/>
              <w:rPr>
                <w:rFonts w:hint="eastAsia" w:hAnsi="..ì." w:cs="Times New Roman"/>
                <w:color w:val="auto"/>
                <w:sz w:val="21"/>
                <w:szCs w:val="21"/>
              </w:rPr>
            </w:pPr>
            <w:r>
              <w:rPr>
                <w:rFonts w:cs="Times New Roman"/>
                <w:color w:val="auto"/>
                <w:sz w:val="21"/>
                <w:szCs w:val="21"/>
              </w:rPr>
              <w:t>高毒物品目录:未列入</w:t>
            </w:r>
          </w:p>
        </w:tc>
      </w:tr>
      <w:tr w14:paraId="3AEB7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7057A916">
            <w:pPr>
              <w:pStyle w:val="106"/>
              <w:jc w:val="center"/>
              <w:rPr>
                <w:rFonts w:cs="Times New Roman"/>
                <w:color w:val="auto"/>
                <w:sz w:val="21"/>
                <w:szCs w:val="21"/>
              </w:rPr>
            </w:pPr>
            <w:r>
              <w:rPr>
                <w:rFonts w:cs="Times New Roman"/>
                <w:color w:val="auto"/>
                <w:sz w:val="21"/>
                <w:szCs w:val="21"/>
              </w:rPr>
              <w:t>易制毒化学品管理条例</w:t>
            </w:r>
          </w:p>
        </w:tc>
        <w:tc>
          <w:tcPr>
            <w:tcW w:w="6899" w:type="dxa"/>
            <w:tcBorders>
              <w:top w:val="single" w:color="auto" w:sz="4" w:space="0"/>
              <w:left w:val="nil"/>
              <w:bottom w:val="single" w:color="auto" w:sz="4" w:space="0"/>
              <w:right w:val="single" w:color="auto" w:sz="4" w:space="0"/>
            </w:tcBorders>
            <w:vAlign w:val="center"/>
          </w:tcPr>
          <w:p w14:paraId="6954762F">
            <w:pPr>
              <w:pStyle w:val="106"/>
              <w:rPr>
                <w:rFonts w:cs="Times New Roman"/>
                <w:color w:val="auto"/>
                <w:sz w:val="21"/>
                <w:szCs w:val="21"/>
              </w:rPr>
            </w:pPr>
            <w:r>
              <w:rPr>
                <w:rFonts w:cs="Times New Roman"/>
                <w:color w:val="auto"/>
                <w:sz w:val="21"/>
                <w:szCs w:val="21"/>
              </w:rPr>
              <w:t>易制毒化学品的分类和品种目录:列入</w:t>
            </w:r>
          </w:p>
        </w:tc>
      </w:tr>
      <w:tr w14:paraId="08ED0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6" w:type="dxa"/>
            <w:tcBorders>
              <w:top w:val="single" w:color="auto" w:sz="4" w:space="0"/>
              <w:left w:val="single" w:color="auto" w:sz="4" w:space="0"/>
              <w:bottom w:val="single" w:color="auto" w:sz="4" w:space="0"/>
              <w:right w:val="single" w:color="auto" w:sz="4" w:space="0"/>
            </w:tcBorders>
            <w:vAlign w:val="center"/>
          </w:tcPr>
          <w:p w14:paraId="16A63305">
            <w:pPr>
              <w:pStyle w:val="106"/>
              <w:jc w:val="center"/>
              <w:rPr>
                <w:rFonts w:cs="Times New Roman"/>
                <w:color w:val="auto"/>
                <w:sz w:val="21"/>
                <w:szCs w:val="21"/>
              </w:rPr>
            </w:pPr>
            <w:r>
              <w:rPr>
                <w:rFonts w:cs="Times New Roman"/>
                <w:color w:val="auto"/>
                <w:sz w:val="21"/>
                <w:szCs w:val="21"/>
              </w:rPr>
              <w:t>国际公约</w:t>
            </w:r>
          </w:p>
        </w:tc>
        <w:tc>
          <w:tcPr>
            <w:tcW w:w="6899" w:type="dxa"/>
            <w:tcBorders>
              <w:top w:val="single" w:color="auto" w:sz="4" w:space="0"/>
              <w:left w:val="nil"/>
              <w:bottom w:val="single" w:color="auto" w:sz="4" w:space="0"/>
              <w:right w:val="single" w:color="auto" w:sz="4" w:space="0"/>
            </w:tcBorders>
            <w:vAlign w:val="center"/>
          </w:tcPr>
          <w:p w14:paraId="5CF8FAF9">
            <w:pPr>
              <w:pStyle w:val="106"/>
              <w:rPr>
                <w:rFonts w:cs="Times New Roman"/>
                <w:color w:val="auto"/>
                <w:sz w:val="21"/>
                <w:szCs w:val="21"/>
              </w:rPr>
            </w:pPr>
            <w:r>
              <w:rPr>
                <w:rFonts w:cs="Times New Roman"/>
                <w:color w:val="auto"/>
                <w:sz w:val="21"/>
                <w:szCs w:val="21"/>
              </w:rPr>
              <w:t>斯德哥尔摩公约:未列入。</w:t>
            </w:r>
          </w:p>
          <w:p w14:paraId="63CDF5EC">
            <w:pPr>
              <w:pStyle w:val="106"/>
              <w:rPr>
                <w:rFonts w:cs="Times New Roman"/>
                <w:color w:val="auto"/>
                <w:sz w:val="21"/>
                <w:szCs w:val="21"/>
              </w:rPr>
            </w:pPr>
            <w:r>
              <w:rPr>
                <w:rFonts w:cs="Times New Roman"/>
                <w:color w:val="auto"/>
                <w:sz w:val="21"/>
                <w:szCs w:val="21"/>
              </w:rPr>
              <w:t>鹿特丹公约:未列入。</w:t>
            </w:r>
          </w:p>
          <w:p w14:paraId="06CE3BA5">
            <w:pPr>
              <w:pStyle w:val="106"/>
              <w:rPr>
                <w:rFonts w:cs="Times New Roman"/>
                <w:color w:val="auto"/>
                <w:sz w:val="21"/>
                <w:szCs w:val="21"/>
              </w:rPr>
            </w:pPr>
            <w:r>
              <w:rPr>
                <w:rFonts w:cs="Times New Roman"/>
                <w:color w:val="auto"/>
                <w:sz w:val="21"/>
                <w:szCs w:val="21"/>
              </w:rPr>
              <w:t>蒙特利尔议定书:未列入</w:t>
            </w:r>
          </w:p>
        </w:tc>
      </w:tr>
    </w:tbl>
    <w:p w14:paraId="5275C608">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b/>
          <w:color w:val="auto"/>
          <w:kern w:val="3"/>
          <w:szCs w:val="28"/>
        </w:rPr>
      </w:pPr>
      <w:r>
        <w:rPr>
          <w:rFonts w:hint="eastAsia" w:ascii="Times New Roman" w:hAnsi="Times New Roman"/>
          <w:b/>
          <w:color w:val="auto"/>
          <w:kern w:val="3"/>
          <w:szCs w:val="28"/>
        </w:rPr>
        <w:t>附表</w:t>
      </w:r>
      <w:r>
        <w:rPr>
          <w:rFonts w:hint="eastAsia" w:ascii="Times New Roman"/>
          <w:b/>
          <w:color w:val="auto"/>
          <w:kern w:val="3"/>
          <w:szCs w:val="28"/>
          <w:lang w:val="en-US" w:eastAsia="zh-CN"/>
        </w:rPr>
        <w:t>3.1</w:t>
      </w:r>
      <w:r>
        <w:rPr>
          <w:rFonts w:hint="eastAsia" w:ascii="Times New Roman" w:hAnsi="Times New Roman"/>
          <w:b/>
          <w:color w:val="auto"/>
          <w:kern w:val="3"/>
          <w:szCs w:val="28"/>
        </w:rPr>
        <w:t>-</w:t>
      </w:r>
      <w:r>
        <w:rPr>
          <w:rFonts w:ascii="Times New Roman" w:hAnsi="Times New Roman"/>
          <w:b/>
          <w:color w:val="auto"/>
          <w:kern w:val="3"/>
          <w:szCs w:val="28"/>
        </w:rPr>
        <w:t>3</w:t>
      </w:r>
      <w:r>
        <w:rPr>
          <w:rFonts w:hint="eastAsia" w:ascii="Times New Roman" w:hAnsi="Times New Roman"/>
          <w:b/>
          <w:color w:val="auto"/>
          <w:kern w:val="3"/>
          <w:szCs w:val="28"/>
        </w:rPr>
        <w:t>氟硅酸的理化特性表</w:t>
      </w:r>
    </w:p>
    <w:tbl>
      <w:tblPr>
        <w:tblStyle w:val="80"/>
        <w:tblW w:w="9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4"/>
        <w:gridCol w:w="6714"/>
      </w:tblGrid>
      <w:tr w14:paraId="5DE72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348" w:type="dxa"/>
            <w:gridSpan w:val="2"/>
            <w:tcBorders>
              <w:top w:val="single" w:color="auto" w:sz="4" w:space="0"/>
              <w:left w:val="single" w:color="auto" w:sz="4" w:space="0"/>
              <w:bottom w:val="single" w:color="auto" w:sz="4" w:space="0"/>
              <w:right w:val="single" w:color="auto" w:sz="4" w:space="0"/>
            </w:tcBorders>
          </w:tcPr>
          <w:p w14:paraId="3C0C66F3">
            <w:pPr>
              <w:pStyle w:val="106"/>
              <w:jc w:val="center"/>
              <w:rPr>
                <w:rFonts w:ascii="..ì." w:hAnsi="宋体" w:cs="Times New Roman"/>
                <w:color w:val="auto"/>
                <w:sz w:val="21"/>
                <w:szCs w:val="21"/>
              </w:rPr>
            </w:pPr>
            <w:r>
              <w:rPr>
                <w:rFonts w:cs="Times New Roman"/>
                <w:b/>
                <w:bCs/>
                <w:color w:val="auto"/>
                <w:sz w:val="21"/>
                <w:szCs w:val="21"/>
              </w:rPr>
              <w:t>第一部分</w:t>
            </w:r>
            <w:r>
              <w:rPr>
                <w:rFonts w:hAnsi="宋体" w:cs="Times New Roman"/>
                <w:b/>
                <w:bCs/>
                <w:color w:val="auto"/>
                <w:sz w:val="21"/>
                <w:szCs w:val="21"/>
              </w:rPr>
              <w:t xml:space="preserve"> </w:t>
            </w:r>
            <w:r>
              <w:rPr>
                <w:rFonts w:cs="Times New Roman"/>
                <w:b/>
                <w:bCs/>
                <w:color w:val="auto"/>
                <w:sz w:val="21"/>
                <w:szCs w:val="21"/>
              </w:rPr>
              <w:t>化学品标识</w:t>
            </w:r>
          </w:p>
        </w:tc>
      </w:tr>
      <w:tr w14:paraId="65716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71F9471A">
            <w:pPr>
              <w:pStyle w:val="106"/>
              <w:jc w:val="center"/>
              <w:rPr>
                <w:rFonts w:hAnsi="宋体" w:cs="Times New Roman"/>
                <w:color w:val="auto"/>
                <w:sz w:val="21"/>
                <w:szCs w:val="21"/>
              </w:rPr>
            </w:pPr>
            <w:r>
              <w:rPr>
                <w:rFonts w:cs="Times New Roman"/>
                <w:color w:val="auto"/>
                <w:sz w:val="21"/>
                <w:szCs w:val="21"/>
              </w:rPr>
              <w:t>化学品中文名</w:t>
            </w:r>
          </w:p>
        </w:tc>
        <w:tc>
          <w:tcPr>
            <w:tcW w:w="6714" w:type="dxa"/>
            <w:tcBorders>
              <w:top w:val="single" w:color="auto" w:sz="4" w:space="0"/>
              <w:left w:val="nil"/>
              <w:bottom w:val="single" w:color="auto" w:sz="4" w:space="0"/>
              <w:right w:val="single" w:color="auto" w:sz="4" w:space="0"/>
            </w:tcBorders>
            <w:vAlign w:val="center"/>
          </w:tcPr>
          <w:p w14:paraId="7EA0FFFD">
            <w:pPr>
              <w:pStyle w:val="106"/>
              <w:rPr>
                <w:rFonts w:hAnsi="宋体" w:cs="Times New Roman"/>
                <w:color w:val="auto"/>
                <w:sz w:val="21"/>
                <w:szCs w:val="21"/>
              </w:rPr>
            </w:pPr>
            <w:r>
              <w:rPr>
                <w:rFonts w:cs="Times New Roman"/>
                <w:color w:val="auto"/>
                <w:sz w:val="21"/>
                <w:szCs w:val="21"/>
              </w:rPr>
              <w:t>氟硅酸;硅氟酸</w:t>
            </w:r>
          </w:p>
        </w:tc>
      </w:tr>
      <w:tr w14:paraId="799ED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780F73C6">
            <w:pPr>
              <w:pStyle w:val="106"/>
              <w:jc w:val="center"/>
              <w:rPr>
                <w:rFonts w:hAnsi="宋体" w:cs="Times New Roman"/>
                <w:color w:val="auto"/>
                <w:sz w:val="21"/>
                <w:szCs w:val="21"/>
              </w:rPr>
            </w:pPr>
            <w:r>
              <w:rPr>
                <w:rFonts w:cs="Times New Roman"/>
                <w:color w:val="auto"/>
                <w:sz w:val="21"/>
                <w:szCs w:val="21"/>
              </w:rPr>
              <w:t>化学品英文名</w:t>
            </w:r>
          </w:p>
        </w:tc>
        <w:tc>
          <w:tcPr>
            <w:tcW w:w="6714" w:type="dxa"/>
            <w:tcBorders>
              <w:top w:val="single" w:color="auto" w:sz="4" w:space="0"/>
              <w:left w:val="nil"/>
              <w:bottom w:val="single" w:color="auto" w:sz="4" w:space="0"/>
              <w:right w:val="single" w:color="auto" w:sz="4" w:space="0"/>
            </w:tcBorders>
            <w:vAlign w:val="center"/>
          </w:tcPr>
          <w:p w14:paraId="19E91859">
            <w:pPr>
              <w:pStyle w:val="106"/>
              <w:jc w:val="both"/>
              <w:rPr>
                <w:rFonts w:hAnsi="宋体" w:cs="Times New Roman"/>
                <w:color w:val="auto"/>
                <w:sz w:val="21"/>
                <w:szCs w:val="21"/>
              </w:rPr>
            </w:pPr>
            <w:r>
              <w:rPr>
                <w:rFonts w:cs="Times New Roman"/>
                <w:color w:val="auto"/>
                <w:sz w:val="21"/>
                <w:szCs w:val="21"/>
              </w:rPr>
              <w:t>fluosilicicacid;silicofluoricacid</w:t>
            </w:r>
          </w:p>
        </w:tc>
      </w:tr>
      <w:tr w14:paraId="65927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70C34D97">
            <w:pPr>
              <w:pStyle w:val="106"/>
              <w:jc w:val="center"/>
              <w:rPr>
                <w:rFonts w:hAnsi="宋体" w:cs="Times New Roman"/>
                <w:color w:val="auto"/>
                <w:sz w:val="21"/>
                <w:szCs w:val="21"/>
              </w:rPr>
            </w:pPr>
            <w:r>
              <w:rPr>
                <w:rFonts w:cs="Times New Roman"/>
                <w:color w:val="auto"/>
                <w:sz w:val="21"/>
                <w:szCs w:val="21"/>
              </w:rPr>
              <w:t>分子式</w:t>
            </w:r>
          </w:p>
        </w:tc>
        <w:tc>
          <w:tcPr>
            <w:tcW w:w="6714" w:type="dxa"/>
            <w:tcBorders>
              <w:top w:val="single" w:color="auto" w:sz="4" w:space="0"/>
              <w:left w:val="nil"/>
              <w:bottom w:val="single" w:color="auto" w:sz="4" w:space="0"/>
              <w:right w:val="single" w:color="auto" w:sz="4" w:space="0"/>
            </w:tcBorders>
            <w:vAlign w:val="center"/>
          </w:tcPr>
          <w:p w14:paraId="228B939C">
            <w:pPr>
              <w:pStyle w:val="106"/>
              <w:jc w:val="both"/>
              <w:rPr>
                <w:rFonts w:hAnsi="宋体" w:cs="Times New Roman"/>
                <w:color w:val="auto"/>
                <w:sz w:val="21"/>
                <w:szCs w:val="21"/>
              </w:rPr>
            </w:pPr>
            <w:r>
              <w:rPr>
                <w:rFonts w:cs="Times New Roman"/>
                <w:color w:val="auto"/>
                <w:sz w:val="21"/>
                <w:szCs w:val="21"/>
              </w:rPr>
              <w:t>H</w:t>
            </w:r>
            <w:r>
              <w:rPr>
                <w:rFonts w:cs="Times New Roman"/>
                <w:color w:val="auto"/>
                <w:sz w:val="21"/>
                <w:szCs w:val="21"/>
                <w:vertAlign w:val="subscript"/>
              </w:rPr>
              <w:t>2</w:t>
            </w:r>
            <w:r>
              <w:rPr>
                <w:rFonts w:cs="Times New Roman"/>
                <w:color w:val="auto"/>
                <w:sz w:val="21"/>
                <w:szCs w:val="21"/>
              </w:rPr>
              <w:t>SiF</w:t>
            </w:r>
            <w:r>
              <w:rPr>
                <w:rFonts w:cs="Times New Roman"/>
                <w:color w:val="auto"/>
                <w:sz w:val="21"/>
                <w:szCs w:val="21"/>
                <w:vertAlign w:val="subscript"/>
              </w:rPr>
              <w:t>6</w:t>
            </w:r>
          </w:p>
        </w:tc>
      </w:tr>
      <w:tr w14:paraId="05CB1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36F31796">
            <w:pPr>
              <w:pStyle w:val="106"/>
              <w:jc w:val="center"/>
              <w:rPr>
                <w:rFonts w:hAnsi="宋体" w:cs="Times New Roman"/>
                <w:color w:val="auto"/>
                <w:sz w:val="21"/>
                <w:szCs w:val="21"/>
              </w:rPr>
            </w:pPr>
            <w:r>
              <w:rPr>
                <w:rFonts w:cs="Times New Roman"/>
                <w:color w:val="auto"/>
                <w:sz w:val="21"/>
                <w:szCs w:val="21"/>
              </w:rPr>
              <w:t>相对分子质量</w:t>
            </w:r>
          </w:p>
        </w:tc>
        <w:tc>
          <w:tcPr>
            <w:tcW w:w="6714" w:type="dxa"/>
            <w:tcBorders>
              <w:top w:val="single" w:color="auto" w:sz="4" w:space="0"/>
              <w:left w:val="nil"/>
              <w:bottom w:val="single" w:color="auto" w:sz="4" w:space="0"/>
              <w:right w:val="single" w:color="auto" w:sz="4" w:space="0"/>
            </w:tcBorders>
            <w:vAlign w:val="center"/>
          </w:tcPr>
          <w:p w14:paraId="018AEE82">
            <w:pPr>
              <w:pStyle w:val="106"/>
              <w:jc w:val="both"/>
              <w:rPr>
                <w:rFonts w:hAnsi="宋体" w:cs="Times New Roman"/>
                <w:color w:val="auto"/>
                <w:sz w:val="21"/>
                <w:szCs w:val="21"/>
              </w:rPr>
            </w:pPr>
            <w:r>
              <w:rPr>
                <w:rFonts w:cs="Times New Roman"/>
                <w:color w:val="auto"/>
                <w:sz w:val="21"/>
                <w:szCs w:val="21"/>
              </w:rPr>
              <w:t>144.11</w:t>
            </w:r>
          </w:p>
        </w:tc>
      </w:tr>
      <w:tr w14:paraId="6ECFD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4A246EEF">
            <w:pPr>
              <w:pStyle w:val="106"/>
              <w:jc w:val="center"/>
              <w:rPr>
                <w:rFonts w:hAnsi="宋体" w:cs="Times New Roman"/>
                <w:color w:val="auto"/>
                <w:sz w:val="21"/>
                <w:szCs w:val="21"/>
              </w:rPr>
            </w:pPr>
            <w:r>
              <w:rPr>
                <w:rFonts w:cs="Times New Roman"/>
                <w:color w:val="auto"/>
                <w:sz w:val="21"/>
                <w:szCs w:val="21"/>
              </w:rPr>
              <w:t>化学品的推荐及限制用途</w:t>
            </w:r>
          </w:p>
        </w:tc>
        <w:tc>
          <w:tcPr>
            <w:tcW w:w="6714" w:type="dxa"/>
            <w:tcBorders>
              <w:top w:val="single" w:color="auto" w:sz="4" w:space="0"/>
              <w:left w:val="nil"/>
              <w:bottom w:val="single" w:color="auto" w:sz="4" w:space="0"/>
              <w:right w:val="single" w:color="auto" w:sz="4" w:space="0"/>
            </w:tcBorders>
            <w:vAlign w:val="center"/>
          </w:tcPr>
          <w:p w14:paraId="2ACF521D">
            <w:pPr>
              <w:widowControl/>
              <w:spacing w:line="240" w:lineRule="auto"/>
              <w:jc w:val="left"/>
              <w:rPr>
                <w:rFonts w:ascii="宋体" w:hAnsi="宋体" w:cs="Times New Roman"/>
                <w:color w:val="auto"/>
                <w:sz w:val="21"/>
                <w:szCs w:val="21"/>
              </w:rPr>
            </w:pPr>
            <w:r>
              <w:rPr>
                <w:rFonts w:hint="eastAsia" w:ascii="宋体" w:hAnsi="宋体"/>
                <w:color w:val="auto"/>
                <w:kern w:val="0"/>
                <w:sz w:val="21"/>
                <w:szCs w:val="21"/>
              </w:rPr>
              <w:t>制取氟硅酸盐及四氟化硅的原料,也应用于金属电镀、木材防腐、啤酒消毒等</w:t>
            </w:r>
          </w:p>
        </w:tc>
      </w:tr>
      <w:tr w14:paraId="77E1A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348" w:type="dxa"/>
            <w:gridSpan w:val="2"/>
            <w:tcBorders>
              <w:top w:val="single" w:color="auto" w:sz="4" w:space="0"/>
              <w:left w:val="single" w:color="auto" w:sz="4" w:space="0"/>
              <w:bottom w:val="single" w:color="auto" w:sz="4" w:space="0"/>
              <w:right w:val="single" w:color="auto" w:sz="4" w:space="0"/>
            </w:tcBorders>
            <w:vAlign w:val="center"/>
          </w:tcPr>
          <w:p w14:paraId="5AC40245">
            <w:pPr>
              <w:pStyle w:val="106"/>
              <w:jc w:val="center"/>
              <w:rPr>
                <w:rFonts w:hAnsi="宋体" w:cs="Times New Roman"/>
                <w:color w:val="auto"/>
                <w:sz w:val="21"/>
                <w:szCs w:val="21"/>
              </w:rPr>
            </w:pPr>
            <w:r>
              <w:rPr>
                <w:rFonts w:cs="Times New Roman"/>
                <w:b/>
                <w:bCs/>
                <w:color w:val="auto"/>
                <w:sz w:val="21"/>
                <w:szCs w:val="21"/>
              </w:rPr>
              <w:t>第二部分</w:t>
            </w:r>
            <w:r>
              <w:rPr>
                <w:rFonts w:hAnsi="宋体" w:cs="Times New Roman"/>
                <w:b/>
                <w:bCs/>
                <w:color w:val="auto"/>
                <w:sz w:val="21"/>
                <w:szCs w:val="21"/>
              </w:rPr>
              <w:t xml:space="preserve"> </w:t>
            </w:r>
            <w:r>
              <w:rPr>
                <w:rFonts w:cs="Times New Roman"/>
                <w:b/>
                <w:bCs/>
                <w:color w:val="auto"/>
                <w:sz w:val="21"/>
                <w:szCs w:val="21"/>
              </w:rPr>
              <w:t>危险性概述</w:t>
            </w:r>
          </w:p>
        </w:tc>
      </w:tr>
      <w:tr w14:paraId="2E2FB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13C37582">
            <w:pPr>
              <w:pStyle w:val="106"/>
              <w:jc w:val="center"/>
              <w:rPr>
                <w:rFonts w:ascii="..ì." w:hAnsi="宋体" w:cs="Times New Roman"/>
                <w:color w:val="auto"/>
                <w:sz w:val="21"/>
                <w:szCs w:val="21"/>
              </w:rPr>
            </w:pPr>
            <w:r>
              <w:rPr>
                <w:rFonts w:cs="Times New Roman"/>
                <w:color w:val="auto"/>
                <w:sz w:val="21"/>
                <w:szCs w:val="21"/>
              </w:rPr>
              <w:t>紧急情况概述</w:t>
            </w:r>
          </w:p>
        </w:tc>
        <w:tc>
          <w:tcPr>
            <w:tcW w:w="6714" w:type="dxa"/>
            <w:tcBorders>
              <w:top w:val="single" w:color="auto" w:sz="4" w:space="0"/>
              <w:left w:val="nil"/>
              <w:bottom w:val="single" w:color="auto" w:sz="4" w:space="0"/>
              <w:right w:val="single" w:color="auto" w:sz="4" w:space="0"/>
            </w:tcBorders>
            <w:vAlign w:val="center"/>
          </w:tcPr>
          <w:p w14:paraId="325D4316">
            <w:pPr>
              <w:pStyle w:val="106"/>
              <w:jc w:val="both"/>
              <w:rPr>
                <w:rFonts w:hAnsi="宋体" w:cs="Times New Roman"/>
                <w:color w:val="auto"/>
                <w:sz w:val="21"/>
                <w:szCs w:val="21"/>
              </w:rPr>
            </w:pPr>
            <w:r>
              <w:rPr>
                <w:rFonts w:cs="Times New Roman"/>
                <w:color w:val="auto"/>
                <w:sz w:val="21"/>
                <w:szCs w:val="21"/>
              </w:rPr>
              <w:t>造成严重的皮肤灼伤和眼损伤</w:t>
            </w:r>
          </w:p>
        </w:tc>
      </w:tr>
      <w:tr w14:paraId="106B5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539336D6">
            <w:pPr>
              <w:pStyle w:val="106"/>
              <w:jc w:val="center"/>
              <w:rPr>
                <w:rFonts w:hAnsi="宋体" w:cs="Times New Roman"/>
                <w:color w:val="auto"/>
                <w:sz w:val="21"/>
                <w:szCs w:val="21"/>
              </w:rPr>
            </w:pPr>
            <w:r>
              <w:rPr>
                <w:rFonts w:cs="Times New Roman"/>
                <w:color w:val="auto"/>
                <w:sz w:val="21"/>
                <w:szCs w:val="21"/>
              </w:rPr>
              <w:t>GHS危险性类别</w:t>
            </w:r>
          </w:p>
        </w:tc>
        <w:tc>
          <w:tcPr>
            <w:tcW w:w="6714" w:type="dxa"/>
            <w:tcBorders>
              <w:top w:val="single" w:color="auto" w:sz="4" w:space="0"/>
              <w:left w:val="nil"/>
              <w:bottom w:val="single" w:color="auto" w:sz="4" w:space="0"/>
              <w:right w:val="single" w:color="auto" w:sz="4" w:space="0"/>
            </w:tcBorders>
            <w:vAlign w:val="center"/>
          </w:tcPr>
          <w:p w14:paraId="51E54168">
            <w:pPr>
              <w:pStyle w:val="106"/>
              <w:jc w:val="both"/>
              <w:rPr>
                <w:rFonts w:hAnsi="宋体" w:cs="Times New Roman"/>
                <w:color w:val="auto"/>
                <w:sz w:val="21"/>
                <w:szCs w:val="21"/>
              </w:rPr>
            </w:pPr>
            <w:r>
              <w:rPr>
                <w:rFonts w:cs="Times New Roman"/>
                <w:color w:val="auto"/>
                <w:sz w:val="21"/>
                <w:szCs w:val="21"/>
              </w:rPr>
              <w:t>皮肤腐蚀/刺激,类别1B;严重眼损伤/眼刺激,类别1</w:t>
            </w:r>
          </w:p>
        </w:tc>
      </w:tr>
      <w:tr w14:paraId="07C41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5CFC14F8">
            <w:pPr>
              <w:pStyle w:val="106"/>
              <w:jc w:val="center"/>
              <w:rPr>
                <w:rFonts w:hAnsi="宋体" w:cs="Times New Roman"/>
                <w:color w:val="auto"/>
                <w:sz w:val="21"/>
                <w:szCs w:val="21"/>
              </w:rPr>
            </w:pPr>
            <w:r>
              <w:rPr>
                <w:rFonts w:cs="Times New Roman"/>
                <w:color w:val="auto"/>
                <w:sz w:val="21"/>
                <w:szCs w:val="21"/>
              </w:rPr>
              <w:t>标签要素</w:t>
            </w:r>
          </w:p>
          <w:p w14:paraId="00459843">
            <w:pPr>
              <w:pStyle w:val="106"/>
              <w:jc w:val="center"/>
              <w:rPr>
                <w:rFonts w:hAnsi="宋体" w:cs="Times New Roman"/>
                <w:color w:val="auto"/>
                <w:sz w:val="21"/>
                <w:szCs w:val="21"/>
              </w:rPr>
            </w:pPr>
            <w:r>
              <w:rPr>
                <w:rFonts w:cs="Times New Roman"/>
                <w:color w:val="auto"/>
                <w:sz w:val="21"/>
                <w:szCs w:val="21"/>
              </w:rPr>
              <w:t>象形图</w:t>
            </w:r>
          </w:p>
        </w:tc>
        <w:tc>
          <w:tcPr>
            <w:tcW w:w="6714" w:type="dxa"/>
            <w:tcBorders>
              <w:top w:val="single" w:color="auto" w:sz="4" w:space="0"/>
              <w:left w:val="nil"/>
              <w:bottom w:val="single" w:color="auto" w:sz="4" w:space="0"/>
              <w:right w:val="single" w:color="auto" w:sz="4" w:space="0"/>
            </w:tcBorders>
            <w:vAlign w:val="center"/>
          </w:tcPr>
          <w:p w14:paraId="2583FF0A">
            <w:pPr>
              <w:pStyle w:val="106"/>
              <w:jc w:val="both"/>
              <w:rPr>
                <w:rFonts w:hAnsi="宋体" w:cs="Times New Roman"/>
                <w:color w:val="auto"/>
                <w:sz w:val="21"/>
                <w:szCs w:val="21"/>
              </w:rPr>
            </w:pPr>
            <w:r>
              <w:rPr>
                <w:rFonts w:hint="eastAsia" w:cs="Times New Roman"/>
                <w:color w:val="auto"/>
                <w:sz w:val="21"/>
                <w:szCs w:val="21"/>
              </w:rPr>
              <w:drawing>
                <wp:inline distT="0" distB="0" distL="0" distR="0">
                  <wp:extent cx="389255" cy="398145"/>
                  <wp:effectExtent l="0" t="0" r="4445" b="8255"/>
                  <wp:docPr id="260897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89714" name="图片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89255" cy="398145"/>
                          </a:xfrm>
                          <a:prstGeom prst="rect">
                            <a:avLst/>
                          </a:prstGeom>
                          <a:noFill/>
                          <a:ln>
                            <a:noFill/>
                          </a:ln>
                        </pic:spPr>
                      </pic:pic>
                    </a:graphicData>
                  </a:graphic>
                </wp:inline>
              </w:drawing>
            </w:r>
          </w:p>
        </w:tc>
      </w:tr>
      <w:tr w14:paraId="268F5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3EB35D32">
            <w:pPr>
              <w:pStyle w:val="106"/>
              <w:jc w:val="center"/>
              <w:rPr>
                <w:rFonts w:hAnsi="宋体" w:cs="Times New Roman"/>
                <w:color w:val="auto"/>
                <w:sz w:val="21"/>
                <w:szCs w:val="21"/>
              </w:rPr>
            </w:pPr>
            <w:r>
              <w:rPr>
                <w:rFonts w:cs="Times New Roman"/>
                <w:color w:val="auto"/>
                <w:sz w:val="21"/>
                <w:szCs w:val="21"/>
              </w:rPr>
              <w:t>警示词</w:t>
            </w:r>
          </w:p>
        </w:tc>
        <w:tc>
          <w:tcPr>
            <w:tcW w:w="6714" w:type="dxa"/>
            <w:tcBorders>
              <w:top w:val="single" w:color="auto" w:sz="4" w:space="0"/>
              <w:left w:val="nil"/>
              <w:bottom w:val="single" w:color="auto" w:sz="4" w:space="0"/>
              <w:right w:val="single" w:color="auto" w:sz="4" w:space="0"/>
            </w:tcBorders>
            <w:vAlign w:val="center"/>
          </w:tcPr>
          <w:p w14:paraId="4E1895B0">
            <w:pPr>
              <w:pStyle w:val="106"/>
              <w:jc w:val="both"/>
              <w:rPr>
                <w:rFonts w:hAnsi="宋体" w:cs="Times New Roman"/>
                <w:color w:val="auto"/>
                <w:sz w:val="21"/>
                <w:szCs w:val="21"/>
              </w:rPr>
            </w:pPr>
            <w:r>
              <w:rPr>
                <w:rFonts w:cs="Times New Roman"/>
                <w:color w:val="auto"/>
                <w:sz w:val="21"/>
                <w:szCs w:val="21"/>
              </w:rPr>
              <w:t>危险</w:t>
            </w:r>
          </w:p>
        </w:tc>
      </w:tr>
      <w:tr w14:paraId="41BB8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16865C4B">
            <w:pPr>
              <w:pStyle w:val="106"/>
              <w:jc w:val="center"/>
              <w:rPr>
                <w:rFonts w:hAnsi="宋体" w:cs="Times New Roman"/>
                <w:color w:val="auto"/>
                <w:sz w:val="21"/>
                <w:szCs w:val="21"/>
              </w:rPr>
            </w:pPr>
            <w:r>
              <w:rPr>
                <w:rFonts w:cs="Times New Roman"/>
                <w:color w:val="auto"/>
                <w:sz w:val="21"/>
                <w:szCs w:val="21"/>
              </w:rPr>
              <w:t>危险性说明</w:t>
            </w:r>
          </w:p>
        </w:tc>
        <w:tc>
          <w:tcPr>
            <w:tcW w:w="6714" w:type="dxa"/>
            <w:tcBorders>
              <w:top w:val="single" w:color="auto" w:sz="4" w:space="0"/>
              <w:left w:val="nil"/>
              <w:bottom w:val="single" w:color="auto" w:sz="4" w:space="0"/>
              <w:right w:val="single" w:color="auto" w:sz="4" w:space="0"/>
            </w:tcBorders>
            <w:vAlign w:val="center"/>
          </w:tcPr>
          <w:p w14:paraId="0505FB14">
            <w:pPr>
              <w:pStyle w:val="106"/>
              <w:jc w:val="both"/>
              <w:rPr>
                <w:rFonts w:hAnsi="宋体" w:cs="Times New Roman"/>
                <w:color w:val="auto"/>
                <w:sz w:val="21"/>
                <w:szCs w:val="21"/>
              </w:rPr>
            </w:pPr>
            <w:r>
              <w:rPr>
                <w:rFonts w:cs="Times New Roman"/>
                <w:color w:val="auto"/>
                <w:sz w:val="21"/>
                <w:szCs w:val="21"/>
              </w:rPr>
              <w:t>造成严重的皮肤灼伤和眼损伤</w:t>
            </w:r>
          </w:p>
        </w:tc>
      </w:tr>
      <w:tr w14:paraId="23A35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372422AA">
            <w:pPr>
              <w:pStyle w:val="106"/>
              <w:jc w:val="center"/>
              <w:rPr>
                <w:rFonts w:hAnsi="宋体" w:cs="Times New Roman"/>
                <w:color w:val="auto"/>
                <w:sz w:val="21"/>
                <w:szCs w:val="21"/>
              </w:rPr>
            </w:pPr>
            <w:r>
              <w:rPr>
                <w:rFonts w:cs="Times New Roman"/>
                <w:color w:val="auto"/>
                <w:sz w:val="21"/>
                <w:szCs w:val="21"/>
              </w:rPr>
              <w:t>防范说明</w:t>
            </w:r>
          </w:p>
        </w:tc>
        <w:tc>
          <w:tcPr>
            <w:tcW w:w="6714" w:type="dxa"/>
            <w:tcBorders>
              <w:top w:val="single" w:color="auto" w:sz="4" w:space="0"/>
              <w:left w:val="nil"/>
              <w:bottom w:val="single" w:color="auto" w:sz="4" w:space="0"/>
              <w:right w:val="single" w:color="auto" w:sz="4" w:space="0"/>
            </w:tcBorders>
            <w:vAlign w:val="center"/>
          </w:tcPr>
          <w:p w14:paraId="03A9B195">
            <w:pPr>
              <w:widowControl/>
              <w:spacing w:line="240" w:lineRule="auto"/>
              <w:jc w:val="left"/>
              <w:rPr>
                <w:rFonts w:ascii="宋体" w:hAnsi="宋体" w:cs="Times New Roman"/>
                <w:color w:val="auto"/>
                <w:sz w:val="21"/>
                <w:szCs w:val="21"/>
              </w:rPr>
            </w:pPr>
            <w:r>
              <w:rPr>
                <w:rFonts w:hint="eastAsia" w:ascii="宋体" w:hAnsi="宋体"/>
                <w:color w:val="auto"/>
                <w:sz w:val="21"/>
                <w:szCs w:val="21"/>
              </w:rPr>
              <w:t>预防措施  避免接触眼睛、皮肤,操作后彻底清洗。戴防护手套、穿防护服、戴防护眼镜、防护面罩</w:t>
            </w:r>
          </w:p>
          <w:p w14:paraId="28197B53">
            <w:pPr>
              <w:widowControl/>
              <w:spacing w:line="240" w:lineRule="auto"/>
              <w:jc w:val="left"/>
              <w:rPr>
                <w:rFonts w:ascii="宋体" w:hAnsi="宋体"/>
                <w:color w:val="auto"/>
                <w:sz w:val="21"/>
                <w:szCs w:val="21"/>
              </w:rPr>
            </w:pPr>
            <w:r>
              <w:rPr>
                <w:rFonts w:hint="eastAsia" w:ascii="宋体" w:hAnsi="宋体"/>
                <w:color w:val="auto"/>
                <w:sz w:val="21"/>
                <w:szCs w:val="21"/>
              </w:rPr>
              <w:t>事故响应  食入:漱口。不要催吐。如吸入:将患者转移到空气新鲜处,休息,保持利于呼吸的体位,立即呼叫中毒控制中心或就医。皮肤(或头发)接触:立即脱掉所有被污染的衣服,用水冲洗皮肤,淋浴。污染的衣服须洗净后方可重新使用。眼睛接触:用水细心地冲洗数分钟。如戴隐形眼镜并可方便地取出,则取出隐形眼镜继续冲洗</w:t>
            </w:r>
          </w:p>
          <w:p w14:paraId="1CCDEFF9">
            <w:pPr>
              <w:pStyle w:val="106"/>
              <w:rPr>
                <w:rFonts w:hAnsi="宋体" w:cs="Times New Roman"/>
                <w:color w:val="auto"/>
                <w:kern w:val="2"/>
                <w:sz w:val="21"/>
                <w:szCs w:val="21"/>
              </w:rPr>
            </w:pPr>
            <w:r>
              <w:rPr>
                <w:rFonts w:cs="Times New Roman"/>
                <w:color w:val="auto"/>
                <w:kern w:val="2"/>
                <w:sz w:val="21"/>
                <w:szCs w:val="21"/>
              </w:rPr>
              <w:t>安全储存</w:t>
            </w:r>
            <w:r>
              <w:rPr>
                <w:rFonts w:hAnsi="宋体" w:cs="Times New Roman"/>
                <w:color w:val="auto"/>
                <w:kern w:val="2"/>
                <w:sz w:val="21"/>
                <w:szCs w:val="21"/>
              </w:rPr>
              <w:t xml:space="preserve"> </w:t>
            </w:r>
            <w:r>
              <w:rPr>
                <w:rFonts w:cs="Times New Roman"/>
                <w:color w:val="auto"/>
                <w:kern w:val="2"/>
                <w:sz w:val="21"/>
                <w:szCs w:val="21"/>
              </w:rPr>
              <w:t xml:space="preserve"> 上锁保管</w:t>
            </w:r>
          </w:p>
          <w:p w14:paraId="06F6C677">
            <w:pPr>
              <w:widowControl/>
              <w:spacing w:line="240" w:lineRule="auto"/>
              <w:jc w:val="left"/>
              <w:rPr>
                <w:rFonts w:ascii="宋体" w:hAnsi="宋体" w:cs="Times New Roman"/>
                <w:color w:val="auto"/>
                <w:sz w:val="21"/>
                <w:szCs w:val="21"/>
              </w:rPr>
            </w:pPr>
            <w:r>
              <w:rPr>
                <w:rFonts w:hint="eastAsia" w:ascii="宋体" w:hAnsi="宋体"/>
                <w:color w:val="auto"/>
                <w:sz w:val="21"/>
                <w:szCs w:val="21"/>
              </w:rPr>
              <w:t>废弃处置  本品及内装物、容器依据国家和地方法规处置</w:t>
            </w:r>
          </w:p>
        </w:tc>
      </w:tr>
      <w:tr w14:paraId="798EC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30557F96">
            <w:pPr>
              <w:pStyle w:val="106"/>
              <w:jc w:val="center"/>
              <w:rPr>
                <w:rFonts w:hAnsi="宋体" w:cs="Times New Roman"/>
                <w:color w:val="auto"/>
                <w:sz w:val="21"/>
                <w:szCs w:val="21"/>
              </w:rPr>
            </w:pPr>
            <w:r>
              <w:rPr>
                <w:rFonts w:cs="Times New Roman"/>
                <w:color w:val="auto"/>
                <w:sz w:val="21"/>
                <w:szCs w:val="21"/>
              </w:rPr>
              <w:t>物理和化学危险</w:t>
            </w:r>
          </w:p>
        </w:tc>
        <w:tc>
          <w:tcPr>
            <w:tcW w:w="6714" w:type="dxa"/>
            <w:tcBorders>
              <w:top w:val="single" w:color="auto" w:sz="4" w:space="0"/>
              <w:left w:val="nil"/>
              <w:bottom w:val="single" w:color="auto" w:sz="4" w:space="0"/>
              <w:right w:val="single" w:color="auto" w:sz="4" w:space="0"/>
            </w:tcBorders>
            <w:vAlign w:val="center"/>
          </w:tcPr>
          <w:p w14:paraId="3A2772D6">
            <w:pPr>
              <w:pStyle w:val="106"/>
              <w:jc w:val="both"/>
              <w:rPr>
                <w:rFonts w:ascii="..ì." w:hAnsi="宋体" w:cs="Times New Roman"/>
                <w:color w:val="auto"/>
                <w:sz w:val="21"/>
                <w:szCs w:val="21"/>
              </w:rPr>
            </w:pPr>
            <w:r>
              <w:rPr>
                <w:rFonts w:cs="Times New Roman"/>
                <w:color w:val="auto"/>
                <w:sz w:val="21"/>
                <w:szCs w:val="21"/>
              </w:rPr>
              <w:t>不燃,无特殊燃爆特性</w:t>
            </w:r>
          </w:p>
        </w:tc>
      </w:tr>
      <w:tr w14:paraId="575EE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49A54DB2">
            <w:pPr>
              <w:pStyle w:val="106"/>
              <w:jc w:val="center"/>
              <w:rPr>
                <w:rFonts w:hAnsi="宋体" w:cs="Times New Roman"/>
                <w:color w:val="auto"/>
                <w:sz w:val="21"/>
                <w:szCs w:val="21"/>
              </w:rPr>
            </w:pPr>
            <w:r>
              <w:rPr>
                <w:rFonts w:cs="Times New Roman"/>
                <w:color w:val="auto"/>
                <w:sz w:val="21"/>
                <w:szCs w:val="21"/>
              </w:rPr>
              <w:t>健康危害</w:t>
            </w:r>
          </w:p>
        </w:tc>
        <w:tc>
          <w:tcPr>
            <w:tcW w:w="6714" w:type="dxa"/>
            <w:tcBorders>
              <w:top w:val="single" w:color="auto" w:sz="4" w:space="0"/>
              <w:left w:val="nil"/>
              <w:bottom w:val="single" w:color="auto" w:sz="4" w:space="0"/>
              <w:right w:val="single" w:color="auto" w:sz="4" w:space="0"/>
            </w:tcBorders>
            <w:vAlign w:val="center"/>
          </w:tcPr>
          <w:p w14:paraId="6F5F3827">
            <w:pPr>
              <w:widowControl/>
              <w:spacing w:line="240" w:lineRule="auto"/>
              <w:jc w:val="left"/>
              <w:rPr>
                <w:rFonts w:ascii="宋体" w:hAnsi="宋体" w:cs="Times New Roman"/>
                <w:color w:val="auto"/>
                <w:sz w:val="21"/>
                <w:szCs w:val="21"/>
              </w:rPr>
            </w:pPr>
            <w:r>
              <w:rPr>
                <w:rFonts w:hint="eastAsia" w:ascii="宋体" w:hAnsi="宋体"/>
                <w:color w:val="auto"/>
                <w:sz w:val="21"/>
                <w:szCs w:val="21"/>
              </w:rPr>
              <w:t>皮肤直接接触,引起发红,局部有烧灼感,重者有溃疡形成。对机体的作用似氢氟酸,但较弱</w:t>
            </w:r>
          </w:p>
        </w:tc>
      </w:tr>
      <w:tr w14:paraId="7E0A1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3C265525">
            <w:pPr>
              <w:pStyle w:val="106"/>
              <w:jc w:val="center"/>
              <w:rPr>
                <w:rFonts w:hAnsi="宋体" w:cs="Times New Roman"/>
                <w:color w:val="auto"/>
                <w:sz w:val="21"/>
                <w:szCs w:val="21"/>
              </w:rPr>
            </w:pPr>
            <w:r>
              <w:rPr>
                <w:rFonts w:cs="Times New Roman"/>
                <w:color w:val="auto"/>
                <w:sz w:val="21"/>
                <w:szCs w:val="21"/>
              </w:rPr>
              <w:t>环境危害</w:t>
            </w:r>
          </w:p>
        </w:tc>
        <w:tc>
          <w:tcPr>
            <w:tcW w:w="6714" w:type="dxa"/>
            <w:tcBorders>
              <w:top w:val="single" w:color="auto" w:sz="4" w:space="0"/>
              <w:left w:val="nil"/>
              <w:bottom w:val="single" w:color="auto" w:sz="4" w:space="0"/>
              <w:right w:val="single" w:color="auto" w:sz="4" w:space="0"/>
            </w:tcBorders>
            <w:vAlign w:val="center"/>
          </w:tcPr>
          <w:p w14:paraId="192AB43B">
            <w:pPr>
              <w:pStyle w:val="106"/>
              <w:jc w:val="both"/>
              <w:rPr>
                <w:rFonts w:ascii="..ì." w:hAnsi="宋体" w:cs="Times New Roman"/>
                <w:color w:val="auto"/>
                <w:sz w:val="21"/>
                <w:szCs w:val="21"/>
              </w:rPr>
            </w:pPr>
            <w:r>
              <w:rPr>
                <w:rFonts w:cs="Times New Roman"/>
                <w:color w:val="auto"/>
                <w:sz w:val="21"/>
                <w:szCs w:val="21"/>
              </w:rPr>
              <w:t>对环境可能有害</w:t>
            </w:r>
          </w:p>
        </w:tc>
      </w:tr>
      <w:tr w14:paraId="16AB7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348" w:type="dxa"/>
            <w:gridSpan w:val="2"/>
            <w:tcBorders>
              <w:top w:val="single" w:color="auto" w:sz="4" w:space="0"/>
              <w:left w:val="single" w:color="auto" w:sz="4" w:space="0"/>
              <w:bottom w:val="single" w:color="auto" w:sz="4" w:space="0"/>
              <w:right w:val="single" w:color="auto" w:sz="4" w:space="0"/>
            </w:tcBorders>
            <w:vAlign w:val="center"/>
          </w:tcPr>
          <w:p w14:paraId="4943A7D2">
            <w:pPr>
              <w:pStyle w:val="106"/>
              <w:jc w:val="center"/>
              <w:rPr>
                <w:rFonts w:hAnsi="宋体" w:cs="Times New Roman"/>
                <w:color w:val="auto"/>
                <w:sz w:val="21"/>
                <w:szCs w:val="21"/>
              </w:rPr>
            </w:pPr>
            <w:r>
              <w:rPr>
                <w:rFonts w:cs="Times New Roman"/>
                <w:b/>
                <w:bCs/>
                <w:color w:val="auto"/>
                <w:sz w:val="21"/>
                <w:szCs w:val="21"/>
              </w:rPr>
              <w:t>第三部分</w:t>
            </w:r>
            <w:r>
              <w:rPr>
                <w:rFonts w:hAnsi="宋体" w:cs="Times New Roman"/>
                <w:b/>
                <w:bCs/>
                <w:color w:val="auto"/>
                <w:sz w:val="21"/>
                <w:szCs w:val="21"/>
              </w:rPr>
              <w:t xml:space="preserve"> </w:t>
            </w:r>
            <w:r>
              <w:rPr>
                <w:rFonts w:cs="Times New Roman"/>
                <w:b/>
                <w:bCs/>
                <w:color w:val="auto"/>
                <w:sz w:val="21"/>
                <w:szCs w:val="21"/>
              </w:rPr>
              <w:t>成分/组成信息</w:t>
            </w:r>
          </w:p>
        </w:tc>
      </w:tr>
      <w:tr w14:paraId="2322D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1D71EA94">
            <w:pPr>
              <w:pStyle w:val="106"/>
              <w:jc w:val="center"/>
              <w:rPr>
                <w:rFonts w:hAnsi="宋体" w:cs="Times New Roman"/>
                <w:color w:val="auto"/>
                <w:sz w:val="21"/>
                <w:szCs w:val="21"/>
              </w:rPr>
            </w:pPr>
            <w:r>
              <w:rPr>
                <w:rFonts w:cs="Times New Roman"/>
                <w:color w:val="auto"/>
                <w:sz w:val="21"/>
                <w:szCs w:val="21"/>
              </w:rPr>
              <w:t>√物质</w:t>
            </w:r>
          </w:p>
        </w:tc>
        <w:tc>
          <w:tcPr>
            <w:tcW w:w="6714" w:type="dxa"/>
            <w:tcBorders>
              <w:top w:val="single" w:color="auto" w:sz="4" w:space="0"/>
              <w:left w:val="nil"/>
              <w:bottom w:val="single" w:color="auto" w:sz="4" w:space="0"/>
              <w:right w:val="single" w:color="auto" w:sz="4" w:space="0"/>
            </w:tcBorders>
            <w:vAlign w:val="center"/>
          </w:tcPr>
          <w:p w14:paraId="267B9ADE">
            <w:pPr>
              <w:pStyle w:val="106"/>
              <w:jc w:val="both"/>
              <w:rPr>
                <w:rFonts w:hAnsi="宋体" w:cs="Times New Roman"/>
                <w:color w:val="auto"/>
                <w:sz w:val="21"/>
                <w:szCs w:val="21"/>
              </w:rPr>
            </w:pPr>
            <w:r>
              <w:rPr>
                <w:rFonts w:cs="Times New Roman"/>
                <w:color w:val="auto"/>
                <w:sz w:val="21"/>
                <w:szCs w:val="21"/>
              </w:rPr>
              <w:t>混合物</w:t>
            </w:r>
          </w:p>
        </w:tc>
      </w:tr>
      <w:tr w14:paraId="4DC76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0C8DB900">
            <w:pPr>
              <w:pStyle w:val="106"/>
              <w:jc w:val="center"/>
              <w:rPr>
                <w:rFonts w:hAnsi="宋体" w:cs="Times New Roman"/>
                <w:color w:val="auto"/>
                <w:sz w:val="21"/>
                <w:szCs w:val="21"/>
              </w:rPr>
            </w:pPr>
            <w:r>
              <w:rPr>
                <w:rFonts w:cs="Times New Roman"/>
                <w:color w:val="auto"/>
                <w:sz w:val="21"/>
                <w:szCs w:val="21"/>
              </w:rPr>
              <w:t>组分</w:t>
            </w:r>
          </w:p>
        </w:tc>
        <w:tc>
          <w:tcPr>
            <w:tcW w:w="6714" w:type="dxa"/>
            <w:tcBorders>
              <w:top w:val="single" w:color="auto" w:sz="4" w:space="0"/>
              <w:left w:val="nil"/>
              <w:bottom w:val="single" w:color="auto" w:sz="4" w:space="0"/>
              <w:right w:val="single" w:color="auto" w:sz="4" w:space="0"/>
            </w:tcBorders>
            <w:vAlign w:val="center"/>
          </w:tcPr>
          <w:p w14:paraId="69E3EDCB">
            <w:pPr>
              <w:pStyle w:val="106"/>
              <w:jc w:val="both"/>
              <w:rPr>
                <w:rFonts w:hAnsi="宋体" w:cs="Times New Roman"/>
                <w:color w:val="auto"/>
                <w:sz w:val="21"/>
                <w:szCs w:val="21"/>
              </w:rPr>
            </w:pPr>
            <w:r>
              <w:rPr>
                <w:rFonts w:cs="Times New Roman"/>
                <w:color w:val="auto"/>
                <w:sz w:val="21"/>
                <w:szCs w:val="21"/>
              </w:rPr>
              <w:t>氟硅酸</w:t>
            </w:r>
          </w:p>
        </w:tc>
      </w:tr>
      <w:tr w14:paraId="125ED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774E1F0D">
            <w:pPr>
              <w:pStyle w:val="106"/>
              <w:jc w:val="center"/>
              <w:rPr>
                <w:rFonts w:hAnsi="宋体" w:cs="Times New Roman"/>
                <w:color w:val="auto"/>
                <w:sz w:val="21"/>
                <w:szCs w:val="21"/>
              </w:rPr>
            </w:pPr>
            <w:r>
              <w:rPr>
                <w:rFonts w:cs="Times New Roman"/>
                <w:color w:val="auto"/>
                <w:sz w:val="21"/>
                <w:szCs w:val="21"/>
              </w:rPr>
              <w:t>浓度</w:t>
            </w:r>
          </w:p>
        </w:tc>
        <w:tc>
          <w:tcPr>
            <w:tcW w:w="6714" w:type="dxa"/>
            <w:tcBorders>
              <w:top w:val="single" w:color="auto" w:sz="4" w:space="0"/>
              <w:left w:val="nil"/>
              <w:bottom w:val="single" w:color="auto" w:sz="4" w:space="0"/>
              <w:right w:val="single" w:color="auto" w:sz="4" w:space="0"/>
            </w:tcBorders>
            <w:vAlign w:val="center"/>
          </w:tcPr>
          <w:p w14:paraId="68F6C808">
            <w:pPr>
              <w:pStyle w:val="106"/>
              <w:jc w:val="both"/>
              <w:rPr>
                <w:rFonts w:hAnsi="宋体" w:cs="Times New Roman"/>
                <w:color w:val="auto"/>
                <w:sz w:val="21"/>
                <w:szCs w:val="21"/>
              </w:rPr>
            </w:pPr>
          </w:p>
        </w:tc>
      </w:tr>
      <w:tr w14:paraId="79752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0510E293">
            <w:pPr>
              <w:pStyle w:val="106"/>
              <w:jc w:val="center"/>
              <w:rPr>
                <w:rFonts w:hAnsi="宋体" w:cs="Times New Roman"/>
                <w:color w:val="auto"/>
                <w:sz w:val="21"/>
                <w:szCs w:val="21"/>
              </w:rPr>
            </w:pPr>
            <w:r>
              <w:rPr>
                <w:rFonts w:cs="Times New Roman"/>
                <w:color w:val="auto"/>
                <w:sz w:val="21"/>
                <w:szCs w:val="21"/>
              </w:rPr>
              <w:t>CASNo.</w:t>
            </w:r>
          </w:p>
        </w:tc>
        <w:tc>
          <w:tcPr>
            <w:tcW w:w="6714" w:type="dxa"/>
            <w:tcBorders>
              <w:top w:val="single" w:color="auto" w:sz="4" w:space="0"/>
              <w:left w:val="nil"/>
              <w:bottom w:val="single" w:color="auto" w:sz="4" w:space="0"/>
              <w:right w:val="single" w:color="auto" w:sz="4" w:space="0"/>
            </w:tcBorders>
            <w:vAlign w:val="center"/>
          </w:tcPr>
          <w:p w14:paraId="4D05A17E">
            <w:pPr>
              <w:pStyle w:val="106"/>
              <w:jc w:val="both"/>
              <w:rPr>
                <w:rFonts w:hAnsi="宋体" w:cs="Times New Roman"/>
                <w:color w:val="auto"/>
                <w:sz w:val="21"/>
                <w:szCs w:val="21"/>
              </w:rPr>
            </w:pPr>
            <w:r>
              <w:rPr>
                <w:rFonts w:cs="Times New Roman"/>
                <w:color w:val="auto"/>
                <w:sz w:val="21"/>
                <w:szCs w:val="21"/>
              </w:rPr>
              <w:t>16961-83-4</w:t>
            </w:r>
          </w:p>
        </w:tc>
      </w:tr>
      <w:tr w14:paraId="14554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348" w:type="dxa"/>
            <w:gridSpan w:val="2"/>
            <w:tcBorders>
              <w:top w:val="single" w:color="auto" w:sz="4" w:space="0"/>
              <w:left w:val="single" w:color="auto" w:sz="4" w:space="0"/>
              <w:bottom w:val="single" w:color="auto" w:sz="4" w:space="0"/>
              <w:right w:val="single" w:color="auto" w:sz="4" w:space="0"/>
            </w:tcBorders>
            <w:vAlign w:val="center"/>
          </w:tcPr>
          <w:p w14:paraId="7FFD5AD4">
            <w:pPr>
              <w:pStyle w:val="106"/>
              <w:jc w:val="center"/>
              <w:rPr>
                <w:rFonts w:hAnsi="宋体" w:cs="Times New Roman"/>
                <w:color w:val="auto"/>
                <w:sz w:val="21"/>
                <w:szCs w:val="21"/>
              </w:rPr>
            </w:pPr>
            <w:r>
              <w:rPr>
                <w:rFonts w:cs="Times New Roman"/>
                <w:b/>
                <w:bCs/>
                <w:color w:val="auto"/>
                <w:sz w:val="21"/>
                <w:szCs w:val="21"/>
              </w:rPr>
              <w:t>第四部分</w:t>
            </w:r>
            <w:r>
              <w:rPr>
                <w:rFonts w:hAnsi="宋体" w:cs="Times New Roman"/>
                <w:b/>
                <w:bCs/>
                <w:color w:val="auto"/>
                <w:sz w:val="21"/>
                <w:szCs w:val="21"/>
              </w:rPr>
              <w:t xml:space="preserve"> </w:t>
            </w:r>
            <w:r>
              <w:rPr>
                <w:rFonts w:cs="Times New Roman"/>
                <w:b/>
                <w:bCs/>
                <w:color w:val="auto"/>
                <w:sz w:val="21"/>
                <w:szCs w:val="21"/>
              </w:rPr>
              <w:t>急救措施</w:t>
            </w:r>
          </w:p>
        </w:tc>
      </w:tr>
      <w:tr w14:paraId="62D30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2850BD3D">
            <w:pPr>
              <w:pStyle w:val="106"/>
              <w:jc w:val="center"/>
              <w:rPr>
                <w:rFonts w:hAnsi="宋体" w:cs="Times New Roman"/>
                <w:color w:val="auto"/>
                <w:sz w:val="21"/>
                <w:szCs w:val="21"/>
              </w:rPr>
            </w:pPr>
            <w:r>
              <w:rPr>
                <w:rFonts w:cs="Times New Roman"/>
                <w:color w:val="auto"/>
                <w:sz w:val="21"/>
                <w:szCs w:val="21"/>
              </w:rPr>
              <w:t>吸入</w:t>
            </w:r>
          </w:p>
        </w:tc>
        <w:tc>
          <w:tcPr>
            <w:tcW w:w="6714" w:type="dxa"/>
            <w:tcBorders>
              <w:top w:val="single" w:color="auto" w:sz="4" w:space="0"/>
              <w:left w:val="nil"/>
              <w:bottom w:val="single" w:color="auto" w:sz="4" w:space="0"/>
              <w:right w:val="single" w:color="auto" w:sz="4" w:space="0"/>
            </w:tcBorders>
            <w:vAlign w:val="center"/>
          </w:tcPr>
          <w:p w14:paraId="68AF6B55">
            <w:pPr>
              <w:pStyle w:val="106"/>
              <w:rPr>
                <w:rFonts w:hAnsi="宋体" w:cs="Times New Roman"/>
                <w:color w:val="auto"/>
                <w:sz w:val="21"/>
                <w:szCs w:val="21"/>
              </w:rPr>
            </w:pPr>
            <w:r>
              <w:rPr>
                <w:rFonts w:cs="Times New Roman"/>
                <w:color w:val="auto"/>
                <w:sz w:val="21"/>
                <w:szCs w:val="21"/>
              </w:rPr>
              <w:t>迅速脱离现场至空气新鲜处。保持呼吸道通畅。如呼吸困难,给输氧。如呼吸、心跳停止,立即进行心肺复苏术。就医</w:t>
            </w:r>
          </w:p>
        </w:tc>
      </w:tr>
      <w:tr w14:paraId="5F5A1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78AE14A3">
            <w:pPr>
              <w:pStyle w:val="106"/>
              <w:jc w:val="center"/>
              <w:rPr>
                <w:rFonts w:hAnsi="宋体" w:cs="Times New Roman"/>
                <w:color w:val="auto"/>
                <w:sz w:val="21"/>
                <w:szCs w:val="21"/>
              </w:rPr>
            </w:pPr>
            <w:r>
              <w:rPr>
                <w:rFonts w:cs="Times New Roman"/>
                <w:color w:val="auto"/>
                <w:sz w:val="21"/>
                <w:szCs w:val="21"/>
              </w:rPr>
              <w:t>皮肤接触</w:t>
            </w:r>
          </w:p>
        </w:tc>
        <w:tc>
          <w:tcPr>
            <w:tcW w:w="6714" w:type="dxa"/>
            <w:tcBorders>
              <w:top w:val="single" w:color="auto" w:sz="4" w:space="0"/>
              <w:left w:val="nil"/>
              <w:bottom w:val="single" w:color="auto" w:sz="4" w:space="0"/>
              <w:right w:val="single" w:color="auto" w:sz="4" w:space="0"/>
            </w:tcBorders>
            <w:vAlign w:val="center"/>
          </w:tcPr>
          <w:p w14:paraId="09511F3E">
            <w:pPr>
              <w:widowControl/>
              <w:spacing w:line="240" w:lineRule="auto"/>
              <w:jc w:val="left"/>
              <w:rPr>
                <w:rFonts w:ascii="宋体" w:hAnsi="宋体" w:cs="Times New Roman"/>
                <w:color w:val="auto"/>
                <w:sz w:val="21"/>
                <w:szCs w:val="21"/>
              </w:rPr>
            </w:pPr>
            <w:r>
              <w:rPr>
                <w:rFonts w:hint="eastAsia" w:ascii="宋体" w:hAnsi="宋体"/>
                <w:color w:val="auto"/>
                <w:kern w:val="0"/>
                <w:sz w:val="21"/>
                <w:szCs w:val="21"/>
              </w:rPr>
              <w:t>立即脱去污染的衣着,用大量流动清水彻底冲洗至少15min。就医</w:t>
            </w:r>
          </w:p>
        </w:tc>
      </w:tr>
      <w:tr w14:paraId="66299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018E35D3">
            <w:pPr>
              <w:pStyle w:val="106"/>
              <w:jc w:val="center"/>
              <w:rPr>
                <w:rFonts w:hAnsi="宋体" w:cs="Times New Roman"/>
                <w:color w:val="auto"/>
                <w:sz w:val="21"/>
                <w:szCs w:val="21"/>
              </w:rPr>
            </w:pPr>
            <w:r>
              <w:rPr>
                <w:rFonts w:cs="Times New Roman"/>
                <w:color w:val="auto"/>
                <w:sz w:val="21"/>
                <w:szCs w:val="21"/>
              </w:rPr>
              <w:t>眼睛接触</w:t>
            </w:r>
          </w:p>
        </w:tc>
        <w:tc>
          <w:tcPr>
            <w:tcW w:w="6714" w:type="dxa"/>
            <w:tcBorders>
              <w:top w:val="single" w:color="auto" w:sz="4" w:space="0"/>
              <w:left w:val="nil"/>
              <w:bottom w:val="single" w:color="auto" w:sz="4" w:space="0"/>
              <w:right w:val="single" w:color="auto" w:sz="4" w:space="0"/>
            </w:tcBorders>
            <w:vAlign w:val="center"/>
          </w:tcPr>
          <w:p w14:paraId="08AE0018">
            <w:pPr>
              <w:widowControl/>
              <w:spacing w:line="240" w:lineRule="auto"/>
              <w:jc w:val="left"/>
              <w:rPr>
                <w:rFonts w:ascii="宋体" w:hAnsi="宋体" w:cs="Times New Roman"/>
                <w:color w:val="auto"/>
                <w:kern w:val="0"/>
                <w:sz w:val="21"/>
                <w:szCs w:val="21"/>
              </w:rPr>
            </w:pPr>
            <w:r>
              <w:rPr>
                <w:rFonts w:hint="eastAsia" w:ascii="宋体" w:hAnsi="宋体"/>
                <w:color w:val="auto"/>
                <w:kern w:val="0"/>
                <w:sz w:val="21"/>
                <w:szCs w:val="21"/>
              </w:rPr>
              <w:t>立即分开眼睑,用流动清水或生理盐水彻底冲洗5~10min。就医</w:t>
            </w:r>
          </w:p>
        </w:tc>
      </w:tr>
      <w:tr w14:paraId="1C3EF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42D00ECA">
            <w:pPr>
              <w:pStyle w:val="106"/>
              <w:jc w:val="center"/>
              <w:rPr>
                <w:rFonts w:hAnsi="宋体" w:cs="Times New Roman"/>
                <w:color w:val="auto"/>
                <w:sz w:val="21"/>
                <w:szCs w:val="21"/>
              </w:rPr>
            </w:pPr>
            <w:r>
              <w:rPr>
                <w:rFonts w:cs="Times New Roman"/>
                <w:color w:val="auto"/>
                <w:sz w:val="21"/>
                <w:szCs w:val="21"/>
              </w:rPr>
              <w:t>食入</w:t>
            </w:r>
          </w:p>
        </w:tc>
        <w:tc>
          <w:tcPr>
            <w:tcW w:w="6714" w:type="dxa"/>
            <w:tcBorders>
              <w:top w:val="single" w:color="auto" w:sz="4" w:space="0"/>
              <w:left w:val="nil"/>
              <w:bottom w:val="single" w:color="auto" w:sz="4" w:space="0"/>
              <w:right w:val="single" w:color="auto" w:sz="4" w:space="0"/>
            </w:tcBorders>
            <w:vAlign w:val="center"/>
          </w:tcPr>
          <w:p w14:paraId="6D50EC0E">
            <w:pPr>
              <w:widowControl/>
              <w:spacing w:line="240" w:lineRule="auto"/>
              <w:jc w:val="left"/>
              <w:rPr>
                <w:rFonts w:ascii="宋体" w:hAnsi="宋体" w:cs="Times New Roman"/>
                <w:color w:val="auto"/>
                <w:kern w:val="0"/>
                <w:sz w:val="21"/>
                <w:szCs w:val="21"/>
              </w:rPr>
            </w:pPr>
            <w:r>
              <w:rPr>
                <w:rFonts w:hint="eastAsia" w:ascii="宋体" w:hAnsi="宋体"/>
                <w:color w:val="auto"/>
                <w:kern w:val="0"/>
                <w:sz w:val="21"/>
                <w:szCs w:val="21"/>
              </w:rPr>
              <w:t>用水漱口,禁止催吐。给饮牛奶或蛋清。就医</w:t>
            </w:r>
          </w:p>
        </w:tc>
      </w:tr>
      <w:tr w14:paraId="74C8F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24310673">
            <w:pPr>
              <w:pStyle w:val="106"/>
              <w:jc w:val="center"/>
              <w:rPr>
                <w:rFonts w:hAnsi="宋体" w:cs="Times New Roman"/>
                <w:color w:val="auto"/>
                <w:sz w:val="21"/>
                <w:szCs w:val="21"/>
              </w:rPr>
            </w:pPr>
            <w:r>
              <w:rPr>
                <w:rFonts w:cs="Times New Roman"/>
                <w:color w:val="auto"/>
                <w:sz w:val="21"/>
                <w:szCs w:val="21"/>
              </w:rPr>
              <w:t>对保护施救者的忠告</w:t>
            </w:r>
          </w:p>
        </w:tc>
        <w:tc>
          <w:tcPr>
            <w:tcW w:w="6714" w:type="dxa"/>
            <w:tcBorders>
              <w:top w:val="single" w:color="auto" w:sz="4" w:space="0"/>
              <w:left w:val="nil"/>
              <w:bottom w:val="single" w:color="auto" w:sz="4" w:space="0"/>
              <w:right w:val="single" w:color="auto" w:sz="4" w:space="0"/>
            </w:tcBorders>
            <w:vAlign w:val="center"/>
          </w:tcPr>
          <w:p w14:paraId="7F0C0FEC">
            <w:pPr>
              <w:pStyle w:val="106"/>
              <w:rPr>
                <w:rFonts w:ascii="..ì." w:hAnsi="宋体" w:cs="Times New Roman"/>
                <w:color w:val="auto"/>
                <w:sz w:val="21"/>
                <w:szCs w:val="21"/>
              </w:rPr>
            </w:pPr>
            <w:r>
              <w:rPr>
                <w:rFonts w:cs="Times New Roman"/>
                <w:color w:val="auto"/>
                <w:sz w:val="21"/>
                <w:szCs w:val="21"/>
              </w:rPr>
              <w:t>根据需要使用个人防护设备</w:t>
            </w:r>
          </w:p>
        </w:tc>
      </w:tr>
      <w:tr w14:paraId="3421C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74672A9C">
            <w:pPr>
              <w:pStyle w:val="106"/>
              <w:jc w:val="center"/>
              <w:rPr>
                <w:rFonts w:hAnsi="宋体" w:cs="Times New Roman"/>
                <w:color w:val="auto"/>
                <w:sz w:val="21"/>
                <w:szCs w:val="21"/>
              </w:rPr>
            </w:pPr>
            <w:r>
              <w:rPr>
                <w:rFonts w:cs="Times New Roman"/>
                <w:color w:val="auto"/>
                <w:sz w:val="21"/>
                <w:szCs w:val="21"/>
              </w:rPr>
              <w:t>对医生的特别提示</w:t>
            </w:r>
          </w:p>
        </w:tc>
        <w:tc>
          <w:tcPr>
            <w:tcW w:w="6714" w:type="dxa"/>
            <w:tcBorders>
              <w:top w:val="single" w:color="auto" w:sz="4" w:space="0"/>
              <w:left w:val="nil"/>
              <w:bottom w:val="single" w:color="auto" w:sz="4" w:space="0"/>
              <w:right w:val="single" w:color="auto" w:sz="4" w:space="0"/>
            </w:tcBorders>
            <w:vAlign w:val="center"/>
          </w:tcPr>
          <w:p w14:paraId="35144747">
            <w:pPr>
              <w:pStyle w:val="106"/>
              <w:rPr>
                <w:rFonts w:hAnsi="宋体" w:cs="Times New Roman"/>
                <w:color w:val="auto"/>
                <w:sz w:val="21"/>
                <w:szCs w:val="21"/>
              </w:rPr>
            </w:pPr>
            <w:r>
              <w:rPr>
                <w:rFonts w:cs="Times New Roman"/>
                <w:color w:val="auto"/>
                <w:sz w:val="21"/>
                <w:szCs w:val="21"/>
              </w:rPr>
              <w:t>对症处理</w:t>
            </w:r>
          </w:p>
        </w:tc>
      </w:tr>
      <w:tr w14:paraId="747BC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348" w:type="dxa"/>
            <w:gridSpan w:val="2"/>
            <w:tcBorders>
              <w:top w:val="single" w:color="auto" w:sz="4" w:space="0"/>
              <w:left w:val="single" w:color="auto" w:sz="4" w:space="0"/>
              <w:bottom w:val="single" w:color="auto" w:sz="4" w:space="0"/>
              <w:right w:val="single" w:color="auto" w:sz="4" w:space="0"/>
            </w:tcBorders>
            <w:vAlign w:val="center"/>
          </w:tcPr>
          <w:p w14:paraId="6D5E855A">
            <w:pPr>
              <w:pStyle w:val="106"/>
              <w:jc w:val="center"/>
              <w:rPr>
                <w:rFonts w:hAnsi="宋体" w:cs="Times New Roman"/>
                <w:color w:val="auto"/>
                <w:sz w:val="21"/>
                <w:szCs w:val="21"/>
              </w:rPr>
            </w:pPr>
            <w:r>
              <w:rPr>
                <w:rFonts w:cs="Times New Roman"/>
                <w:b/>
                <w:bCs/>
                <w:color w:val="auto"/>
                <w:sz w:val="21"/>
                <w:szCs w:val="21"/>
              </w:rPr>
              <w:t>第五部分</w:t>
            </w:r>
            <w:r>
              <w:rPr>
                <w:rFonts w:hAnsi="宋体" w:cs="Times New Roman"/>
                <w:b/>
                <w:bCs/>
                <w:color w:val="auto"/>
                <w:sz w:val="21"/>
                <w:szCs w:val="21"/>
              </w:rPr>
              <w:t xml:space="preserve"> </w:t>
            </w:r>
            <w:r>
              <w:rPr>
                <w:rFonts w:cs="Times New Roman"/>
                <w:b/>
                <w:bCs/>
                <w:color w:val="auto"/>
                <w:sz w:val="21"/>
                <w:szCs w:val="21"/>
              </w:rPr>
              <w:t>消防措施</w:t>
            </w:r>
          </w:p>
        </w:tc>
      </w:tr>
      <w:tr w14:paraId="5D119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31BCC7DA">
            <w:pPr>
              <w:pStyle w:val="106"/>
              <w:jc w:val="center"/>
              <w:rPr>
                <w:rFonts w:hAnsi="宋体" w:cs="Times New Roman"/>
                <w:color w:val="auto"/>
                <w:sz w:val="21"/>
                <w:szCs w:val="21"/>
              </w:rPr>
            </w:pPr>
            <w:r>
              <w:rPr>
                <w:rFonts w:cs="Times New Roman"/>
                <w:color w:val="auto"/>
                <w:sz w:val="21"/>
                <w:szCs w:val="21"/>
              </w:rPr>
              <w:t>灭火剂</w:t>
            </w:r>
          </w:p>
        </w:tc>
        <w:tc>
          <w:tcPr>
            <w:tcW w:w="6714" w:type="dxa"/>
            <w:tcBorders>
              <w:top w:val="single" w:color="auto" w:sz="4" w:space="0"/>
              <w:left w:val="nil"/>
              <w:bottom w:val="single" w:color="auto" w:sz="4" w:space="0"/>
              <w:right w:val="single" w:color="auto" w:sz="4" w:space="0"/>
            </w:tcBorders>
            <w:vAlign w:val="center"/>
          </w:tcPr>
          <w:p w14:paraId="46D0B2FA">
            <w:pPr>
              <w:pStyle w:val="106"/>
              <w:rPr>
                <w:rFonts w:hAnsi="宋体" w:cs="Times New Roman"/>
                <w:color w:val="auto"/>
                <w:sz w:val="21"/>
                <w:szCs w:val="21"/>
              </w:rPr>
            </w:pPr>
            <w:r>
              <w:rPr>
                <w:rFonts w:cs="Times New Roman"/>
                <w:color w:val="auto"/>
                <w:sz w:val="21"/>
                <w:szCs w:val="21"/>
              </w:rPr>
              <w:t>用泡沫、干粉、二氧化碳、砂土灭火</w:t>
            </w:r>
          </w:p>
        </w:tc>
      </w:tr>
      <w:tr w14:paraId="38017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6A9419C0">
            <w:pPr>
              <w:pStyle w:val="106"/>
              <w:jc w:val="center"/>
              <w:rPr>
                <w:rFonts w:hAnsi="宋体" w:cs="Times New Roman"/>
                <w:color w:val="auto"/>
                <w:sz w:val="21"/>
                <w:szCs w:val="21"/>
              </w:rPr>
            </w:pPr>
            <w:r>
              <w:rPr>
                <w:rFonts w:cs="Times New Roman"/>
                <w:color w:val="auto"/>
                <w:sz w:val="21"/>
                <w:szCs w:val="21"/>
              </w:rPr>
              <w:t>特别危险性</w:t>
            </w:r>
          </w:p>
        </w:tc>
        <w:tc>
          <w:tcPr>
            <w:tcW w:w="6714" w:type="dxa"/>
            <w:tcBorders>
              <w:top w:val="single" w:color="auto" w:sz="4" w:space="0"/>
              <w:left w:val="nil"/>
              <w:bottom w:val="single" w:color="auto" w:sz="4" w:space="0"/>
              <w:right w:val="single" w:color="auto" w:sz="4" w:space="0"/>
            </w:tcBorders>
            <w:vAlign w:val="center"/>
          </w:tcPr>
          <w:p w14:paraId="046F1553">
            <w:pPr>
              <w:widowControl/>
              <w:spacing w:line="240" w:lineRule="auto"/>
              <w:jc w:val="left"/>
              <w:rPr>
                <w:rFonts w:ascii="宋体" w:hAnsi="宋体" w:cs="Times New Roman"/>
                <w:color w:val="auto"/>
                <w:kern w:val="0"/>
                <w:sz w:val="21"/>
                <w:szCs w:val="21"/>
              </w:rPr>
            </w:pPr>
            <w:r>
              <w:rPr>
                <w:rFonts w:hint="eastAsia" w:ascii="宋体" w:hAnsi="宋体"/>
                <w:color w:val="auto"/>
                <w:kern w:val="0"/>
                <w:sz w:val="21"/>
                <w:szCs w:val="21"/>
              </w:rPr>
              <w:t>受热分解放出有毒的氟化物气体。具有较强的腐蚀性</w:t>
            </w:r>
          </w:p>
        </w:tc>
      </w:tr>
      <w:tr w14:paraId="59C0B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2CFCBD6B">
            <w:pPr>
              <w:pStyle w:val="106"/>
              <w:jc w:val="center"/>
              <w:rPr>
                <w:rFonts w:hAnsi="宋体" w:cs="Times New Roman"/>
                <w:color w:val="auto"/>
                <w:sz w:val="21"/>
                <w:szCs w:val="21"/>
              </w:rPr>
            </w:pPr>
            <w:r>
              <w:rPr>
                <w:rFonts w:cs="Times New Roman"/>
                <w:color w:val="auto"/>
                <w:sz w:val="21"/>
                <w:szCs w:val="21"/>
              </w:rPr>
              <w:t>灭火注意事项及防护措施</w:t>
            </w:r>
          </w:p>
        </w:tc>
        <w:tc>
          <w:tcPr>
            <w:tcW w:w="6714" w:type="dxa"/>
            <w:tcBorders>
              <w:top w:val="single" w:color="auto" w:sz="4" w:space="0"/>
              <w:left w:val="nil"/>
              <w:bottom w:val="single" w:color="auto" w:sz="4" w:space="0"/>
              <w:right w:val="single" w:color="auto" w:sz="4" w:space="0"/>
            </w:tcBorders>
            <w:vAlign w:val="center"/>
          </w:tcPr>
          <w:p w14:paraId="32496B15">
            <w:pPr>
              <w:widowControl/>
              <w:spacing w:line="240" w:lineRule="auto"/>
              <w:jc w:val="left"/>
              <w:rPr>
                <w:rFonts w:ascii="宋体" w:hAnsi="宋体" w:cs="Times New Roman"/>
                <w:color w:val="auto"/>
                <w:kern w:val="0"/>
                <w:sz w:val="21"/>
                <w:szCs w:val="21"/>
              </w:rPr>
            </w:pPr>
            <w:r>
              <w:rPr>
                <w:rFonts w:hint="eastAsia" w:ascii="宋体" w:hAnsi="宋体"/>
                <w:color w:val="auto"/>
                <w:kern w:val="0"/>
                <w:sz w:val="21"/>
                <w:szCs w:val="21"/>
              </w:rPr>
              <w:t>消防人员必须穿全身耐酸碱消防服、佩戴空气呼吸器灭火。尽可能将容器从火场移至空旷处。喷水保持火场容器冷却,直至灭火结束</w:t>
            </w:r>
          </w:p>
        </w:tc>
      </w:tr>
      <w:tr w14:paraId="43CC9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348" w:type="dxa"/>
            <w:gridSpan w:val="2"/>
            <w:tcBorders>
              <w:top w:val="single" w:color="auto" w:sz="4" w:space="0"/>
              <w:left w:val="single" w:color="auto" w:sz="4" w:space="0"/>
              <w:bottom w:val="single" w:color="auto" w:sz="4" w:space="0"/>
              <w:right w:val="single" w:color="auto" w:sz="4" w:space="0"/>
            </w:tcBorders>
            <w:vAlign w:val="center"/>
          </w:tcPr>
          <w:p w14:paraId="54B58CD8">
            <w:pPr>
              <w:pStyle w:val="106"/>
              <w:jc w:val="center"/>
              <w:rPr>
                <w:rFonts w:hAnsi="宋体" w:cs="Times New Roman"/>
                <w:color w:val="auto"/>
                <w:sz w:val="21"/>
                <w:szCs w:val="21"/>
              </w:rPr>
            </w:pPr>
            <w:r>
              <w:rPr>
                <w:rFonts w:cs="Times New Roman"/>
                <w:b/>
                <w:bCs/>
                <w:color w:val="auto"/>
                <w:sz w:val="21"/>
                <w:szCs w:val="21"/>
              </w:rPr>
              <w:t>第六部分</w:t>
            </w:r>
            <w:r>
              <w:rPr>
                <w:rFonts w:hAnsi="宋体" w:cs="Times New Roman"/>
                <w:b/>
                <w:bCs/>
                <w:color w:val="auto"/>
                <w:sz w:val="21"/>
                <w:szCs w:val="21"/>
              </w:rPr>
              <w:t xml:space="preserve"> </w:t>
            </w:r>
            <w:r>
              <w:rPr>
                <w:rFonts w:cs="Times New Roman"/>
                <w:b/>
                <w:bCs/>
                <w:color w:val="auto"/>
                <w:sz w:val="21"/>
                <w:szCs w:val="21"/>
              </w:rPr>
              <w:t>泄漏应急处理</w:t>
            </w:r>
          </w:p>
        </w:tc>
      </w:tr>
      <w:tr w14:paraId="219E1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1D580F5E">
            <w:pPr>
              <w:pStyle w:val="106"/>
              <w:jc w:val="center"/>
              <w:rPr>
                <w:rFonts w:ascii="..ì." w:hAnsi="宋体" w:cs="Times New Roman"/>
                <w:color w:val="auto"/>
                <w:sz w:val="21"/>
                <w:szCs w:val="21"/>
              </w:rPr>
            </w:pPr>
            <w:r>
              <w:rPr>
                <w:rFonts w:cs="Times New Roman"/>
                <w:color w:val="auto"/>
                <w:sz w:val="21"/>
                <w:szCs w:val="21"/>
              </w:rPr>
              <w:t>作业人员防护措施、防护装备和应急处置程序</w:t>
            </w:r>
          </w:p>
        </w:tc>
        <w:tc>
          <w:tcPr>
            <w:tcW w:w="6714" w:type="dxa"/>
            <w:tcBorders>
              <w:top w:val="single" w:color="auto" w:sz="4" w:space="0"/>
              <w:left w:val="nil"/>
              <w:bottom w:val="single" w:color="auto" w:sz="4" w:space="0"/>
              <w:right w:val="single" w:color="auto" w:sz="4" w:space="0"/>
            </w:tcBorders>
            <w:vAlign w:val="center"/>
          </w:tcPr>
          <w:p w14:paraId="12C61548">
            <w:pPr>
              <w:widowControl/>
              <w:spacing w:line="240" w:lineRule="auto"/>
              <w:jc w:val="left"/>
              <w:rPr>
                <w:rFonts w:ascii="宋体" w:hAnsi="宋体" w:cs="Times New Roman"/>
                <w:color w:val="auto"/>
                <w:sz w:val="21"/>
                <w:szCs w:val="21"/>
              </w:rPr>
            </w:pPr>
            <w:r>
              <w:rPr>
                <w:rFonts w:hint="eastAsia" w:ascii="宋体" w:hAnsi="宋体"/>
                <w:color w:val="auto"/>
                <w:kern w:val="0"/>
                <w:sz w:val="21"/>
                <w:szCs w:val="21"/>
              </w:rPr>
              <w:t>根据液体流动和蒸气扩散的影响区域划定警戒区,无关人员从侧风、上风向撤离至安全区。建议应急处理人员戴正压自给式呼吸器,穿防腐蚀、防毒服,戴橡胶耐酸碱手套。穿上适当的防护服前严禁接触破裂的容器和泄漏物。尽可能切断泄漏源</w:t>
            </w:r>
          </w:p>
        </w:tc>
      </w:tr>
      <w:tr w14:paraId="5E4C5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539275A4">
            <w:pPr>
              <w:pStyle w:val="106"/>
              <w:jc w:val="center"/>
              <w:rPr>
                <w:rFonts w:hAnsi="宋体" w:cs="Times New Roman"/>
                <w:color w:val="auto"/>
                <w:sz w:val="21"/>
                <w:szCs w:val="21"/>
              </w:rPr>
            </w:pPr>
            <w:r>
              <w:rPr>
                <w:rFonts w:cs="Times New Roman"/>
                <w:color w:val="auto"/>
                <w:sz w:val="21"/>
                <w:szCs w:val="21"/>
              </w:rPr>
              <w:t>环境保护措施</w:t>
            </w:r>
          </w:p>
        </w:tc>
        <w:tc>
          <w:tcPr>
            <w:tcW w:w="6714" w:type="dxa"/>
            <w:tcBorders>
              <w:top w:val="single" w:color="auto" w:sz="4" w:space="0"/>
              <w:left w:val="nil"/>
              <w:bottom w:val="single" w:color="auto" w:sz="4" w:space="0"/>
              <w:right w:val="single" w:color="auto" w:sz="4" w:space="0"/>
            </w:tcBorders>
            <w:vAlign w:val="center"/>
          </w:tcPr>
          <w:p w14:paraId="684C30A9">
            <w:pPr>
              <w:widowControl/>
              <w:spacing w:line="240" w:lineRule="auto"/>
              <w:jc w:val="left"/>
              <w:rPr>
                <w:rFonts w:ascii="宋体" w:hAnsi="宋体" w:cs="Times New Roman"/>
                <w:color w:val="auto"/>
                <w:kern w:val="0"/>
                <w:sz w:val="21"/>
                <w:szCs w:val="21"/>
              </w:rPr>
            </w:pPr>
            <w:r>
              <w:rPr>
                <w:rFonts w:hint="eastAsia" w:ascii="宋体" w:hAnsi="宋体"/>
                <w:color w:val="auto"/>
                <w:kern w:val="0"/>
                <w:sz w:val="21"/>
                <w:szCs w:val="21"/>
              </w:rPr>
              <w:t>防止泄漏物进入水体、下水道、地下室或有限空间</w:t>
            </w:r>
          </w:p>
        </w:tc>
      </w:tr>
      <w:tr w14:paraId="43C57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229EE49E">
            <w:pPr>
              <w:pStyle w:val="106"/>
              <w:jc w:val="center"/>
              <w:rPr>
                <w:rFonts w:hAnsi="宋体" w:cs="Times New Roman"/>
                <w:color w:val="auto"/>
                <w:sz w:val="21"/>
                <w:szCs w:val="21"/>
              </w:rPr>
            </w:pPr>
            <w:r>
              <w:rPr>
                <w:rFonts w:cs="Times New Roman"/>
                <w:color w:val="auto"/>
                <w:sz w:val="21"/>
                <w:szCs w:val="21"/>
              </w:rPr>
              <w:t>泄漏化学品的收容、清除方法及所使用的处置材料</w:t>
            </w:r>
          </w:p>
        </w:tc>
        <w:tc>
          <w:tcPr>
            <w:tcW w:w="6714" w:type="dxa"/>
            <w:tcBorders>
              <w:top w:val="single" w:color="auto" w:sz="4" w:space="0"/>
              <w:left w:val="nil"/>
              <w:bottom w:val="single" w:color="auto" w:sz="4" w:space="0"/>
              <w:right w:val="single" w:color="auto" w:sz="4" w:space="0"/>
            </w:tcBorders>
            <w:vAlign w:val="center"/>
          </w:tcPr>
          <w:p w14:paraId="7C89E087">
            <w:pPr>
              <w:widowControl/>
              <w:spacing w:line="240" w:lineRule="auto"/>
              <w:jc w:val="left"/>
              <w:rPr>
                <w:rFonts w:ascii="宋体" w:hAnsi="宋体" w:cs="Times New Roman"/>
                <w:color w:val="auto"/>
                <w:kern w:val="0"/>
                <w:sz w:val="21"/>
                <w:szCs w:val="21"/>
              </w:rPr>
            </w:pPr>
            <w:r>
              <w:rPr>
                <w:rFonts w:hint="eastAsia" w:ascii="宋体" w:hAnsi="宋体"/>
                <w:color w:val="auto"/>
                <w:kern w:val="0"/>
                <w:sz w:val="21"/>
                <w:szCs w:val="21"/>
              </w:rPr>
              <w:t>小量泄漏:用干燥的砂土或其他不燃材料吸收或覆盖,收集于容器中。大量泄漏:构筑围堤或挖坑收容。用碎石灰石(CaCO</w:t>
            </w:r>
            <w:r>
              <w:rPr>
                <w:rFonts w:hint="eastAsia" w:ascii="宋体" w:hAnsi="宋体"/>
                <w:color w:val="auto"/>
                <w:kern w:val="0"/>
                <w:sz w:val="21"/>
                <w:szCs w:val="21"/>
                <w:vertAlign w:val="subscript"/>
              </w:rPr>
              <w:t>3</w:t>
            </w:r>
            <w:r>
              <w:rPr>
                <w:rFonts w:hint="eastAsia" w:ascii="宋体" w:hAnsi="宋体"/>
                <w:color w:val="auto"/>
                <w:kern w:val="0"/>
                <w:sz w:val="21"/>
                <w:szCs w:val="21"/>
              </w:rPr>
              <w:t>)、苏打灰(Na</w:t>
            </w:r>
            <w:r>
              <w:rPr>
                <w:rFonts w:hint="eastAsia" w:ascii="宋体" w:hAnsi="宋体"/>
                <w:color w:val="auto"/>
                <w:kern w:val="0"/>
                <w:sz w:val="21"/>
                <w:szCs w:val="21"/>
                <w:vertAlign w:val="subscript"/>
              </w:rPr>
              <w:t>2</w:t>
            </w:r>
            <w:r>
              <w:rPr>
                <w:rFonts w:hint="eastAsia" w:ascii="宋体" w:hAnsi="宋体"/>
                <w:color w:val="auto"/>
                <w:kern w:val="0"/>
                <w:sz w:val="21"/>
                <w:szCs w:val="21"/>
              </w:rPr>
              <w:t>CO</w:t>
            </w:r>
            <w:r>
              <w:rPr>
                <w:rFonts w:hint="eastAsia" w:ascii="宋体" w:hAnsi="宋体"/>
                <w:color w:val="auto"/>
                <w:kern w:val="0"/>
                <w:sz w:val="21"/>
                <w:szCs w:val="21"/>
                <w:vertAlign w:val="subscript"/>
              </w:rPr>
              <w:t>3</w:t>
            </w:r>
            <w:r>
              <w:rPr>
                <w:rFonts w:hint="eastAsia" w:ascii="宋体" w:hAnsi="宋体"/>
                <w:color w:val="auto"/>
                <w:kern w:val="0"/>
                <w:sz w:val="21"/>
                <w:szCs w:val="21"/>
              </w:rPr>
              <w:t>)或石灰(CaO)中和。用耐腐蚀泵转移至槽车或专用收集器内</w:t>
            </w:r>
          </w:p>
        </w:tc>
      </w:tr>
      <w:tr w14:paraId="691C2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348" w:type="dxa"/>
            <w:gridSpan w:val="2"/>
            <w:tcBorders>
              <w:top w:val="single" w:color="auto" w:sz="4" w:space="0"/>
              <w:left w:val="single" w:color="auto" w:sz="4" w:space="0"/>
              <w:bottom w:val="single" w:color="auto" w:sz="4" w:space="0"/>
              <w:right w:val="single" w:color="auto" w:sz="4" w:space="0"/>
            </w:tcBorders>
            <w:vAlign w:val="center"/>
          </w:tcPr>
          <w:p w14:paraId="0491CD34">
            <w:pPr>
              <w:pStyle w:val="106"/>
              <w:jc w:val="center"/>
              <w:rPr>
                <w:rFonts w:hAnsi="宋体" w:cs="Times New Roman"/>
                <w:color w:val="auto"/>
                <w:sz w:val="21"/>
                <w:szCs w:val="21"/>
              </w:rPr>
            </w:pPr>
            <w:r>
              <w:rPr>
                <w:rFonts w:cs="Times New Roman"/>
                <w:b/>
                <w:bCs/>
                <w:color w:val="auto"/>
                <w:sz w:val="21"/>
                <w:szCs w:val="21"/>
              </w:rPr>
              <w:t>第七部分</w:t>
            </w:r>
            <w:r>
              <w:rPr>
                <w:rFonts w:hAnsi="宋体" w:cs="Times New Roman"/>
                <w:b/>
                <w:bCs/>
                <w:color w:val="auto"/>
                <w:sz w:val="21"/>
                <w:szCs w:val="21"/>
              </w:rPr>
              <w:t xml:space="preserve"> </w:t>
            </w:r>
            <w:r>
              <w:rPr>
                <w:rFonts w:cs="Times New Roman"/>
                <w:b/>
                <w:bCs/>
                <w:color w:val="auto"/>
                <w:sz w:val="21"/>
                <w:szCs w:val="21"/>
              </w:rPr>
              <w:t>操作处置与储存</w:t>
            </w:r>
          </w:p>
        </w:tc>
      </w:tr>
      <w:tr w14:paraId="754B0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53BD622F">
            <w:pPr>
              <w:pStyle w:val="106"/>
              <w:jc w:val="center"/>
              <w:rPr>
                <w:rFonts w:ascii="..ì." w:hAnsi="宋体" w:cs="Times New Roman"/>
                <w:color w:val="auto"/>
                <w:sz w:val="21"/>
                <w:szCs w:val="21"/>
              </w:rPr>
            </w:pPr>
            <w:r>
              <w:rPr>
                <w:rFonts w:cs="Times New Roman"/>
                <w:color w:val="auto"/>
                <w:sz w:val="21"/>
                <w:szCs w:val="21"/>
              </w:rPr>
              <w:t>操作注意事项</w:t>
            </w:r>
          </w:p>
        </w:tc>
        <w:tc>
          <w:tcPr>
            <w:tcW w:w="6714" w:type="dxa"/>
            <w:tcBorders>
              <w:top w:val="single" w:color="auto" w:sz="4" w:space="0"/>
              <w:left w:val="nil"/>
              <w:bottom w:val="single" w:color="auto" w:sz="4" w:space="0"/>
              <w:right w:val="single" w:color="auto" w:sz="4" w:space="0"/>
            </w:tcBorders>
            <w:vAlign w:val="center"/>
          </w:tcPr>
          <w:p w14:paraId="106295AF">
            <w:pPr>
              <w:widowControl/>
              <w:spacing w:line="240" w:lineRule="auto"/>
              <w:jc w:val="left"/>
              <w:rPr>
                <w:rFonts w:ascii="宋体" w:hAnsi="宋体" w:cs="Times New Roman"/>
                <w:color w:val="auto"/>
                <w:sz w:val="21"/>
                <w:szCs w:val="21"/>
              </w:rPr>
            </w:pPr>
            <w:r>
              <w:rPr>
                <w:rFonts w:hint="eastAsia" w:ascii="宋体" w:hAnsi="宋体"/>
                <w:color w:val="auto"/>
                <w:kern w:val="0"/>
                <w:sz w:val="21"/>
                <w:szCs w:val="21"/>
              </w:rPr>
              <w:t>密闭操作,注意通风。操作尽可能机械化、自动化。操作人员必须经过专门培训,严格遵守操作规程。建议操作人员佩戴自吸过滤式防毒面具(全面罩),穿橡胶耐酸碱服,戴橡胶耐酸碱手套。远离易燃、可燃物。防止蒸气泄漏到工作场所空气中。避免与碱类接触。搬运时要轻装轻卸,防止包装及容器损坏。配备泄漏应急处理设备。倒空的容器可能残留有害物</w:t>
            </w:r>
          </w:p>
        </w:tc>
      </w:tr>
      <w:tr w14:paraId="68DF7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729AF762">
            <w:pPr>
              <w:pStyle w:val="106"/>
              <w:jc w:val="center"/>
              <w:rPr>
                <w:rFonts w:hAnsi="宋体" w:cs="Times New Roman"/>
                <w:color w:val="auto"/>
                <w:sz w:val="21"/>
                <w:szCs w:val="21"/>
              </w:rPr>
            </w:pPr>
            <w:r>
              <w:rPr>
                <w:rFonts w:cs="Times New Roman"/>
                <w:color w:val="auto"/>
                <w:sz w:val="21"/>
                <w:szCs w:val="21"/>
              </w:rPr>
              <w:t>储存注意事项</w:t>
            </w:r>
          </w:p>
        </w:tc>
        <w:tc>
          <w:tcPr>
            <w:tcW w:w="6714" w:type="dxa"/>
            <w:tcBorders>
              <w:top w:val="single" w:color="auto" w:sz="4" w:space="0"/>
              <w:left w:val="nil"/>
              <w:bottom w:val="single" w:color="auto" w:sz="4" w:space="0"/>
              <w:right w:val="single" w:color="auto" w:sz="4" w:space="0"/>
            </w:tcBorders>
            <w:vAlign w:val="center"/>
          </w:tcPr>
          <w:p w14:paraId="3668F897">
            <w:pPr>
              <w:widowControl/>
              <w:spacing w:line="240" w:lineRule="auto"/>
              <w:jc w:val="left"/>
              <w:rPr>
                <w:rFonts w:ascii="宋体" w:hAnsi="宋体" w:cs="Times New Roman"/>
                <w:color w:val="auto"/>
                <w:sz w:val="21"/>
                <w:szCs w:val="21"/>
              </w:rPr>
            </w:pPr>
            <w:r>
              <w:rPr>
                <w:rFonts w:hint="eastAsia" w:ascii="宋体" w:hAnsi="宋体"/>
                <w:color w:val="auto"/>
                <w:kern w:val="0"/>
                <w:sz w:val="21"/>
                <w:szCs w:val="21"/>
              </w:rPr>
              <w:t>储存于阴凉、通风的库房。远离火种、热源。库房温度不超过30℃,相对湿度不超过80%。保持容器密封。应与易(可)燃物、碱类分开存放,切忌混储。储区应备有泄漏应急处理设备和合适的收容材料</w:t>
            </w:r>
          </w:p>
        </w:tc>
      </w:tr>
      <w:tr w14:paraId="57A6B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348" w:type="dxa"/>
            <w:gridSpan w:val="2"/>
            <w:tcBorders>
              <w:top w:val="single" w:color="auto" w:sz="4" w:space="0"/>
              <w:left w:val="single" w:color="auto" w:sz="4" w:space="0"/>
              <w:bottom w:val="single" w:color="auto" w:sz="4" w:space="0"/>
              <w:right w:val="single" w:color="auto" w:sz="4" w:space="0"/>
            </w:tcBorders>
            <w:vAlign w:val="center"/>
          </w:tcPr>
          <w:p w14:paraId="4F13DEE1">
            <w:pPr>
              <w:pStyle w:val="106"/>
              <w:jc w:val="center"/>
              <w:rPr>
                <w:rFonts w:hAnsi="宋体" w:cs="Times New Roman"/>
                <w:b/>
                <w:bCs/>
                <w:color w:val="auto"/>
                <w:sz w:val="21"/>
                <w:szCs w:val="21"/>
              </w:rPr>
            </w:pPr>
            <w:r>
              <w:rPr>
                <w:rFonts w:cs="Times New Roman"/>
                <w:b/>
                <w:bCs/>
                <w:color w:val="auto"/>
                <w:sz w:val="21"/>
                <w:szCs w:val="21"/>
              </w:rPr>
              <w:t>第八部分</w:t>
            </w:r>
            <w:r>
              <w:rPr>
                <w:rFonts w:hAnsi="宋体" w:cs="Times New Roman"/>
                <w:b/>
                <w:bCs/>
                <w:color w:val="auto"/>
                <w:sz w:val="21"/>
                <w:szCs w:val="21"/>
              </w:rPr>
              <w:t xml:space="preserve"> </w:t>
            </w:r>
            <w:r>
              <w:rPr>
                <w:rFonts w:cs="Times New Roman"/>
                <w:b/>
                <w:bCs/>
                <w:color w:val="auto"/>
                <w:sz w:val="21"/>
                <w:szCs w:val="21"/>
              </w:rPr>
              <w:t>接触控制/个体防护</w:t>
            </w:r>
          </w:p>
        </w:tc>
      </w:tr>
      <w:tr w14:paraId="42656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7E43B51A">
            <w:pPr>
              <w:pStyle w:val="106"/>
              <w:jc w:val="center"/>
              <w:rPr>
                <w:rFonts w:ascii="..ì." w:hAnsi="宋体" w:cs="Times New Roman"/>
                <w:color w:val="auto"/>
                <w:sz w:val="21"/>
                <w:szCs w:val="21"/>
              </w:rPr>
            </w:pPr>
            <w:r>
              <w:rPr>
                <w:rFonts w:cs="Times New Roman"/>
                <w:color w:val="auto"/>
                <w:sz w:val="21"/>
                <w:szCs w:val="21"/>
              </w:rPr>
              <w:t>职业接触限值</w:t>
            </w:r>
          </w:p>
        </w:tc>
        <w:tc>
          <w:tcPr>
            <w:tcW w:w="6714" w:type="dxa"/>
            <w:tcBorders>
              <w:top w:val="single" w:color="auto" w:sz="4" w:space="0"/>
              <w:left w:val="nil"/>
              <w:bottom w:val="single" w:color="auto" w:sz="4" w:space="0"/>
              <w:right w:val="single" w:color="auto" w:sz="4" w:space="0"/>
            </w:tcBorders>
            <w:vAlign w:val="center"/>
          </w:tcPr>
          <w:p w14:paraId="62ED2887">
            <w:pPr>
              <w:pStyle w:val="106"/>
              <w:rPr>
                <w:rFonts w:hAnsi="宋体" w:cs="Times New Roman"/>
                <w:color w:val="auto"/>
                <w:sz w:val="21"/>
                <w:szCs w:val="21"/>
              </w:rPr>
            </w:pPr>
            <w:r>
              <w:rPr>
                <w:rFonts w:cs="Times New Roman"/>
                <w:color w:val="auto"/>
                <w:sz w:val="21"/>
                <w:szCs w:val="21"/>
              </w:rPr>
              <w:t>中国</w:t>
            </w:r>
            <w:r>
              <w:rPr>
                <w:rFonts w:hAnsi="宋体" w:cs="Times New Roman"/>
                <w:color w:val="auto"/>
                <w:sz w:val="21"/>
                <w:szCs w:val="21"/>
              </w:rPr>
              <w:t xml:space="preserve"> </w:t>
            </w:r>
            <w:r>
              <w:rPr>
                <w:rFonts w:cs="Times New Roman"/>
                <w:color w:val="auto"/>
                <w:sz w:val="21"/>
                <w:szCs w:val="21"/>
              </w:rPr>
              <w:t>PC-TWA:2mg/m</w:t>
            </w:r>
            <w:r>
              <w:rPr>
                <w:rFonts w:cs="Times New Roman"/>
                <w:color w:val="auto"/>
                <w:sz w:val="21"/>
                <w:szCs w:val="21"/>
                <w:vertAlign w:val="superscript"/>
              </w:rPr>
              <w:t>3</w:t>
            </w:r>
            <w:r>
              <w:rPr>
                <w:rFonts w:cs="Times New Roman"/>
                <w:color w:val="auto"/>
                <w:sz w:val="21"/>
                <w:szCs w:val="21"/>
              </w:rPr>
              <w:t xml:space="preserve"> [按F计]</w:t>
            </w:r>
          </w:p>
          <w:p w14:paraId="0813DDC9">
            <w:pPr>
              <w:widowControl/>
              <w:spacing w:line="240" w:lineRule="auto"/>
              <w:jc w:val="left"/>
              <w:rPr>
                <w:rFonts w:ascii="宋体" w:hAnsi="宋体" w:cs="Times New Roman"/>
                <w:color w:val="auto"/>
                <w:sz w:val="21"/>
                <w:szCs w:val="21"/>
              </w:rPr>
            </w:pPr>
            <w:r>
              <w:rPr>
                <w:rFonts w:hint="eastAsia" w:ascii="宋体" w:hAnsi="宋体"/>
                <w:color w:val="auto"/>
                <w:kern w:val="0"/>
                <w:sz w:val="21"/>
                <w:szCs w:val="21"/>
              </w:rPr>
              <w:t>美国(ACGIH) TLV-TWA:2.5mg/m</w:t>
            </w:r>
            <w:r>
              <w:rPr>
                <w:rFonts w:hint="eastAsia" w:ascii="宋体" w:hAnsi="宋体"/>
                <w:color w:val="auto"/>
                <w:kern w:val="0"/>
                <w:sz w:val="21"/>
                <w:szCs w:val="21"/>
                <w:vertAlign w:val="superscript"/>
              </w:rPr>
              <w:t>3</w:t>
            </w:r>
            <w:r>
              <w:rPr>
                <w:rFonts w:hint="eastAsia" w:ascii="宋体" w:hAnsi="宋体"/>
                <w:color w:val="auto"/>
                <w:kern w:val="0"/>
                <w:sz w:val="21"/>
                <w:szCs w:val="21"/>
              </w:rPr>
              <w:t xml:space="preserve"> [按F计]</w:t>
            </w:r>
          </w:p>
        </w:tc>
      </w:tr>
      <w:tr w14:paraId="248B5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61A89084">
            <w:pPr>
              <w:pStyle w:val="106"/>
              <w:jc w:val="center"/>
              <w:rPr>
                <w:rFonts w:hAnsi="宋体" w:cs="Times New Roman"/>
                <w:color w:val="auto"/>
                <w:sz w:val="21"/>
                <w:szCs w:val="21"/>
              </w:rPr>
            </w:pPr>
            <w:r>
              <w:rPr>
                <w:rFonts w:cs="Times New Roman"/>
                <w:color w:val="auto"/>
                <w:sz w:val="21"/>
                <w:szCs w:val="21"/>
              </w:rPr>
              <w:t>生物接触限值</w:t>
            </w:r>
          </w:p>
        </w:tc>
        <w:tc>
          <w:tcPr>
            <w:tcW w:w="6714" w:type="dxa"/>
            <w:tcBorders>
              <w:top w:val="single" w:color="auto" w:sz="4" w:space="0"/>
              <w:left w:val="nil"/>
              <w:bottom w:val="single" w:color="auto" w:sz="4" w:space="0"/>
              <w:right w:val="single" w:color="auto" w:sz="4" w:space="0"/>
            </w:tcBorders>
            <w:vAlign w:val="center"/>
          </w:tcPr>
          <w:p w14:paraId="29FDBF6F">
            <w:pPr>
              <w:widowControl/>
              <w:spacing w:line="240" w:lineRule="auto"/>
              <w:jc w:val="left"/>
              <w:rPr>
                <w:rFonts w:ascii="宋体" w:hAnsi="宋体" w:cs="Times New Roman"/>
                <w:color w:val="auto"/>
                <w:kern w:val="0"/>
                <w:sz w:val="21"/>
                <w:szCs w:val="21"/>
              </w:rPr>
            </w:pPr>
            <w:r>
              <w:rPr>
                <w:rFonts w:hint="eastAsia" w:ascii="宋体" w:hAnsi="宋体"/>
                <w:color w:val="auto"/>
                <w:kern w:val="0"/>
                <w:sz w:val="21"/>
                <w:szCs w:val="21"/>
              </w:rPr>
              <w:t>尿氟:42mmol/mol肌酐 (7mg/g肌酐) (采样时间:工作班后)</w:t>
            </w:r>
          </w:p>
        </w:tc>
      </w:tr>
      <w:tr w14:paraId="24123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60177DE6">
            <w:pPr>
              <w:pStyle w:val="106"/>
              <w:jc w:val="center"/>
              <w:rPr>
                <w:rFonts w:hAnsi="宋体" w:cs="Times New Roman"/>
                <w:color w:val="auto"/>
                <w:sz w:val="21"/>
                <w:szCs w:val="21"/>
              </w:rPr>
            </w:pPr>
            <w:r>
              <w:rPr>
                <w:rFonts w:cs="Times New Roman"/>
                <w:color w:val="auto"/>
                <w:sz w:val="21"/>
                <w:szCs w:val="21"/>
              </w:rPr>
              <w:t>监测方法</w:t>
            </w:r>
          </w:p>
        </w:tc>
        <w:tc>
          <w:tcPr>
            <w:tcW w:w="6714" w:type="dxa"/>
            <w:tcBorders>
              <w:top w:val="single" w:color="auto" w:sz="4" w:space="0"/>
              <w:left w:val="nil"/>
              <w:bottom w:val="single" w:color="auto" w:sz="4" w:space="0"/>
              <w:right w:val="single" w:color="auto" w:sz="4" w:space="0"/>
            </w:tcBorders>
            <w:vAlign w:val="center"/>
          </w:tcPr>
          <w:p w14:paraId="41B9405F">
            <w:pPr>
              <w:pStyle w:val="106"/>
              <w:rPr>
                <w:rFonts w:ascii="..ì." w:hAnsi="宋体" w:cs="Times New Roman"/>
                <w:color w:val="auto"/>
                <w:sz w:val="21"/>
                <w:szCs w:val="21"/>
              </w:rPr>
            </w:pPr>
            <w:r>
              <w:rPr>
                <w:rFonts w:cs="Times New Roman"/>
                <w:color w:val="auto"/>
                <w:sz w:val="21"/>
                <w:szCs w:val="21"/>
              </w:rPr>
              <w:t>空气中有毒物质测定方法: 离子选择电极法。</w:t>
            </w:r>
          </w:p>
          <w:p w14:paraId="4DD93994">
            <w:pPr>
              <w:pStyle w:val="106"/>
              <w:rPr>
                <w:rFonts w:hAnsi="宋体" w:cs="Times New Roman"/>
                <w:color w:val="auto"/>
                <w:sz w:val="21"/>
                <w:szCs w:val="21"/>
              </w:rPr>
            </w:pPr>
            <w:r>
              <w:rPr>
                <w:rFonts w:cs="Times New Roman"/>
                <w:color w:val="auto"/>
                <w:sz w:val="21"/>
                <w:szCs w:val="21"/>
              </w:rPr>
              <w:t>生物监测检验方法: 尿中氟的离子选择电极测定方法。</w:t>
            </w:r>
          </w:p>
        </w:tc>
      </w:tr>
      <w:tr w14:paraId="6DAA1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7EBC4882">
            <w:pPr>
              <w:pStyle w:val="106"/>
              <w:jc w:val="center"/>
              <w:rPr>
                <w:rFonts w:hAnsi="宋体" w:cs="Times New Roman"/>
                <w:color w:val="auto"/>
                <w:sz w:val="21"/>
                <w:szCs w:val="21"/>
              </w:rPr>
            </w:pPr>
            <w:r>
              <w:rPr>
                <w:rFonts w:cs="Times New Roman"/>
                <w:color w:val="auto"/>
                <w:sz w:val="21"/>
                <w:szCs w:val="21"/>
              </w:rPr>
              <w:t>工程控制</w:t>
            </w:r>
          </w:p>
        </w:tc>
        <w:tc>
          <w:tcPr>
            <w:tcW w:w="6714" w:type="dxa"/>
            <w:tcBorders>
              <w:top w:val="single" w:color="auto" w:sz="4" w:space="0"/>
              <w:left w:val="nil"/>
              <w:bottom w:val="single" w:color="auto" w:sz="4" w:space="0"/>
              <w:right w:val="single" w:color="auto" w:sz="4" w:space="0"/>
            </w:tcBorders>
            <w:vAlign w:val="center"/>
          </w:tcPr>
          <w:p w14:paraId="1F14E523">
            <w:pPr>
              <w:widowControl/>
              <w:spacing w:line="240" w:lineRule="auto"/>
              <w:jc w:val="left"/>
              <w:rPr>
                <w:rFonts w:ascii="宋体" w:hAnsi="宋体" w:cs="Times New Roman"/>
                <w:color w:val="auto"/>
                <w:kern w:val="0"/>
                <w:sz w:val="21"/>
                <w:szCs w:val="21"/>
              </w:rPr>
            </w:pPr>
            <w:r>
              <w:rPr>
                <w:rFonts w:hint="eastAsia" w:ascii="宋体" w:hAnsi="宋体"/>
                <w:color w:val="auto"/>
                <w:kern w:val="0"/>
                <w:sz w:val="21"/>
                <w:szCs w:val="21"/>
              </w:rPr>
              <w:t>密闭操作,注意通风。提供安全的淋浴和洗眼设备</w:t>
            </w:r>
          </w:p>
        </w:tc>
      </w:tr>
      <w:tr w14:paraId="7F565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0B6ACB4C">
            <w:pPr>
              <w:pStyle w:val="106"/>
              <w:jc w:val="center"/>
              <w:rPr>
                <w:rFonts w:hAnsi="宋体" w:cs="Times New Roman"/>
                <w:color w:val="auto"/>
                <w:sz w:val="21"/>
                <w:szCs w:val="21"/>
              </w:rPr>
            </w:pPr>
            <w:r>
              <w:rPr>
                <w:rFonts w:cs="Times New Roman"/>
                <w:color w:val="auto"/>
                <w:sz w:val="21"/>
                <w:szCs w:val="21"/>
              </w:rPr>
              <w:t>个体防护装备</w:t>
            </w:r>
          </w:p>
        </w:tc>
        <w:tc>
          <w:tcPr>
            <w:tcW w:w="6714" w:type="dxa"/>
            <w:tcBorders>
              <w:top w:val="single" w:color="auto" w:sz="4" w:space="0"/>
              <w:left w:val="nil"/>
              <w:bottom w:val="single" w:color="auto" w:sz="4" w:space="0"/>
              <w:right w:val="single" w:color="auto" w:sz="4" w:space="0"/>
            </w:tcBorders>
            <w:vAlign w:val="center"/>
          </w:tcPr>
          <w:p w14:paraId="1CDE2690">
            <w:pPr>
              <w:widowControl/>
              <w:spacing w:line="240" w:lineRule="auto"/>
              <w:jc w:val="left"/>
              <w:rPr>
                <w:rFonts w:ascii="宋体" w:hAnsi="宋体" w:cs="Times New Roman"/>
                <w:color w:val="auto"/>
                <w:kern w:val="0"/>
                <w:sz w:val="21"/>
                <w:szCs w:val="21"/>
              </w:rPr>
            </w:pPr>
            <w:r>
              <w:rPr>
                <w:rFonts w:hint="eastAsia" w:ascii="宋体" w:hAnsi="宋体"/>
                <w:color w:val="auto"/>
                <w:kern w:val="0"/>
                <w:sz w:val="21"/>
                <w:szCs w:val="21"/>
              </w:rPr>
              <w:t>呼吸系统防护  可能接触其烟雾时,佩戴过滤式防毒面具 (全面罩)或空气呼吸器。紧急事态抢救或撤离时,建议佩戴空气呼吸器</w:t>
            </w:r>
          </w:p>
          <w:p w14:paraId="64DBABB4">
            <w:pPr>
              <w:pStyle w:val="106"/>
              <w:rPr>
                <w:rFonts w:hAnsi="宋体" w:cs="Times New Roman"/>
                <w:color w:val="auto"/>
                <w:sz w:val="21"/>
                <w:szCs w:val="21"/>
              </w:rPr>
            </w:pPr>
            <w:r>
              <w:rPr>
                <w:rFonts w:cs="Times New Roman"/>
                <w:color w:val="auto"/>
                <w:sz w:val="21"/>
                <w:szCs w:val="21"/>
              </w:rPr>
              <w:t>眼睛防护</w:t>
            </w:r>
            <w:r>
              <w:rPr>
                <w:rFonts w:hAnsi="宋体" w:cs="Times New Roman"/>
                <w:color w:val="auto"/>
                <w:sz w:val="21"/>
                <w:szCs w:val="21"/>
              </w:rPr>
              <w:t xml:space="preserve"> </w:t>
            </w:r>
            <w:r>
              <w:rPr>
                <w:rFonts w:cs="Times New Roman"/>
                <w:color w:val="auto"/>
                <w:sz w:val="21"/>
                <w:szCs w:val="21"/>
              </w:rPr>
              <w:t xml:space="preserve"> 呼吸系统防护中已作防护</w:t>
            </w:r>
          </w:p>
          <w:p w14:paraId="59B0B387">
            <w:pPr>
              <w:pStyle w:val="106"/>
              <w:rPr>
                <w:rFonts w:ascii="..ì." w:hAnsi="宋体" w:cs="Times New Roman"/>
                <w:color w:val="auto"/>
                <w:sz w:val="21"/>
                <w:szCs w:val="21"/>
              </w:rPr>
            </w:pPr>
            <w:r>
              <w:rPr>
                <w:rFonts w:cs="Times New Roman"/>
                <w:color w:val="auto"/>
                <w:sz w:val="21"/>
                <w:szCs w:val="21"/>
              </w:rPr>
              <w:t>皮肤和身体防护</w:t>
            </w:r>
            <w:r>
              <w:rPr>
                <w:rFonts w:hAnsi="宋体" w:cs="Times New Roman"/>
                <w:color w:val="auto"/>
                <w:sz w:val="21"/>
                <w:szCs w:val="21"/>
              </w:rPr>
              <w:t xml:space="preserve"> </w:t>
            </w:r>
            <w:r>
              <w:rPr>
                <w:rFonts w:cs="Times New Roman"/>
                <w:color w:val="auto"/>
                <w:sz w:val="21"/>
                <w:szCs w:val="21"/>
              </w:rPr>
              <w:t xml:space="preserve"> 穿橡胶耐酸碱服</w:t>
            </w:r>
          </w:p>
          <w:p w14:paraId="6F0F00FD">
            <w:pPr>
              <w:pStyle w:val="106"/>
              <w:rPr>
                <w:rFonts w:hAnsi="宋体" w:cs="Times New Roman"/>
                <w:color w:val="auto"/>
                <w:sz w:val="21"/>
                <w:szCs w:val="21"/>
              </w:rPr>
            </w:pPr>
            <w:r>
              <w:rPr>
                <w:rFonts w:cs="Times New Roman"/>
                <w:color w:val="auto"/>
                <w:sz w:val="21"/>
                <w:szCs w:val="21"/>
              </w:rPr>
              <w:t>手防护</w:t>
            </w:r>
            <w:r>
              <w:rPr>
                <w:rFonts w:hAnsi="宋体" w:cs="Times New Roman"/>
                <w:color w:val="auto"/>
                <w:sz w:val="21"/>
                <w:szCs w:val="21"/>
              </w:rPr>
              <w:t xml:space="preserve"> </w:t>
            </w:r>
            <w:r>
              <w:rPr>
                <w:rFonts w:cs="Times New Roman"/>
                <w:color w:val="auto"/>
                <w:sz w:val="21"/>
                <w:szCs w:val="21"/>
              </w:rPr>
              <w:t xml:space="preserve"> 戴橡胶耐酸碱手套</w:t>
            </w:r>
          </w:p>
        </w:tc>
      </w:tr>
      <w:tr w14:paraId="5C8AE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348" w:type="dxa"/>
            <w:gridSpan w:val="2"/>
            <w:tcBorders>
              <w:top w:val="single" w:color="auto" w:sz="4" w:space="0"/>
              <w:left w:val="single" w:color="auto" w:sz="4" w:space="0"/>
              <w:bottom w:val="single" w:color="auto" w:sz="4" w:space="0"/>
              <w:right w:val="single" w:color="auto" w:sz="4" w:space="0"/>
            </w:tcBorders>
            <w:vAlign w:val="center"/>
          </w:tcPr>
          <w:p w14:paraId="729330FD">
            <w:pPr>
              <w:pStyle w:val="106"/>
              <w:jc w:val="center"/>
              <w:rPr>
                <w:rFonts w:hAnsi="宋体" w:cs="Times New Roman"/>
                <w:color w:val="auto"/>
                <w:sz w:val="21"/>
                <w:szCs w:val="21"/>
              </w:rPr>
            </w:pPr>
            <w:r>
              <w:rPr>
                <w:rFonts w:cs="Times New Roman"/>
                <w:b/>
                <w:bCs/>
                <w:color w:val="auto"/>
                <w:sz w:val="21"/>
                <w:szCs w:val="21"/>
              </w:rPr>
              <w:t>第九部分</w:t>
            </w:r>
            <w:r>
              <w:rPr>
                <w:rFonts w:hAnsi="宋体" w:cs="Times New Roman"/>
                <w:b/>
                <w:bCs/>
                <w:color w:val="auto"/>
                <w:sz w:val="21"/>
                <w:szCs w:val="21"/>
              </w:rPr>
              <w:t xml:space="preserve"> </w:t>
            </w:r>
            <w:r>
              <w:rPr>
                <w:rFonts w:cs="Times New Roman"/>
                <w:b/>
                <w:bCs/>
                <w:color w:val="auto"/>
                <w:sz w:val="21"/>
                <w:szCs w:val="21"/>
              </w:rPr>
              <w:t>理化特性</w:t>
            </w:r>
          </w:p>
        </w:tc>
      </w:tr>
      <w:tr w14:paraId="526DC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6DFAD6BF">
            <w:pPr>
              <w:pStyle w:val="106"/>
              <w:jc w:val="center"/>
              <w:rPr>
                <w:rFonts w:hAnsi="宋体" w:cs="Times New Roman"/>
                <w:color w:val="auto"/>
                <w:sz w:val="21"/>
                <w:szCs w:val="21"/>
              </w:rPr>
            </w:pPr>
            <w:r>
              <w:rPr>
                <w:rFonts w:cs="Times New Roman"/>
                <w:color w:val="auto"/>
                <w:sz w:val="21"/>
                <w:szCs w:val="21"/>
              </w:rPr>
              <w:t>外观与性状</w:t>
            </w:r>
          </w:p>
        </w:tc>
        <w:tc>
          <w:tcPr>
            <w:tcW w:w="6714" w:type="dxa"/>
            <w:tcBorders>
              <w:top w:val="single" w:color="auto" w:sz="4" w:space="0"/>
              <w:left w:val="nil"/>
              <w:bottom w:val="single" w:color="auto" w:sz="4" w:space="0"/>
              <w:right w:val="single" w:color="auto" w:sz="4" w:space="0"/>
            </w:tcBorders>
            <w:vAlign w:val="center"/>
          </w:tcPr>
          <w:p w14:paraId="5F02C443">
            <w:pPr>
              <w:pStyle w:val="106"/>
              <w:rPr>
                <w:rFonts w:hAnsi="宋体" w:cs="Times New Roman"/>
                <w:color w:val="auto"/>
                <w:sz w:val="21"/>
                <w:szCs w:val="21"/>
              </w:rPr>
            </w:pPr>
            <w:r>
              <w:rPr>
                <w:rFonts w:cs="Times New Roman"/>
                <w:color w:val="auto"/>
                <w:sz w:val="21"/>
                <w:szCs w:val="21"/>
              </w:rPr>
              <w:t>无色透明的发烟液体,有刺激性气味</w:t>
            </w:r>
          </w:p>
        </w:tc>
      </w:tr>
      <w:tr w14:paraId="375DC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4E176F5B">
            <w:pPr>
              <w:pStyle w:val="106"/>
              <w:jc w:val="center"/>
              <w:rPr>
                <w:rFonts w:hAnsi="宋体" w:cs="Times New Roman"/>
                <w:color w:val="auto"/>
                <w:sz w:val="21"/>
                <w:szCs w:val="21"/>
              </w:rPr>
            </w:pPr>
            <w:r>
              <w:rPr>
                <w:rFonts w:cs="Times New Roman"/>
                <w:color w:val="auto"/>
                <w:sz w:val="21"/>
                <w:szCs w:val="21"/>
              </w:rPr>
              <w:t>PH值</w:t>
            </w:r>
          </w:p>
        </w:tc>
        <w:tc>
          <w:tcPr>
            <w:tcW w:w="6714" w:type="dxa"/>
            <w:tcBorders>
              <w:top w:val="single" w:color="auto" w:sz="4" w:space="0"/>
              <w:left w:val="nil"/>
              <w:bottom w:val="single" w:color="auto" w:sz="4" w:space="0"/>
              <w:right w:val="single" w:color="auto" w:sz="4" w:space="0"/>
            </w:tcBorders>
            <w:vAlign w:val="center"/>
          </w:tcPr>
          <w:p w14:paraId="357F1863">
            <w:pPr>
              <w:widowControl/>
              <w:spacing w:line="240" w:lineRule="auto"/>
              <w:jc w:val="left"/>
              <w:rPr>
                <w:rFonts w:ascii="宋体" w:hAnsi="宋体" w:cs="Times New Roman"/>
                <w:color w:val="auto"/>
                <w:kern w:val="0"/>
                <w:sz w:val="21"/>
                <w:szCs w:val="21"/>
              </w:rPr>
            </w:pPr>
            <w:r>
              <w:rPr>
                <w:rFonts w:hint="eastAsia" w:ascii="宋体" w:hAnsi="宋体"/>
                <w:color w:val="auto"/>
                <w:kern w:val="0"/>
                <w:sz w:val="21"/>
                <w:szCs w:val="21"/>
              </w:rPr>
              <w:t>无资料</w:t>
            </w:r>
          </w:p>
        </w:tc>
      </w:tr>
      <w:tr w14:paraId="2A105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0E227A0A">
            <w:pPr>
              <w:pStyle w:val="106"/>
              <w:jc w:val="center"/>
              <w:rPr>
                <w:rFonts w:hAnsi="宋体" w:cs="Times New Roman"/>
                <w:color w:val="auto"/>
                <w:sz w:val="21"/>
                <w:szCs w:val="21"/>
              </w:rPr>
            </w:pPr>
            <w:r>
              <w:rPr>
                <w:rFonts w:cs="Times New Roman"/>
                <w:color w:val="auto"/>
                <w:sz w:val="21"/>
                <w:szCs w:val="21"/>
              </w:rPr>
              <w:t>熔点(</w:t>
            </w:r>
            <w:r>
              <w:rPr>
                <w:rFonts w:hint="eastAsia" w:hAnsi="宋体"/>
                <w:color w:val="auto"/>
                <w:sz w:val="21"/>
                <w:szCs w:val="21"/>
              </w:rPr>
              <w:t>℃</w:t>
            </w:r>
            <w:r>
              <w:rPr>
                <w:rFonts w:cs="Times New Roman"/>
                <w:color w:val="auto"/>
                <w:sz w:val="21"/>
                <w:szCs w:val="21"/>
              </w:rPr>
              <w:t>)</w:t>
            </w:r>
          </w:p>
        </w:tc>
        <w:tc>
          <w:tcPr>
            <w:tcW w:w="6714" w:type="dxa"/>
            <w:tcBorders>
              <w:top w:val="single" w:color="auto" w:sz="4" w:space="0"/>
              <w:left w:val="nil"/>
              <w:bottom w:val="single" w:color="auto" w:sz="4" w:space="0"/>
              <w:right w:val="single" w:color="auto" w:sz="4" w:space="0"/>
            </w:tcBorders>
            <w:vAlign w:val="center"/>
          </w:tcPr>
          <w:p w14:paraId="1FE4DB90">
            <w:pPr>
              <w:pStyle w:val="106"/>
              <w:rPr>
                <w:rFonts w:ascii="..ì." w:hAnsi="宋体" w:cs="Times New Roman"/>
                <w:color w:val="auto"/>
                <w:sz w:val="21"/>
                <w:szCs w:val="21"/>
              </w:rPr>
            </w:pPr>
            <w:r>
              <w:rPr>
                <w:rFonts w:cs="Times New Roman"/>
                <w:color w:val="auto"/>
                <w:sz w:val="21"/>
                <w:szCs w:val="21"/>
              </w:rPr>
              <w:t>-20～-17</w:t>
            </w:r>
          </w:p>
        </w:tc>
      </w:tr>
      <w:tr w14:paraId="56879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617EC0D1">
            <w:pPr>
              <w:pStyle w:val="106"/>
              <w:jc w:val="center"/>
              <w:rPr>
                <w:rFonts w:hAnsi="宋体" w:cs="Times New Roman"/>
                <w:color w:val="auto"/>
                <w:sz w:val="21"/>
                <w:szCs w:val="21"/>
              </w:rPr>
            </w:pPr>
            <w:r>
              <w:rPr>
                <w:rFonts w:cs="Times New Roman"/>
                <w:color w:val="auto"/>
                <w:sz w:val="21"/>
                <w:szCs w:val="21"/>
              </w:rPr>
              <w:t>沸点(</w:t>
            </w:r>
            <w:r>
              <w:rPr>
                <w:rFonts w:hint="eastAsia" w:hAnsi="宋体"/>
                <w:color w:val="auto"/>
                <w:sz w:val="21"/>
                <w:szCs w:val="21"/>
              </w:rPr>
              <w:t>℃</w:t>
            </w:r>
            <w:r>
              <w:rPr>
                <w:rFonts w:cs="Times New Roman"/>
                <w:color w:val="auto"/>
                <w:sz w:val="21"/>
                <w:szCs w:val="21"/>
              </w:rPr>
              <w:t>)</w:t>
            </w:r>
          </w:p>
        </w:tc>
        <w:tc>
          <w:tcPr>
            <w:tcW w:w="6714" w:type="dxa"/>
            <w:tcBorders>
              <w:top w:val="single" w:color="auto" w:sz="4" w:space="0"/>
              <w:left w:val="nil"/>
              <w:bottom w:val="single" w:color="auto" w:sz="4" w:space="0"/>
              <w:right w:val="single" w:color="auto" w:sz="4" w:space="0"/>
            </w:tcBorders>
            <w:vAlign w:val="center"/>
          </w:tcPr>
          <w:p w14:paraId="7C037893">
            <w:pPr>
              <w:pStyle w:val="106"/>
              <w:rPr>
                <w:rFonts w:hAnsi="宋体" w:cs="Times New Roman"/>
                <w:color w:val="auto"/>
                <w:sz w:val="21"/>
                <w:szCs w:val="21"/>
              </w:rPr>
            </w:pPr>
            <w:r>
              <w:rPr>
                <w:rFonts w:cs="Times New Roman"/>
                <w:color w:val="auto"/>
                <w:sz w:val="21"/>
                <w:szCs w:val="21"/>
              </w:rPr>
              <w:t>-105（分解）</w:t>
            </w:r>
          </w:p>
        </w:tc>
      </w:tr>
      <w:tr w14:paraId="393BD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29DF76D4">
            <w:pPr>
              <w:pStyle w:val="106"/>
              <w:jc w:val="center"/>
              <w:rPr>
                <w:rFonts w:hAnsi="宋体" w:cs="Times New Roman"/>
                <w:color w:val="auto"/>
                <w:sz w:val="21"/>
                <w:szCs w:val="21"/>
              </w:rPr>
            </w:pPr>
            <w:r>
              <w:rPr>
                <w:rFonts w:cs="Times New Roman"/>
                <w:color w:val="auto"/>
                <w:sz w:val="21"/>
                <w:szCs w:val="21"/>
              </w:rPr>
              <w:t>相对密度（水=1）</w:t>
            </w:r>
          </w:p>
        </w:tc>
        <w:tc>
          <w:tcPr>
            <w:tcW w:w="6714" w:type="dxa"/>
            <w:tcBorders>
              <w:top w:val="single" w:color="auto" w:sz="4" w:space="0"/>
              <w:left w:val="nil"/>
              <w:bottom w:val="single" w:color="auto" w:sz="4" w:space="0"/>
              <w:right w:val="single" w:color="auto" w:sz="4" w:space="0"/>
            </w:tcBorders>
            <w:vAlign w:val="center"/>
          </w:tcPr>
          <w:p w14:paraId="71638F24">
            <w:pPr>
              <w:pStyle w:val="106"/>
              <w:rPr>
                <w:rFonts w:hAnsi="宋体" w:cs="Times New Roman"/>
                <w:color w:val="auto"/>
                <w:sz w:val="21"/>
                <w:szCs w:val="21"/>
              </w:rPr>
            </w:pPr>
            <w:r>
              <w:rPr>
                <w:rFonts w:cs="Times New Roman"/>
                <w:color w:val="auto"/>
                <w:sz w:val="21"/>
                <w:szCs w:val="21"/>
              </w:rPr>
              <w:t>1.2</w:t>
            </w:r>
          </w:p>
        </w:tc>
      </w:tr>
      <w:tr w14:paraId="74A30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1DEF956C">
            <w:pPr>
              <w:pStyle w:val="106"/>
              <w:jc w:val="center"/>
              <w:rPr>
                <w:rFonts w:hAnsi="宋体" w:cs="Times New Roman"/>
                <w:color w:val="auto"/>
                <w:sz w:val="21"/>
                <w:szCs w:val="21"/>
              </w:rPr>
            </w:pPr>
            <w:r>
              <w:rPr>
                <w:rFonts w:cs="Times New Roman"/>
                <w:color w:val="auto"/>
                <w:sz w:val="21"/>
                <w:szCs w:val="21"/>
              </w:rPr>
              <w:t>相对蒸气密度(空气=1)</w:t>
            </w:r>
          </w:p>
        </w:tc>
        <w:tc>
          <w:tcPr>
            <w:tcW w:w="6714" w:type="dxa"/>
            <w:tcBorders>
              <w:top w:val="single" w:color="auto" w:sz="4" w:space="0"/>
              <w:left w:val="nil"/>
              <w:bottom w:val="single" w:color="auto" w:sz="4" w:space="0"/>
              <w:right w:val="single" w:color="auto" w:sz="4" w:space="0"/>
            </w:tcBorders>
            <w:vAlign w:val="center"/>
          </w:tcPr>
          <w:p w14:paraId="6328962C">
            <w:pPr>
              <w:pStyle w:val="106"/>
              <w:rPr>
                <w:rFonts w:hAnsi="宋体" w:cs="Times New Roman"/>
                <w:color w:val="auto"/>
                <w:sz w:val="21"/>
                <w:szCs w:val="21"/>
              </w:rPr>
            </w:pPr>
            <w:r>
              <w:rPr>
                <w:rFonts w:cs="Times New Roman"/>
                <w:color w:val="auto"/>
                <w:sz w:val="21"/>
                <w:szCs w:val="21"/>
              </w:rPr>
              <w:t>无资料</w:t>
            </w:r>
          </w:p>
        </w:tc>
      </w:tr>
      <w:tr w14:paraId="1F5B8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6EB2B80A">
            <w:pPr>
              <w:pStyle w:val="106"/>
              <w:jc w:val="center"/>
              <w:rPr>
                <w:rFonts w:hAnsi="宋体" w:cs="Times New Roman"/>
                <w:color w:val="auto"/>
                <w:sz w:val="21"/>
                <w:szCs w:val="21"/>
              </w:rPr>
            </w:pPr>
            <w:r>
              <w:rPr>
                <w:rFonts w:cs="Times New Roman"/>
                <w:color w:val="auto"/>
                <w:sz w:val="21"/>
                <w:szCs w:val="21"/>
              </w:rPr>
              <w:t>饱和蒸气压(kPa)</w:t>
            </w:r>
          </w:p>
        </w:tc>
        <w:tc>
          <w:tcPr>
            <w:tcW w:w="6714" w:type="dxa"/>
            <w:tcBorders>
              <w:top w:val="single" w:color="auto" w:sz="4" w:space="0"/>
              <w:left w:val="nil"/>
              <w:bottom w:val="single" w:color="auto" w:sz="4" w:space="0"/>
              <w:right w:val="single" w:color="auto" w:sz="4" w:space="0"/>
            </w:tcBorders>
            <w:vAlign w:val="center"/>
          </w:tcPr>
          <w:p w14:paraId="75AE37C3">
            <w:pPr>
              <w:pStyle w:val="106"/>
              <w:rPr>
                <w:rFonts w:hAnsi="宋体" w:cs="Times New Roman"/>
                <w:color w:val="auto"/>
                <w:sz w:val="21"/>
                <w:szCs w:val="21"/>
              </w:rPr>
            </w:pPr>
            <w:r>
              <w:rPr>
                <w:rFonts w:cs="Times New Roman"/>
                <w:color w:val="auto"/>
                <w:sz w:val="21"/>
                <w:szCs w:val="21"/>
              </w:rPr>
              <w:t>3.19(20</w:t>
            </w:r>
            <w:r>
              <w:rPr>
                <w:rFonts w:hint="eastAsia" w:hAnsi="宋体"/>
                <w:color w:val="auto"/>
                <w:sz w:val="21"/>
                <w:szCs w:val="21"/>
              </w:rPr>
              <w:t>℃</w:t>
            </w:r>
            <w:r>
              <w:rPr>
                <w:rFonts w:cs="Times New Roman"/>
                <w:color w:val="auto"/>
                <w:sz w:val="21"/>
                <w:szCs w:val="21"/>
              </w:rPr>
              <w:t>)</w:t>
            </w:r>
          </w:p>
        </w:tc>
      </w:tr>
      <w:tr w14:paraId="60BB8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4B0C11E3">
            <w:pPr>
              <w:pStyle w:val="106"/>
              <w:jc w:val="center"/>
              <w:rPr>
                <w:rFonts w:hAnsi="宋体" w:cs="Times New Roman"/>
                <w:color w:val="auto"/>
                <w:sz w:val="21"/>
                <w:szCs w:val="21"/>
              </w:rPr>
            </w:pPr>
            <w:r>
              <w:rPr>
                <w:rFonts w:cs="Times New Roman"/>
                <w:color w:val="auto"/>
                <w:sz w:val="21"/>
                <w:szCs w:val="21"/>
              </w:rPr>
              <w:t>燃烧热(kJ/mol)</w:t>
            </w:r>
          </w:p>
        </w:tc>
        <w:tc>
          <w:tcPr>
            <w:tcW w:w="6714" w:type="dxa"/>
            <w:tcBorders>
              <w:top w:val="single" w:color="auto" w:sz="4" w:space="0"/>
              <w:left w:val="nil"/>
              <w:bottom w:val="single" w:color="auto" w:sz="4" w:space="0"/>
              <w:right w:val="single" w:color="auto" w:sz="4" w:space="0"/>
            </w:tcBorders>
            <w:vAlign w:val="center"/>
          </w:tcPr>
          <w:p w14:paraId="04143FBC">
            <w:pPr>
              <w:pStyle w:val="106"/>
              <w:rPr>
                <w:rFonts w:hAnsi="宋体" w:cs="Times New Roman"/>
                <w:color w:val="auto"/>
                <w:sz w:val="21"/>
                <w:szCs w:val="21"/>
              </w:rPr>
            </w:pPr>
            <w:r>
              <w:rPr>
                <w:rFonts w:cs="Times New Roman"/>
                <w:color w:val="auto"/>
                <w:sz w:val="21"/>
                <w:szCs w:val="21"/>
              </w:rPr>
              <w:t>无资料</w:t>
            </w:r>
          </w:p>
        </w:tc>
      </w:tr>
      <w:tr w14:paraId="52467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5AF5C54F">
            <w:pPr>
              <w:pStyle w:val="106"/>
              <w:jc w:val="center"/>
              <w:rPr>
                <w:rFonts w:hAnsi="宋体" w:cs="Times New Roman"/>
                <w:color w:val="auto"/>
                <w:sz w:val="21"/>
                <w:szCs w:val="21"/>
              </w:rPr>
            </w:pPr>
            <w:r>
              <w:rPr>
                <w:rFonts w:cs="Times New Roman"/>
                <w:color w:val="auto"/>
                <w:sz w:val="21"/>
                <w:szCs w:val="21"/>
              </w:rPr>
              <w:t>临界温度(</w:t>
            </w:r>
            <w:r>
              <w:rPr>
                <w:rFonts w:hint="eastAsia" w:hAnsi="宋体"/>
                <w:color w:val="auto"/>
                <w:sz w:val="21"/>
                <w:szCs w:val="21"/>
              </w:rPr>
              <w:t>℃</w:t>
            </w:r>
            <w:r>
              <w:rPr>
                <w:rFonts w:cs="Times New Roman"/>
                <w:color w:val="auto"/>
                <w:sz w:val="21"/>
                <w:szCs w:val="21"/>
              </w:rPr>
              <w:t>)</w:t>
            </w:r>
          </w:p>
        </w:tc>
        <w:tc>
          <w:tcPr>
            <w:tcW w:w="6714" w:type="dxa"/>
            <w:tcBorders>
              <w:top w:val="single" w:color="auto" w:sz="4" w:space="0"/>
              <w:left w:val="nil"/>
              <w:bottom w:val="single" w:color="auto" w:sz="4" w:space="0"/>
              <w:right w:val="single" w:color="auto" w:sz="4" w:space="0"/>
            </w:tcBorders>
            <w:vAlign w:val="center"/>
          </w:tcPr>
          <w:p w14:paraId="0718F9AA">
            <w:pPr>
              <w:pStyle w:val="106"/>
              <w:rPr>
                <w:rFonts w:hAnsi="宋体" w:cs="Times New Roman"/>
                <w:color w:val="auto"/>
                <w:sz w:val="21"/>
                <w:szCs w:val="21"/>
              </w:rPr>
            </w:pPr>
            <w:r>
              <w:rPr>
                <w:rFonts w:cs="Times New Roman"/>
                <w:color w:val="auto"/>
                <w:sz w:val="21"/>
                <w:szCs w:val="21"/>
              </w:rPr>
              <w:t>无资料</w:t>
            </w:r>
          </w:p>
        </w:tc>
      </w:tr>
      <w:tr w14:paraId="5851C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1FF1A234">
            <w:pPr>
              <w:pStyle w:val="106"/>
              <w:jc w:val="center"/>
              <w:rPr>
                <w:rFonts w:hAnsi="宋体" w:cs="Times New Roman"/>
                <w:color w:val="auto"/>
                <w:sz w:val="21"/>
                <w:szCs w:val="21"/>
              </w:rPr>
            </w:pPr>
            <w:r>
              <w:rPr>
                <w:rFonts w:cs="Times New Roman"/>
                <w:color w:val="auto"/>
                <w:sz w:val="21"/>
                <w:szCs w:val="21"/>
              </w:rPr>
              <w:t>临界压力(MPa)</w:t>
            </w:r>
          </w:p>
        </w:tc>
        <w:tc>
          <w:tcPr>
            <w:tcW w:w="6714" w:type="dxa"/>
            <w:tcBorders>
              <w:top w:val="single" w:color="auto" w:sz="4" w:space="0"/>
              <w:left w:val="nil"/>
              <w:bottom w:val="single" w:color="auto" w:sz="4" w:space="0"/>
              <w:right w:val="single" w:color="auto" w:sz="4" w:space="0"/>
            </w:tcBorders>
            <w:vAlign w:val="center"/>
          </w:tcPr>
          <w:p w14:paraId="2959C170">
            <w:pPr>
              <w:pStyle w:val="106"/>
              <w:rPr>
                <w:rFonts w:hAnsi="宋体" w:cs="Times New Roman"/>
                <w:color w:val="auto"/>
                <w:sz w:val="21"/>
                <w:szCs w:val="21"/>
              </w:rPr>
            </w:pPr>
            <w:r>
              <w:rPr>
                <w:rFonts w:cs="Times New Roman"/>
                <w:color w:val="auto"/>
                <w:sz w:val="21"/>
                <w:szCs w:val="21"/>
              </w:rPr>
              <w:t>无资料</w:t>
            </w:r>
          </w:p>
        </w:tc>
      </w:tr>
      <w:tr w14:paraId="4F4BD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5A539D8A">
            <w:pPr>
              <w:pStyle w:val="106"/>
              <w:jc w:val="center"/>
              <w:rPr>
                <w:rFonts w:hAnsi="宋体" w:cs="Times New Roman"/>
                <w:color w:val="auto"/>
                <w:sz w:val="21"/>
                <w:szCs w:val="21"/>
              </w:rPr>
            </w:pPr>
            <w:r>
              <w:rPr>
                <w:rFonts w:cs="Times New Roman"/>
                <w:color w:val="auto"/>
                <w:sz w:val="21"/>
                <w:szCs w:val="21"/>
              </w:rPr>
              <w:t>辛醇/水分配系数</w:t>
            </w:r>
          </w:p>
        </w:tc>
        <w:tc>
          <w:tcPr>
            <w:tcW w:w="6714" w:type="dxa"/>
            <w:tcBorders>
              <w:top w:val="single" w:color="auto" w:sz="4" w:space="0"/>
              <w:left w:val="nil"/>
              <w:bottom w:val="single" w:color="auto" w:sz="4" w:space="0"/>
              <w:right w:val="single" w:color="auto" w:sz="4" w:space="0"/>
            </w:tcBorders>
            <w:vAlign w:val="center"/>
          </w:tcPr>
          <w:p w14:paraId="215CAC26">
            <w:pPr>
              <w:pStyle w:val="106"/>
              <w:rPr>
                <w:rFonts w:hAnsi="宋体" w:cs="Times New Roman"/>
                <w:color w:val="auto"/>
                <w:sz w:val="21"/>
                <w:szCs w:val="21"/>
              </w:rPr>
            </w:pPr>
            <w:r>
              <w:rPr>
                <w:rFonts w:cs="Times New Roman"/>
                <w:color w:val="auto"/>
                <w:sz w:val="21"/>
                <w:szCs w:val="21"/>
              </w:rPr>
              <w:t>无资料</w:t>
            </w:r>
          </w:p>
        </w:tc>
      </w:tr>
      <w:tr w14:paraId="6ED2A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29F5A562">
            <w:pPr>
              <w:pStyle w:val="106"/>
              <w:jc w:val="center"/>
              <w:rPr>
                <w:rFonts w:hAnsi="宋体" w:cs="Times New Roman"/>
                <w:color w:val="auto"/>
                <w:sz w:val="21"/>
                <w:szCs w:val="21"/>
              </w:rPr>
            </w:pPr>
            <w:r>
              <w:rPr>
                <w:rFonts w:cs="Times New Roman"/>
                <w:color w:val="auto"/>
                <w:sz w:val="21"/>
                <w:szCs w:val="21"/>
              </w:rPr>
              <w:t>闪点(</w:t>
            </w:r>
            <w:r>
              <w:rPr>
                <w:rFonts w:hint="eastAsia" w:hAnsi="宋体"/>
                <w:color w:val="auto"/>
                <w:sz w:val="21"/>
                <w:szCs w:val="21"/>
              </w:rPr>
              <w:t>℃</w:t>
            </w:r>
            <w:r>
              <w:rPr>
                <w:rFonts w:cs="Times New Roman"/>
                <w:color w:val="auto"/>
                <w:sz w:val="21"/>
                <w:szCs w:val="21"/>
              </w:rPr>
              <w:t>)</w:t>
            </w:r>
          </w:p>
        </w:tc>
        <w:tc>
          <w:tcPr>
            <w:tcW w:w="6714" w:type="dxa"/>
            <w:tcBorders>
              <w:top w:val="single" w:color="auto" w:sz="4" w:space="0"/>
              <w:left w:val="nil"/>
              <w:bottom w:val="single" w:color="auto" w:sz="4" w:space="0"/>
              <w:right w:val="single" w:color="auto" w:sz="4" w:space="0"/>
            </w:tcBorders>
            <w:vAlign w:val="center"/>
          </w:tcPr>
          <w:p w14:paraId="5441FA5A">
            <w:pPr>
              <w:pStyle w:val="106"/>
              <w:rPr>
                <w:rFonts w:hAnsi="宋体" w:cs="Times New Roman"/>
                <w:color w:val="auto"/>
                <w:sz w:val="21"/>
                <w:szCs w:val="21"/>
              </w:rPr>
            </w:pPr>
            <w:r>
              <w:rPr>
                <w:rFonts w:cs="Times New Roman"/>
                <w:color w:val="auto"/>
                <w:sz w:val="21"/>
                <w:szCs w:val="21"/>
              </w:rPr>
              <w:t>无意义</w:t>
            </w:r>
          </w:p>
        </w:tc>
      </w:tr>
      <w:tr w14:paraId="7A206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5480507E">
            <w:pPr>
              <w:pStyle w:val="106"/>
              <w:jc w:val="center"/>
              <w:rPr>
                <w:rFonts w:hAnsi="宋体" w:cs="Times New Roman"/>
                <w:color w:val="auto"/>
                <w:sz w:val="21"/>
                <w:szCs w:val="21"/>
              </w:rPr>
            </w:pPr>
            <w:r>
              <w:rPr>
                <w:rFonts w:cs="Times New Roman"/>
                <w:color w:val="auto"/>
                <w:sz w:val="21"/>
                <w:szCs w:val="21"/>
              </w:rPr>
              <w:t>自燃温度(</w:t>
            </w:r>
            <w:r>
              <w:rPr>
                <w:rFonts w:hint="eastAsia" w:hAnsi="宋体"/>
                <w:color w:val="auto"/>
                <w:sz w:val="21"/>
                <w:szCs w:val="21"/>
              </w:rPr>
              <w:t>℃</w:t>
            </w:r>
            <w:r>
              <w:rPr>
                <w:rFonts w:cs="Times New Roman"/>
                <w:color w:val="auto"/>
                <w:sz w:val="21"/>
                <w:szCs w:val="21"/>
              </w:rPr>
              <w:t>)</w:t>
            </w:r>
          </w:p>
        </w:tc>
        <w:tc>
          <w:tcPr>
            <w:tcW w:w="6714" w:type="dxa"/>
            <w:tcBorders>
              <w:top w:val="single" w:color="auto" w:sz="4" w:space="0"/>
              <w:left w:val="nil"/>
              <w:bottom w:val="single" w:color="auto" w:sz="4" w:space="0"/>
              <w:right w:val="single" w:color="auto" w:sz="4" w:space="0"/>
            </w:tcBorders>
            <w:vAlign w:val="center"/>
          </w:tcPr>
          <w:p w14:paraId="3D6E0075">
            <w:pPr>
              <w:autoSpaceDE w:val="0"/>
              <w:autoSpaceDN w:val="0"/>
              <w:adjustRightInd w:val="0"/>
              <w:spacing w:line="240" w:lineRule="auto"/>
              <w:jc w:val="left"/>
              <w:rPr>
                <w:rFonts w:ascii="宋体" w:hAnsi="宋体" w:cs="Times New Roman"/>
                <w:color w:val="auto"/>
                <w:sz w:val="21"/>
                <w:szCs w:val="21"/>
              </w:rPr>
            </w:pPr>
            <w:r>
              <w:rPr>
                <w:rFonts w:hint="eastAsia" w:ascii="宋体" w:hAnsi="宋体"/>
                <w:color w:val="auto"/>
                <w:sz w:val="21"/>
                <w:szCs w:val="21"/>
              </w:rPr>
              <w:t>无意义</w:t>
            </w:r>
          </w:p>
        </w:tc>
      </w:tr>
      <w:tr w14:paraId="45B1D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6DA1A2A5">
            <w:pPr>
              <w:pStyle w:val="106"/>
              <w:jc w:val="center"/>
              <w:rPr>
                <w:rFonts w:hAnsi="宋体" w:cs="Times New Roman"/>
                <w:color w:val="auto"/>
                <w:sz w:val="21"/>
                <w:szCs w:val="21"/>
              </w:rPr>
            </w:pPr>
            <w:r>
              <w:rPr>
                <w:rFonts w:cs="Times New Roman"/>
                <w:color w:val="auto"/>
                <w:sz w:val="21"/>
                <w:szCs w:val="21"/>
              </w:rPr>
              <w:t>爆炸下限(%)</w:t>
            </w:r>
          </w:p>
        </w:tc>
        <w:tc>
          <w:tcPr>
            <w:tcW w:w="6714" w:type="dxa"/>
            <w:tcBorders>
              <w:top w:val="single" w:color="auto" w:sz="4" w:space="0"/>
              <w:left w:val="nil"/>
              <w:bottom w:val="single" w:color="auto" w:sz="4" w:space="0"/>
              <w:right w:val="single" w:color="auto" w:sz="4" w:space="0"/>
            </w:tcBorders>
            <w:vAlign w:val="center"/>
          </w:tcPr>
          <w:p w14:paraId="5CDAC36D">
            <w:pPr>
              <w:autoSpaceDE w:val="0"/>
              <w:autoSpaceDN w:val="0"/>
              <w:adjustRightInd w:val="0"/>
              <w:spacing w:line="240" w:lineRule="auto"/>
              <w:jc w:val="left"/>
              <w:rPr>
                <w:rFonts w:ascii="宋体" w:hAnsi="宋体" w:cs="Times New Roman"/>
                <w:color w:val="auto"/>
                <w:sz w:val="21"/>
                <w:szCs w:val="21"/>
              </w:rPr>
            </w:pPr>
            <w:r>
              <w:rPr>
                <w:rFonts w:hint="eastAsia" w:ascii="宋体" w:hAnsi="宋体"/>
                <w:color w:val="auto"/>
                <w:sz w:val="21"/>
                <w:szCs w:val="21"/>
              </w:rPr>
              <w:t>无意义</w:t>
            </w:r>
          </w:p>
        </w:tc>
      </w:tr>
      <w:tr w14:paraId="0614B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0F5FCF09">
            <w:pPr>
              <w:pStyle w:val="106"/>
              <w:jc w:val="center"/>
              <w:rPr>
                <w:rFonts w:hAnsi="宋体" w:cs="Times New Roman"/>
                <w:color w:val="auto"/>
                <w:sz w:val="21"/>
                <w:szCs w:val="21"/>
              </w:rPr>
            </w:pPr>
            <w:r>
              <w:rPr>
                <w:rFonts w:cs="Times New Roman"/>
                <w:color w:val="auto"/>
                <w:sz w:val="21"/>
                <w:szCs w:val="21"/>
              </w:rPr>
              <w:t>爆炸上限(%)</w:t>
            </w:r>
          </w:p>
        </w:tc>
        <w:tc>
          <w:tcPr>
            <w:tcW w:w="6714" w:type="dxa"/>
            <w:tcBorders>
              <w:top w:val="single" w:color="auto" w:sz="4" w:space="0"/>
              <w:left w:val="nil"/>
              <w:bottom w:val="single" w:color="auto" w:sz="4" w:space="0"/>
              <w:right w:val="single" w:color="auto" w:sz="4" w:space="0"/>
            </w:tcBorders>
            <w:vAlign w:val="center"/>
          </w:tcPr>
          <w:p w14:paraId="270CF5E9">
            <w:pPr>
              <w:autoSpaceDE w:val="0"/>
              <w:autoSpaceDN w:val="0"/>
              <w:adjustRightInd w:val="0"/>
              <w:spacing w:line="240" w:lineRule="auto"/>
              <w:jc w:val="left"/>
              <w:rPr>
                <w:rFonts w:ascii="宋体" w:hAnsi="宋体" w:cs="Times New Roman"/>
                <w:color w:val="auto"/>
                <w:sz w:val="21"/>
                <w:szCs w:val="21"/>
              </w:rPr>
            </w:pPr>
            <w:r>
              <w:rPr>
                <w:rFonts w:hint="eastAsia" w:ascii="宋体" w:hAnsi="宋体"/>
                <w:color w:val="auto"/>
                <w:sz w:val="21"/>
                <w:szCs w:val="21"/>
              </w:rPr>
              <w:t>无意义</w:t>
            </w:r>
          </w:p>
        </w:tc>
      </w:tr>
      <w:tr w14:paraId="35542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7D5BF4CD">
            <w:pPr>
              <w:pStyle w:val="106"/>
              <w:jc w:val="center"/>
              <w:rPr>
                <w:rFonts w:hAnsi="宋体" w:cs="Times New Roman"/>
                <w:color w:val="auto"/>
                <w:sz w:val="21"/>
                <w:szCs w:val="21"/>
              </w:rPr>
            </w:pPr>
            <w:r>
              <w:rPr>
                <w:rFonts w:cs="Times New Roman"/>
                <w:color w:val="auto"/>
                <w:sz w:val="21"/>
                <w:szCs w:val="21"/>
              </w:rPr>
              <w:t>分解温度(</w:t>
            </w:r>
            <w:r>
              <w:rPr>
                <w:rFonts w:hint="eastAsia" w:hAnsi="宋体"/>
                <w:color w:val="auto"/>
                <w:sz w:val="21"/>
                <w:szCs w:val="21"/>
              </w:rPr>
              <w:t>℃</w:t>
            </w:r>
            <w:r>
              <w:rPr>
                <w:rFonts w:cs="Times New Roman"/>
                <w:color w:val="auto"/>
                <w:sz w:val="21"/>
                <w:szCs w:val="21"/>
              </w:rPr>
              <w:t>)</w:t>
            </w:r>
          </w:p>
        </w:tc>
        <w:tc>
          <w:tcPr>
            <w:tcW w:w="6714" w:type="dxa"/>
            <w:tcBorders>
              <w:top w:val="single" w:color="auto" w:sz="4" w:space="0"/>
              <w:left w:val="nil"/>
              <w:bottom w:val="single" w:color="auto" w:sz="4" w:space="0"/>
              <w:right w:val="single" w:color="auto" w:sz="4" w:space="0"/>
            </w:tcBorders>
            <w:vAlign w:val="center"/>
          </w:tcPr>
          <w:p w14:paraId="1297AF23">
            <w:pPr>
              <w:pStyle w:val="106"/>
              <w:rPr>
                <w:rFonts w:ascii="..ì." w:hAnsi="宋体" w:cs="Times New Roman"/>
                <w:color w:val="auto"/>
                <w:sz w:val="21"/>
                <w:szCs w:val="21"/>
              </w:rPr>
            </w:pPr>
            <w:r>
              <w:rPr>
                <w:rFonts w:cs="Times New Roman"/>
                <w:color w:val="auto"/>
                <w:sz w:val="21"/>
                <w:szCs w:val="21"/>
              </w:rPr>
              <w:t>无资料</w:t>
            </w:r>
          </w:p>
        </w:tc>
      </w:tr>
      <w:tr w14:paraId="1DEE0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2DCDB222">
            <w:pPr>
              <w:pStyle w:val="106"/>
              <w:jc w:val="center"/>
              <w:rPr>
                <w:rFonts w:hAnsi="宋体" w:cs="Times New Roman"/>
                <w:color w:val="auto"/>
                <w:sz w:val="21"/>
                <w:szCs w:val="21"/>
              </w:rPr>
            </w:pPr>
            <w:r>
              <w:rPr>
                <w:rFonts w:cs="Times New Roman"/>
                <w:color w:val="auto"/>
                <w:sz w:val="21"/>
                <w:szCs w:val="21"/>
              </w:rPr>
              <w:t>黏度(mPa·s)</w:t>
            </w:r>
          </w:p>
        </w:tc>
        <w:tc>
          <w:tcPr>
            <w:tcW w:w="6714" w:type="dxa"/>
            <w:tcBorders>
              <w:top w:val="single" w:color="auto" w:sz="4" w:space="0"/>
              <w:left w:val="nil"/>
              <w:bottom w:val="single" w:color="auto" w:sz="4" w:space="0"/>
              <w:right w:val="single" w:color="auto" w:sz="4" w:space="0"/>
            </w:tcBorders>
            <w:vAlign w:val="center"/>
          </w:tcPr>
          <w:p w14:paraId="6BBFBAB3">
            <w:pPr>
              <w:pStyle w:val="106"/>
              <w:rPr>
                <w:rFonts w:hAnsi="宋体" w:cs="Times New Roman"/>
                <w:color w:val="auto"/>
                <w:sz w:val="21"/>
                <w:szCs w:val="21"/>
              </w:rPr>
            </w:pPr>
            <w:r>
              <w:rPr>
                <w:rFonts w:cs="Times New Roman"/>
                <w:color w:val="auto"/>
                <w:sz w:val="21"/>
                <w:szCs w:val="21"/>
              </w:rPr>
              <w:t>无资料</w:t>
            </w:r>
          </w:p>
        </w:tc>
      </w:tr>
      <w:tr w14:paraId="7A61E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2128FFED">
            <w:pPr>
              <w:pStyle w:val="106"/>
              <w:jc w:val="center"/>
              <w:rPr>
                <w:rFonts w:hAnsi="宋体" w:cs="Times New Roman"/>
                <w:color w:val="auto"/>
                <w:sz w:val="21"/>
                <w:szCs w:val="21"/>
              </w:rPr>
            </w:pPr>
            <w:r>
              <w:rPr>
                <w:rFonts w:cs="Times New Roman"/>
                <w:color w:val="auto"/>
                <w:sz w:val="21"/>
                <w:szCs w:val="21"/>
              </w:rPr>
              <w:t>溶解性</w:t>
            </w:r>
          </w:p>
        </w:tc>
        <w:tc>
          <w:tcPr>
            <w:tcW w:w="6714" w:type="dxa"/>
            <w:tcBorders>
              <w:top w:val="single" w:color="auto" w:sz="4" w:space="0"/>
              <w:left w:val="nil"/>
              <w:bottom w:val="single" w:color="auto" w:sz="4" w:space="0"/>
              <w:right w:val="single" w:color="auto" w:sz="4" w:space="0"/>
            </w:tcBorders>
            <w:vAlign w:val="center"/>
          </w:tcPr>
          <w:p w14:paraId="32B612DB">
            <w:pPr>
              <w:pStyle w:val="106"/>
              <w:rPr>
                <w:rFonts w:hAnsi="宋体" w:cs="Times New Roman"/>
                <w:color w:val="auto"/>
                <w:sz w:val="21"/>
                <w:szCs w:val="21"/>
              </w:rPr>
            </w:pPr>
            <w:r>
              <w:rPr>
                <w:rFonts w:cs="Times New Roman"/>
                <w:color w:val="auto"/>
                <w:sz w:val="21"/>
                <w:szCs w:val="21"/>
              </w:rPr>
              <w:t>溶于水</w:t>
            </w:r>
          </w:p>
        </w:tc>
      </w:tr>
      <w:tr w14:paraId="58F41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348" w:type="dxa"/>
            <w:gridSpan w:val="2"/>
            <w:tcBorders>
              <w:top w:val="single" w:color="auto" w:sz="4" w:space="0"/>
              <w:left w:val="single" w:color="auto" w:sz="4" w:space="0"/>
              <w:bottom w:val="single" w:color="auto" w:sz="4" w:space="0"/>
              <w:right w:val="single" w:color="auto" w:sz="4" w:space="0"/>
            </w:tcBorders>
            <w:vAlign w:val="center"/>
          </w:tcPr>
          <w:p w14:paraId="07D01DBB">
            <w:pPr>
              <w:pStyle w:val="106"/>
              <w:jc w:val="center"/>
              <w:rPr>
                <w:rFonts w:hAnsi="宋体" w:cs="Times New Roman"/>
                <w:color w:val="auto"/>
                <w:sz w:val="21"/>
                <w:szCs w:val="21"/>
              </w:rPr>
            </w:pPr>
            <w:r>
              <w:rPr>
                <w:rFonts w:cs="Times New Roman"/>
                <w:b/>
                <w:bCs/>
                <w:color w:val="auto"/>
                <w:sz w:val="21"/>
                <w:szCs w:val="21"/>
              </w:rPr>
              <w:t>第十部分</w:t>
            </w:r>
            <w:r>
              <w:rPr>
                <w:rFonts w:hAnsi="宋体" w:cs="Times New Roman"/>
                <w:b/>
                <w:bCs/>
                <w:color w:val="auto"/>
                <w:sz w:val="21"/>
                <w:szCs w:val="21"/>
              </w:rPr>
              <w:t xml:space="preserve"> </w:t>
            </w:r>
            <w:r>
              <w:rPr>
                <w:rFonts w:cs="Times New Roman"/>
                <w:b/>
                <w:bCs/>
                <w:color w:val="auto"/>
                <w:sz w:val="21"/>
                <w:szCs w:val="21"/>
              </w:rPr>
              <w:t>稳定性和反应性</w:t>
            </w:r>
          </w:p>
        </w:tc>
      </w:tr>
      <w:tr w14:paraId="1C445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7706FDC4">
            <w:pPr>
              <w:pStyle w:val="106"/>
              <w:jc w:val="center"/>
              <w:rPr>
                <w:rFonts w:hAnsi="宋体" w:cs="Times New Roman"/>
                <w:color w:val="auto"/>
                <w:sz w:val="21"/>
                <w:szCs w:val="21"/>
              </w:rPr>
            </w:pPr>
            <w:r>
              <w:rPr>
                <w:rFonts w:cs="Times New Roman"/>
                <w:color w:val="auto"/>
                <w:sz w:val="21"/>
                <w:szCs w:val="21"/>
              </w:rPr>
              <w:t>稳定性</w:t>
            </w:r>
          </w:p>
        </w:tc>
        <w:tc>
          <w:tcPr>
            <w:tcW w:w="6714" w:type="dxa"/>
            <w:tcBorders>
              <w:top w:val="single" w:color="auto" w:sz="4" w:space="0"/>
              <w:left w:val="nil"/>
              <w:bottom w:val="single" w:color="auto" w:sz="4" w:space="0"/>
              <w:right w:val="single" w:color="auto" w:sz="4" w:space="0"/>
            </w:tcBorders>
            <w:vAlign w:val="center"/>
          </w:tcPr>
          <w:p w14:paraId="1FDC7ADA">
            <w:pPr>
              <w:pStyle w:val="106"/>
              <w:rPr>
                <w:rFonts w:hAnsi="宋体" w:cs="Times New Roman"/>
                <w:color w:val="auto"/>
                <w:sz w:val="21"/>
                <w:szCs w:val="21"/>
              </w:rPr>
            </w:pPr>
            <w:r>
              <w:rPr>
                <w:rFonts w:cs="Times New Roman"/>
                <w:color w:val="auto"/>
                <w:sz w:val="21"/>
                <w:szCs w:val="21"/>
              </w:rPr>
              <w:t>稳定</w:t>
            </w:r>
          </w:p>
        </w:tc>
      </w:tr>
      <w:tr w14:paraId="5D3C8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37F091AC">
            <w:pPr>
              <w:pStyle w:val="106"/>
              <w:jc w:val="center"/>
              <w:rPr>
                <w:rFonts w:hAnsi="宋体" w:cs="Times New Roman"/>
                <w:color w:val="auto"/>
                <w:sz w:val="21"/>
                <w:szCs w:val="21"/>
              </w:rPr>
            </w:pPr>
            <w:r>
              <w:rPr>
                <w:rFonts w:cs="Times New Roman"/>
                <w:color w:val="auto"/>
                <w:sz w:val="21"/>
                <w:szCs w:val="21"/>
              </w:rPr>
              <w:t>危险反应</w:t>
            </w:r>
          </w:p>
        </w:tc>
        <w:tc>
          <w:tcPr>
            <w:tcW w:w="6714" w:type="dxa"/>
            <w:tcBorders>
              <w:top w:val="single" w:color="auto" w:sz="4" w:space="0"/>
              <w:left w:val="nil"/>
              <w:bottom w:val="single" w:color="auto" w:sz="4" w:space="0"/>
              <w:right w:val="single" w:color="auto" w:sz="4" w:space="0"/>
            </w:tcBorders>
            <w:vAlign w:val="center"/>
          </w:tcPr>
          <w:p w14:paraId="3F212A30">
            <w:pPr>
              <w:pStyle w:val="106"/>
              <w:rPr>
                <w:rFonts w:hAnsi="宋体" w:cs="Times New Roman"/>
                <w:color w:val="auto"/>
                <w:sz w:val="21"/>
                <w:szCs w:val="21"/>
              </w:rPr>
            </w:pPr>
            <w:r>
              <w:rPr>
                <w:rFonts w:cs="Times New Roman"/>
                <w:color w:val="auto"/>
                <w:sz w:val="21"/>
                <w:szCs w:val="21"/>
              </w:rPr>
              <w:t>与碱类等禁配物发生反应</w:t>
            </w:r>
          </w:p>
        </w:tc>
      </w:tr>
      <w:tr w14:paraId="714B3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578A19AC">
            <w:pPr>
              <w:pStyle w:val="106"/>
              <w:jc w:val="center"/>
              <w:rPr>
                <w:rFonts w:hAnsi="宋体" w:cs="Times New Roman"/>
                <w:color w:val="auto"/>
                <w:sz w:val="21"/>
                <w:szCs w:val="21"/>
              </w:rPr>
            </w:pPr>
            <w:r>
              <w:rPr>
                <w:rFonts w:cs="Times New Roman"/>
                <w:color w:val="auto"/>
                <w:sz w:val="21"/>
                <w:szCs w:val="21"/>
              </w:rPr>
              <w:t>避免接触的条件</w:t>
            </w:r>
          </w:p>
        </w:tc>
        <w:tc>
          <w:tcPr>
            <w:tcW w:w="6714" w:type="dxa"/>
            <w:tcBorders>
              <w:top w:val="single" w:color="auto" w:sz="4" w:space="0"/>
              <w:left w:val="nil"/>
              <w:bottom w:val="single" w:color="auto" w:sz="4" w:space="0"/>
              <w:right w:val="single" w:color="auto" w:sz="4" w:space="0"/>
            </w:tcBorders>
            <w:vAlign w:val="center"/>
          </w:tcPr>
          <w:p w14:paraId="679FD17F">
            <w:pPr>
              <w:pStyle w:val="106"/>
              <w:rPr>
                <w:rFonts w:hAnsi="宋体" w:cs="Times New Roman"/>
                <w:color w:val="auto"/>
                <w:sz w:val="21"/>
                <w:szCs w:val="21"/>
              </w:rPr>
            </w:pPr>
            <w:r>
              <w:rPr>
                <w:rFonts w:cs="Times New Roman"/>
                <w:color w:val="auto"/>
                <w:sz w:val="21"/>
                <w:szCs w:val="21"/>
              </w:rPr>
              <w:t>受热</w:t>
            </w:r>
          </w:p>
        </w:tc>
      </w:tr>
      <w:tr w14:paraId="3DC81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53186099">
            <w:pPr>
              <w:pStyle w:val="106"/>
              <w:jc w:val="center"/>
              <w:rPr>
                <w:rFonts w:hAnsi="宋体" w:cs="Times New Roman"/>
                <w:color w:val="auto"/>
                <w:sz w:val="21"/>
                <w:szCs w:val="21"/>
              </w:rPr>
            </w:pPr>
            <w:r>
              <w:rPr>
                <w:rFonts w:cs="Times New Roman"/>
                <w:color w:val="auto"/>
                <w:sz w:val="21"/>
                <w:szCs w:val="21"/>
              </w:rPr>
              <w:t>禁配物</w:t>
            </w:r>
          </w:p>
        </w:tc>
        <w:tc>
          <w:tcPr>
            <w:tcW w:w="6714" w:type="dxa"/>
            <w:tcBorders>
              <w:top w:val="single" w:color="auto" w:sz="4" w:space="0"/>
              <w:left w:val="nil"/>
              <w:bottom w:val="single" w:color="auto" w:sz="4" w:space="0"/>
              <w:right w:val="single" w:color="auto" w:sz="4" w:space="0"/>
            </w:tcBorders>
            <w:vAlign w:val="center"/>
          </w:tcPr>
          <w:p w14:paraId="6336D45E">
            <w:pPr>
              <w:pStyle w:val="106"/>
              <w:rPr>
                <w:rFonts w:hAnsi="宋体" w:cs="Times New Roman"/>
                <w:color w:val="auto"/>
                <w:sz w:val="21"/>
                <w:szCs w:val="21"/>
              </w:rPr>
            </w:pPr>
            <w:r>
              <w:rPr>
                <w:rFonts w:cs="Times New Roman"/>
                <w:color w:val="auto"/>
                <w:sz w:val="21"/>
                <w:szCs w:val="21"/>
              </w:rPr>
              <w:t>碱类、易燃或可燃物</w:t>
            </w:r>
          </w:p>
        </w:tc>
      </w:tr>
      <w:tr w14:paraId="2F370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3C95836B">
            <w:pPr>
              <w:pStyle w:val="106"/>
              <w:jc w:val="center"/>
              <w:rPr>
                <w:rFonts w:hAnsi="宋体" w:cs="Times New Roman"/>
                <w:color w:val="auto"/>
                <w:sz w:val="21"/>
                <w:szCs w:val="21"/>
              </w:rPr>
            </w:pPr>
            <w:r>
              <w:rPr>
                <w:rFonts w:cs="Times New Roman"/>
                <w:color w:val="auto"/>
                <w:sz w:val="21"/>
                <w:szCs w:val="21"/>
              </w:rPr>
              <w:t>危险的分解产物</w:t>
            </w:r>
          </w:p>
        </w:tc>
        <w:tc>
          <w:tcPr>
            <w:tcW w:w="6714" w:type="dxa"/>
            <w:tcBorders>
              <w:top w:val="single" w:color="auto" w:sz="4" w:space="0"/>
              <w:left w:val="nil"/>
              <w:bottom w:val="single" w:color="auto" w:sz="4" w:space="0"/>
              <w:right w:val="single" w:color="auto" w:sz="4" w:space="0"/>
            </w:tcBorders>
            <w:vAlign w:val="center"/>
          </w:tcPr>
          <w:p w14:paraId="1685EC64">
            <w:pPr>
              <w:pStyle w:val="106"/>
              <w:rPr>
                <w:rFonts w:hAnsi="宋体" w:cs="Times New Roman"/>
                <w:color w:val="auto"/>
                <w:sz w:val="21"/>
                <w:szCs w:val="21"/>
              </w:rPr>
            </w:pPr>
            <w:r>
              <w:rPr>
                <w:rFonts w:cs="Times New Roman"/>
                <w:color w:val="auto"/>
                <w:sz w:val="21"/>
                <w:szCs w:val="21"/>
              </w:rPr>
              <w:t>氟化氢</w:t>
            </w:r>
          </w:p>
        </w:tc>
      </w:tr>
      <w:tr w14:paraId="20996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348" w:type="dxa"/>
            <w:gridSpan w:val="2"/>
            <w:tcBorders>
              <w:top w:val="single" w:color="auto" w:sz="4" w:space="0"/>
              <w:left w:val="single" w:color="auto" w:sz="4" w:space="0"/>
              <w:bottom w:val="single" w:color="auto" w:sz="4" w:space="0"/>
              <w:right w:val="single" w:color="auto" w:sz="4" w:space="0"/>
            </w:tcBorders>
            <w:vAlign w:val="center"/>
          </w:tcPr>
          <w:p w14:paraId="56D75A44">
            <w:pPr>
              <w:pStyle w:val="106"/>
              <w:jc w:val="center"/>
              <w:rPr>
                <w:rFonts w:hAnsi="宋体" w:cs="Times New Roman"/>
                <w:color w:val="auto"/>
                <w:sz w:val="21"/>
                <w:szCs w:val="21"/>
              </w:rPr>
            </w:pPr>
            <w:r>
              <w:rPr>
                <w:rFonts w:cs="Times New Roman"/>
                <w:b/>
                <w:bCs/>
                <w:color w:val="auto"/>
                <w:sz w:val="21"/>
                <w:szCs w:val="21"/>
              </w:rPr>
              <w:t>第十一部分</w:t>
            </w:r>
            <w:r>
              <w:rPr>
                <w:rFonts w:hAnsi="宋体" w:cs="Times New Roman"/>
                <w:b/>
                <w:bCs/>
                <w:color w:val="auto"/>
                <w:sz w:val="21"/>
                <w:szCs w:val="21"/>
              </w:rPr>
              <w:t xml:space="preserve"> </w:t>
            </w:r>
            <w:r>
              <w:rPr>
                <w:rFonts w:cs="Times New Roman"/>
                <w:b/>
                <w:bCs/>
                <w:color w:val="auto"/>
                <w:sz w:val="21"/>
                <w:szCs w:val="21"/>
              </w:rPr>
              <w:t>毒理学信息</w:t>
            </w:r>
          </w:p>
        </w:tc>
      </w:tr>
      <w:tr w14:paraId="043F9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2536870F">
            <w:pPr>
              <w:pStyle w:val="106"/>
              <w:jc w:val="center"/>
              <w:rPr>
                <w:rFonts w:hAnsi="宋体" w:cs="Times New Roman"/>
                <w:color w:val="auto"/>
                <w:sz w:val="21"/>
                <w:szCs w:val="21"/>
              </w:rPr>
            </w:pPr>
            <w:r>
              <w:rPr>
                <w:rFonts w:cs="Times New Roman"/>
                <w:color w:val="auto"/>
                <w:sz w:val="21"/>
                <w:szCs w:val="21"/>
              </w:rPr>
              <w:t>急性毒性</w:t>
            </w:r>
          </w:p>
        </w:tc>
        <w:tc>
          <w:tcPr>
            <w:tcW w:w="6714" w:type="dxa"/>
            <w:tcBorders>
              <w:top w:val="single" w:color="auto" w:sz="4" w:space="0"/>
              <w:left w:val="nil"/>
              <w:bottom w:val="single" w:color="auto" w:sz="4" w:space="0"/>
              <w:right w:val="single" w:color="auto" w:sz="4" w:space="0"/>
            </w:tcBorders>
            <w:vAlign w:val="center"/>
          </w:tcPr>
          <w:p w14:paraId="2DCA24DF">
            <w:pPr>
              <w:pStyle w:val="106"/>
              <w:rPr>
                <w:rFonts w:hAnsi="宋体" w:cs="Times New Roman"/>
                <w:color w:val="auto"/>
                <w:sz w:val="21"/>
                <w:szCs w:val="21"/>
              </w:rPr>
            </w:pPr>
            <w:r>
              <w:rPr>
                <w:rFonts w:cs="Times New Roman"/>
                <w:color w:val="auto"/>
                <w:sz w:val="21"/>
                <w:szCs w:val="21"/>
              </w:rPr>
              <w:t>LD</w:t>
            </w:r>
            <w:r>
              <w:rPr>
                <w:rFonts w:cs="Times New Roman"/>
                <w:color w:val="auto"/>
                <w:sz w:val="21"/>
                <w:szCs w:val="21"/>
                <w:vertAlign w:val="subscript"/>
              </w:rPr>
              <w:t>50</w:t>
            </w:r>
            <w:r>
              <w:rPr>
                <w:rFonts w:cs="Times New Roman"/>
                <w:color w:val="auto"/>
                <w:sz w:val="21"/>
                <w:szCs w:val="21"/>
              </w:rPr>
              <w:t>:430mg/kg (大鼠经口)</w:t>
            </w:r>
          </w:p>
        </w:tc>
      </w:tr>
      <w:tr w14:paraId="621EF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5C278178">
            <w:pPr>
              <w:pStyle w:val="106"/>
              <w:jc w:val="center"/>
              <w:rPr>
                <w:rFonts w:hAnsi="宋体" w:cs="Times New Roman"/>
                <w:color w:val="auto"/>
                <w:sz w:val="21"/>
                <w:szCs w:val="21"/>
              </w:rPr>
            </w:pPr>
            <w:r>
              <w:rPr>
                <w:rFonts w:cs="Times New Roman"/>
                <w:color w:val="auto"/>
                <w:sz w:val="21"/>
                <w:szCs w:val="21"/>
              </w:rPr>
              <w:t>皮肤刺激或腐蚀</w:t>
            </w:r>
          </w:p>
        </w:tc>
        <w:tc>
          <w:tcPr>
            <w:tcW w:w="6714" w:type="dxa"/>
            <w:tcBorders>
              <w:top w:val="single" w:color="auto" w:sz="4" w:space="0"/>
              <w:left w:val="nil"/>
              <w:bottom w:val="single" w:color="auto" w:sz="4" w:space="0"/>
              <w:right w:val="single" w:color="auto" w:sz="4" w:space="0"/>
            </w:tcBorders>
            <w:vAlign w:val="center"/>
          </w:tcPr>
          <w:p w14:paraId="77599AF0">
            <w:pPr>
              <w:pStyle w:val="106"/>
              <w:rPr>
                <w:rFonts w:hAnsi="宋体" w:cs="Times New Roman"/>
                <w:color w:val="auto"/>
                <w:sz w:val="21"/>
                <w:szCs w:val="21"/>
              </w:rPr>
            </w:pPr>
            <w:r>
              <w:rPr>
                <w:rFonts w:cs="Times New Roman"/>
                <w:color w:val="auto"/>
                <w:sz w:val="21"/>
                <w:szCs w:val="21"/>
              </w:rPr>
              <w:t>无资料</w:t>
            </w:r>
          </w:p>
        </w:tc>
      </w:tr>
      <w:tr w14:paraId="7259A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4DF25DC8">
            <w:pPr>
              <w:pStyle w:val="106"/>
              <w:jc w:val="center"/>
              <w:rPr>
                <w:rFonts w:hAnsi="宋体" w:cs="Times New Roman"/>
                <w:color w:val="auto"/>
                <w:sz w:val="21"/>
                <w:szCs w:val="21"/>
              </w:rPr>
            </w:pPr>
            <w:r>
              <w:rPr>
                <w:rFonts w:cs="Times New Roman"/>
                <w:color w:val="auto"/>
                <w:sz w:val="21"/>
                <w:szCs w:val="21"/>
              </w:rPr>
              <w:t>眼睛刺激或腐蚀</w:t>
            </w:r>
          </w:p>
        </w:tc>
        <w:tc>
          <w:tcPr>
            <w:tcW w:w="6714" w:type="dxa"/>
            <w:tcBorders>
              <w:top w:val="single" w:color="auto" w:sz="4" w:space="0"/>
              <w:left w:val="nil"/>
              <w:bottom w:val="single" w:color="auto" w:sz="4" w:space="0"/>
              <w:right w:val="single" w:color="auto" w:sz="4" w:space="0"/>
            </w:tcBorders>
            <w:vAlign w:val="center"/>
          </w:tcPr>
          <w:p w14:paraId="5651651B">
            <w:pPr>
              <w:autoSpaceDE w:val="0"/>
              <w:autoSpaceDN w:val="0"/>
              <w:adjustRightInd w:val="0"/>
              <w:spacing w:line="240" w:lineRule="auto"/>
              <w:jc w:val="left"/>
              <w:rPr>
                <w:rFonts w:ascii="宋体" w:hAnsi="宋体" w:cs="Times New Roman"/>
                <w:color w:val="auto"/>
                <w:sz w:val="21"/>
                <w:szCs w:val="21"/>
              </w:rPr>
            </w:pPr>
            <w:r>
              <w:rPr>
                <w:rFonts w:hint="eastAsia" w:ascii="宋体" w:hAnsi="宋体"/>
                <w:color w:val="auto"/>
                <w:sz w:val="21"/>
                <w:szCs w:val="21"/>
              </w:rPr>
              <w:t>无资料</w:t>
            </w:r>
          </w:p>
        </w:tc>
      </w:tr>
      <w:tr w14:paraId="52926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2C0F67CE">
            <w:pPr>
              <w:pStyle w:val="106"/>
              <w:jc w:val="center"/>
              <w:rPr>
                <w:rFonts w:hAnsi="宋体" w:cs="Times New Roman"/>
                <w:color w:val="auto"/>
                <w:sz w:val="21"/>
                <w:szCs w:val="21"/>
              </w:rPr>
            </w:pPr>
            <w:r>
              <w:rPr>
                <w:rFonts w:cs="Times New Roman"/>
                <w:color w:val="auto"/>
                <w:sz w:val="21"/>
                <w:szCs w:val="21"/>
              </w:rPr>
              <w:t>呼吸或皮肤过敏</w:t>
            </w:r>
          </w:p>
        </w:tc>
        <w:tc>
          <w:tcPr>
            <w:tcW w:w="6714" w:type="dxa"/>
            <w:tcBorders>
              <w:top w:val="single" w:color="auto" w:sz="4" w:space="0"/>
              <w:left w:val="nil"/>
              <w:bottom w:val="single" w:color="auto" w:sz="4" w:space="0"/>
              <w:right w:val="single" w:color="auto" w:sz="4" w:space="0"/>
            </w:tcBorders>
            <w:vAlign w:val="center"/>
          </w:tcPr>
          <w:p w14:paraId="6EA42FA4">
            <w:pPr>
              <w:autoSpaceDE w:val="0"/>
              <w:autoSpaceDN w:val="0"/>
              <w:adjustRightInd w:val="0"/>
              <w:spacing w:line="240" w:lineRule="auto"/>
              <w:jc w:val="left"/>
              <w:rPr>
                <w:rFonts w:ascii="宋体" w:hAnsi="宋体" w:cs="Times New Roman"/>
                <w:color w:val="auto"/>
                <w:sz w:val="21"/>
                <w:szCs w:val="21"/>
              </w:rPr>
            </w:pPr>
            <w:r>
              <w:rPr>
                <w:rFonts w:hint="eastAsia" w:ascii="宋体" w:hAnsi="宋体"/>
                <w:color w:val="auto"/>
                <w:sz w:val="21"/>
                <w:szCs w:val="21"/>
              </w:rPr>
              <w:t>无资料</w:t>
            </w:r>
          </w:p>
        </w:tc>
      </w:tr>
      <w:tr w14:paraId="0CF68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663FF769">
            <w:pPr>
              <w:pStyle w:val="106"/>
              <w:jc w:val="center"/>
              <w:rPr>
                <w:rFonts w:hAnsi="宋体" w:cs="Times New Roman"/>
                <w:color w:val="auto"/>
                <w:sz w:val="21"/>
                <w:szCs w:val="21"/>
              </w:rPr>
            </w:pPr>
            <w:r>
              <w:rPr>
                <w:rFonts w:cs="Times New Roman"/>
                <w:color w:val="auto"/>
                <w:sz w:val="21"/>
                <w:szCs w:val="21"/>
              </w:rPr>
              <w:t>生殖细胞突变性</w:t>
            </w:r>
          </w:p>
        </w:tc>
        <w:tc>
          <w:tcPr>
            <w:tcW w:w="6714" w:type="dxa"/>
            <w:tcBorders>
              <w:top w:val="single" w:color="auto" w:sz="4" w:space="0"/>
              <w:left w:val="nil"/>
              <w:bottom w:val="single" w:color="auto" w:sz="4" w:space="0"/>
              <w:right w:val="single" w:color="auto" w:sz="4" w:space="0"/>
            </w:tcBorders>
            <w:vAlign w:val="center"/>
          </w:tcPr>
          <w:p w14:paraId="2F236EEB">
            <w:pPr>
              <w:autoSpaceDE w:val="0"/>
              <w:autoSpaceDN w:val="0"/>
              <w:adjustRightInd w:val="0"/>
              <w:spacing w:line="240" w:lineRule="auto"/>
              <w:jc w:val="left"/>
              <w:rPr>
                <w:rFonts w:ascii="宋体" w:hAnsi="宋体" w:cs="Times New Roman"/>
                <w:color w:val="auto"/>
                <w:sz w:val="21"/>
                <w:szCs w:val="21"/>
              </w:rPr>
            </w:pPr>
            <w:r>
              <w:rPr>
                <w:rFonts w:hint="eastAsia" w:ascii="宋体" w:hAnsi="宋体"/>
                <w:color w:val="auto"/>
                <w:sz w:val="21"/>
                <w:szCs w:val="21"/>
              </w:rPr>
              <w:t>无资料</w:t>
            </w:r>
          </w:p>
        </w:tc>
      </w:tr>
      <w:tr w14:paraId="45C06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41A36AA0">
            <w:pPr>
              <w:pStyle w:val="106"/>
              <w:jc w:val="center"/>
              <w:rPr>
                <w:rFonts w:hAnsi="宋体" w:cs="Times New Roman"/>
                <w:color w:val="auto"/>
                <w:sz w:val="21"/>
                <w:szCs w:val="21"/>
              </w:rPr>
            </w:pPr>
            <w:r>
              <w:rPr>
                <w:rFonts w:cs="Times New Roman"/>
                <w:color w:val="auto"/>
                <w:sz w:val="21"/>
                <w:szCs w:val="21"/>
              </w:rPr>
              <w:t>致癌性</w:t>
            </w:r>
          </w:p>
        </w:tc>
        <w:tc>
          <w:tcPr>
            <w:tcW w:w="6714" w:type="dxa"/>
            <w:tcBorders>
              <w:top w:val="single" w:color="auto" w:sz="4" w:space="0"/>
              <w:left w:val="nil"/>
              <w:bottom w:val="single" w:color="auto" w:sz="4" w:space="0"/>
              <w:right w:val="single" w:color="auto" w:sz="4" w:space="0"/>
            </w:tcBorders>
            <w:vAlign w:val="center"/>
          </w:tcPr>
          <w:p w14:paraId="555A3F96">
            <w:pPr>
              <w:autoSpaceDE w:val="0"/>
              <w:autoSpaceDN w:val="0"/>
              <w:adjustRightInd w:val="0"/>
              <w:spacing w:line="240" w:lineRule="auto"/>
              <w:jc w:val="left"/>
              <w:rPr>
                <w:rFonts w:ascii="宋体" w:hAnsi="宋体" w:cs="Times New Roman"/>
                <w:color w:val="auto"/>
                <w:sz w:val="21"/>
                <w:szCs w:val="21"/>
              </w:rPr>
            </w:pPr>
            <w:r>
              <w:rPr>
                <w:rFonts w:hint="eastAsia" w:ascii="宋体" w:hAnsi="宋体"/>
                <w:color w:val="auto"/>
                <w:sz w:val="21"/>
                <w:szCs w:val="21"/>
              </w:rPr>
              <w:t>无资料</w:t>
            </w:r>
          </w:p>
        </w:tc>
      </w:tr>
      <w:tr w14:paraId="611EA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1591A09D">
            <w:pPr>
              <w:pStyle w:val="106"/>
              <w:jc w:val="center"/>
              <w:rPr>
                <w:rFonts w:hAnsi="宋体" w:cs="Times New Roman"/>
                <w:color w:val="auto"/>
                <w:sz w:val="21"/>
                <w:szCs w:val="21"/>
              </w:rPr>
            </w:pPr>
            <w:r>
              <w:rPr>
                <w:rFonts w:cs="Times New Roman"/>
                <w:color w:val="auto"/>
                <w:sz w:val="21"/>
                <w:szCs w:val="21"/>
              </w:rPr>
              <w:t>生殖毒性</w:t>
            </w:r>
          </w:p>
        </w:tc>
        <w:tc>
          <w:tcPr>
            <w:tcW w:w="6714" w:type="dxa"/>
            <w:tcBorders>
              <w:top w:val="single" w:color="auto" w:sz="4" w:space="0"/>
              <w:left w:val="nil"/>
              <w:bottom w:val="single" w:color="auto" w:sz="4" w:space="0"/>
              <w:right w:val="single" w:color="auto" w:sz="4" w:space="0"/>
            </w:tcBorders>
            <w:vAlign w:val="center"/>
          </w:tcPr>
          <w:p w14:paraId="5778AA8A">
            <w:pPr>
              <w:autoSpaceDE w:val="0"/>
              <w:autoSpaceDN w:val="0"/>
              <w:adjustRightInd w:val="0"/>
              <w:spacing w:line="240" w:lineRule="auto"/>
              <w:jc w:val="left"/>
              <w:rPr>
                <w:rFonts w:ascii="宋体" w:hAnsi="宋体" w:cs="Times New Roman"/>
                <w:color w:val="auto"/>
                <w:sz w:val="21"/>
                <w:szCs w:val="21"/>
              </w:rPr>
            </w:pPr>
            <w:r>
              <w:rPr>
                <w:rFonts w:hint="eastAsia" w:ascii="宋体" w:hAnsi="宋体"/>
                <w:color w:val="auto"/>
                <w:sz w:val="21"/>
                <w:szCs w:val="21"/>
              </w:rPr>
              <w:t>无资料</w:t>
            </w:r>
          </w:p>
        </w:tc>
      </w:tr>
      <w:tr w14:paraId="39C12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38C556B1">
            <w:pPr>
              <w:pStyle w:val="106"/>
              <w:jc w:val="center"/>
              <w:rPr>
                <w:rFonts w:hAnsi="宋体" w:cs="Times New Roman"/>
                <w:color w:val="auto"/>
                <w:sz w:val="21"/>
                <w:szCs w:val="21"/>
              </w:rPr>
            </w:pPr>
            <w:r>
              <w:rPr>
                <w:rFonts w:cs="Times New Roman"/>
                <w:color w:val="auto"/>
                <w:sz w:val="21"/>
                <w:szCs w:val="21"/>
              </w:rPr>
              <w:t>特异性靶器官系统毒性-一次接触</w:t>
            </w:r>
          </w:p>
        </w:tc>
        <w:tc>
          <w:tcPr>
            <w:tcW w:w="6714" w:type="dxa"/>
            <w:tcBorders>
              <w:top w:val="single" w:color="auto" w:sz="4" w:space="0"/>
              <w:left w:val="nil"/>
              <w:bottom w:val="single" w:color="auto" w:sz="4" w:space="0"/>
              <w:right w:val="single" w:color="auto" w:sz="4" w:space="0"/>
            </w:tcBorders>
            <w:vAlign w:val="center"/>
          </w:tcPr>
          <w:p w14:paraId="51671A9F">
            <w:pPr>
              <w:autoSpaceDE w:val="0"/>
              <w:autoSpaceDN w:val="0"/>
              <w:adjustRightInd w:val="0"/>
              <w:spacing w:line="240" w:lineRule="auto"/>
              <w:jc w:val="left"/>
              <w:rPr>
                <w:rFonts w:ascii="宋体" w:hAnsi="宋体" w:cs="Times New Roman"/>
                <w:color w:val="auto"/>
                <w:sz w:val="21"/>
                <w:szCs w:val="21"/>
              </w:rPr>
            </w:pPr>
            <w:r>
              <w:rPr>
                <w:rFonts w:hint="eastAsia" w:ascii="宋体" w:hAnsi="宋体"/>
                <w:color w:val="auto"/>
                <w:sz w:val="21"/>
                <w:szCs w:val="21"/>
              </w:rPr>
              <w:t>无资料</w:t>
            </w:r>
          </w:p>
        </w:tc>
      </w:tr>
      <w:tr w14:paraId="39B2B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7D31571C">
            <w:pPr>
              <w:pStyle w:val="106"/>
              <w:jc w:val="center"/>
              <w:rPr>
                <w:rFonts w:hAnsi="宋体" w:cs="Times New Roman"/>
                <w:color w:val="auto"/>
                <w:sz w:val="21"/>
                <w:szCs w:val="21"/>
              </w:rPr>
            </w:pPr>
            <w:r>
              <w:rPr>
                <w:rFonts w:cs="Times New Roman"/>
                <w:color w:val="auto"/>
                <w:sz w:val="21"/>
                <w:szCs w:val="21"/>
              </w:rPr>
              <w:t>特异性靶器官系统毒性-反复接触</w:t>
            </w:r>
          </w:p>
        </w:tc>
        <w:tc>
          <w:tcPr>
            <w:tcW w:w="6714" w:type="dxa"/>
            <w:tcBorders>
              <w:top w:val="single" w:color="auto" w:sz="4" w:space="0"/>
              <w:left w:val="nil"/>
              <w:bottom w:val="single" w:color="auto" w:sz="4" w:space="0"/>
              <w:right w:val="single" w:color="auto" w:sz="4" w:space="0"/>
            </w:tcBorders>
            <w:vAlign w:val="center"/>
          </w:tcPr>
          <w:p w14:paraId="5D93C489">
            <w:pPr>
              <w:autoSpaceDE w:val="0"/>
              <w:autoSpaceDN w:val="0"/>
              <w:adjustRightInd w:val="0"/>
              <w:spacing w:line="240" w:lineRule="auto"/>
              <w:jc w:val="left"/>
              <w:rPr>
                <w:rFonts w:ascii="宋体" w:hAnsi="宋体" w:cs="Times New Roman"/>
                <w:color w:val="auto"/>
                <w:sz w:val="21"/>
                <w:szCs w:val="21"/>
              </w:rPr>
            </w:pPr>
            <w:r>
              <w:rPr>
                <w:rFonts w:hint="eastAsia" w:ascii="宋体" w:hAnsi="宋体"/>
                <w:color w:val="auto"/>
                <w:sz w:val="21"/>
                <w:szCs w:val="21"/>
              </w:rPr>
              <w:t>无资料</w:t>
            </w:r>
          </w:p>
        </w:tc>
      </w:tr>
      <w:tr w14:paraId="77A75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0AC3B6E3">
            <w:pPr>
              <w:pStyle w:val="106"/>
              <w:jc w:val="center"/>
              <w:rPr>
                <w:rFonts w:hAnsi="宋体" w:cs="Times New Roman"/>
                <w:color w:val="auto"/>
                <w:sz w:val="21"/>
                <w:szCs w:val="21"/>
              </w:rPr>
            </w:pPr>
            <w:r>
              <w:rPr>
                <w:rFonts w:cs="Times New Roman"/>
                <w:color w:val="auto"/>
                <w:sz w:val="21"/>
                <w:szCs w:val="21"/>
              </w:rPr>
              <w:t>吸入危害</w:t>
            </w:r>
          </w:p>
        </w:tc>
        <w:tc>
          <w:tcPr>
            <w:tcW w:w="6714" w:type="dxa"/>
            <w:tcBorders>
              <w:top w:val="single" w:color="auto" w:sz="4" w:space="0"/>
              <w:left w:val="nil"/>
              <w:bottom w:val="single" w:color="auto" w:sz="4" w:space="0"/>
              <w:right w:val="single" w:color="auto" w:sz="4" w:space="0"/>
            </w:tcBorders>
            <w:vAlign w:val="center"/>
          </w:tcPr>
          <w:p w14:paraId="2CEC31D7">
            <w:pPr>
              <w:autoSpaceDE w:val="0"/>
              <w:autoSpaceDN w:val="0"/>
              <w:adjustRightInd w:val="0"/>
              <w:spacing w:line="240" w:lineRule="auto"/>
              <w:jc w:val="left"/>
              <w:rPr>
                <w:rFonts w:ascii="宋体" w:hAnsi="宋体" w:cs="Times New Roman"/>
                <w:color w:val="auto"/>
                <w:sz w:val="21"/>
                <w:szCs w:val="21"/>
              </w:rPr>
            </w:pPr>
            <w:r>
              <w:rPr>
                <w:rFonts w:hint="eastAsia" w:ascii="宋体" w:hAnsi="宋体"/>
                <w:color w:val="auto"/>
                <w:sz w:val="21"/>
                <w:szCs w:val="21"/>
              </w:rPr>
              <w:t>无资料</w:t>
            </w:r>
          </w:p>
        </w:tc>
      </w:tr>
      <w:tr w14:paraId="64213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348" w:type="dxa"/>
            <w:gridSpan w:val="2"/>
            <w:tcBorders>
              <w:top w:val="single" w:color="auto" w:sz="4" w:space="0"/>
              <w:left w:val="single" w:color="auto" w:sz="4" w:space="0"/>
              <w:bottom w:val="single" w:color="auto" w:sz="4" w:space="0"/>
              <w:right w:val="single" w:color="auto" w:sz="4" w:space="0"/>
            </w:tcBorders>
            <w:vAlign w:val="center"/>
          </w:tcPr>
          <w:p w14:paraId="5D60CD2B">
            <w:pPr>
              <w:pStyle w:val="106"/>
              <w:jc w:val="center"/>
              <w:rPr>
                <w:rFonts w:hAnsi="宋体" w:cs="Times New Roman"/>
                <w:color w:val="auto"/>
                <w:sz w:val="21"/>
                <w:szCs w:val="21"/>
              </w:rPr>
            </w:pPr>
            <w:r>
              <w:rPr>
                <w:rFonts w:cs="Times New Roman"/>
                <w:b/>
                <w:bCs/>
                <w:color w:val="auto"/>
                <w:sz w:val="21"/>
                <w:szCs w:val="21"/>
              </w:rPr>
              <w:t>第十二部分</w:t>
            </w:r>
            <w:r>
              <w:rPr>
                <w:rFonts w:hAnsi="宋体" w:cs="Times New Roman"/>
                <w:b/>
                <w:bCs/>
                <w:color w:val="auto"/>
                <w:sz w:val="21"/>
                <w:szCs w:val="21"/>
              </w:rPr>
              <w:t xml:space="preserve"> </w:t>
            </w:r>
            <w:r>
              <w:rPr>
                <w:rFonts w:cs="Times New Roman"/>
                <w:b/>
                <w:bCs/>
                <w:color w:val="auto"/>
                <w:sz w:val="21"/>
                <w:szCs w:val="21"/>
              </w:rPr>
              <w:t>生态学信息</w:t>
            </w:r>
          </w:p>
        </w:tc>
      </w:tr>
      <w:tr w14:paraId="11896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0F657474">
            <w:pPr>
              <w:pStyle w:val="106"/>
              <w:jc w:val="center"/>
              <w:rPr>
                <w:rFonts w:ascii="..ì." w:hAnsi="宋体" w:cs="Times New Roman"/>
                <w:color w:val="auto"/>
                <w:sz w:val="21"/>
                <w:szCs w:val="21"/>
              </w:rPr>
            </w:pPr>
            <w:r>
              <w:rPr>
                <w:rFonts w:cs="Times New Roman"/>
                <w:color w:val="auto"/>
                <w:sz w:val="21"/>
                <w:szCs w:val="21"/>
              </w:rPr>
              <w:t>生态毒性</w:t>
            </w:r>
          </w:p>
        </w:tc>
        <w:tc>
          <w:tcPr>
            <w:tcW w:w="6714" w:type="dxa"/>
            <w:tcBorders>
              <w:top w:val="single" w:color="auto" w:sz="4" w:space="0"/>
              <w:left w:val="nil"/>
              <w:bottom w:val="single" w:color="auto" w:sz="4" w:space="0"/>
              <w:right w:val="single" w:color="auto" w:sz="4" w:space="0"/>
            </w:tcBorders>
            <w:vAlign w:val="center"/>
          </w:tcPr>
          <w:p w14:paraId="03ABE1BA">
            <w:pPr>
              <w:pStyle w:val="106"/>
              <w:rPr>
                <w:rFonts w:hAnsi="宋体" w:cs="Times New Roman"/>
                <w:color w:val="auto"/>
                <w:sz w:val="21"/>
                <w:szCs w:val="21"/>
              </w:rPr>
            </w:pPr>
            <w:r>
              <w:rPr>
                <w:rFonts w:cs="Times New Roman"/>
                <w:color w:val="auto"/>
                <w:sz w:val="21"/>
                <w:szCs w:val="21"/>
              </w:rPr>
              <w:t>无资料</w:t>
            </w:r>
          </w:p>
        </w:tc>
      </w:tr>
      <w:tr w14:paraId="578FD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30015727">
            <w:pPr>
              <w:pStyle w:val="106"/>
              <w:jc w:val="center"/>
              <w:rPr>
                <w:rFonts w:hAnsi="宋体" w:cs="Times New Roman"/>
                <w:color w:val="auto"/>
                <w:sz w:val="21"/>
                <w:szCs w:val="21"/>
              </w:rPr>
            </w:pPr>
            <w:r>
              <w:rPr>
                <w:rFonts w:cs="Times New Roman"/>
                <w:color w:val="auto"/>
                <w:sz w:val="21"/>
                <w:szCs w:val="21"/>
              </w:rPr>
              <w:t>持久性和降解性</w:t>
            </w:r>
          </w:p>
        </w:tc>
        <w:tc>
          <w:tcPr>
            <w:tcW w:w="6714" w:type="dxa"/>
            <w:tcBorders>
              <w:top w:val="single" w:color="auto" w:sz="4" w:space="0"/>
              <w:left w:val="nil"/>
              <w:bottom w:val="single" w:color="auto" w:sz="4" w:space="0"/>
              <w:right w:val="single" w:color="auto" w:sz="4" w:space="0"/>
            </w:tcBorders>
            <w:vAlign w:val="center"/>
          </w:tcPr>
          <w:p w14:paraId="6F76A6B9">
            <w:pPr>
              <w:pStyle w:val="106"/>
              <w:rPr>
                <w:rFonts w:hAnsi="宋体" w:cs="Times New Roman"/>
                <w:color w:val="auto"/>
                <w:sz w:val="21"/>
                <w:szCs w:val="21"/>
              </w:rPr>
            </w:pPr>
            <w:r>
              <w:rPr>
                <w:rFonts w:cs="Times New Roman"/>
                <w:color w:val="auto"/>
                <w:sz w:val="21"/>
                <w:szCs w:val="21"/>
              </w:rPr>
              <w:t>生物降解性</w:t>
            </w:r>
            <w:r>
              <w:rPr>
                <w:rFonts w:hAnsi="宋体" w:cs="Times New Roman"/>
                <w:color w:val="auto"/>
                <w:sz w:val="21"/>
                <w:szCs w:val="21"/>
              </w:rPr>
              <w:t xml:space="preserve"> </w:t>
            </w:r>
            <w:r>
              <w:rPr>
                <w:rFonts w:cs="Times New Roman"/>
                <w:color w:val="auto"/>
                <w:sz w:val="21"/>
                <w:szCs w:val="21"/>
              </w:rPr>
              <w:t>无资料</w:t>
            </w:r>
          </w:p>
          <w:p w14:paraId="69014835">
            <w:pPr>
              <w:pStyle w:val="106"/>
              <w:rPr>
                <w:rFonts w:hAnsi="宋体" w:cs="Times New Roman"/>
                <w:color w:val="auto"/>
                <w:sz w:val="21"/>
                <w:szCs w:val="21"/>
              </w:rPr>
            </w:pPr>
            <w:r>
              <w:rPr>
                <w:rFonts w:cs="Times New Roman"/>
                <w:color w:val="auto"/>
                <w:sz w:val="21"/>
                <w:szCs w:val="21"/>
              </w:rPr>
              <w:t>非生物降解性</w:t>
            </w:r>
            <w:r>
              <w:rPr>
                <w:rFonts w:hAnsi="宋体" w:cs="Times New Roman"/>
                <w:color w:val="auto"/>
                <w:sz w:val="21"/>
                <w:szCs w:val="21"/>
              </w:rPr>
              <w:t xml:space="preserve"> </w:t>
            </w:r>
            <w:r>
              <w:rPr>
                <w:rFonts w:cs="Times New Roman"/>
                <w:color w:val="auto"/>
                <w:sz w:val="21"/>
                <w:szCs w:val="21"/>
              </w:rPr>
              <w:t>无资料</w:t>
            </w:r>
          </w:p>
        </w:tc>
      </w:tr>
      <w:tr w14:paraId="71513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090C6876">
            <w:pPr>
              <w:pStyle w:val="106"/>
              <w:jc w:val="center"/>
              <w:rPr>
                <w:rFonts w:hAnsi="宋体" w:cs="Times New Roman"/>
                <w:color w:val="auto"/>
                <w:sz w:val="21"/>
                <w:szCs w:val="21"/>
              </w:rPr>
            </w:pPr>
            <w:r>
              <w:rPr>
                <w:rFonts w:cs="Times New Roman"/>
                <w:color w:val="auto"/>
                <w:sz w:val="21"/>
                <w:szCs w:val="21"/>
              </w:rPr>
              <w:t>潜在的生物累积性</w:t>
            </w:r>
          </w:p>
        </w:tc>
        <w:tc>
          <w:tcPr>
            <w:tcW w:w="6714" w:type="dxa"/>
            <w:tcBorders>
              <w:top w:val="single" w:color="auto" w:sz="4" w:space="0"/>
              <w:left w:val="nil"/>
              <w:bottom w:val="single" w:color="auto" w:sz="4" w:space="0"/>
              <w:right w:val="single" w:color="auto" w:sz="4" w:space="0"/>
            </w:tcBorders>
            <w:vAlign w:val="center"/>
          </w:tcPr>
          <w:p w14:paraId="3630D544">
            <w:pPr>
              <w:autoSpaceDE w:val="0"/>
              <w:autoSpaceDN w:val="0"/>
              <w:adjustRightInd w:val="0"/>
              <w:spacing w:line="240" w:lineRule="auto"/>
              <w:jc w:val="left"/>
              <w:rPr>
                <w:rFonts w:ascii="宋体" w:hAnsi="宋体" w:cs="Times New Roman"/>
                <w:color w:val="auto"/>
                <w:sz w:val="21"/>
                <w:szCs w:val="21"/>
              </w:rPr>
            </w:pPr>
            <w:r>
              <w:rPr>
                <w:rFonts w:hint="eastAsia" w:ascii="宋体" w:hAnsi="宋体"/>
                <w:color w:val="auto"/>
                <w:sz w:val="21"/>
                <w:szCs w:val="21"/>
              </w:rPr>
              <w:t>无资料</w:t>
            </w:r>
          </w:p>
        </w:tc>
      </w:tr>
      <w:tr w14:paraId="50214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7BDF20A5">
            <w:pPr>
              <w:pStyle w:val="106"/>
              <w:jc w:val="center"/>
              <w:rPr>
                <w:rFonts w:hAnsi="宋体" w:cs="Times New Roman"/>
                <w:color w:val="auto"/>
                <w:sz w:val="21"/>
                <w:szCs w:val="21"/>
              </w:rPr>
            </w:pPr>
            <w:r>
              <w:rPr>
                <w:rFonts w:cs="Times New Roman"/>
                <w:color w:val="auto"/>
                <w:sz w:val="21"/>
                <w:szCs w:val="21"/>
              </w:rPr>
              <w:t>土壤中的迁移性</w:t>
            </w:r>
          </w:p>
        </w:tc>
        <w:tc>
          <w:tcPr>
            <w:tcW w:w="6714" w:type="dxa"/>
            <w:tcBorders>
              <w:top w:val="single" w:color="auto" w:sz="4" w:space="0"/>
              <w:left w:val="nil"/>
              <w:bottom w:val="single" w:color="auto" w:sz="4" w:space="0"/>
              <w:right w:val="single" w:color="auto" w:sz="4" w:space="0"/>
            </w:tcBorders>
            <w:vAlign w:val="center"/>
          </w:tcPr>
          <w:p w14:paraId="2EA01594">
            <w:pPr>
              <w:autoSpaceDE w:val="0"/>
              <w:autoSpaceDN w:val="0"/>
              <w:adjustRightInd w:val="0"/>
              <w:spacing w:line="240" w:lineRule="auto"/>
              <w:jc w:val="left"/>
              <w:rPr>
                <w:rFonts w:ascii="宋体" w:hAnsi="宋体" w:cs="Times New Roman"/>
                <w:color w:val="auto"/>
                <w:sz w:val="21"/>
                <w:szCs w:val="21"/>
              </w:rPr>
            </w:pPr>
            <w:r>
              <w:rPr>
                <w:rFonts w:hint="eastAsia" w:ascii="宋体" w:hAnsi="宋体"/>
                <w:color w:val="auto"/>
                <w:sz w:val="21"/>
                <w:szCs w:val="21"/>
              </w:rPr>
              <w:t>无资料</w:t>
            </w:r>
          </w:p>
        </w:tc>
      </w:tr>
      <w:tr w14:paraId="1F19B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348" w:type="dxa"/>
            <w:gridSpan w:val="2"/>
            <w:tcBorders>
              <w:top w:val="single" w:color="auto" w:sz="4" w:space="0"/>
              <w:left w:val="single" w:color="auto" w:sz="4" w:space="0"/>
              <w:bottom w:val="single" w:color="auto" w:sz="4" w:space="0"/>
              <w:right w:val="single" w:color="auto" w:sz="4" w:space="0"/>
            </w:tcBorders>
            <w:vAlign w:val="center"/>
          </w:tcPr>
          <w:p w14:paraId="446C47FD">
            <w:pPr>
              <w:pStyle w:val="106"/>
              <w:jc w:val="center"/>
              <w:rPr>
                <w:rFonts w:hAnsi="宋体" w:cs="Times New Roman"/>
                <w:color w:val="auto"/>
                <w:sz w:val="21"/>
                <w:szCs w:val="21"/>
              </w:rPr>
            </w:pPr>
            <w:r>
              <w:rPr>
                <w:rFonts w:cs="Times New Roman"/>
                <w:b/>
                <w:bCs/>
                <w:color w:val="auto"/>
                <w:sz w:val="21"/>
                <w:szCs w:val="21"/>
              </w:rPr>
              <w:t>第十三部分</w:t>
            </w:r>
            <w:r>
              <w:rPr>
                <w:rFonts w:hAnsi="宋体" w:cs="Times New Roman"/>
                <w:b/>
                <w:bCs/>
                <w:color w:val="auto"/>
                <w:sz w:val="21"/>
                <w:szCs w:val="21"/>
              </w:rPr>
              <w:t xml:space="preserve"> </w:t>
            </w:r>
            <w:r>
              <w:rPr>
                <w:rFonts w:cs="Times New Roman"/>
                <w:b/>
                <w:bCs/>
                <w:color w:val="auto"/>
                <w:sz w:val="21"/>
                <w:szCs w:val="21"/>
              </w:rPr>
              <w:t>废弃处置</w:t>
            </w:r>
          </w:p>
        </w:tc>
      </w:tr>
      <w:tr w14:paraId="108DB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07D52A90">
            <w:pPr>
              <w:pStyle w:val="106"/>
              <w:jc w:val="center"/>
              <w:rPr>
                <w:rFonts w:ascii="..ì." w:hAnsi="宋体" w:cs="Times New Roman"/>
                <w:color w:val="auto"/>
                <w:sz w:val="21"/>
                <w:szCs w:val="21"/>
              </w:rPr>
            </w:pPr>
            <w:r>
              <w:rPr>
                <w:rFonts w:cs="Times New Roman"/>
                <w:color w:val="auto"/>
                <w:sz w:val="21"/>
                <w:szCs w:val="21"/>
              </w:rPr>
              <w:t>废弃化学品</w:t>
            </w:r>
          </w:p>
        </w:tc>
        <w:tc>
          <w:tcPr>
            <w:tcW w:w="6714" w:type="dxa"/>
            <w:tcBorders>
              <w:top w:val="single" w:color="auto" w:sz="4" w:space="0"/>
              <w:left w:val="nil"/>
              <w:bottom w:val="single" w:color="auto" w:sz="4" w:space="0"/>
              <w:right w:val="single" w:color="auto" w:sz="4" w:space="0"/>
            </w:tcBorders>
            <w:vAlign w:val="center"/>
          </w:tcPr>
          <w:p w14:paraId="52BEEE67">
            <w:pPr>
              <w:widowControl/>
              <w:spacing w:line="240" w:lineRule="auto"/>
              <w:jc w:val="left"/>
              <w:rPr>
                <w:rFonts w:ascii="宋体" w:hAnsi="宋体" w:cs="Times New Roman"/>
                <w:color w:val="auto"/>
                <w:kern w:val="0"/>
                <w:sz w:val="21"/>
                <w:szCs w:val="21"/>
              </w:rPr>
            </w:pPr>
            <w:r>
              <w:rPr>
                <w:rFonts w:hint="eastAsia" w:ascii="宋体" w:hAnsi="宋体"/>
                <w:color w:val="auto"/>
                <w:kern w:val="0"/>
                <w:sz w:val="21"/>
                <w:szCs w:val="21"/>
              </w:rPr>
              <w:t>根据国家和地方有关法规的要求处置。或与制造商联系,确定处置方法</w:t>
            </w:r>
          </w:p>
        </w:tc>
      </w:tr>
      <w:tr w14:paraId="1BA45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1D9D9B44">
            <w:pPr>
              <w:pStyle w:val="106"/>
              <w:jc w:val="center"/>
              <w:rPr>
                <w:rFonts w:hAnsi="宋体" w:cs="Times New Roman"/>
                <w:color w:val="auto"/>
                <w:sz w:val="21"/>
                <w:szCs w:val="21"/>
              </w:rPr>
            </w:pPr>
            <w:r>
              <w:rPr>
                <w:rFonts w:cs="Times New Roman"/>
                <w:color w:val="auto"/>
                <w:sz w:val="21"/>
                <w:szCs w:val="21"/>
              </w:rPr>
              <w:t>污染包装物</w:t>
            </w:r>
          </w:p>
        </w:tc>
        <w:tc>
          <w:tcPr>
            <w:tcW w:w="6714" w:type="dxa"/>
            <w:tcBorders>
              <w:top w:val="single" w:color="auto" w:sz="4" w:space="0"/>
              <w:left w:val="nil"/>
              <w:bottom w:val="single" w:color="auto" w:sz="4" w:space="0"/>
              <w:right w:val="single" w:color="auto" w:sz="4" w:space="0"/>
            </w:tcBorders>
            <w:vAlign w:val="center"/>
          </w:tcPr>
          <w:p w14:paraId="3BFD3C50">
            <w:pPr>
              <w:pStyle w:val="106"/>
              <w:rPr>
                <w:rFonts w:ascii="..ì." w:hAnsi="宋体" w:cs="Times New Roman"/>
                <w:color w:val="auto"/>
                <w:sz w:val="21"/>
                <w:szCs w:val="21"/>
              </w:rPr>
            </w:pPr>
            <w:r>
              <w:rPr>
                <w:rFonts w:cs="Times New Roman"/>
                <w:color w:val="auto"/>
                <w:sz w:val="21"/>
                <w:szCs w:val="21"/>
              </w:rPr>
              <w:t>将容器返还生产商或按照国家和地方法规处置</w:t>
            </w:r>
          </w:p>
        </w:tc>
      </w:tr>
      <w:tr w14:paraId="1BCD3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45A99B7D">
            <w:pPr>
              <w:pStyle w:val="106"/>
              <w:jc w:val="center"/>
              <w:rPr>
                <w:rFonts w:hAnsi="宋体" w:cs="Times New Roman"/>
                <w:color w:val="auto"/>
                <w:sz w:val="21"/>
                <w:szCs w:val="21"/>
              </w:rPr>
            </w:pPr>
            <w:r>
              <w:rPr>
                <w:rFonts w:cs="Times New Roman"/>
                <w:color w:val="auto"/>
                <w:sz w:val="21"/>
                <w:szCs w:val="21"/>
              </w:rPr>
              <w:t>废弃注意事项</w:t>
            </w:r>
          </w:p>
        </w:tc>
        <w:tc>
          <w:tcPr>
            <w:tcW w:w="6714" w:type="dxa"/>
            <w:tcBorders>
              <w:top w:val="single" w:color="auto" w:sz="4" w:space="0"/>
              <w:left w:val="nil"/>
              <w:bottom w:val="single" w:color="auto" w:sz="4" w:space="0"/>
              <w:right w:val="single" w:color="auto" w:sz="4" w:space="0"/>
            </w:tcBorders>
            <w:vAlign w:val="center"/>
          </w:tcPr>
          <w:p w14:paraId="738CB29D">
            <w:pPr>
              <w:pStyle w:val="106"/>
              <w:rPr>
                <w:rFonts w:hAnsi="宋体" w:cs="Times New Roman"/>
                <w:color w:val="auto"/>
                <w:sz w:val="21"/>
                <w:szCs w:val="21"/>
              </w:rPr>
            </w:pPr>
            <w:r>
              <w:rPr>
                <w:rFonts w:cs="Times New Roman"/>
                <w:color w:val="auto"/>
                <w:sz w:val="21"/>
                <w:szCs w:val="21"/>
              </w:rPr>
              <w:t>处置前应参阅国家和地方有关法规</w:t>
            </w:r>
          </w:p>
        </w:tc>
      </w:tr>
      <w:tr w14:paraId="704AC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348" w:type="dxa"/>
            <w:gridSpan w:val="2"/>
            <w:tcBorders>
              <w:top w:val="single" w:color="auto" w:sz="4" w:space="0"/>
              <w:left w:val="single" w:color="auto" w:sz="4" w:space="0"/>
              <w:bottom w:val="single" w:color="auto" w:sz="4" w:space="0"/>
              <w:right w:val="single" w:color="auto" w:sz="4" w:space="0"/>
            </w:tcBorders>
            <w:vAlign w:val="center"/>
          </w:tcPr>
          <w:p w14:paraId="24C30CFA">
            <w:pPr>
              <w:pStyle w:val="106"/>
              <w:jc w:val="center"/>
              <w:rPr>
                <w:rFonts w:hAnsi="宋体" w:cs="Times New Roman"/>
                <w:color w:val="auto"/>
                <w:sz w:val="21"/>
                <w:szCs w:val="21"/>
              </w:rPr>
            </w:pPr>
            <w:r>
              <w:rPr>
                <w:rFonts w:cs="Times New Roman"/>
                <w:b/>
                <w:bCs/>
                <w:color w:val="auto"/>
                <w:sz w:val="21"/>
                <w:szCs w:val="21"/>
              </w:rPr>
              <w:t>第十四部分</w:t>
            </w:r>
            <w:r>
              <w:rPr>
                <w:rFonts w:hAnsi="宋体" w:cs="Times New Roman"/>
                <w:b/>
                <w:bCs/>
                <w:color w:val="auto"/>
                <w:sz w:val="21"/>
                <w:szCs w:val="21"/>
              </w:rPr>
              <w:t xml:space="preserve"> </w:t>
            </w:r>
            <w:r>
              <w:rPr>
                <w:rFonts w:cs="Times New Roman"/>
                <w:b/>
                <w:bCs/>
                <w:color w:val="auto"/>
                <w:sz w:val="21"/>
                <w:szCs w:val="21"/>
              </w:rPr>
              <w:t>运输信息</w:t>
            </w:r>
          </w:p>
        </w:tc>
      </w:tr>
      <w:tr w14:paraId="0BDC4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6A49BD4A">
            <w:pPr>
              <w:pStyle w:val="106"/>
              <w:jc w:val="center"/>
              <w:rPr>
                <w:rFonts w:hAnsi="宋体" w:cs="Times New Roman"/>
                <w:color w:val="auto"/>
                <w:sz w:val="21"/>
                <w:szCs w:val="21"/>
              </w:rPr>
            </w:pPr>
            <w:r>
              <w:rPr>
                <w:rFonts w:cs="Times New Roman"/>
                <w:color w:val="auto"/>
                <w:sz w:val="21"/>
                <w:szCs w:val="21"/>
              </w:rPr>
              <w:t>联合国危险货物编号(UN号)</w:t>
            </w:r>
          </w:p>
        </w:tc>
        <w:tc>
          <w:tcPr>
            <w:tcW w:w="6714" w:type="dxa"/>
            <w:tcBorders>
              <w:top w:val="single" w:color="auto" w:sz="4" w:space="0"/>
              <w:left w:val="nil"/>
              <w:bottom w:val="single" w:color="auto" w:sz="4" w:space="0"/>
              <w:right w:val="single" w:color="auto" w:sz="4" w:space="0"/>
            </w:tcBorders>
            <w:vAlign w:val="center"/>
          </w:tcPr>
          <w:p w14:paraId="04A933A9">
            <w:pPr>
              <w:pStyle w:val="106"/>
              <w:rPr>
                <w:rFonts w:hAnsi="宋体" w:cs="Times New Roman"/>
                <w:color w:val="auto"/>
                <w:sz w:val="21"/>
                <w:szCs w:val="21"/>
              </w:rPr>
            </w:pPr>
            <w:r>
              <w:rPr>
                <w:rFonts w:cs="Times New Roman"/>
                <w:color w:val="auto"/>
                <w:sz w:val="21"/>
                <w:szCs w:val="21"/>
              </w:rPr>
              <w:t>1778</w:t>
            </w:r>
          </w:p>
        </w:tc>
      </w:tr>
      <w:tr w14:paraId="74B04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6ACFD632">
            <w:pPr>
              <w:pStyle w:val="106"/>
              <w:jc w:val="center"/>
              <w:rPr>
                <w:rFonts w:hAnsi="宋体" w:cs="Times New Roman"/>
                <w:color w:val="auto"/>
                <w:sz w:val="21"/>
                <w:szCs w:val="21"/>
              </w:rPr>
            </w:pPr>
            <w:r>
              <w:rPr>
                <w:rFonts w:cs="Times New Roman"/>
                <w:color w:val="auto"/>
                <w:sz w:val="21"/>
                <w:szCs w:val="21"/>
              </w:rPr>
              <w:t>联合国运输名称</w:t>
            </w:r>
          </w:p>
        </w:tc>
        <w:tc>
          <w:tcPr>
            <w:tcW w:w="6714" w:type="dxa"/>
            <w:tcBorders>
              <w:top w:val="single" w:color="auto" w:sz="4" w:space="0"/>
              <w:left w:val="nil"/>
              <w:bottom w:val="single" w:color="auto" w:sz="4" w:space="0"/>
              <w:right w:val="single" w:color="auto" w:sz="4" w:space="0"/>
            </w:tcBorders>
            <w:vAlign w:val="center"/>
          </w:tcPr>
          <w:p w14:paraId="1F2326DC">
            <w:pPr>
              <w:widowControl/>
              <w:spacing w:line="240" w:lineRule="auto"/>
              <w:jc w:val="left"/>
              <w:rPr>
                <w:rFonts w:ascii="宋体" w:hAnsi="宋体" w:cs="Times New Roman"/>
                <w:color w:val="auto"/>
                <w:sz w:val="21"/>
                <w:szCs w:val="21"/>
              </w:rPr>
            </w:pPr>
            <w:r>
              <w:rPr>
                <w:rFonts w:hint="eastAsia" w:ascii="宋体" w:hAnsi="宋体"/>
                <w:color w:val="auto"/>
                <w:kern w:val="0"/>
                <w:sz w:val="21"/>
                <w:szCs w:val="21"/>
              </w:rPr>
              <w:t>氟硅酸</w:t>
            </w:r>
          </w:p>
        </w:tc>
      </w:tr>
      <w:tr w14:paraId="2D13A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23E0D358">
            <w:pPr>
              <w:pStyle w:val="106"/>
              <w:jc w:val="center"/>
              <w:rPr>
                <w:rFonts w:hAnsi="宋体" w:cs="Times New Roman"/>
                <w:color w:val="auto"/>
                <w:sz w:val="21"/>
                <w:szCs w:val="21"/>
              </w:rPr>
            </w:pPr>
            <w:r>
              <w:rPr>
                <w:rFonts w:cs="Times New Roman"/>
                <w:color w:val="auto"/>
                <w:sz w:val="21"/>
                <w:szCs w:val="21"/>
              </w:rPr>
              <w:t>联合国危险性类别</w:t>
            </w:r>
          </w:p>
        </w:tc>
        <w:tc>
          <w:tcPr>
            <w:tcW w:w="6714" w:type="dxa"/>
            <w:tcBorders>
              <w:top w:val="single" w:color="auto" w:sz="4" w:space="0"/>
              <w:left w:val="nil"/>
              <w:bottom w:val="single" w:color="auto" w:sz="4" w:space="0"/>
              <w:right w:val="single" w:color="auto" w:sz="4" w:space="0"/>
            </w:tcBorders>
            <w:vAlign w:val="center"/>
          </w:tcPr>
          <w:p w14:paraId="40477B56">
            <w:pPr>
              <w:pStyle w:val="106"/>
              <w:rPr>
                <w:rFonts w:ascii="..ì." w:hAnsi="宋体" w:cs="Times New Roman"/>
                <w:color w:val="auto"/>
                <w:sz w:val="21"/>
                <w:szCs w:val="21"/>
              </w:rPr>
            </w:pPr>
            <w:r>
              <w:rPr>
                <w:rFonts w:cs="Times New Roman"/>
                <w:color w:val="auto"/>
                <w:sz w:val="21"/>
                <w:szCs w:val="21"/>
              </w:rPr>
              <w:t>8</w:t>
            </w:r>
          </w:p>
        </w:tc>
      </w:tr>
      <w:tr w14:paraId="6CD5E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35EAAC18">
            <w:pPr>
              <w:pStyle w:val="106"/>
              <w:jc w:val="center"/>
              <w:rPr>
                <w:rFonts w:hAnsi="宋体" w:cs="Times New Roman"/>
                <w:color w:val="auto"/>
                <w:sz w:val="21"/>
                <w:szCs w:val="21"/>
              </w:rPr>
            </w:pPr>
            <w:r>
              <w:rPr>
                <w:rFonts w:cs="Times New Roman"/>
                <w:color w:val="auto"/>
                <w:sz w:val="21"/>
                <w:szCs w:val="21"/>
              </w:rPr>
              <w:t>包装类别</w:t>
            </w:r>
          </w:p>
        </w:tc>
        <w:tc>
          <w:tcPr>
            <w:tcW w:w="6714" w:type="dxa"/>
            <w:tcBorders>
              <w:top w:val="single" w:color="auto" w:sz="4" w:space="0"/>
              <w:left w:val="nil"/>
              <w:bottom w:val="single" w:color="auto" w:sz="4" w:space="0"/>
              <w:right w:val="single" w:color="auto" w:sz="4" w:space="0"/>
            </w:tcBorders>
            <w:vAlign w:val="center"/>
          </w:tcPr>
          <w:p w14:paraId="2F650A1D">
            <w:pPr>
              <w:widowControl/>
              <w:spacing w:line="240" w:lineRule="auto"/>
              <w:jc w:val="left"/>
              <w:rPr>
                <w:rFonts w:ascii="宋体" w:hAnsi="宋体" w:cs="Times New Roman"/>
                <w:color w:val="auto"/>
                <w:sz w:val="21"/>
                <w:szCs w:val="21"/>
              </w:rPr>
            </w:pPr>
            <w:r>
              <w:rPr>
                <w:rFonts w:hint="eastAsia" w:ascii="宋体" w:hAnsi="宋体"/>
                <w:color w:val="auto"/>
                <w:kern w:val="0"/>
                <w:sz w:val="21"/>
                <w:szCs w:val="21"/>
              </w:rPr>
              <w:t>Ⅱ类包装</w:t>
            </w:r>
          </w:p>
        </w:tc>
      </w:tr>
      <w:tr w14:paraId="08041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6BCBF7F7">
            <w:pPr>
              <w:pStyle w:val="106"/>
              <w:jc w:val="center"/>
              <w:rPr>
                <w:rFonts w:hAnsi="宋体" w:cs="Times New Roman"/>
                <w:color w:val="auto"/>
                <w:sz w:val="21"/>
                <w:szCs w:val="21"/>
              </w:rPr>
            </w:pPr>
            <w:r>
              <w:rPr>
                <w:rFonts w:cs="Times New Roman"/>
                <w:color w:val="auto"/>
                <w:sz w:val="21"/>
                <w:szCs w:val="21"/>
              </w:rPr>
              <w:t>包装标志</w:t>
            </w:r>
          </w:p>
        </w:tc>
        <w:tc>
          <w:tcPr>
            <w:tcW w:w="6714" w:type="dxa"/>
            <w:tcBorders>
              <w:top w:val="single" w:color="auto" w:sz="4" w:space="0"/>
              <w:left w:val="nil"/>
              <w:bottom w:val="single" w:color="auto" w:sz="4" w:space="0"/>
              <w:right w:val="single" w:color="auto" w:sz="4" w:space="0"/>
            </w:tcBorders>
            <w:vAlign w:val="center"/>
          </w:tcPr>
          <w:p w14:paraId="4306CFB5">
            <w:pPr>
              <w:pStyle w:val="106"/>
              <w:rPr>
                <w:rFonts w:ascii="..ì." w:hAnsi="宋体" w:cs="Times New Roman"/>
                <w:color w:val="auto"/>
                <w:sz w:val="21"/>
                <w:szCs w:val="21"/>
              </w:rPr>
            </w:pPr>
            <w:r>
              <w:rPr>
                <w:rFonts w:hint="eastAsia" w:cs="Times New Roman"/>
                <w:color w:val="auto"/>
                <w:sz w:val="21"/>
                <w:szCs w:val="21"/>
              </w:rPr>
              <w:drawing>
                <wp:inline distT="0" distB="0" distL="0" distR="0">
                  <wp:extent cx="461645" cy="470535"/>
                  <wp:effectExtent l="0" t="0" r="8255" b="12065"/>
                  <wp:docPr id="14172010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201097" name="图片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61645" cy="470535"/>
                          </a:xfrm>
                          <a:prstGeom prst="rect">
                            <a:avLst/>
                          </a:prstGeom>
                          <a:noFill/>
                          <a:ln>
                            <a:noFill/>
                          </a:ln>
                        </pic:spPr>
                      </pic:pic>
                    </a:graphicData>
                  </a:graphic>
                </wp:inline>
              </w:drawing>
            </w:r>
          </w:p>
        </w:tc>
      </w:tr>
      <w:tr w14:paraId="45D86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757A55EE">
            <w:pPr>
              <w:pStyle w:val="106"/>
              <w:jc w:val="center"/>
              <w:rPr>
                <w:rFonts w:hAnsi="宋体" w:cs="Times New Roman"/>
                <w:color w:val="auto"/>
                <w:sz w:val="21"/>
                <w:szCs w:val="21"/>
              </w:rPr>
            </w:pPr>
            <w:r>
              <w:rPr>
                <w:rFonts w:cs="Times New Roman"/>
                <w:color w:val="auto"/>
                <w:sz w:val="21"/>
                <w:szCs w:val="21"/>
              </w:rPr>
              <w:t>海洋污染物</w:t>
            </w:r>
          </w:p>
        </w:tc>
        <w:tc>
          <w:tcPr>
            <w:tcW w:w="6714" w:type="dxa"/>
            <w:tcBorders>
              <w:top w:val="single" w:color="auto" w:sz="4" w:space="0"/>
              <w:left w:val="nil"/>
              <w:bottom w:val="single" w:color="auto" w:sz="4" w:space="0"/>
              <w:right w:val="single" w:color="auto" w:sz="4" w:space="0"/>
            </w:tcBorders>
            <w:vAlign w:val="center"/>
          </w:tcPr>
          <w:p w14:paraId="4B7BEDB7">
            <w:pPr>
              <w:pStyle w:val="106"/>
              <w:rPr>
                <w:rFonts w:hAnsi="宋体" w:cs="Times New Roman"/>
                <w:color w:val="auto"/>
                <w:sz w:val="21"/>
                <w:szCs w:val="21"/>
              </w:rPr>
            </w:pPr>
            <w:r>
              <w:rPr>
                <w:rFonts w:cs="Times New Roman"/>
                <w:color w:val="auto"/>
                <w:sz w:val="21"/>
                <w:szCs w:val="21"/>
              </w:rPr>
              <w:t>否</w:t>
            </w:r>
          </w:p>
        </w:tc>
      </w:tr>
      <w:tr w14:paraId="26AF9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75C2458A">
            <w:pPr>
              <w:pStyle w:val="106"/>
              <w:jc w:val="center"/>
              <w:rPr>
                <w:rFonts w:hAnsi="宋体" w:cs="Times New Roman"/>
                <w:color w:val="auto"/>
                <w:sz w:val="21"/>
                <w:szCs w:val="21"/>
              </w:rPr>
            </w:pPr>
            <w:r>
              <w:rPr>
                <w:rFonts w:cs="Times New Roman"/>
                <w:color w:val="auto"/>
                <w:sz w:val="21"/>
                <w:szCs w:val="21"/>
              </w:rPr>
              <w:t>运输注意事项</w:t>
            </w:r>
          </w:p>
        </w:tc>
        <w:tc>
          <w:tcPr>
            <w:tcW w:w="6714" w:type="dxa"/>
            <w:tcBorders>
              <w:top w:val="single" w:color="auto" w:sz="4" w:space="0"/>
              <w:left w:val="nil"/>
              <w:bottom w:val="single" w:color="auto" w:sz="4" w:space="0"/>
              <w:right w:val="single" w:color="auto" w:sz="4" w:space="0"/>
            </w:tcBorders>
            <w:vAlign w:val="center"/>
          </w:tcPr>
          <w:p w14:paraId="13751BC9">
            <w:pPr>
              <w:widowControl/>
              <w:spacing w:line="240" w:lineRule="auto"/>
              <w:jc w:val="left"/>
              <w:rPr>
                <w:rFonts w:ascii="宋体" w:hAnsi="宋体" w:cs="Times New Roman"/>
                <w:color w:val="auto"/>
                <w:sz w:val="21"/>
                <w:szCs w:val="21"/>
              </w:rPr>
            </w:pPr>
            <w:r>
              <w:rPr>
                <w:rFonts w:hint="eastAsia" w:ascii="宋体" w:hAnsi="宋体"/>
                <w:color w:val="auto"/>
                <w:kern w:val="0"/>
                <w:sz w:val="21"/>
                <w:szCs w:val="21"/>
              </w:rPr>
              <w:t>起运时包装要完整,装载应稳妥。运输过程中要确保容器不泄漏、不倒塌、不坠落、不损坏。严禁与易燃物或可燃物、碱类、食用化学品等混装混运。运输时运输车辆应配备泄漏应急处理设备。运输途中应防曝晒、雨淋,防高温。公路运输时要按规定路线行驶,勿在居民区和人口稠密区停留</w:t>
            </w:r>
          </w:p>
        </w:tc>
      </w:tr>
      <w:tr w14:paraId="571BD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348" w:type="dxa"/>
            <w:gridSpan w:val="2"/>
            <w:tcBorders>
              <w:top w:val="single" w:color="auto" w:sz="4" w:space="0"/>
              <w:left w:val="single" w:color="auto" w:sz="4" w:space="0"/>
              <w:bottom w:val="single" w:color="auto" w:sz="4" w:space="0"/>
              <w:right w:val="single" w:color="auto" w:sz="4" w:space="0"/>
            </w:tcBorders>
            <w:vAlign w:val="center"/>
          </w:tcPr>
          <w:p w14:paraId="67B7494C">
            <w:pPr>
              <w:pStyle w:val="106"/>
              <w:jc w:val="center"/>
              <w:rPr>
                <w:rFonts w:ascii="..ì." w:hAnsi="宋体" w:cs="Times New Roman"/>
                <w:color w:val="auto"/>
                <w:sz w:val="21"/>
                <w:szCs w:val="21"/>
              </w:rPr>
            </w:pPr>
            <w:r>
              <w:rPr>
                <w:rFonts w:cs="Times New Roman"/>
                <w:b/>
                <w:bCs/>
                <w:color w:val="auto"/>
                <w:sz w:val="21"/>
                <w:szCs w:val="21"/>
              </w:rPr>
              <w:t>第十五部分</w:t>
            </w:r>
            <w:r>
              <w:rPr>
                <w:rFonts w:hAnsi="宋体" w:cs="Times New Roman"/>
                <w:b/>
                <w:bCs/>
                <w:color w:val="auto"/>
                <w:sz w:val="21"/>
                <w:szCs w:val="21"/>
              </w:rPr>
              <w:t xml:space="preserve"> </w:t>
            </w:r>
            <w:r>
              <w:rPr>
                <w:rFonts w:cs="Times New Roman"/>
                <w:b/>
                <w:bCs/>
                <w:color w:val="auto"/>
                <w:sz w:val="21"/>
                <w:szCs w:val="21"/>
              </w:rPr>
              <w:t>法规信息</w:t>
            </w:r>
          </w:p>
        </w:tc>
      </w:tr>
      <w:tr w14:paraId="2FB5F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0412ED26">
            <w:pPr>
              <w:pStyle w:val="106"/>
              <w:jc w:val="center"/>
              <w:rPr>
                <w:rFonts w:hAnsi="宋体" w:cs="Times New Roman"/>
                <w:color w:val="auto"/>
                <w:sz w:val="21"/>
                <w:szCs w:val="21"/>
              </w:rPr>
            </w:pPr>
            <w:r>
              <w:rPr>
                <w:rFonts w:cs="Times New Roman"/>
                <w:color w:val="auto"/>
                <w:sz w:val="21"/>
                <w:szCs w:val="21"/>
              </w:rPr>
              <w:t>中华人民共和国职业病防治法</w:t>
            </w:r>
          </w:p>
        </w:tc>
        <w:tc>
          <w:tcPr>
            <w:tcW w:w="6714" w:type="dxa"/>
            <w:tcBorders>
              <w:top w:val="single" w:color="auto" w:sz="4" w:space="0"/>
              <w:left w:val="nil"/>
              <w:bottom w:val="single" w:color="auto" w:sz="4" w:space="0"/>
              <w:right w:val="single" w:color="auto" w:sz="4" w:space="0"/>
            </w:tcBorders>
            <w:vAlign w:val="center"/>
          </w:tcPr>
          <w:p w14:paraId="29AFE74E">
            <w:pPr>
              <w:widowControl/>
              <w:spacing w:line="240" w:lineRule="auto"/>
              <w:jc w:val="left"/>
              <w:rPr>
                <w:rFonts w:ascii="宋体" w:hAnsi="宋体" w:cs="Times New Roman"/>
                <w:color w:val="auto"/>
                <w:sz w:val="21"/>
                <w:szCs w:val="21"/>
              </w:rPr>
            </w:pPr>
            <w:r>
              <w:rPr>
                <w:rFonts w:hint="eastAsia" w:ascii="宋体" w:hAnsi="宋体"/>
                <w:color w:val="auto"/>
                <w:sz w:val="21"/>
                <w:szCs w:val="21"/>
              </w:rPr>
              <w:t>职业病分类和目录</w:t>
            </w:r>
            <w:r>
              <w:rPr>
                <w:rFonts w:hint="eastAsia"/>
                <w:color w:val="auto"/>
                <w:sz w:val="21"/>
                <w:szCs w:val="21"/>
              </w:rPr>
              <w:t>:</w:t>
            </w:r>
            <w:r>
              <w:rPr>
                <w:rFonts w:hint="eastAsia" w:ascii="宋体" w:hAnsi="宋体"/>
                <w:color w:val="auto"/>
                <w:sz w:val="21"/>
                <w:szCs w:val="21"/>
              </w:rPr>
              <w:t>氟及其无机化合物中毒</w:t>
            </w:r>
          </w:p>
        </w:tc>
      </w:tr>
      <w:tr w14:paraId="07E7F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35CD1BA0">
            <w:pPr>
              <w:pStyle w:val="106"/>
              <w:jc w:val="center"/>
              <w:rPr>
                <w:rFonts w:hAnsi="宋体" w:cs="Times New Roman"/>
                <w:color w:val="auto"/>
                <w:sz w:val="21"/>
                <w:szCs w:val="21"/>
              </w:rPr>
            </w:pPr>
            <w:r>
              <w:rPr>
                <w:rFonts w:cs="Times New Roman"/>
                <w:color w:val="auto"/>
                <w:sz w:val="21"/>
                <w:szCs w:val="21"/>
              </w:rPr>
              <w:t>危险化学品安全管理条例</w:t>
            </w:r>
          </w:p>
        </w:tc>
        <w:tc>
          <w:tcPr>
            <w:tcW w:w="6714" w:type="dxa"/>
            <w:tcBorders>
              <w:top w:val="single" w:color="auto" w:sz="4" w:space="0"/>
              <w:left w:val="nil"/>
              <w:bottom w:val="single" w:color="auto" w:sz="4" w:space="0"/>
              <w:right w:val="single" w:color="auto" w:sz="4" w:space="0"/>
            </w:tcBorders>
            <w:vAlign w:val="center"/>
          </w:tcPr>
          <w:p w14:paraId="6727CAD1">
            <w:pPr>
              <w:pStyle w:val="106"/>
              <w:rPr>
                <w:rFonts w:ascii="..ì." w:hAnsi="宋体" w:cs="Times New Roman"/>
                <w:color w:val="auto"/>
                <w:sz w:val="21"/>
                <w:szCs w:val="21"/>
              </w:rPr>
            </w:pPr>
            <w:r>
              <w:rPr>
                <w:rFonts w:cs="Times New Roman"/>
                <w:color w:val="auto"/>
                <w:sz w:val="21"/>
                <w:szCs w:val="21"/>
              </w:rPr>
              <w:t>危险化学品目录:列入。</w:t>
            </w:r>
          </w:p>
          <w:p w14:paraId="533C4E8B">
            <w:pPr>
              <w:pStyle w:val="106"/>
              <w:rPr>
                <w:rFonts w:hAnsi="宋体" w:cs="Times New Roman"/>
                <w:color w:val="auto"/>
                <w:sz w:val="21"/>
                <w:szCs w:val="21"/>
              </w:rPr>
            </w:pPr>
            <w:r>
              <w:rPr>
                <w:rFonts w:cs="Times New Roman"/>
                <w:color w:val="auto"/>
                <w:sz w:val="21"/>
                <w:szCs w:val="21"/>
              </w:rPr>
              <w:t>易制爆危险化学品名录:未列入。</w:t>
            </w:r>
          </w:p>
          <w:p w14:paraId="2C4E6D51">
            <w:pPr>
              <w:pStyle w:val="106"/>
              <w:rPr>
                <w:rFonts w:hAnsi="宋体" w:cs="Times New Roman"/>
                <w:color w:val="auto"/>
                <w:sz w:val="21"/>
                <w:szCs w:val="21"/>
              </w:rPr>
            </w:pPr>
            <w:r>
              <w:rPr>
                <w:rFonts w:cs="Times New Roman"/>
                <w:color w:val="auto"/>
                <w:sz w:val="21"/>
                <w:szCs w:val="21"/>
              </w:rPr>
              <w:t>重点监管的危险化学品名录:未列入。</w:t>
            </w:r>
          </w:p>
          <w:p w14:paraId="14188402">
            <w:pPr>
              <w:pStyle w:val="106"/>
              <w:rPr>
                <w:rFonts w:hAnsi="宋体" w:cs="Times New Roman"/>
                <w:color w:val="auto"/>
                <w:sz w:val="21"/>
                <w:szCs w:val="21"/>
              </w:rPr>
            </w:pPr>
            <w:r>
              <w:rPr>
                <w:rFonts w:cs="Times New Roman"/>
                <w:color w:val="auto"/>
                <w:sz w:val="21"/>
                <w:szCs w:val="21"/>
              </w:rPr>
              <w:t>GB18218《危险化学品重大危险源辨识》(表1):未列入。</w:t>
            </w:r>
          </w:p>
        </w:tc>
      </w:tr>
      <w:tr w14:paraId="29044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4FC75455">
            <w:pPr>
              <w:pStyle w:val="106"/>
              <w:jc w:val="center"/>
              <w:rPr>
                <w:rFonts w:hAnsi="宋体" w:cs="Times New Roman"/>
                <w:color w:val="auto"/>
                <w:sz w:val="21"/>
                <w:szCs w:val="21"/>
              </w:rPr>
            </w:pPr>
            <w:r>
              <w:rPr>
                <w:rFonts w:cs="Times New Roman"/>
                <w:color w:val="auto"/>
                <w:sz w:val="21"/>
                <w:szCs w:val="21"/>
              </w:rPr>
              <w:t>使用有毒物品作业场所劳动保护条例</w:t>
            </w:r>
          </w:p>
        </w:tc>
        <w:tc>
          <w:tcPr>
            <w:tcW w:w="6714" w:type="dxa"/>
            <w:tcBorders>
              <w:top w:val="single" w:color="auto" w:sz="4" w:space="0"/>
              <w:left w:val="nil"/>
              <w:bottom w:val="single" w:color="auto" w:sz="4" w:space="0"/>
              <w:right w:val="single" w:color="auto" w:sz="4" w:space="0"/>
            </w:tcBorders>
            <w:vAlign w:val="center"/>
          </w:tcPr>
          <w:p w14:paraId="6FDF52EC">
            <w:pPr>
              <w:pStyle w:val="106"/>
              <w:rPr>
                <w:rFonts w:hAnsi="宋体" w:cs="Times New Roman"/>
                <w:color w:val="auto"/>
                <w:sz w:val="21"/>
                <w:szCs w:val="21"/>
              </w:rPr>
            </w:pPr>
            <w:r>
              <w:rPr>
                <w:rFonts w:cs="Times New Roman"/>
                <w:color w:val="auto"/>
                <w:sz w:val="21"/>
                <w:szCs w:val="21"/>
              </w:rPr>
              <w:t>高毒物品目录:列入</w:t>
            </w:r>
          </w:p>
        </w:tc>
      </w:tr>
      <w:tr w14:paraId="5BBCA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57E009D2">
            <w:pPr>
              <w:pStyle w:val="106"/>
              <w:jc w:val="center"/>
              <w:rPr>
                <w:rFonts w:hAnsi="宋体" w:cs="Times New Roman"/>
                <w:color w:val="auto"/>
                <w:sz w:val="21"/>
                <w:szCs w:val="21"/>
              </w:rPr>
            </w:pPr>
            <w:r>
              <w:rPr>
                <w:rFonts w:cs="Times New Roman"/>
                <w:color w:val="auto"/>
                <w:sz w:val="21"/>
                <w:szCs w:val="21"/>
              </w:rPr>
              <w:t>易制毒化学品管理条例</w:t>
            </w:r>
          </w:p>
        </w:tc>
        <w:tc>
          <w:tcPr>
            <w:tcW w:w="6714" w:type="dxa"/>
            <w:tcBorders>
              <w:top w:val="single" w:color="auto" w:sz="4" w:space="0"/>
              <w:left w:val="nil"/>
              <w:bottom w:val="single" w:color="auto" w:sz="4" w:space="0"/>
              <w:right w:val="single" w:color="auto" w:sz="4" w:space="0"/>
            </w:tcBorders>
            <w:vAlign w:val="center"/>
          </w:tcPr>
          <w:p w14:paraId="2D453CC1">
            <w:pPr>
              <w:pStyle w:val="106"/>
              <w:rPr>
                <w:rFonts w:hAnsi="宋体" w:cs="Times New Roman"/>
                <w:color w:val="auto"/>
                <w:sz w:val="21"/>
                <w:szCs w:val="21"/>
              </w:rPr>
            </w:pPr>
            <w:r>
              <w:rPr>
                <w:rFonts w:cs="Times New Roman"/>
                <w:color w:val="auto"/>
                <w:sz w:val="21"/>
                <w:szCs w:val="21"/>
              </w:rPr>
              <w:t>易制毒化学品的分类和品种目录:未列入</w:t>
            </w:r>
          </w:p>
        </w:tc>
      </w:tr>
      <w:tr w14:paraId="41AD6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14:paraId="4D01AE08">
            <w:pPr>
              <w:pStyle w:val="106"/>
              <w:jc w:val="center"/>
              <w:rPr>
                <w:rFonts w:hAnsi="宋体" w:cs="Times New Roman"/>
                <w:color w:val="auto"/>
                <w:sz w:val="21"/>
                <w:szCs w:val="21"/>
              </w:rPr>
            </w:pPr>
            <w:r>
              <w:rPr>
                <w:rFonts w:cs="Times New Roman"/>
                <w:color w:val="auto"/>
                <w:sz w:val="21"/>
                <w:szCs w:val="21"/>
              </w:rPr>
              <w:t>国际公约</w:t>
            </w:r>
          </w:p>
        </w:tc>
        <w:tc>
          <w:tcPr>
            <w:tcW w:w="6714" w:type="dxa"/>
            <w:tcBorders>
              <w:top w:val="single" w:color="auto" w:sz="4" w:space="0"/>
              <w:left w:val="nil"/>
              <w:bottom w:val="single" w:color="auto" w:sz="4" w:space="0"/>
              <w:right w:val="single" w:color="auto" w:sz="4" w:space="0"/>
            </w:tcBorders>
            <w:vAlign w:val="center"/>
          </w:tcPr>
          <w:p w14:paraId="43723E5A">
            <w:pPr>
              <w:pStyle w:val="106"/>
              <w:rPr>
                <w:rFonts w:hAnsi="宋体" w:cs="Times New Roman"/>
                <w:color w:val="auto"/>
                <w:sz w:val="21"/>
                <w:szCs w:val="21"/>
              </w:rPr>
            </w:pPr>
            <w:r>
              <w:rPr>
                <w:rFonts w:cs="Times New Roman"/>
                <w:color w:val="auto"/>
                <w:sz w:val="21"/>
                <w:szCs w:val="21"/>
              </w:rPr>
              <w:t>斯德哥尔摩公约:未列入。</w:t>
            </w:r>
          </w:p>
          <w:p w14:paraId="0600BDAD">
            <w:pPr>
              <w:pStyle w:val="106"/>
              <w:rPr>
                <w:rFonts w:hAnsi="宋体" w:cs="Times New Roman"/>
                <w:color w:val="auto"/>
                <w:sz w:val="21"/>
                <w:szCs w:val="21"/>
              </w:rPr>
            </w:pPr>
            <w:r>
              <w:rPr>
                <w:rFonts w:cs="Times New Roman"/>
                <w:color w:val="auto"/>
                <w:sz w:val="21"/>
                <w:szCs w:val="21"/>
              </w:rPr>
              <w:t>鹿特丹公约:未列入。</w:t>
            </w:r>
          </w:p>
          <w:p w14:paraId="543F7EC2">
            <w:pPr>
              <w:pStyle w:val="106"/>
              <w:rPr>
                <w:rFonts w:hAnsi="宋体" w:cs="Times New Roman"/>
                <w:color w:val="auto"/>
                <w:sz w:val="21"/>
                <w:szCs w:val="21"/>
              </w:rPr>
            </w:pPr>
            <w:r>
              <w:rPr>
                <w:rFonts w:cs="Times New Roman"/>
                <w:color w:val="auto"/>
                <w:sz w:val="21"/>
                <w:szCs w:val="21"/>
              </w:rPr>
              <w:t>蒙特利尔议定书:未列入</w:t>
            </w:r>
          </w:p>
        </w:tc>
      </w:tr>
    </w:tbl>
    <w:p w14:paraId="15AE0AD3">
      <w:pPr>
        <w:pStyle w:val="5"/>
        <w:keepNext/>
        <w:keepLines/>
        <w:pageBreakBefore w:val="0"/>
        <w:widowControl w:val="0"/>
        <w:numPr>
          <w:ilvl w:val="2"/>
          <w:numId w:val="0"/>
        </w:numPr>
        <w:kinsoku/>
        <w:wordWrap/>
        <w:overflowPunct/>
        <w:topLinePunct w:val="0"/>
        <w:autoSpaceDE/>
        <w:autoSpaceDN/>
        <w:bidi w:val="0"/>
        <w:adjustRightInd/>
        <w:snapToGrid w:val="0"/>
        <w:spacing w:line="360" w:lineRule="auto"/>
        <w:ind w:leftChars="100"/>
        <w:textAlignment w:val="auto"/>
        <w:rPr>
          <w:rFonts w:hint="default" w:ascii="Times New Roman" w:hAnsi="Times New Roman" w:eastAsia="黑体" w:cs="Times New Roman"/>
          <w:snapToGrid w:val="0"/>
          <w:color w:val="000000"/>
          <w:kern w:val="0"/>
          <w:sz w:val="32"/>
        </w:rPr>
      </w:pPr>
      <w:bookmarkStart w:id="892" w:name="_Toc20073"/>
      <w:bookmarkStart w:id="893" w:name="_Toc17427"/>
      <w:r>
        <w:rPr>
          <w:rFonts w:hint="eastAsia" w:ascii="Times New Roman" w:hAnsi="Times New Roman" w:cs="Times New Roman"/>
          <w:snapToGrid w:val="0"/>
          <w:color w:val="000000"/>
          <w:kern w:val="0"/>
          <w:sz w:val="32"/>
          <w:lang w:val="en-US" w:eastAsia="zh-CN"/>
        </w:rPr>
        <w:t>3.1.5</w:t>
      </w:r>
      <w:r>
        <w:rPr>
          <w:rFonts w:hint="default" w:ascii="Times New Roman" w:hAnsi="Times New Roman" w:eastAsia="黑体" w:cs="Times New Roman"/>
          <w:snapToGrid w:val="0"/>
          <w:color w:val="000000"/>
          <w:kern w:val="0"/>
          <w:sz w:val="32"/>
        </w:rPr>
        <w:t>危险、有害因素分析过程</w:t>
      </w:r>
      <w:bookmarkEnd w:id="892"/>
      <w:bookmarkEnd w:id="893"/>
    </w:p>
    <w:p w14:paraId="110C23AB">
      <w:pPr>
        <w:pStyle w:val="6"/>
        <w:keepNext/>
        <w:keepLines/>
        <w:pageBreakBefore w:val="0"/>
        <w:widowControl w:val="0"/>
        <w:numPr>
          <w:ilvl w:val="2"/>
          <w:numId w:val="0"/>
        </w:numPr>
        <w:tabs>
          <w:tab w:val="left" w:pos="931"/>
        </w:tabs>
        <w:kinsoku/>
        <w:wordWrap/>
        <w:overflowPunct/>
        <w:topLinePunct w:val="0"/>
        <w:autoSpaceDE/>
        <w:autoSpaceDN/>
        <w:bidi w:val="0"/>
        <w:adjustRightInd/>
        <w:snapToGrid w:val="0"/>
        <w:spacing w:line="360" w:lineRule="auto"/>
        <w:ind w:leftChars="100"/>
        <w:textAlignment w:val="auto"/>
        <w:outlineLvl w:val="3"/>
        <w:rPr>
          <w:rFonts w:hint="default" w:ascii="Times New Roman" w:hAnsi="Times New Roman" w:eastAsia="黑体" w:cs="Times New Roman"/>
          <w:snapToGrid w:val="0"/>
          <w:color w:val="000000"/>
          <w:kern w:val="0"/>
          <w:sz w:val="28"/>
          <w:szCs w:val="28"/>
          <w:lang w:val="en-US" w:eastAsia="zh-CN"/>
        </w:rPr>
      </w:pPr>
      <w:bookmarkStart w:id="894" w:name="_Toc340446962"/>
      <w:bookmarkStart w:id="895" w:name="_Toc324380475"/>
      <w:bookmarkStart w:id="896" w:name="_Toc346708708"/>
      <w:bookmarkStart w:id="897" w:name="_Toc387790933"/>
      <w:bookmarkStart w:id="898" w:name="_Toc5289"/>
      <w:bookmarkStart w:id="899" w:name="_Toc330852789"/>
      <w:bookmarkStart w:id="900" w:name="_Toc340447156"/>
      <w:bookmarkStart w:id="901" w:name="_Toc354667579"/>
      <w:bookmarkStart w:id="902" w:name="_Toc349511204"/>
      <w:bookmarkStart w:id="903" w:name="_Toc387488054"/>
      <w:bookmarkStart w:id="904" w:name="_Toc387703611"/>
      <w:bookmarkStart w:id="905" w:name="_Toc330844432"/>
      <w:bookmarkStart w:id="906" w:name="_Toc460364927"/>
      <w:r>
        <w:rPr>
          <w:rFonts w:hint="eastAsia" w:ascii="Times New Roman" w:hAnsi="Times New Roman" w:cs="Times New Roman"/>
          <w:snapToGrid w:val="0"/>
          <w:color w:val="000000"/>
          <w:kern w:val="0"/>
          <w:sz w:val="28"/>
          <w:szCs w:val="28"/>
          <w:lang w:val="en-US" w:eastAsia="zh-CN"/>
        </w:rPr>
        <w:t>3.1.5.1</w:t>
      </w:r>
      <w:r>
        <w:rPr>
          <w:rFonts w:hint="eastAsia" w:ascii="Times New Roman" w:hAnsi="Times New Roman" w:eastAsia="黑体" w:cs="Times New Roman"/>
          <w:snapToGrid w:val="0"/>
          <w:color w:val="000000"/>
          <w:kern w:val="0"/>
          <w:sz w:val="28"/>
          <w:szCs w:val="28"/>
          <w:lang w:val="en-US" w:eastAsia="zh-CN"/>
        </w:rPr>
        <w:t>管廊选址及总平面布置危险、有害因素分析</w:t>
      </w:r>
      <w:bookmarkEnd w:id="894"/>
      <w:bookmarkEnd w:id="895"/>
      <w:bookmarkEnd w:id="896"/>
      <w:bookmarkEnd w:id="897"/>
      <w:bookmarkEnd w:id="898"/>
      <w:bookmarkEnd w:id="899"/>
      <w:bookmarkEnd w:id="900"/>
      <w:bookmarkEnd w:id="901"/>
      <w:bookmarkEnd w:id="902"/>
      <w:bookmarkEnd w:id="903"/>
      <w:bookmarkEnd w:id="904"/>
      <w:bookmarkEnd w:id="905"/>
      <w:bookmarkEnd w:id="906"/>
    </w:p>
    <w:p w14:paraId="186041B1">
      <w:pPr>
        <w:adjustRightInd w:val="0"/>
        <w:ind w:firstLine="560" w:firstLineChars="200"/>
        <w:rPr>
          <w:rFonts w:ascii="Times New Roman" w:hAnsi="Times New Roman" w:eastAsia="宋体" w:cs="宋体"/>
          <w:color w:val="auto"/>
          <w:sz w:val="28"/>
          <w:szCs w:val="28"/>
        </w:rPr>
      </w:pPr>
      <w:r>
        <w:rPr>
          <w:rFonts w:hint="eastAsia" w:ascii="Times New Roman" w:hAnsi="Times New Roman" w:eastAsia="宋体" w:cs="宋体"/>
          <w:color w:val="auto"/>
          <w:sz w:val="28"/>
          <w:szCs w:val="28"/>
          <w:lang w:val="en-US" w:eastAsia="zh-CN"/>
        </w:rPr>
        <w:t>一、</w:t>
      </w:r>
      <w:r>
        <w:rPr>
          <w:rFonts w:hint="eastAsia" w:ascii="Times New Roman" w:hAnsi="Times New Roman" w:eastAsia="宋体" w:cs="宋体"/>
          <w:color w:val="auto"/>
          <w:sz w:val="28"/>
          <w:szCs w:val="28"/>
        </w:rPr>
        <w:t>管廊选址危险、有害因素分析</w:t>
      </w:r>
    </w:p>
    <w:p w14:paraId="5C48A16D">
      <w:pPr>
        <w:adjustRightInd w:val="0"/>
        <w:ind w:firstLine="560" w:firstLineChars="200"/>
        <w:rPr>
          <w:rFonts w:ascii="Times New Roman" w:hAnsi="Times New Roman"/>
          <w:color w:val="auto"/>
          <w:sz w:val="28"/>
          <w:szCs w:val="28"/>
        </w:rPr>
      </w:pPr>
      <w:r>
        <w:rPr>
          <w:rFonts w:hint="eastAsia" w:ascii="Times New Roman" w:hAnsi="Times New Roman"/>
          <w:color w:val="auto"/>
          <w:sz w:val="28"/>
          <w:szCs w:val="28"/>
        </w:rPr>
        <w:t>管廊</w:t>
      </w:r>
      <w:r>
        <w:rPr>
          <w:rFonts w:ascii="Times New Roman" w:hAnsi="Times New Roman"/>
          <w:color w:val="auto"/>
          <w:sz w:val="28"/>
          <w:szCs w:val="28"/>
        </w:rPr>
        <w:t>所在地</w:t>
      </w:r>
      <w:r>
        <w:rPr>
          <w:rFonts w:hint="eastAsia" w:ascii="Times New Roman" w:hAnsi="Times New Roman"/>
          <w:color w:val="auto"/>
          <w:sz w:val="28"/>
          <w:szCs w:val="28"/>
        </w:rPr>
        <w:t>的</w:t>
      </w:r>
      <w:r>
        <w:rPr>
          <w:rFonts w:ascii="Times New Roman" w:hAnsi="Times New Roman"/>
          <w:color w:val="auto"/>
          <w:sz w:val="28"/>
          <w:szCs w:val="28"/>
        </w:rPr>
        <w:t>工程地质、气象条件等因素对</w:t>
      </w:r>
      <w:r>
        <w:rPr>
          <w:rFonts w:hint="eastAsia" w:ascii="Times New Roman" w:hAnsi="Times New Roman"/>
          <w:color w:val="auto"/>
          <w:sz w:val="28"/>
          <w:szCs w:val="28"/>
        </w:rPr>
        <w:t>管廊</w:t>
      </w:r>
      <w:r>
        <w:rPr>
          <w:rFonts w:ascii="Times New Roman" w:hAnsi="Times New Roman"/>
          <w:snapToGrid w:val="0"/>
          <w:color w:val="auto"/>
          <w:kern w:val="0"/>
          <w:sz w:val="28"/>
          <w:szCs w:val="28"/>
        </w:rPr>
        <w:t>可能造成不利影响</w:t>
      </w:r>
      <w:r>
        <w:rPr>
          <w:rFonts w:hint="eastAsia" w:ascii="Times New Roman" w:hAnsi="Times New Roman"/>
          <w:snapToGrid w:val="0"/>
          <w:color w:val="auto"/>
          <w:kern w:val="0"/>
          <w:sz w:val="28"/>
          <w:szCs w:val="28"/>
        </w:rPr>
        <w:t>。</w:t>
      </w:r>
    </w:p>
    <w:p w14:paraId="41770569">
      <w:pPr>
        <w:adjustRightInd w:val="0"/>
        <w:ind w:firstLine="560" w:firstLineChars="200"/>
        <w:rPr>
          <w:rFonts w:ascii="Times New Roman" w:hAnsi="Times New Roman"/>
          <w:color w:val="auto"/>
          <w:sz w:val="28"/>
          <w:szCs w:val="28"/>
        </w:rPr>
      </w:pPr>
      <w:r>
        <w:rPr>
          <w:rFonts w:ascii="Times New Roman" w:hAnsi="Times New Roman"/>
          <w:color w:val="auto"/>
          <w:sz w:val="28"/>
          <w:szCs w:val="28"/>
        </w:rPr>
        <w:t>1</w:t>
      </w:r>
      <w:r>
        <w:rPr>
          <w:rFonts w:hint="eastAsia" w:ascii="Times New Roman" w:hAnsi="Times New Roman"/>
          <w:color w:val="auto"/>
          <w:sz w:val="28"/>
          <w:szCs w:val="28"/>
        </w:rPr>
        <w:t>、地质及水文</w:t>
      </w:r>
      <w:r>
        <w:rPr>
          <w:rFonts w:ascii="Times New Roman" w:hAnsi="Times New Roman"/>
          <w:color w:val="auto"/>
          <w:sz w:val="28"/>
          <w:szCs w:val="28"/>
        </w:rPr>
        <w:t>灾害危险</w:t>
      </w:r>
      <w:r>
        <w:rPr>
          <w:rFonts w:hint="eastAsia" w:ascii="Times New Roman" w:hAnsi="Times New Roman"/>
          <w:color w:val="auto"/>
          <w:sz w:val="28"/>
          <w:szCs w:val="28"/>
        </w:rPr>
        <w:t>、</w:t>
      </w:r>
      <w:r>
        <w:rPr>
          <w:rFonts w:ascii="Times New Roman" w:hAnsi="Times New Roman"/>
          <w:color w:val="auto"/>
          <w:sz w:val="28"/>
          <w:szCs w:val="28"/>
        </w:rPr>
        <w:t>有害因素分析</w:t>
      </w:r>
    </w:p>
    <w:p w14:paraId="71E19477">
      <w:pPr>
        <w:pStyle w:val="169"/>
        <w:numPr>
          <w:ilvl w:val="0"/>
          <w:numId w:val="34"/>
        </w:numPr>
        <w:ind w:firstLine="560"/>
        <w:rPr>
          <w:rFonts w:ascii="Times New Roman" w:hAnsi="Times New Roman"/>
          <w:color w:val="auto"/>
          <w:sz w:val="28"/>
          <w:szCs w:val="28"/>
        </w:rPr>
      </w:pPr>
      <w:r>
        <w:rPr>
          <w:rFonts w:hint="eastAsia" w:ascii="Times New Roman" w:hAnsi="Times New Roman"/>
          <w:color w:val="auto"/>
          <w:sz w:val="28"/>
          <w:szCs w:val="28"/>
        </w:rPr>
        <w:t>场地及周边整体处于缓坡地带，场地起伏较大，若管廊管架地基未按地勘报告的结论及建议采取加固措施，可能导致管架坍塌。</w:t>
      </w:r>
    </w:p>
    <w:p w14:paraId="6D057656">
      <w:pPr>
        <w:pStyle w:val="169"/>
        <w:numPr>
          <w:ilvl w:val="0"/>
          <w:numId w:val="34"/>
        </w:numPr>
        <w:ind w:firstLine="560"/>
        <w:rPr>
          <w:rFonts w:ascii="Times New Roman" w:hAnsi="Times New Roman"/>
          <w:color w:val="auto"/>
          <w:sz w:val="28"/>
          <w:szCs w:val="28"/>
        </w:rPr>
      </w:pPr>
      <w:r>
        <w:rPr>
          <w:rFonts w:hint="eastAsia" w:ascii="Times New Roman" w:hAnsi="Times New Roman"/>
          <w:color w:val="auto"/>
          <w:sz w:val="28"/>
          <w:szCs w:val="28"/>
        </w:rPr>
        <w:t>场地属对建筑抗震不利地段，</w:t>
      </w:r>
      <w:r>
        <w:rPr>
          <w:rFonts w:hint="eastAsia" w:ascii="Times New Roman"/>
          <w:color w:val="auto"/>
          <w:sz w:val="28"/>
          <w:szCs w:val="28"/>
          <w:lang w:val="en-US" w:eastAsia="zh-CN"/>
        </w:rPr>
        <w:t>施工时</w:t>
      </w:r>
      <w:r>
        <w:rPr>
          <w:rFonts w:hint="eastAsia" w:ascii="Times New Roman" w:hAnsi="Times New Roman"/>
          <w:color w:val="auto"/>
          <w:sz w:val="28"/>
          <w:szCs w:val="28"/>
        </w:rPr>
        <w:t>未考虑不利地段对建筑结构的影响，可能导致</w:t>
      </w:r>
      <w:r>
        <w:rPr>
          <w:rFonts w:ascii="Times New Roman" w:hAnsi="Times New Roman"/>
          <w:color w:val="auto"/>
          <w:sz w:val="28"/>
          <w:szCs w:val="28"/>
        </w:rPr>
        <w:t>发生坍塌、地基下沉等危险。</w:t>
      </w:r>
    </w:p>
    <w:p w14:paraId="705A46E8">
      <w:pPr>
        <w:pStyle w:val="169"/>
        <w:numPr>
          <w:ilvl w:val="0"/>
          <w:numId w:val="34"/>
        </w:numPr>
        <w:ind w:firstLine="560"/>
        <w:rPr>
          <w:color w:val="auto"/>
        </w:rPr>
      </w:pPr>
      <w:r>
        <w:rPr>
          <w:rFonts w:hint="eastAsia" w:ascii="宋体" w:hAnsi="宋体" w:cs="Courier New"/>
          <w:color w:val="auto"/>
          <w:sz w:val="28"/>
          <w:szCs w:val="21"/>
        </w:rPr>
        <w:t>场地地地基土对混凝土结构及混凝土结构中钢筋具微腐蚀性，土对钢结构具有微腐蚀性，</w:t>
      </w:r>
      <w:r>
        <w:rPr>
          <w:rFonts w:hint="eastAsia" w:ascii="Times New Roman"/>
          <w:color w:val="auto"/>
          <w:sz w:val="28"/>
          <w:szCs w:val="28"/>
          <w:lang w:val="en-US" w:eastAsia="zh-CN"/>
        </w:rPr>
        <w:t>施工时</w:t>
      </w:r>
      <w:r>
        <w:rPr>
          <w:rFonts w:hint="eastAsia" w:hAnsi="宋体"/>
          <w:color w:val="auto"/>
          <w:sz w:val="28"/>
        </w:rPr>
        <w:t>未</w:t>
      </w:r>
      <w:r>
        <w:rPr>
          <w:rFonts w:hint="eastAsia" w:ascii="宋体" w:hAnsi="宋体"/>
          <w:color w:val="auto"/>
          <w:sz w:val="28"/>
        </w:rPr>
        <w:t>采</w:t>
      </w:r>
      <w:r>
        <w:rPr>
          <w:rFonts w:hint="eastAsia" w:hAnsi="宋体"/>
          <w:color w:val="auto"/>
          <w:sz w:val="28"/>
        </w:rPr>
        <w:t>取相应的防护措施，</w:t>
      </w:r>
      <w:r>
        <w:rPr>
          <w:rFonts w:ascii="Times New Roman" w:hAnsi="Times New Roman"/>
          <w:color w:val="auto"/>
          <w:sz w:val="28"/>
          <w:szCs w:val="28"/>
        </w:rPr>
        <w:t>长时间运行可能存在</w:t>
      </w:r>
      <w:r>
        <w:rPr>
          <w:rFonts w:hint="eastAsia" w:ascii="Times New Roman" w:hAnsi="Times New Roman"/>
          <w:color w:val="auto"/>
          <w:sz w:val="28"/>
          <w:szCs w:val="28"/>
        </w:rPr>
        <w:t>管架坍塌。</w:t>
      </w:r>
    </w:p>
    <w:p w14:paraId="0E032018">
      <w:pPr>
        <w:adjustRightInd w:val="0"/>
        <w:ind w:firstLine="560" w:firstLineChars="200"/>
        <w:rPr>
          <w:rFonts w:ascii="Times New Roman" w:hAnsi="Times New Roman"/>
          <w:color w:val="auto"/>
          <w:sz w:val="28"/>
          <w:szCs w:val="28"/>
        </w:rPr>
      </w:pPr>
      <w:bookmarkStart w:id="907" w:name="_Toc9456"/>
      <w:bookmarkStart w:id="908" w:name="_Toc455390526"/>
      <w:bookmarkStart w:id="909" w:name="_Toc73343360"/>
      <w:bookmarkStart w:id="910" w:name="_Toc455264938"/>
      <w:bookmarkStart w:id="911" w:name="_Toc455265391"/>
      <w:bookmarkStart w:id="912" w:name="_Toc455264674"/>
      <w:bookmarkStart w:id="913" w:name="_Toc455271084"/>
      <w:r>
        <w:rPr>
          <w:rFonts w:hint="eastAsia" w:ascii="Times New Roman" w:hAnsi="Times New Roman"/>
          <w:color w:val="auto"/>
          <w:sz w:val="28"/>
          <w:szCs w:val="28"/>
        </w:rPr>
        <w:t>2、气象条件危险性分析</w:t>
      </w:r>
      <w:bookmarkEnd w:id="907"/>
      <w:bookmarkEnd w:id="908"/>
      <w:bookmarkEnd w:id="909"/>
      <w:bookmarkEnd w:id="910"/>
      <w:bookmarkEnd w:id="911"/>
      <w:bookmarkEnd w:id="912"/>
      <w:bookmarkEnd w:id="913"/>
    </w:p>
    <w:p w14:paraId="142C9602">
      <w:pPr>
        <w:ind w:firstLine="560" w:firstLineChars="200"/>
        <w:rPr>
          <w:rFonts w:ascii="Times New Roman" w:hAnsi="Times New Roman"/>
          <w:color w:val="auto"/>
          <w:sz w:val="28"/>
          <w:szCs w:val="28"/>
        </w:rPr>
      </w:pPr>
      <w:r>
        <w:rPr>
          <w:rFonts w:ascii="Times New Roman" w:hAnsi="Times New Roman"/>
          <w:color w:val="auto"/>
          <w:sz w:val="28"/>
          <w:szCs w:val="28"/>
        </w:rPr>
        <w:t>在强降雨</w:t>
      </w:r>
      <w:r>
        <w:rPr>
          <w:rFonts w:hint="eastAsia" w:ascii="Times New Roman" w:hAnsi="Times New Roman"/>
          <w:color w:val="auto"/>
          <w:sz w:val="28"/>
          <w:szCs w:val="28"/>
        </w:rPr>
        <w:t>或暴雨</w:t>
      </w:r>
      <w:r>
        <w:rPr>
          <w:rFonts w:ascii="Times New Roman" w:hAnsi="Times New Roman"/>
          <w:color w:val="auto"/>
          <w:sz w:val="28"/>
          <w:szCs w:val="28"/>
        </w:rPr>
        <w:t>天气，可能因</w:t>
      </w:r>
      <w:r>
        <w:rPr>
          <w:rFonts w:hint="eastAsia" w:ascii="Times New Roman" w:hAnsi="Times New Roman"/>
          <w:color w:val="auto"/>
          <w:sz w:val="28"/>
          <w:szCs w:val="28"/>
        </w:rPr>
        <w:t>厂区</w:t>
      </w:r>
      <w:r>
        <w:rPr>
          <w:rFonts w:ascii="Times New Roman" w:hAnsi="Times New Roman"/>
          <w:color w:val="auto"/>
          <w:sz w:val="28"/>
          <w:szCs w:val="28"/>
        </w:rPr>
        <w:t>内、外排水不畅造成短时水淹</w:t>
      </w:r>
      <w:r>
        <w:rPr>
          <w:rFonts w:hint="eastAsia" w:ascii="Times New Roman" w:hAnsi="Times New Roman"/>
          <w:color w:val="auto"/>
          <w:sz w:val="28"/>
          <w:szCs w:val="28"/>
        </w:rPr>
        <w:t>项目区，</w:t>
      </w:r>
      <w:r>
        <w:rPr>
          <w:rFonts w:ascii="Times New Roman" w:hAnsi="Times New Roman"/>
          <w:color w:val="auto"/>
          <w:sz w:val="28"/>
          <w:szCs w:val="28"/>
        </w:rPr>
        <w:t>可能对</w:t>
      </w:r>
      <w:r>
        <w:rPr>
          <w:rFonts w:hint="eastAsia" w:ascii="Times New Roman" w:hAnsi="Times New Roman"/>
          <w:color w:val="auto"/>
          <w:sz w:val="28"/>
          <w:szCs w:val="28"/>
        </w:rPr>
        <w:t>输送管道</w:t>
      </w:r>
      <w:r>
        <w:rPr>
          <w:rFonts w:ascii="Times New Roman" w:hAnsi="Times New Roman"/>
          <w:color w:val="auto"/>
          <w:sz w:val="28"/>
          <w:szCs w:val="28"/>
        </w:rPr>
        <w:t>等设备</w:t>
      </w:r>
      <w:r>
        <w:rPr>
          <w:rFonts w:hint="eastAsia" w:ascii="Times New Roman" w:hAnsi="Times New Roman"/>
          <w:color w:val="auto"/>
          <w:sz w:val="28"/>
          <w:szCs w:val="28"/>
        </w:rPr>
        <w:t>、</w:t>
      </w:r>
      <w:r>
        <w:rPr>
          <w:rFonts w:ascii="Times New Roman" w:hAnsi="Times New Roman"/>
          <w:color w:val="auto"/>
          <w:sz w:val="28"/>
          <w:szCs w:val="28"/>
        </w:rPr>
        <w:t>设施</w:t>
      </w:r>
      <w:r>
        <w:rPr>
          <w:rFonts w:hint="eastAsia" w:ascii="Times New Roman" w:hAnsi="Times New Roman"/>
          <w:color w:val="auto"/>
          <w:sz w:val="28"/>
          <w:szCs w:val="28"/>
        </w:rPr>
        <w:t>造成</w:t>
      </w:r>
      <w:r>
        <w:rPr>
          <w:rFonts w:ascii="Times New Roman" w:hAnsi="Times New Roman"/>
          <w:color w:val="auto"/>
          <w:sz w:val="28"/>
          <w:szCs w:val="28"/>
        </w:rPr>
        <w:t>损坏</w:t>
      </w:r>
      <w:r>
        <w:rPr>
          <w:rFonts w:hint="eastAsia" w:ascii="Times New Roman" w:hAnsi="Times New Roman"/>
          <w:color w:val="auto"/>
          <w:sz w:val="28"/>
          <w:szCs w:val="28"/>
        </w:rPr>
        <w:t>，</w:t>
      </w:r>
      <w:r>
        <w:rPr>
          <w:rFonts w:ascii="Times New Roman" w:hAnsi="Times New Roman"/>
          <w:color w:val="auto"/>
          <w:sz w:val="28"/>
          <w:szCs w:val="28"/>
        </w:rPr>
        <w:t>电气短路、</w:t>
      </w:r>
      <w:r>
        <w:rPr>
          <w:rFonts w:hint="eastAsia" w:ascii="Times New Roman" w:hAnsi="Times New Roman"/>
          <w:color w:val="auto"/>
          <w:sz w:val="28"/>
          <w:szCs w:val="28"/>
        </w:rPr>
        <w:t>管架坍塌造成</w:t>
      </w:r>
      <w:r>
        <w:rPr>
          <w:rFonts w:ascii="Times New Roman" w:hAnsi="Times New Roman"/>
          <w:color w:val="auto"/>
          <w:sz w:val="28"/>
          <w:szCs w:val="28"/>
        </w:rPr>
        <w:t>人员伤亡等危险。</w:t>
      </w:r>
    </w:p>
    <w:p w14:paraId="1549EE70">
      <w:pPr>
        <w:ind w:firstLine="560" w:firstLineChars="200"/>
        <w:rPr>
          <w:rFonts w:ascii="Times New Roman" w:hAnsi="Times New Roman"/>
          <w:color w:val="auto"/>
          <w:sz w:val="28"/>
          <w:szCs w:val="28"/>
        </w:rPr>
      </w:pPr>
      <w:r>
        <w:rPr>
          <w:rFonts w:ascii="Times New Roman" w:hAnsi="Times New Roman"/>
          <w:color w:val="auto"/>
          <w:sz w:val="28"/>
          <w:szCs w:val="28"/>
        </w:rPr>
        <w:t>夏季，当地</w:t>
      </w:r>
      <w:r>
        <w:rPr>
          <w:rFonts w:hint="eastAsia" w:ascii="Times New Roman" w:hAnsi="Times New Roman"/>
          <w:color w:val="auto"/>
          <w:sz w:val="28"/>
          <w:szCs w:val="28"/>
        </w:rPr>
        <w:t>可能会</w:t>
      </w:r>
      <w:r>
        <w:rPr>
          <w:rFonts w:ascii="Times New Roman" w:hAnsi="Times New Roman"/>
          <w:color w:val="auto"/>
          <w:sz w:val="28"/>
          <w:szCs w:val="28"/>
        </w:rPr>
        <w:t>出现极端高温天气</w:t>
      </w:r>
      <w:r>
        <w:rPr>
          <w:rFonts w:hint="eastAsia" w:ascii="Times New Roman" w:hAnsi="Times New Roman"/>
          <w:color w:val="auto"/>
          <w:sz w:val="28"/>
          <w:szCs w:val="28"/>
        </w:rPr>
        <w:t>，</w:t>
      </w:r>
      <w:r>
        <w:rPr>
          <w:rFonts w:hint="eastAsia" w:ascii="Times New Roman" w:hAnsi="Times New Roman"/>
          <w:color w:val="auto"/>
          <w:sz w:val="28"/>
          <w:szCs w:val="28"/>
          <w:lang w:val="en-US" w:eastAsia="zh-CN"/>
        </w:rPr>
        <w:t>气温升高导致管道温度升高，若管线自然补偿或热补偿器的设置不合理，管线受热应力作用可能导致管道破裂、管架坍塌，从而发生</w:t>
      </w:r>
      <w:r>
        <w:rPr>
          <w:rFonts w:hint="eastAsia" w:ascii="Times New Roman" w:hAnsi="Times New Roman"/>
          <w:color w:val="auto"/>
          <w:sz w:val="28"/>
          <w:szCs w:val="28"/>
        </w:rPr>
        <w:t>化学腐蚀、化学灼伤、高温烫伤等危险。</w:t>
      </w:r>
    </w:p>
    <w:p w14:paraId="32B01404">
      <w:pPr>
        <w:ind w:firstLine="560" w:firstLineChars="200"/>
        <w:rPr>
          <w:rFonts w:ascii="Times New Roman" w:hAnsi="Times New Roman"/>
          <w:color w:val="auto"/>
          <w:sz w:val="28"/>
          <w:szCs w:val="28"/>
        </w:rPr>
      </w:pPr>
      <w:r>
        <w:rPr>
          <w:rFonts w:hint="eastAsia" w:ascii="Times New Roman" w:hAnsi="Times New Roman"/>
          <w:color w:val="auto"/>
          <w:sz w:val="28"/>
          <w:szCs w:val="28"/>
        </w:rPr>
        <w:t>冬季，当地有可能出现极端低温天气，在极端低温天气会因气温骤变导致危险化学品输送管线、阀门及相关设备、设施等冻裂，造成危险化学品（硫酸、氟硅酸）泄漏，导致化学腐蚀、化学灼伤等危险。</w:t>
      </w:r>
    </w:p>
    <w:p w14:paraId="6018E0CA">
      <w:pPr>
        <w:ind w:firstLine="560" w:firstLineChars="200"/>
        <w:rPr>
          <w:rFonts w:ascii="Times New Roman" w:hAnsi="Times New Roman"/>
          <w:color w:val="auto"/>
          <w:sz w:val="28"/>
          <w:szCs w:val="28"/>
        </w:rPr>
      </w:pPr>
      <w:r>
        <w:rPr>
          <w:rFonts w:ascii="Times New Roman" w:hAnsi="Times New Roman"/>
          <w:color w:val="auto"/>
          <w:sz w:val="28"/>
          <w:szCs w:val="28"/>
        </w:rPr>
        <w:t>夏季</w:t>
      </w:r>
      <w:r>
        <w:rPr>
          <w:rFonts w:hint="eastAsia" w:ascii="Times New Roman" w:hAnsi="Times New Roman"/>
          <w:color w:val="auto"/>
          <w:sz w:val="28"/>
          <w:szCs w:val="28"/>
        </w:rPr>
        <w:t>易</w:t>
      </w:r>
      <w:r>
        <w:rPr>
          <w:rFonts w:ascii="Times New Roman" w:hAnsi="Times New Roman"/>
          <w:color w:val="auto"/>
          <w:sz w:val="28"/>
          <w:szCs w:val="28"/>
        </w:rPr>
        <w:t>出现雷暴天气，如</w:t>
      </w:r>
      <w:r>
        <w:rPr>
          <w:rFonts w:hint="eastAsia" w:ascii="Times New Roman" w:hAnsi="Times New Roman"/>
          <w:color w:val="auto"/>
          <w:sz w:val="28"/>
          <w:szCs w:val="28"/>
        </w:rPr>
        <w:t>项目管廊</w:t>
      </w:r>
      <w:r>
        <w:rPr>
          <w:rFonts w:ascii="Times New Roman" w:hAnsi="Times New Roman"/>
          <w:color w:val="auto"/>
          <w:sz w:val="28"/>
          <w:szCs w:val="28"/>
        </w:rPr>
        <w:t>未设置防雷装置或设置不符合要求、未定期进行检测和维护，致接地电阻超标</w:t>
      </w:r>
      <w:r>
        <w:rPr>
          <w:rFonts w:hint="eastAsia" w:ascii="Times New Roman" w:hAnsi="Times New Roman"/>
          <w:color w:val="auto"/>
          <w:sz w:val="28"/>
          <w:szCs w:val="28"/>
        </w:rPr>
        <w:t>而</w:t>
      </w:r>
      <w:r>
        <w:rPr>
          <w:rFonts w:ascii="Times New Roman" w:hAnsi="Times New Roman"/>
          <w:color w:val="auto"/>
          <w:sz w:val="28"/>
          <w:szCs w:val="28"/>
        </w:rPr>
        <w:t>遭受雷击电侵袭破坏，甚至引发火灾、爆炸危险</w:t>
      </w:r>
      <w:r>
        <w:rPr>
          <w:rFonts w:hint="eastAsia" w:ascii="Times New Roman" w:hAnsi="Times New Roman"/>
          <w:color w:val="auto"/>
          <w:sz w:val="28"/>
          <w:szCs w:val="28"/>
        </w:rPr>
        <w:t>。</w:t>
      </w:r>
    </w:p>
    <w:p w14:paraId="570CE829">
      <w:pPr>
        <w:ind w:firstLine="560" w:firstLineChars="200"/>
        <w:rPr>
          <w:rFonts w:ascii="Times New Roman" w:hAnsi="Times New Roman"/>
          <w:color w:val="auto"/>
          <w:sz w:val="28"/>
          <w:szCs w:val="28"/>
        </w:rPr>
      </w:pPr>
      <w:r>
        <w:rPr>
          <w:rFonts w:hint="eastAsia" w:ascii="Times New Roman" w:hAnsi="Times New Roman"/>
          <w:color w:val="auto"/>
          <w:sz w:val="28"/>
          <w:szCs w:val="28"/>
        </w:rPr>
        <w:t>若雷暴日数异常或气象条件异常；设计、施工、安装等过程中未考虑雷暴天气且未采取有效的防护措施等可能引发雷电危害。</w:t>
      </w:r>
    </w:p>
    <w:p w14:paraId="36E8C287">
      <w:pPr>
        <w:ind w:firstLine="560" w:firstLineChars="200"/>
        <w:rPr>
          <w:rFonts w:hint="eastAsia" w:ascii="Times New Roman" w:hAnsi="Times New Roman"/>
          <w:color w:val="auto"/>
          <w:sz w:val="28"/>
          <w:szCs w:val="28"/>
        </w:rPr>
      </w:pPr>
      <w:r>
        <w:rPr>
          <w:rFonts w:hint="eastAsia" w:ascii="Times New Roman" w:hAnsi="Times New Roman"/>
          <w:color w:val="auto"/>
          <w:sz w:val="28"/>
          <w:szCs w:val="28"/>
        </w:rPr>
        <w:t>项目极端天气条件出现雪灾、暴雨等，可能导致项目管廊损坏、坍塌。</w:t>
      </w:r>
    </w:p>
    <w:p w14:paraId="091FAB6B">
      <w:pPr>
        <w:numPr>
          <w:ilvl w:val="0"/>
          <w:numId w:val="35"/>
        </w:numPr>
        <w:adjustRightInd w:val="0"/>
        <w:ind w:firstLine="560" w:firstLineChars="200"/>
        <w:rPr>
          <w:rFonts w:hint="eastAsia" w:ascii="Times New Roman" w:hAnsi="Times New Roman"/>
          <w:color w:val="auto"/>
          <w:sz w:val="28"/>
          <w:szCs w:val="28"/>
          <w:lang w:val="en-US" w:eastAsia="zh-CN"/>
        </w:rPr>
      </w:pPr>
      <w:r>
        <w:rPr>
          <w:rFonts w:hint="eastAsia" w:ascii="Times New Roman" w:hAnsi="Times New Roman"/>
          <w:color w:val="auto"/>
          <w:sz w:val="28"/>
          <w:szCs w:val="28"/>
          <w:lang w:val="en-US" w:eastAsia="zh-CN"/>
        </w:rPr>
        <w:t>边坡及地质条件危险性分析</w:t>
      </w:r>
    </w:p>
    <w:p w14:paraId="4D6BDADC">
      <w:pPr>
        <w:ind w:firstLine="560" w:firstLineChars="200"/>
        <w:rPr>
          <w:rFonts w:hint="eastAsia" w:ascii="Times New Roman" w:hAnsi="Times New Roman"/>
          <w:color w:val="auto"/>
          <w:sz w:val="28"/>
          <w:szCs w:val="28"/>
          <w:lang w:val="en-US" w:eastAsia="zh-CN"/>
        </w:rPr>
      </w:pPr>
      <w:r>
        <w:rPr>
          <w:rFonts w:hint="eastAsia" w:ascii="Times New Roman" w:hAnsi="Times New Roman"/>
          <w:color w:val="auto"/>
          <w:sz w:val="28"/>
          <w:szCs w:val="28"/>
          <w:lang w:val="en-US" w:eastAsia="zh-CN"/>
        </w:rPr>
        <w:t>场地位于山腰缓坡地段，场地地形整体起伏较大，E、F段管廊架东侧存在挖方边坡，挖方高度约为2-3m，西侧局部地段存在填方边坡，填方厚度约为4-6m，若在项目建设过程中未对边坡采取有效的支护措施，可能因边坡滑坡造成管廊损坏、坍塌。</w:t>
      </w:r>
    </w:p>
    <w:p w14:paraId="6A71F18A">
      <w:pPr>
        <w:ind w:firstLine="560" w:firstLineChars="200"/>
        <w:rPr>
          <w:rFonts w:hint="default"/>
          <w:color w:val="auto"/>
          <w:lang w:val="en-US" w:eastAsia="zh-CN"/>
        </w:rPr>
      </w:pPr>
      <w:r>
        <w:rPr>
          <w:rFonts w:hint="eastAsia" w:ascii="Times New Roman" w:hAnsi="Times New Roman"/>
          <w:color w:val="auto"/>
          <w:sz w:val="28"/>
          <w:szCs w:val="28"/>
          <w:lang w:val="en-US" w:eastAsia="zh-CN"/>
        </w:rPr>
        <w:t>场地地基为不均匀地基，</w:t>
      </w:r>
      <w:r>
        <w:rPr>
          <w:rFonts w:hint="eastAsia" w:ascii="Times New Roman"/>
          <w:color w:val="auto"/>
          <w:sz w:val="28"/>
          <w:szCs w:val="28"/>
          <w:lang w:val="en-US" w:eastAsia="zh-CN"/>
        </w:rPr>
        <w:t>施工时</w:t>
      </w:r>
      <w:r>
        <w:rPr>
          <w:rFonts w:hint="eastAsia" w:ascii="Times New Roman" w:hAnsi="Times New Roman"/>
          <w:color w:val="auto"/>
          <w:sz w:val="28"/>
          <w:szCs w:val="28"/>
          <w:lang w:val="en-US" w:eastAsia="zh-CN"/>
        </w:rPr>
        <w:t>若未按不均匀地基考虑，并适当加强基础和上部结构设计的刚度，可能因管架基础沉降导致管架损坏，管道破裂造成生产安全事故。</w:t>
      </w:r>
    </w:p>
    <w:p w14:paraId="0A0E0AC2">
      <w:pPr>
        <w:adjustRightInd w:val="0"/>
        <w:ind w:firstLine="560" w:firstLineChars="200"/>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二、管廊总平面布置危险性分析</w:t>
      </w:r>
    </w:p>
    <w:p w14:paraId="4B763E5D">
      <w:pPr>
        <w:adjustRightInd w:val="0"/>
        <w:ind w:firstLine="560" w:firstLineChars="200"/>
        <w:rPr>
          <w:rFonts w:ascii="Times New Roman" w:hAnsi="Times New Roman"/>
          <w:color w:val="auto"/>
          <w:sz w:val="28"/>
          <w:szCs w:val="28"/>
        </w:rPr>
      </w:pPr>
      <w:r>
        <w:rPr>
          <w:rFonts w:hint="eastAsia" w:ascii="Times New Roman" w:hAnsi="Times New Roman"/>
          <w:color w:val="auto"/>
          <w:sz w:val="28"/>
          <w:szCs w:val="28"/>
        </w:rPr>
        <w:t>1、管廊与周边其它建筑物的防火距离不符合规范要求，管道间距不满足相关要求，管廊施工缺陷等可能导致事故。</w:t>
      </w:r>
    </w:p>
    <w:p w14:paraId="6DA25DF1">
      <w:pPr>
        <w:adjustRightInd w:val="0"/>
        <w:ind w:firstLine="560" w:firstLineChars="200"/>
        <w:rPr>
          <w:rFonts w:ascii="Times New Roman" w:hAnsi="Times New Roman"/>
          <w:color w:val="auto"/>
          <w:sz w:val="28"/>
          <w:szCs w:val="28"/>
        </w:rPr>
      </w:pPr>
      <w:r>
        <w:rPr>
          <w:rFonts w:hint="eastAsia" w:ascii="Times New Roman" w:hAnsi="Times New Roman"/>
          <w:color w:val="auto"/>
          <w:sz w:val="28"/>
          <w:szCs w:val="28"/>
        </w:rPr>
        <w:t>2、管廊跨越道路时，交叉角设计不合理可能导致事故。</w:t>
      </w:r>
    </w:p>
    <w:p w14:paraId="1ACFD9C5">
      <w:pPr>
        <w:adjustRightInd w:val="0"/>
        <w:ind w:firstLine="560" w:firstLineChars="200"/>
        <w:rPr>
          <w:rFonts w:hint="default" w:ascii="Times New Roman" w:hAnsi="Times New Roman"/>
          <w:color w:val="auto"/>
          <w:sz w:val="28"/>
          <w:szCs w:val="28"/>
          <w:lang w:val="en-US" w:eastAsia="zh-CN"/>
        </w:rPr>
      </w:pPr>
      <w:r>
        <w:rPr>
          <w:rFonts w:hint="eastAsia" w:ascii="Times New Roman"/>
          <w:color w:val="auto"/>
          <w:sz w:val="28"/>
          <w:szCs w:val="28"/>
          <w:lang w:val="en-US" w:eastAsia="zh-CN"/>
        </w:rPr>
        <w:t>3</w:t>
      </w:r>
      <w:r>
        <w:rPr>
          <w:rFonts w:hint="eastAsia" w:ascii="Times New Roman" w:hAnsi="Times New Roman"/>
          <w:color w:val="auto"/>
          <w:sz w:val="28"/>
          <w:szCs w:val="28"/>
          <w:lang w:val="en-US" w:eastAsia="zh-CN"/>
        </w:rPr>
        <w:t>、硫酸、氟硅酸等腐蚀性介质管道在管廊上的布置位置不合理，腐蚀性介质的管道布置在管廊上层或与电缆桥架靠近，腐蚀性介质泄漏容易腐蚀相邻的电缆或下方的管道，从而引起生产安全事故。</w:t>
      </w:r>
    </w:p>
    <w:p w14:paraId="57F35871">
      <w:pPr>
        <w:pStyle w:val="6"/>
        <w:keepNext/>
        <w:keepLines/>
        <w:pageBreakBefore w:val="0"/>
        <w:widowControl w:val="0"/>
        <w:numPr>
          <w:ilvl w:val="2"/>
          <w:numId w:val="0"/>
        </w:numPr>
        <w:tabs>
          <w:tab w:val="left" w:pos="931"/>
        </w:tabs>
        <w:kinsoku/>
        <w:wordWrap/>
        <w:overflowPunct/>
        <w:topLinePunct w:val="0"/>
        <w:autoSpaceDE/>
        <w:autoSpaceDN/>
        <w:bidi w:val="0"/>
        <w:adjustRightInd/>
        <w:snapToGrid w:val="0"/>
        <w:spacing w:line="360" w:lineRule="auto"/>
        <w:ind w:leftChars="100"/>
        <w:textAlignment w:val="auto"/>
        <w:outlineLvl w:val="3"/>
        <w:rPr>
          <w:rFonts w:hint="eastAsia" w:ascii="Times New Roman" w:hAnsi="Times New Roman" w:cs="Times New Roman"/>
          <w:snapToGrid w:val="0"/>
          <w:color w:val="000000"/>
          <w:kern w:val="0"/>
          <w:sz w:val="28"/>
          <w:szCs w:val="28"/>
          <w:lang w:val="en-US" w:eastAsia="zh-CN"/>
        </w:rPr>
      </w:pPr>
      <w:bookmarkStart w:id="914" w:name="_Toc26230"/>
      <w:r>
        <w:rPr>
          <w:rFonts w:hint="eastAsia" w:ascii="Times New Roman" w:hAnsi="Times New Roman" w:cs="Times New Roman"/>
          <w:snapToGrid w:val="0"/>
          <w:color w:val="000000"/>
          <w:kern w:val="0"/>
          <w:sz w:val="28"/>
          <w:szCs w:val="28"/>
          <w:lang w:val="en-US" w:eastAsia="zh-CN"/>
        </w:rPr>
        <w:t>3.1.5.2项目与周边环境危险、有害因素分析</w:t>
      </w:r>
      <w:bookmarkEnd w:id="914"/>
    </w:p>
    <w:p w14:paraId="217B12A2">
      <w:pPr>
        <w:adjustRightInd w:val="0"/>
        <w:ind w:firstLine="560" w:firstLineChars="200"/>
        <w:rPr>
          <w:rFonts w:ascii="Times New Roman" w:hAnsi="Times New Roman"/>
          <w:color w:val="auto"/>
          <w:sz w:val="28"/>
          <w:szCs w:val="28"/>
        </w:rPr>
      </w:pPr>
      <w:r>
        <w:rPr>
          <w:rFonts w:hint="eastAsia" w:ascii="Times New Roman" w:hAnsi="Times New Roman"/>
          <w:color w:val="auto"/>
          <w:sz w:val="28"/>
          <w:szCs w:val="28"/>
        </w:rPr>
        <w:t>1、</w:t>
      </w:r>
      <w:r>
        <w:rPr>
          <w:rFonts w:ascii="Times New Roman" w:hAnsi="Times New Roman"/>
          <w:color w:val="auto"/>
          <w:sz w:val="28"/>
          <w:szCs w:val="28"/>
        </w:rPr>
        <w:t>项目主要可能对周边环境造成影响的事故原因为</w:t>
      </w:r>
      <w:r>
        <w:rPr>
          <w:rFonts w:hint="eastAsia" w:ascii="Times New Roman" w:hAnsi="Times New Roman"/>
          <w:color w:val="auto"/>
          <w:sz w:val="28"/>
          <w:szCs w:val="28"/>
        </w:rPr>
        <w:t>硫酸</w:t>
      </w:r>
      <w:r>
        <w:rPr>
          <w:rFonts w:ascii="Times New Roman" w:hAnsi="Times New Roman"/>
          <w:color w:val="auto"/>
          <w:sz w:val="28"/>
          <w:szCs w:val="28"/>
        </w:rPr>
        <w:t>、</w:t>
      </w:r>
      <w:r>
        <w:rPr>
          <w:rFonts w:hint="eastAsia" w:ascii="Times New Roman" w:hAnsi="Times New Roman"/>
          <w:color w:val="auto"/>
          <w:sz w:val="28"/>
          <w:szCs w:val="28"/>
        </w:rPr>
        <w:t>氟硅酸</w:t>
      </w:r>
      <w:r>
        <w:rPr>
          <w:rFonts w:ascii="Times New Roman" w:hAnsi="Times New Roman"/>
          <w:color w:val="auto"/>
          <w:sz w:val="28"/>
          <w:szCs w:val="28"/>
        </w:rPr>
        <w:t>等</w:t>
      </w:r>
      <w:r>
        <w:rPr>
          <w:rFonts w:hint="eastAsia" w:ascii="Times New Roman" w:hAnsi="Times New Roman"/>
          <w:color w:val="auto"/>
          <w:sz w:val="28"/>
          <w:szCs w:val="28"/>
        </w:rPr>
        <w:t>酸</w:t>
      </w:r>
      <w:r>
        <w:rPr>
          <w:rFonts w:ascii="Times New Roman" w:hAnsi="Times New Roman"/>
          <w:color w:val="auto"/>
          <w:sz w:val="28"/>
          <w:szCs w:val="28"/>
        </w:rPr>
        <w:t>性</w:t>
      </w:r>
      <w:r>
        <w:rPr>
          <w:rFonts w:hint="eastAsia" w:ascii="Times New Roman" w:hAnsi="Times New Roman"/>
          <w:color w:val="auto"/>
          <w:sz w:val="28"/>
          <w:szCs w:val="28"/>
        </w:rPr>
        <w:t>强腐蚀物质</w:t>
      </w:r>
      <w:r>
        <w:rPr>
          <w:rFonts w:ascii="Times New Roman" w:hAnsi="Times New Roman"/>
          <w:color w:val="auto"/>
          <w:sz w:val="28"/>
          <w:szCs w:val="28"/>
        </w:rPr>
        <w:t>泄漏导致人员</w:t>
      </w:r>
      <w:r>
        <w:rPr>
          <w:rFonts w:hint="eastAsia" w:ascii="Times New Roman" w:hAnsi="Times New Roman"/>
          <w:color w:val="auto"/>
          <w:sz w:val="28"/>
          <w:szCs w:val="28"/>
        </w:rPr>
        <w:t>化学灼伤</w:t>
      </w:r>
      <w:r>
        <w:rPr>
          <w:rFonts w:ascii="Times New Roman" w:hAnsi="Times New Roman"/>
          <w:color w:val="auto"/>
          <w:sz w:val="28"/>
          <w:szCs w:val="28"/>
        </w:rPr>
        <w:t>事故</w:t>
      </w:r>
      <w:r>
        <w:rPr>
          <w:rFonts w:hint="eastAsia" w:ascii="Times New Roman" w:hAnsi="Times New Roman"/>
          <w:color w:val="auto"/>
          <w:sz w:val="28"/>
          <w:szCs w:val="28"/>
        </w:rPr>
        <w:t>，饱和蒸汽泄漏导致人员高温烫伤事故，还可能因硫酸、氟硅酸泄漏导致周边设备、设施发生化学腐蚀，该项目输送泵及管廊区无人员分布，对周边装置影响小</w:t>
      </w:r>
      <w:r>
        <w:rPr>
          <w:rFonts w:ascii="Times New Roman" w:hAnsi="Times New Roman"/>
          <w:color w:val="auto"/>
          <w:sz w:val="28"/>
          <w:szCs w:val="28"/>
        </w:rPr>
        <w:t>。</w:t>
      </w:r>
    </w:p>
    <w:p w14:paraId="65DFC54A">
      <w:pPr>
        <w:adjustRightInd w:val="0"/>
        <w:ind w:firstLine="560" w:firstLineChars="200"/>
        <w:rPr>
          <w:rFonts w:ascii="Times New Roman" w:hAnsi="Times New Roman"/>
          <w:color w:val="auto"/>
          <w:sz w:val="28"/>
          <w:szCs w:val="28"/>
        </w:rPr>
      </w:pPr>
      <w:r>
        <w:rPr>
          <w:rFonts w:hint="eastAsia" w:ascii="Times New Roman" w:hAnsi="Times New Roman"/>
          <w:color w:val="auto"/>
          <w:sz w:val="28"/>
          <w:szCs w:val="28"/>
        </w:rPr>
        <w:t>2、项目管廊南面为云南祥丰石化有限公司液氨球罐，若液氨球罐发生液氨泄漏、引发火灾爆炸，可能对管廊有一定影响。</w:t>
      </w:r>
    </w:p>
    <w:p w14:paraId="1009F362">
      <w:pPr>
        <w:adjustRightInd w:val="0"/>
        <w:ind w:firstLine="560" w:firstLineChars="200"/>
        <w:rPr>
          <w:rFonts w:ascii="Times New Roman" w:hAnsi="Times New Roman"/>
          <w:color w:val="auto"/>
          <w:sz w:val="28"/>
          <w:szCs w:val="28"/>
        </w:rPr>
      </w:pPr>
      <w:r>
        <w:rPr>
          <w:rFonts w:ascii="Times New Roman" w:hAnsi="Times New Roman"/>
          <w:color w:val="auto"/>
          <w:sz w:val="28"/>
          <w:szCs w:val="28"/>
        </w:rPr>
        <w:t>3</w:t>
      </w:r>
      <w:r>
        <w:rPr>
          <w:rFonts w:hint="eastAsia" w:ascii="Times New Roman" w:hAnsi="Times New Roman"/>
          <w:color w:val="auto"/>
          <w:sz w:val="28"/>
          <w:szCs w:val="28"/>
        </w:rPr>
        <w:t>、项目管廊沿线经过山林，若山林发生森林火灾，可能对管廊有一定影响。</w:t>
      </w:r>
    </w:p>
    <w:p w14:paraId="5D6F772F">
      <w:pPr>
        <w:adjustRightInd w:val="0"/>
        <w:ind w:firstLine="560" w:firstLineChars="200"/>
        <w:rPr>
          <w:rFonts w:ascii="Times New Roman" w:hAnsi="Times New Roman"/>
          <w:color w:val="auto"/>
          <w:sz w:val="28"/>
          <w:szCs w:val="28"/>
        </w:rPr>
      </w:pPr>
      <w:r>
        <w:rPr>
          <w:rFonts w:hint="eastAsia" w:ascii="Times New Roman" w:hAnsi="Times New Roman"/>
          <w:color w:val="auto"/>
          <w:sz w:val="28"/>
          <w:szCs w:val="28"/>
        </w:rPr>
        <w:t>4、项目管廊跨越安丰营片区1号次干道东延长线及云南祥丰金麦化工有限公司内部道路，若路口发生道路交通事故或车辆超宽超高，可能导致管廊坍塌事故。</w:t>
      </w:r>
    </w:p>
    <w:p w14:paraId="2872AD0A">
      <w:pPr>
        <w:pStyle w:val="6"/>
        <w:keepNext/>
        <w:keepLines/>
        <w:pageBreakBefore w:val="0"/>
        <w:widowControl w:val="0"/>
        <w:numPr>
          <w:ilvl w:val="2"/>
          <w:numId w:val="0"/>
        </w:numPr>
        <w:tabs>
          <w:tab w:val="left" w:pos="931"/>
        </w:tabs>
        <w:kinsoku/>
        <w:wordWrap/>
        <w:overflowPunct/>
        <w:topLinePunct w:val="0"/>
        <w:autoSpaceDE/>
        <w:autoSpaceDN/>
        <w:bidi w:val="0"/>
        <w:adjustRightInd/>
        <w:snapToGrid w:val="0"/>
        <w:spacing w:line="360" w:lineRule="auto"/>
        <w:ind w:leftChars="100"/>
        <w:textAlignment w:val="auto"/>
        <w:outlineLvl w:val="3"/>
        <w:rPr>
          <w:rFonts w:hint="eastAsia" w:ascii="Times New Roman" w:hAnsi="Times New Roman" w:cs="Times New Roman"/>
          <w:snapToGrid w:val="0"/>
          <w:color w:val="000000"/>
          <w:kern w:val="0"/>
          <w:sz w:val="28"/>
          <w:szCs w:val="28"/>
          <w:lang w:val="en-US" w:eastAsia="zh-CN"/>
        </w:rPr>
      </w:pPr>
      <w:bookmarkStart w:id="915" w:name="_Toc112860000"/>
      <w:bookmarkStart w:id="916" w:name="_Toc16494"/>
      <w:bookmarkStart w:id="917" w:name="_Toc6488"/>
      <w:r>
        <w:rPr>
          <w:rFonts w:hint="eastAsia" w:ascii="Times New Roman" w:hAnsi="Times New Roman" w:cs="Times New Roman"/>
          <w:snapToGrid w:val="0"/>
          <w:color w:val="000000"/>
          <w:kern w:val="0"/>
          <w:sz w:val="28"/>
          <w:szCs w:val="28"/>
          <w:lang w:val="en-US" w:eastAsia="zh-CN"/>
        </w:rPr>
        <w:t>3.1.5.3管廊物料输送过程危险、有害因素分析</w:t>
      </w:r>
      <w:bookmarkEnd w:id="915"/>
      <w:bookmarkEnd w:id="916"/>
      <w:bookmarkEnd w:id="917"/>
    </w:p>
    <w:p w14:paraId="121F6611">
      <w:pPr>
        <w:adjustRightInd w:val="0"/>
        <w:ind w:firstLine="560" w:firstLineChars="200"/>
        <w:rPr>
          <w:rFonts w:ascii="Times New Roman" w:hAnsi="Times New Roman"/>
          <w:color w:val="auto"/>
          <w:sz w:val="28"/>
          <w:szCs w:val="28"/>
        </w:rPr>
      </w:pPr>
      <w:r>
        <w:rPr>
          <w:rFonts w:hint="eastAsia" w:ascii="Times New Roman" w:hAnsi="Times New Roman"/>
          <w:color w:val="auto"/>
          <w:sz w:val="28"/>
          <w:szCs w:val="28"/>
        </w:rPr>
        <w:t>本项目外管廊的主要任务是输送云南瓮福祥丰氟硅新材料有限公司3万吨/年无水氟化氢和2万吨/年电子级氢氟酸装置所需的原辅料氟硅酸、浓硫酸以及副产品稀硫酸等，输送过程中的主要危险、有害因素如下：</w:t>
      </w:r>
    </w:p>
    <w:p w14:paraId="042F4982">
      <w:pPr>
        <w:adjustRightInd w:val="0"/>
        <w:ind w:firstLine="560" w:firstLineChars="200"/>
        <w:rPr>
          <w:rFonts w:ascii="Times New Roman" w:hAnsi="Times New Roman"/>
          <w:color w:val="auto"/>
          <w:sz w:val="28"/>
          <w:szCs w:val="28"/>
        </w:rPr>
      </w:pPr>
      <w:r>
        <w:rPr>
          <w:rFonts w:hint="eastAsia" w:ascii="Times New Roman" w:hAnsi="Times New Roman"/>
          <w:color w:val="auto"/>
          <w:sz w:val="28"/>
          <w:szCs w:val="28"/>
        </w:rPr>
        <w:t>1、化学腐蚀、化学灼伤</w:t>
      </w:r>
    </w:p>
    <w:p w14:paraId="2733E0F0">
      <w:pPr>
        <w:adjustRightInd w:val="0"/>
        <w:ind w:firstLine="560" w:firstLineChars="200"/>
        <w:rPr>
          <w:rFonts w:ascii="Times New Roman" w:hAnsi="Times New Roman"/>
          <w:color w:val="auto"/>
          <w:sz w:val="28"/>
          <w:szCs w:val="28"/>
        </w:rPr>
      </w:pPr>
      <w:r>
        <w:rPr>
          <w:rFonts w:hint="eastAsia" w:ascii="Times New Roman" w:hAnsi="Times New Roman"/>
          <w:color w:val="auto"/>
          <w:sz w:val="28"/>
          <w:szCs w:val="28"/>
        </w:rPr>
        <w:t>（1）硫酸、氟硅酸是用管道输送，如管道破裂，阀门破裂、失灵或操作失误等，硫酸、氟硅酸泄漏腐蚀设备，还可能喷溅到操作人员身上造成化学灼伤。</w:t>
      </w:r>
    </w:p>
    <w:p w14:paraId="3868C812">
      <w:pPr>
        <w:adjustRightInd w:val="0"/>
        <w:ind w:firstLine="560" w:firstLineChars="200"/>
        <w:rPr>
          <w:rFonts w:ascii="Times New Roman" w:hAnsi="Times New Roman"/>
          <w:color w:val="auto"/>
          <w:sz w:val="28"/>
          <w:szCs w:val="28"/>
        </w:rPr>
      </w:pPr>
      <w:r>
        <w:rPr>
          <w:rFonts w:hint="eastAsia" w:ascii="Times New Roman" w:hAnsi="Times New Roman"/>
          <w:color w:val="auto"/>
          <w:sz w:val="28"/>
          <w:szCs w:val="28"/>
        </w:rPr>
        <w:t>（2）如果硫酸、氟硅酸输送泵、管道、阀门泄漏，对周围环境、建筑物造成极大危害；如果无防范、防护设施且无自我防护意识，可能发生化学灼伤危害。</w:t>
      </w:r>
    </w:p>
    <w:p w14:paraId="3503B64F">
      <w:pPr>
        <w:adjustRightInd w:val="0"/>
        <w:ind w:firstLine="560" w:firstLineChars="200"/>
        <w:rPr>
          <w:rFonts w:ascii="Times New Roman" w:hAnsi="Times New Roman"/>
          <w:color w:val="auto"/>
          <w:sz w:val="28"/>
          <w:szCs w:val="28"/>
        </w:rPr>
      </w:pPr>
      <w:r>
        <w:rPr>
          <w:rFonts w:hint="eastAsia" w:ascii="Times New Roman" w:hAnsi="Times New Roman"/>
          <w:color w:val="auto"/>
          <w:sz w:val="28"/>
          <w:szCs w:val="28"/>
        </w:rPr>
        <w:t>（3）操作人员违规操作，可能导致灼伤，若不慎将硫酸、氟硅酸溅入口、眼，可能导致人员中毒和眼睛受损。</w:t>
      </w:r>
    </w:p>
    <w:p w14:paraId="518EA3A2">
      <w:pPr>
        <w:adjustRightInd w:val="0"/>
        <w:ind w:firstLine="560" w:firstLineChars="200"/>
        <w:rPr>
          <w:rFonts w:ascii="Times New Roman" w:hAnsi="Times New Roman"/>
          <w:color w:val="auto"/>
          <w:sz w:val="28"/>
          <w:szCs w:val="28"/>
        </w:rPr>
      </w:pPr>
      <w:r>
        <w:rPr>
          <w:rFonts w:hint="eastAsia" w:ascii="Times New Roman" w:hAnsi="Times New Roman"/>
          <w:color w:val="auto"/>
          <w:sz w:val="28"/>
          <w:szCs w:val="28"/>
        </w:rPr>
        <w:t>（4）若生产场所未设置喷淋洗眼设施，可能由于硫酸、氟硅酸溅入眼内或身上后不能及时处理，导致人员眼睛及身体遭到更大伤害。</w:t>
      </w:r>
    </w:p>
    <w:p w14:paraId="259B1F7F">
      <w:pPr>
        <w:adjustRightInd w:val="0"/>
        <w:ind w:firstLine="560" w:firstLineChars="200"/>
        <w:rPr>
          <w:rFonts w:hint="eastAsia" w:ascii="Times New Roman" w:hAnsi="Times New Roman"/>
          <w:color w:val="auto"/>
          <w:sz w:val="28"/>
          <w:szCs w:val="28"/>
        </w:rPr>
      </w:pPr>
      <w:r>
        <w:rPr>
          <w:rFonts w:hint="eastAsia" w:ascii="Times New Roman" w:hAnsi="Times New Roman"/>
          <w:color w:val="auto"/>
          <w:sz w:val="28"/>
          <w:szCs w:val="28"/>
        </w:rPr>
        <w:t>（5）系统设备维护不到位，长时间运行，硫酸、氟硅酸具有腐蚀性，设备及机械密封处、连接阀门、焊接点泄漏，硫酸、氟硅酸易造成化学灼伤。</w:t>
      </w:r>
    </w:p>
    <w:p w14:paraId="66CFC1B9">
      <w:pPr>
        <w:adjustRightInd w:val="0"/>
        <w:ind w:firstLine="560" w:firstLineChars="200"/>
        <w:rPr>
          <w:rFonts w:hint="eastAsia" w:ascii="Times New Roman" w:hAnsi="Times New Roman"/>
          <w:color w:val="auto"/>
          <w:sz w:val="28"/>
          <w:szCs w:val="28"/>
          <w:lang w:val="en-US" w:eastAsia="zh-CN"/>
        </w:rPr>
      </w:pPr>
      <w:r>
        <w:rPr>
          <w:rFonts w:hint="eastAsia" w:ascii="Times New Roman" w:hAnsi="Times New Roman"/>
          <w:color w:val="auto"/>
          <w:sz w:val="28"/>
          <w:szCs w:val="28"/>
          <w:lang w:eastAsia="zh-CN"/>
        </w:rPr>
        <w:t>（</w:t>
      </w:r>
      <w:r>
        <w:rPr>
          <w:rFonts w:hint="eastAsia" w:ascii="Times New Roman" w:hAnsi="Times New Roman"/>
          <w:color w:val="auto"/>
          <w:sz w:val="28"/>
          <w:szCs w:val="28"/>
          <w:lang w:val="en-US" w:eastAsia="zh-CN"/>
        </w:rPr>
        <w:t>6</w:t>
      </w:r>
      <w:r>
        <w:rPr>
          <w:rFonts w:hint="eastAsia" w:ascii="Times New Roman" w:hAnsi="Times New Roman"/>
          <w:color w:val="auto"/>
          <w:sz w:val="28"/>
          <w:szCs w:val="28"/>
          <w:lang w:eastAsia="zh-CN"/>
        </w:rPr>
        <w:t>）</w:t>
      </w:r>
      <w:r>
        <w:rPr>
          <w:rFonts w:hint="eastAsia" w:ascii="Times New Roman" w:hAnsi="Times New Roman"/>
          <w:color w:val="auto"/>
          <w:sz w:val="28"/>
          <w:szCs w:val="28"/>
          <w:lang w:val="en-US" w:eastAsia="zh-CN"/>
        </w:rPr>
        <w:t>若输送泵及输送管道的材质选择不当，物料输送过程中输送泵和输送管道极易损坏，导致</w:t>
      </w:r>
      <w:r>
        <w:rPr>
          <w:rFonts w:hint="eastAsia" w:ascii="Times New Roman" w:hAnsi="Times New Roman"/>
          <w:color w:val="auto"/>
          <w:sz w:val="28"/>
          <w:szCs w:val="28"/>
        </w:rPr>
        <w:t>硫酸、氟硅酸</w:t>
      </w:r>
      <w:r>
        <w:rPr>
          <w:rFonts w:hint="eastAsia" w:ascii="Times New Roman" w:hAnsi="Times New Roman"/>
          <w:color w:val="auto"/>
          <w:sz w:val="28"/>
          <w:szCs w:val="28"/>
          <w:lang w:val="en-US" w:eastAsia="zh-CN"/>
        </w:rPr>
        <w:t>等腐蚀性介质泄漏，从而造成化学腐蚀、化学灼伤。</w:t>
      </w:r>
    </w:p>
    <w:p w14:paraId="71C2EE4C">
      <w:pPr>
        <w:adjustRightInd w:val="0"/>
        <w:ind w:firstLine="560" w:firstLineChars="200"/>
        <w:rPr>
          <w:rFonts w:hint="default" w:ascii="Times New Roman" w:hAnsi="Times New Roman"/>
          <w:color w:val="auto"/>
          <w:sz w:val="28"/>
          <w:szCs w:val="28"/>
          <w:lang w:val="en-US" w:eastAsia="zh-CN"/>
        </w:rPr>
      </w:pPr>
      <w:r>
        <w:rPr>
          <w:rFonts w:hint="eastAsia" w:ascii="Times New Roman" w:hAnsi="Times New Roman"/>
          <w:color w:val="auto"/>
          <w:sz w:val="28"/>
          <w:szCs w:val="28"/>
          <w:lang w:val="en-US" w:eastAsia="zh-CN"/>
        </w:rPr>
        <w:t>（7）本项目外管廊涉及祥丰金麦和瓮福祥丰两个公司之间的输送物料，输送介质涉及氟硅酸、硫酸等腐蚀性介质，若输送过程中信息沟通不畅或管理职责范围不确定，可能导致冲顶或拉空储槽，导致危险化学品泄漏等生产安全事故。</w:t>
      </w:r>
    </w:p>
    <w:p w14:paraId="376AF980">
      <w:pPr>
        <w:adjustRightInd w:val="0"/>
        <w:ind w:firstLine="560" w:firstLineChars="200"/>
        <w:rPr>
          <w:rFonts w:ascii="Times New Roman" w:hAnsi="Times New Roman"/>
          <w:color w:val="auto"/>
          <w:sz w:val="28"/>
          <w:szCs w:val="28"/>
        </w:rPr>
      </w:pPr>
      <w:r>
        <w:rPr>
          <w:rFonts w:hint="eastAsia" w:ascii="Times New Roman" w:hAnsi="Times New Roman"/>
          <w:color w:val="auto"/>
          <w:sz w:val="28"/>
          <w:szCs w:val="28"/>
        </w:rPr>
        <w:t>2、火灾、爆炸</w:t>
      </w:r>
    </w:p>
    <w:p w14:paraId="05A74670">
      <w:pPr>
        <w:adjustRightInd w:val="0"/>
        <w:ind w:firstLine="560" w:firstLineChars="200"/>
        <w:rPr>
          <w:rFonts w:ascii="Times New Roman" w:hAnsi="Times New Roman"/>
          <w:color w:val="auto"/>
          <w:sz w:val="28"/>
          <w:szCs w:val="28"/>
        </w:rPr>
      </w:pPr>
      <w:r>
        <w:rPr>
          <w:rFonts w:hint="eastAsia" w:ascii="Times New Roman" w:hAnsi="Times New Roman"/>
          <w:color w:val="auto"/>
          <w:sz w:val="28"/>
          <w:szCs w:val="28"/>
        </w:rPr>
        <w:t>（1）稀硫酸不但不能使普通碳钢表面钝化，反而会与碳钢内铁进行反应并释放出氢气，管道和设备会因腐蚀造成泄漏，管道和设备内集积的氢气可能导致火灾、爆炸事故。</w:t>
      </w:r>
    </w:p>
    <w:p w14:paraId="059988F6">
      <w:pPr>
        <w:adjustRightInd w:val="0"/>
        <w:ind w:firstLine="560" w:firstLineChars="200"/>
        <w:rPr>
          <w:rFonts w:ascii="Times New Roman" w:hAnsi="Times New Roman"/>
          <w:color w:val="auto"/>
          <w:sz w:val="28"/>
          <w:szCs w:val="28"/>
        </w:rPr>
      </w:pPr>
      <w:r>
        <w:rPr>
          <w:rFonts w:hint="eastAsia" w:ascii="Times New Roman" w:hAnsi="Times New Roman"/>
          <w:color w:val="auto"/>
          <w:sz w:val="28"/>
          <w:szCs w:val="28"/>
        </w:rPr>
        <w:t>（2）浓硫酸具有强烈的氧化性能，输送过程中遇易自燃物品或还原剂时能将其氧化，引起燃烧，从而导致火灾爆炸。</w:t>
      </w:r>
    </w:p>
    <w:p w14:paraId="11891CED">
      <w:pPr>
        <w:adjustRightInd w:val="0"/>
        <w:ind w:firstLine="560" w:firstLineChars="200"/>
        <w:rPr>
          <w:rFonts w:hint="eastAsia" w:ascii="Times New Roman" w:hAnsi="Times New Roman"/>
          <w:color w:val="auto"/>
          <w:sz w:val="28"/>
          <w:szCs w:val="28"/>
        </w:rPr>
      </w:pPr>
      <w:r>
        <w:rPr>
          <w:rFonts w:hint="eastAsia" w:ascii="Times New Roman" w:hAnsi="Times New Roman"/>
          <w:color w:val="auto"/>
          <w:sz w:val="28"/>
          <w:szCs w:val="28"/>
        </w:rPr>
        <w:t>（3）浓硫酸遇热、受撞击、摩擦时，迅速发生分解，产生大量的气体和热量，容易引起爆炸。</w:t>
      </w:r>
    </w:p>
    <w:p w14:paraId="2F6C5019">
      <w:pPr>
        <w:ind w:firstLine="560"/>
      </w:pPr>
      <w:r>
        <w:rPr>
          <w:rFonts w:hint="eastAsia"/>
        </w:rPr>
        <w:t>（</w:t>
      </w:r>
      <w:r>
        <w:rPr>
          <w:rFonts w:hint="eastAsia"/>
          <w:lang w:val="en-US" w:eastAsia="zh-CN"/>
        </w:rPr>
        <w:t>4</w:t>
      </w:r>
      <w:r>
        <w:rPr>
          <w:rFonts w:hint="eastAsia"/>
        </w:rPr>
        <w:t>）氟硅酸泄漏后与金属反应生成氢气，富集后遇点火源发生爆炸。</w:t>
      </w:r>
    </w:p>
    <w:p w14:paraId="2FE0F2C8">
      <w:pPr>
        <w:adjustRightInd w:val="0"/>
        <w:ind w:firstLine="560" w:firstLineChars="200"/>
        <w:rPr>
          <w:rFonts w:ascii="Times New Roman" w:hAnsi="Times New Roman"/>
          <w:color w:val="auto"/>
          <w:sz w:val="28"/>
          <w:szCs w:val="28"/>
        </w:rPr>
      </w:pPr>
      <w:r>
        <w:rPr>
          <w:rFonts w:hint="eastAsia" w:ascii="Times New Roman" w:hAnsi="Times New Roman"/>
          <w:color w:val="auto"/>
          <w:sz w:val="28"/>
          <w:szCs w:val="28"/>
        </w:rPr>
        <w:t>3、压力容器爆炸</w:t>
      </w:r>
    </w:p>
    <w:p w14:paraId="201F6F2E">
      <w:pPr>
        <w:adjustRightInd w:val="0"/>
        <w:ind w:firstLine="560" w:firstLineChars="200"/>
        <w:rPr>
          <w:rFonts w:ascii="Times New Roman" w:hAnsi="Times New Roman"/>
          <w:color w:val="auto"/>
          <w:sz w:val="28"/>
          <w:szCs w:val="28"/>
        </w:rPr>
      </w:pPr>
      <w:r>
        <w:rPr>
          <w:rFonts w:hint="eastAsia" w:ascii="Times New Roman" w:hAnsi="Times New Roman"/>
          <w:color w:val="auto"/>
          <w:sz w:val="28"/>
          <w:szCs w:val="28"/>
        </w:rPr>
        <w:t>饱和蒸汽管道等压力管道因质量缺陷、施工不良等，可能引发压力容器爆炸。</w:t>
      </w:r>
    </w:p>
    <w:p w14:paraId="6AB006E8">
      <w:pPr>
        <w:adjustRightInd w:val="0"/>
        <w:ind w:firstLine="560" w:firstLineChars="200"/>
        <w:rPr>
          <w:rFonts w:ascii="Times New Roman" w:hAnsi="Times New Roman"/>
          <w:color w:val="auto"/>
          <w:sz w:val="28"/>
          <w:szCs w:val="28"/>
        </w:rPr>
      </w:pPr>
      <w:r>
        <w:rPr>
          <w:rFonts w:hint="eastAsia" w:ascii="Times New Roman" w:hAnsi="Times New Roman"/>
          <w:color w:val="auto"/>
          <w:sz w:val="28"/>
          <w:szCs w:val="28"/>
        </w:rPr>
        <w:t>4、高温灼烫</w:t>
      </w:r>
    </w:p>
    <w:p w14:paraId="256F07EE">
      <w:pPr>
        <w:adjustRightInd w:val="0"/>
        <w:ind w:firstLine="560" w:firstLineChars="200"/>
        <w:rPr>
          <w:rFonts w:ascii="Times New Roman" w:hAnsi="Times New Roman"/>
          <w:color w:val="auto"/>
          <w:sz w:val="28"/>
          <w:szCs w:val="28"/>
        </w:rPr>
      </w:pPr>
      <w:r>
        <w:rPr>
          <w:rFonts w:hint="eastAsia" w:ascii="Times New Roman" w:hAnsi="Times New Roman"/>
          <w:color w:val="auto"/>
          <w:sz w:val="28"/>
          <w:szCs w:val="28"/>
        </w:rPr>
        <w:t>本项目外管廊有1根饱和蒸汽管道，若蒸汽管道无保温措施、操作人员无自我防护意识，意外触及管道高温部位，可能发生高温灼伤危害。</w:t>
      </w:r>
    </w:p>
    <w:p w14:paraId="3DDDC97A">
      <w:pPr>
        <w:adjustRightInd w:val="0"/>
        <w:ind w:firstLine="560" w:firstLineChars="200"/>
        <w:rPr>
          <w:rFonts w:ascii="Times New Roman" w:hAnsi="Times New Roman"/>
          <w:color w:val="auto"/>
          <w:sz w:val="28"/>
          <w:szCs w:val="28"/>
        </w:rPr>
      </w:pPr>
      <w:r>
        <w:rPr>
          <w:rFonts w:hint="eastAsia" w:ascii="Times New Roman" w:hAnsi="Times New Roman"/>
          <w:color w:val="auto"/>
          <w:sz w:val="28"/>
          <w:szCs w:val="28"/>
        </w:rPr>
        <w:t>蒸汽管道、阀门发泄漏，可能导致人员高温灼伤。</w:t>
      </w:r>
    </w:p>
    <w:p w14:paraId="7904BD1B">
      <w:pPr>
        <w:adjustRightInd w:val="0"/>
        <w:ind w:firstLine="560" w:firstLineChars="200"/>
        <w:rPr>
          <w:rFonts w:ascii="Times New Roman" w:hAnsi="Times New Roman"/>
          <w:color w:val="auto"/>
          <w:sz w:val="28"/>
          <w:szCs w:val="28"/>
        </w:rPr>
      </w:pPr>
      <w:r>
        <w:rPr>
          <w:rFonts w:hint="eastAsia" w:ascii="Times New Roman" w:hAnsi="Times New Roman"/>
          <w:color w:val="auto"/>
          <w:sz w:val="28"/>
          <w:szCs w:val="28"/>
        </w:rPr>
        <w:t>5、机械伤害</w:t>
      </w:r>
    </w:p>
    <w:p w14:paraId="01AB19CD">
      <w:pPr>
        <w:adjustRightInd w:val="0"/>
        <w:ind w:firstLine="560" w:firstLineChars="200"/>
        <w:rPr>
          <w:rFonts w:ascii="Times New Roman" w:hAnsi="Times New Roman"/>
          <w:color w:val="auto"/>
          <w:sz w:val="28"/>
          <w:szCs w:val="28"/>
        </w:rPr>
      </w:pPr>
      <w:r>
        <w:rPr>
          <w:rFonts w:hint="eastAsia" w:ascii="Times New Roman" w:hAnsi="Times New Roman"/>
          <w:color w:val="auto"/>
          <w:sz w:val="28"/>
          <w:szCs w:val="28"/>
        </w:rPr>
        <w:t>本项目外管廊部分物料输送使用泵，若泵的转动部位未设置防护罩，或防护存在缺陷，或在事故及检修等特殊情况下存在机械伤害的可能。</w:t>
      </w:r>
    </w:p>
    <w:p w14:paraId="563D3CB7">
      <w:pPr>
        <w:adjustRightInd w:val="0"/>
        <w:ind w:firstLine="560" w:firstLineChars="200"/>
        <w:rPr>
          <w:rFonts w:ascii="Times New Roman" w:hAnsi="Times New Roman"/>
          <w:color w:val="auto"/>
          <w:sz w:val="28"/>
          <w:szCs w:val="28"/>
        </w:rPr>
      </w:pPr>
      <w:r>
        <w:rPr>
          <w:rFonts w:hint="eastAsia" w:ascii="Times New Roman" w:hAnsi="Times New Roman"/>
          <w:color w:val="auto"/>
          <w:sz w:val="28"/>
          <w:szCs w:val="28"/>
        </w:rPr>
        <w:t>6、触电</w:t>
      </w:r>
    </w:p>
    <w:p w14:paraId="09370D0E">
      <w:pPr>
        <w:snapToGrid w:val="0"/>
        <w:ind w:firstLine="560" w:firstLineChars="200"/>
        <w:rPr>
          <w:rFonts w:ascii="宋体" w:hAnsi="宋体"/>
          <w:color w:val="auto"/>
          <w:sz w:val="28"/>
          <w:szCs w:val="28"/>
        </w:rPr>
      </w:pPr>
      <w:r>
        <w:rPr>
          <w:rFonts w:hint="eastAsia" w:ascii="宋体" w:hAnsi="宋体"/>
          <w:color w:val="auto"/>
          <w:sz w:val="28"/>
          <w:szCs w:val="28"/>
        </w:rPr>
        <w:t>本项目输送物料使用的用电设备若绝缘不良或破损，人员不慎接触，会导致触电；在对用电设备进行检修时，若未按规范要求切断电源，可能导致检修操作人员触电。</w:t>
      </w:r>
    </w:p>
    <w:p w14:paraId="3043D72E">
      <w:pPr>
        <w:adjustRightInd w:val="0"/>
        <w:ind w:firstLine="560" w:firstLineChars="200"/>
        <w:rPr>
          <w:rFonts w:ascii="Times New Roman" w:hAnsi="Times New Roman"/>
          <w:color w:val="auto"/>
          <w:sz w:val="28"/>
          <w:szCs w:val="28"/>
        </w:rPr>
      </w:pPr>
      <w:r>
        <w:rPr>
          <w:rFonts w:hint="eastAsia" w:ascii="Times New Roman" w:hAnsi="Times New Roman"/>
          <w:color w:val="auto"/>
          <w:sz w:val="28"/>
          <w:szCs w:val="28"/>
        </w:rPr>
        <w:t>7、高处坠落</w:t>
      </w:r>
    </w:p>
    <w:p w14:paraId="6E85B169">
      <w:pPr>
        <w:adjustRightInd w:val="0"/>
        <w:ind w:firstLine="560" w:firstLineChars="200"/>
        <w:rPr>
          <w:rFonts w:hint="eastAsia" w:ascii="Times New Roman" w:hAnsi="Times New Roman"/>
          <w:color w:val="auto"/>
          <w:sz w:val="28"/>
          <w:szCs w:val="28"/>
        </w:rPr>
      </w:pPr>
      <w:r>
        <w:rPr>
          <w:rFonts w:hint="eastAsia" w:ascii="Times New Roman" w:hAnsi="Times New Roman"/>
          <w:color w:val="auto"/>
          <w:sz w:val="28"/>
          <w:szCs w:val="28"/>
        </w:rPr>
        <w:t>根据坠落高度基准面，最低坠落的着落点水平面高度在2m以上的高度时，就需要有防止人员坠落伤害的措施，在本项目外管廊管架上对管道进行检查、维护的作业过程中，可能发生高处坠落导致人员受到伤害。</w:t>
      </w:r>
    </w:p>
    <w:p w14:paraId="6A405DB1">
      <w:pPr>
        <w:numPr>
          <w:ilvl w:val="1"/>
          <w:numId w:val="36"/>
        </w:numPr>
        <w:adjustRightInd w:val="0"/>
        <w:ind w:left="0" w:leftChars="0" w:firstLine="560" w:firstLineChars="200"/>
        <w:rPr>
          <w:rFonts w:hint="eastAsia" w:ascii="Times New Roman"/>
          <w:color w:val="auto"/>
          <w:sz w:val="28"/>
          <w:szCs w:val="28"/>
          <w:lang w:val="en-US" w:eastAsia="zh-CN"/>
        </w:rPr>
      </w:pPr>
      <w:r>
        <w:rPr>
          <w:rFonts w:hint="eastAsia" w:ascii="Times New Roman"/>
          <w:color w:val="auto"/>
          <w:sz w:val="28"/>
          <w:szCs w:val="28"/>
          <w:lang w:val="en-US" w:eastAsia="zh-CN"/>
        </w:rPr>
        <w:t>中毒</w:t>
      </w:r>
    </w:p>
    <w:p w14:paraId="434593B0">
      <w:pPr>
        <w:adjustRightInd w:val="0"/>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作业工人接触到的毒物主要有硫酸、氟硅酸等。</w:t>
      </w:r>
    </w:p>
    <w:p w14:paraId="4FA9E405">
      <w:pPr>
        <w:adjustRightInd w:val="0"/>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（1）硫酸</w:t>
      </w:r>
    </w:p>
    <w:p w14:paraId="6FB12EF7">
      <w:pPr>
        <w:adjustRightInd w:val="0"/>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对皮肤、粘膜等组织有强烈的刺激和腐蚀作用。蒸气或雾可引起结膜炎、结膜水肿、角膜混浊，以致失明；引起呼吸道刺激，重者发生呼吸困难和肺水肿；高浓度引起喉痉挛或声门水肿而窒息死亡。口服后引起消化道烧伤以致溃疡形成；严重者可能有胃穿孔、腹膜炎、肾损害、休克等。皮肤灼伤轻者出现红斑、重者形成溃疡，愈后癍痕收缩影响功能。溅入眼内可造成灼伤，甚至角膜穿孔、全眼炎以至失明。 慢性影响：牙齿酸蚀症、慢性支气管炎、肺气肿和肺硬化。</w:t>
      </w:r>
    </w:p>
    <w:p w14:paraId="3E3A7CC4">
      <w:pPr>
        <w:adjustRightInd w:val="0"/>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可能发生硫酸中毒的场所主要是硫酸储罐以及硫酸输送管道等。</w:t>
      </w:r>
    </w:p>
    <w:p w14:paraId="47F0EB64">
      <w:pPr>
        <w:adjustRightInd w:val="0"/>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w:t>
      </w:r>
      <w:r>
        <w:rPr>
          <w:rFonts w:hint="eastAsia" w:ascii="Times New Roman" w:hAnsi="Times New Roman" w:eastAsia="宋体" w:cs="宋体"/>
          <w:color w:val="auto"/>
          <w:sz w:val="28"/>
          <w:szCs w:val="28"/>
          <w:lang w:val="en-US" w:eastAsia="zh-CN"/>
        </w:rPr>
        <w:t>2</w:t>
      </w:r>
      <w:r>
        <w:rPr>
          <w:rFonts w:hint="eastAsia" w:ascii="Times New Roman" w:hAnsi="Times New Roman" w:eastAsia="宋体" w:cs="宋体"/>
          <w:color w:val="auto"/>
          <w:sz w:val="28"/>
          <w:szCs w:val="28"/>
        </w:rPr>
        <w:t>）氟硅酸</w:t>
      </w:r>
    </w:p>
    <w:p w14:paraId="41FA3FCD">
      <w:pPr>
        <w:adjustRightInd w:val="0"/>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氟硅酸受热分解放出有毒的氟化物气体。具有较强的腐蚀性。</w:t>
      </w:r>
    </w:p>
    <w:p w14:paraId="1A83DECA">
      <w:pPr>
        <w:adjustRightInd w:val="0"/>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氟硅酸对机体的作用似氟化氢，但较弱。发生氟硅酸中毒的场所主要有：氟硅酸储罐区以及氟硅酸输送场所等。</w:t>
      </w:r>
    </w:p>
    <w:p w14:paraId="2E8BFB25">
      <w:pPr>
        <w:numPr>
          <w:ilvl w:val="1"/>
          <w:numId w:val="36"/>
        </w:numPr>
        <w:adjustRightInd w:val="0"/>
        <w:ind w:left="0" w:leftChars="0" w:firstLine="560" w:firstLineChars="200"/>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坍塌</w:t>
      </w:r>
    </w:p>
    <w:p w14:paraId="6CE6393F">
      <w:pPr>
        <w:adjustRightInd w:val="0"/>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地壳运动或移动，形成的地震坍塌；建筑设计不符合《建筑设计防火规范》、《建筑抗震设计规范》等设计规范标准；建筑质量不合格或存在隐患；焊接（锚固）点不符合施工质量相关施工规范，可能引起建筑物的坍塌事故。火灾、雷击及风灾等也可能引起的坍塌。</w:t>
      </w:r>
    </w:p>
    <w:p w14:paraId="0D049792">
      <w:pPr>
        <w:numPr>
          <w:ilvl w:val="1"/>
          <w:numId w:val="36"/>
        </w:numPr>
        <w:adjustRightInd w:val="0"/>
        <w:ind w:left="0" w:leftChars="0" w:firstLine="560" w:firstLineChars="200"/>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其他</w:t>
      </w:r>
    </w:p>
    <w:p w14:paraId="6A0A7623">
      <w:pPr>
        <w:ind w:firstLine="560"/>
      </w:pPr>
      <w:r>
        <w:t>滑倒主要是由于地面沾水太滑而造成作业人员摔倒致伤。</w:t>
      </w:r>
    </w:p>
    <w:p w14:paraId="26C8D10D">
      <w:pPr>
        <w:pStyle w:val="6"/>
        <w:keepNext/>
        <w:keepLines/>
        <w:pageBreakBefore w:val="0"/>
        <w:widowControl w:val="0"/>
        <w:numPr>
          <w:ilvl w:val="2"/>
          <w:numId w:val="0"/>
        </w:numPr>
        <w:tabs>
          <w:tab w:val="left" w:pos="931"/>
        </w:tabs>
        <w:kinsoku/>
        <w:wordWrap/>
        <w:overflowPunct/>
        <w:topLinePunct w:val="0"/>
        <w:autoSpaceDE/>
        <w:autoSpaceDN/>
        <w:bidi w:val="0"/>
        <w:adjustRightInd/>
        <w:snapToGrid w:val="0"/>
        <w:spacing w:line="360" w:lineRule="auto"/>
        <w:ind w:leftChars="100"/>
        <w:textAlignment w:val="auto"/>
        <w:outlineLvl w:val="3"/>
        <w:rPr>
          <w:rFonts w:hint="eastAsia" w:ascii="Times New Roman" w:hAnsi="Times New Roman" w:cs="Times New Roman"/>
          <w:snapToGrid w:val="0"/>
          <w:color w:val="000000"/>
          <w:kern w:val="0"/>
          <w:sz w:val="28"/>
          <w:szCs w:val="28"/>
          <w:lang w:val="en-US" w:eastAsia="zh-CN"/>
        </w:rPr>
      </w:pPr>
      <w:bookmarkStart w:id="918" w:name="_Toc532939116"/>
      <w:bookmarkStart w:id="919" w:name="_Toc16066"/>
      <w:bookmarkStart w:id="920" w:name="_Toc21776"/>
      <w:bookmarkStart w:id="921" w:name="_Toc486955183"/>
      <w:bookmarkStart w:id="922" w:name="_Toc21786"/>
      <w:bookmarkStart w:id="923" w:name="_Toc23758"/>
      <w:bookmarkStart w:id="924" w:name="_Toc30165"/>
      <w:bookmarkStart w:id="925" w:name="_Toc1539"/>
      <w:bookmarkStart w:id="926" w:name="_Toc21015"/>
      <w:bookmarkStart w:id="927" w:name="_Toc7332"/>
      <w:bookmarkStart w:id="928" w:name="_Toc112860013"/>
      <w:bookmarkStart w:id="929" w:name="_Toc18478"/>
      <w:bookmarkStart w:id="930" w:name="_Toc10884"/>
      <w:bookmarkStart w:id="931" w:name="_Toc524658890"/>
      <w:bookmarkStart w:id="932" w:name="_Toc2214"/>
      <w:bookmarkStart w:id="933" w:name="_Toc21410"/>
      <w:bookmarkStart w:id="934" w:name="_Toc1731"/>
      <w:bookmarkStart w:id="935" w:name="_Toc25237"/>
      <w:bookmarkStart w:id="936" w:name="_Toc954"/>
      <w:bookmarkStart w:id="937" w:name="_Toc532993137"/>
      <w:bookmarkStart w:id="938" w:name="_Toc515639888"/>
      <w:bookmarkStart w:id="939" w:name="_Toc460364920"/>
      <w:bookmarkStart w:id="940" w:name="_Toc330852756"/>
      <w:bookmarkStart w:id="941" w:name="_Toc387703600"/>
      <w:bookmarkStart w:id="942" w:name="_Toc346708699"/>
      <w:bookmarkStart w:id="943" w:name="_Toc330844422"/>
      <w:bookmarkStart w:id="944" w:name="_Toc72069361"/>
      <w:bookmarkStart w:id="945" w:name="_Toc73343301"/>
      <w:bookmarkStart w:id="946" w:name="_Toc354667570"/>
      <w:bookmarkStart w:id="947" w:name="_Toc340446952"/>
      <w:bookmarkStart w:id="948" w:name="_Toc387790922"/>
      <w:bookmarkStart w:id="949" w:name="_Toc387488045"/>
      <w:bookmarkStart w:id="950" w:name="_Toc396774001"/>
      <w:bookmarkStart w:id="951" w:name="_Toc461031854"/>
      <w:bookmarkStart w:id="952" w:name="_Toc349511195"/>
      <w:bookmarkStart w:id="953" w:name="_Toc340447146"/>
      <w:r>
        <w:rPr>
          <w:rFonts w:hint="eastAsia" w:ascii="Times New Roman" w:hAnsi="Times New Roman" w:cs="Times New Roman"/>
          <w:snapToGrid w:val="0"/>
          <w:color w:val="000000"/>
          <w:kern w:val="0"/>
          <w:sz w:val="28"/>
          <w:szCs w:val="28"/>
          <w:lang w:val="en-US" w:eastAsia="zh-CN"/>
        </w:rPr>
        <w:t>3.1.5.4公用工程危险、有害因素分析</w:t>
      </w:r>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p w14:paraId="6C647500">
      <w:pPr>
        <w:keepLines w:val="0"/>
        <w:pageBreakBefore w:val="0"/>
        <w:widowControl w:val="0"/>
        <w:numPr>
          <w:ilvl w:val="0"/>
          <w:numId w:val="0"/>
        </w:numPr>
        <w:kinsoku/>
        <w:wordWrap/>
        <w:overflowPunct/>
        <w:topLinePunct w:val="0"/>
        <w:autoSpaceDE/>
        <w:autoSpaceDN/>
        <w:bidi w:val="0"/>
        <w:snapToGrid w:val="0"/>
        <w:ind w:leftChars="200"/>
        <w:textAlignment w:val="auto"/>
        <w:outlineLvl w:val="9"/>
        <w:rPr>
          <w:rFonts w:hint="default" w:ascii="Times New Roman" w:hAnsi="Times New Roman" w:eastAsia="宋体" w:cs="Times New Roman"/>
          <w:b w:val="0"/>
          <w:color w:val="auto"/>
          <w:sz w:val="28"/>
          <w:szCs w:val="28"/>
        </w:rPr>
      </w:pPr>
      <w:bookmarkStart w:id="954" w:name="_Toc112860016"/>
      <w:r>
        <w:rPr>
          <w:rFonts w:hint="default" w:ascii="Times New Roman" w:hAnsi="Times New Roman" w:eastAsia="宋体" w:cs="Times New Roman"/>
          <w:b w:val="0"/>
          <w:color w:val="auto"/>
          <w:sz w:val="28"/>
          <w:szCs w:val="28"/>
          <w:lang w:val="en-US" w:eastAsia="zh-CN"/>
        </w:rPr>
        <w:t>一、</w:t>
      </w:r>
      <w:r>
        <w:rPr>
          <w:rFonts w:hint="default" w:ascii="Times New Roman" w:hAnsi="Times New Roman" w:eastAsia="宋体" w:cs="Times New Roman"/>
          <w:b w:val="0"/>
          <w:color w:val="auto"/>
          <w:sz w:val="28"/>
          <w:szCs w:val="28"/>
        </w:rPr>
        <w:t>供配电系统</w:t>
      </w:r>
      <w:bookmarkEnd w:id="954"/>
      <w:r>
        <w:rPr>
          <w:rFonts w:hint="default" w:ascii="Times New Roman" w:hAnsi="Times New Roman" w:eastAsia="宋体" w:cs="Times New Roman"/>
          <w:b w:val="0"/>
          <w:color w:val="auto"/>
          <w:sz w:val="28"/>
          <w:szCs w:val="28"/>
        </w:rPr>
        <w:t>危害性分析</w:t>
      </w:r>
    </w:p>
    <w:p w14:paraId="2055E2DA">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1、触电</w:t>
      </w:r>
    </w:p>
    <w:p w14:paraId="02CB668C">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（1）触发电击伤害的主要危险因素</w:t>
      </w:r>
    </w:p>
    <w:p w14:paraId="325AD9F6">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①误触相线：包括单相触电（包括中性点直接接地单相触电、 中性点不接地单相触电）、两相触电、跨步电压、接触电压和雷击触电；</w:t>
      </w:r>
    </w:p>
    <w:p w14:paraId="186C4DB4">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②装设地线不验电、线路检修时未按规定装设接地线或临时停电装设的接地线在送电前未及时拆除；</w:t>
      </w:r>
    </w:p>
    <w:p w14:paraId="42FD8170">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③超越安全警戒线误碰带电设备；</w:t>
      </w:r>
    </w:p>
    <w:p w14:paraId="627BEEF1">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④导线、电缆破损接触金属等导电物、架空线断后搭落在金属等导电物上、电气设备的线圈绝缘损坏而引起外壳带电；</w:t>
      </w:r>
    </w:p>
    <w:p w14:paraId="785E96B9">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⑤各输送泵驱动电机接线端子绝缘缺陷，操作人员在正常操作、巡检过程中接触带电设备。</w:t>
      </w:r>
    </w:p>
    <w:p w14:paraId="74906A13">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（2）送电操作过程中触发电伤的主要危险因素</w:t>
      </w:r>
    </w:p>
    <w:p w14:paraId="38529465">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①电气操作时未核对设备名称、编号、位置状态，直接触及正在运行的带电设备；</w:t>
      </w:r>
    </w:p>
    <w:p w14:paraId="05771E05">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②低压系统带负荷拉开裸露的闸刀开关；</w:t>
      </w:r>
    </w:p>
    <w:p w14:paraId="18F75335">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③线路发生短路或误操作引起短路；</w:t>
      </w:r>
    </w:p>
    <w:p w14:paraId="56D9A839">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④高压系统因误操作产生强烈电弧（可导致严重烧伤）；</w:t>
      </w:r>
    </w:p>
    <w:p w14:paraId="5006EEC4">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⑤在带电设备附近作业,不符合安全距离或无监护措施，作业人员接近带电体(间距小于安全距离或放电距离)而产生的强烈电弧(可造成严重烧伤甚至死亡）；</w:t>
      </w:r>
    </w:p>
    <w:p w14:paraId="4D69D5A8">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⑥送电操作时，电气作业人员未穿戴绝缘鞋、绝缘手套等防护用品或防护用品失效；</w:t>
      </w:r>
    </w:p>
    <w:p w14:paraId="0BE0AFE6">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⑦供配电线路或电气设备工作完毕，未办理工作票终结手续盲目送电。</w:t>
      </w:r>
    </w:p>
    <w:p w14:paraId="363EA524">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（3）供配电系统常见触电伤害的危险因素</w:t>
      </w:r>
    </w:p>
    <w:p w14:paraId="72FD563C">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①接线错误；</w:t>
      </w:r>
    </w:p>
    <w:p w14:paraId="150F5BC1">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②电气线路、电气设备安装不符合安全要求；</w:t>
      </w:r>
    </w:p>
    <w:p w14:paraId="575FF14D">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③非电工任意处理电气事务；</w:t>
      </w:r>
    </w:p>
    <w:p w14:paraId="022E2701">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④移动长、高金属物体触碰高压线；</w:t>
      </w:r>
    </w:p>
    <w:p w14:paraId="4CD1B2AA">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⑤因暴风雨、雷击等自然灾害。</w:t>
      </w:r>
    </w:p>
    <w:p w14:paraId="283C5037">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2、电气火灾</w:t>
      </w:r>
    </w:p>
    <w:p w14:paraId="101E9010">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电气火灾是较为常见的事故。引起电气火灾的原因主要有以下几个方面:</w:t>
      </w:r>
    </w:p>
    <w:p w14:paraId="25AAC97F">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（1）短路</w:t>
      </w:r>
    </w:p>
    <w:p w14:paraId="48F3B9AC">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发生短路时电流可能超过正常时的数十倍，致使电线、电器温度急剧上升，远远超过允许值，而且常伴有短路电弧发生，易造成火灾。常见的短路事故触发因素有：</w:t>
      </w:r>
    </w:p>
    <w:p w14:paraId="4240568D">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①违章作业引发短路事故；</w:t>
      </w:r>
    </w:p>
    <w:p w14:paraId="49947598">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②用闸刀直接起动或断开大容量负荷；</w:t>
      </w:r>
    </w:p>
    <w:p w14:paraId="42A51F7F">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③带负荷拔熔断器引起相间电弧短路。</w:t>
      </w:r>
    </w:p>
    <w:p w14:paraId="49D34B07">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（2）过载</w:t>
      </w:r>
    </w:p>
    <w:p w14:paraId="00D323E3">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线路、电动机超载运行导致绝缘材料过热起火。</w:t>
      </w:r>
    </w:p>
    <w:p w14:paraId="47091821">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（3）接触不良</w:t>
      </w:r>
    </w:p>
    <w:p w14:paraId="03A4128F">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导线接头连接松动或焊接缺陷使接触电阻过高，导致接头过热起火；接触不良的电线接头、开关接点、滑触线等还会迸发火花引燃周围易燃、易爆物质。</w:t>
      </w:r>
    </w:p>
    <w:p w14:paraId="7FC62688">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（4）散热不良</w:t>
      </w:r>
    </w:p>
    <w:p w14:paraId="06D893AC">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①电动机配备的如风叶、散热器等散热装置，如果发生风叶断裂导致散热不良，使电器热量累积；</w:t>
      </w:r>
    </w:p>
    <w:p w14:paraId="4B62211C">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②电缆沟（或电缆隧道）内电缆过密，或与其他管线共沟敷设，散热不良引起火灾。</w:t>
      </w:r>
    </w:p>
    <w:p w14:paraId="30E6BCD3">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（5）电缆敷设及防护缺陷</w:t>
      </w:r>
    </w:p>
    <w:p w14:paraId="4938C000">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①电缆敷设不符合规范要求，与其他管道共沟敷设，因腐蚀、老化等原因造成危险品泄漏腐蚀。</w:t>
      </w:r>
    </w:p>
    <w:p w14:paraId="5963B724">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②电缆防护不符合要求，运行过程中因防护层破损导致电缆短路引发火灾事故。</w:t>
      </w:r>
    </w:p>
    <w:p w14:paraId="3D395ABE">
      <w:pPr>
        <w:keepLines w:val="0"/>
        <w:pageBreakBefore w:val="0"/>
        <w:widowControl w:val="0"/>
        <w:numPr>
          <w:ilvl w:val="0"/>
          <w:numId w:val="0"/>
        </w:numPr>
        <w:kinsoku/>
        <w:wordWrap/>
        <w:overflowPunct/>
        <w:topLinePunct w:val="0"/>
        <w:autoSpaceDE/>
        <w:autoSpaceDN/>
        <w:bidi w:val="0"/>
        <w:snapToGrid w:val="0"/>
        <w:ind w:leftChars="200"/>
        <w:textAlignment w:val="auto"/>
        <w:outlineLvl w:val="9"/>
        <w:rPr>
          <w:rFonts w:hint="default" w:ascii="Times New Roman" w:hAnsi="Times New Roman" w:eastAsia="宋体" w:cs="Times New Roman"/>
          <w:b w:val="0"/>
          <w:color w:val="auto"/>
          <w:sz w:val="28"/>
          <w:szCs w:val="28"/>
        </w:rPr>
      </w:pPr>
      <w:r>
        <w:rPr>
          <w:rFonts w:hint="default" w:ascii="Times New Roman" w:hAnsi="Times New Roman" w:eastAsia="宋体" w:cs="Times New Roman"/>
          <w:b w:val="0"/>
          <w:color w:val="auto"/>
          <w:sz w:val="28"/>
          <w:szCs w:val="28"/>
          <w:lang w:val="en-US" w:eastAsia="zh-CN"/>
        </w:rPr>
        <w:t>二、</w:t>
      </w:r>
      <w:r>
        <w:rPr>
          <w:rFonts w:hint="default" w:ascii="Times New Roman" w:hAnsi="Times New Roman" w:eastAsia="宋体" w:cs="Times New Roman"/>
          <w:b w:val="0"/>
          <w:color w:val="auto"/>
          <w:sz w:val="28"/>
          <w:szCs w:val="28"/>
        </w:rPr>
        <w:t>消防系统危险性分析</w:t>
      </w:r>
    </w:p>
    <w:p w14:paraId="2F3ECC74">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1、消防器材配置不足或因维护、保养不当、使用后未及时充装、恢复或摆放位置不合理或被盗等原因导致火灾等事故发生时延误救援，使事故进一步扩大。</w:t>
      </w:r>
    </w:p>
    <w:p w14:paraId="21C81AF7">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2、本项目消防水由云南祥丰石化有限公司保障，出现火灾等紧急事故需要救援时，若出现供水、供电故障导致灭火系统无法运行或消防水源供水不足或供水水压较小等均可能导致事故不能及时得到控制，造成事故进一步扩大。</w:t>
      </w:r>
    </w:p>
    <w:p w14:paraId="47DF3562">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3、当厂区发生的火灾、爆炸事故，消防应急救援人员施救不当，或依托的祥丰实业集团消防力量未能及时到达等其他原因，延误救援时机，导致事故进一步扩大。</w:t>
      </w:r>
    </w:p>
    <w:p w14:paraId="3417909E">
      <w:pPr>
        <w:keepLines w:val="0"/>
        <w:pageBreakBefore w:val="0"/>
        <w:widowControl w:val="0"/>
        <w:numPr>
          <w:ilvl w:val="0"/>
          <w:numId w:val="0"/>
        </w:numPr>
        <w:kinsoku/>
        <w:wordWrap/>
        <w:overflowPunct/>
        <w:topLinePunct w:val="0"/>
        <w:autoSpaceDE/>
        <w:autoSpaceDN/>
        <w:bidi w:val="0"/>
        <w:snapToGrid w:val="0"/>
        <w:ind w:leftChars="200"/>
        <w:textAlignment w:val="auto"/>
        <w:outlineLvl w:val="9"/>
        <w:rPr>
          <w:rFonts w:hint="default" w:ascii="Times New Roman" w:hAnsi="Times New Roman" w:eastAsia="宋体" w:cs="Times New Roman"/>
          <w:b w:val="0"/>
          <w:color w:val="auto"/>
          <w:sz w:val="28"/>
          <w:szCs w:val="28"/>
        </w:rPr>
      </w:pPr>
      <w:bookmarkStart w:id="955" w:name="_Toc245627862"/>
      <w:bookmarkStart w:id="956" w:name="_Toc317372057"/>
      <w:r>
        <w:rPr>
          <w:rFonts w:hint="eastAsia" w:ascii="Times New Roman" w:hAnsi="Times New Roman" w:eastAsia="宋体" w:cs="Times New Roman"/>
          <w:b w:val="0"/>
          <w:color w:val="auto"/>
          <w:sz w:val="28"/>
          <w:szCs w:val="28"/>
          <w:lang w:val="en-US" w:eastAsia="zh-CN"/>
        </w:rPr>
        <w:t>三、</w:t>
      </w:r>
      <w:r>
        <w:rPr>
          <w:rFonts w:hint="default" w:ascii="Times New Roman" w:hAnsi="Times New Roman" w:eastAsia="宋体" w:cs="Times New Roman"/>
          <w:b w:val="0"/>
          <w:color w:val="auto"/>
          <w:sz w:val="28"/>
          <w:szCs w:val="28"/>
        </w:rPr>
        <w:t>自动化控制系统危险性分析</w:t>
      </w:r>
    </w:p>
    <w:p w14:paraId="21C02A02">
      <w:pPr>
        <w:keepLines w:val="0"/>
        <w:pageBreakBefore w:val="0"/>
        <w:widowControl w:val="0"/>
        <w:kinsoku/>
        <w:wordWrap/>
        <w:overflowPunct/>
        <w:topLinePunct w:val="0"/>
        <w:autoSpaceDE/>
        <w:autoSpaceDN/>
        <w:bidi w:val="0"/>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自动化控制系统能自动调节、检测机器设备、仪表，按规定的程序或指令自动进行作业，不但实现了人与危险源的隔离，而且能够对预知的危险采取预防控制措施，对项目的安全运行起着至关重要的作用，自动化控制系统主要存在的危险是失灵、损坏等导致操作人员误判断、扩大事故影响。引发事故的原因主要有：</w:t>
      </w:r>
    </w:p>
    <w:p w14:paraId="3527BCCF">
      <w:pPr>
        <w:keepLines w:val="0"/>
        <w:pageBreakBefore w:val="0"/>
        <w:widowControl w:val="0"/>
        <w:tabs>
          <w:tab w:val="left" w:pos="960"/>
        </w:tabs>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bookmarkStart w:id="957" w:name="_Toc142299673"/>
      <w:bookmarkStart w:id="958" w:name="_Toc144180951"/>
      <w:bookmarkStart w:id="959" w:name="_Toc141084284"/>
      <w:r>
        <w:rPr>
          <w:rFonts w:hint="default" w:ascii="Times New Roman" w:hAnsi="Times New Roman" w:eastAsia="宋体" w:cs="Times New Roman"/>
          <w:color w:val="auto"/>
          <w:sz w:val="28"/>
          <w:szCs w:val="28"/>
        </w:rPr>
        <w:t>1、控制系统失灵（例如死机、黑屏、CRT信息显示不变化、操作键盘、鼠标操作不起作用等）。主要是控制器损坏或I/O组件损坏，且未采取冗余配置，无可靠的备用紧急操作手段。或操作员站及某些硬/软件操作按钮配置不能满足机组不同工况运行操作需要，特别是不能满足设备紧急故障处理的需要。会导致系统失控，造成设备损坏或人身伤亡事故。</w:t>
      </w:r>
      <w:bookmarkEnd w:id="957"/>
      <w:bookmarkEnd w:id="958"/>
      <w:bookmarkEnd w:id="959"/>
    </w:p>
    <w:p w14:paraId="2E6C1113">
      <w:pPr>
        <w:keepLines w:val="0"/>
        <w:pageBreakBefore w:val="0"/>
        <w:widowControl w:val="0"/>
        <w:tabs>
          <w:tab w:val="left" w:pos="960"/>
        </w:tabs>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bookmarkStart w:id="960" w:name="_Toc142299674"/>
      <w:bookmarkStart w:id="961" w:name="_Toc144180952"/>
      <w:bookmarkStart w:id="962" w:name="_Toc141084285"/>
      <w:r>
        <w:rPr>
          <w:rFonts w:hint="default" w:ascii="Times New Roman" w:hAnsi="Times New Roman" w:eastAsia="宋体" w:cs="Times New Roman"/>
          <w:color w:val="auto"/>
          <w:sz w:val="28"/>
          <w:szCs w:val="28"/>
        </w:rPr>
        <w:t>2、如果软件失误、主控制器负荷过高、配置失误造成的危害是：系统反应时间过长，计算机画面反应迟钝，影响机组调节和保护动作。</w:t>
      </w:r>
      <w:bookmarkEnd w:id="960"/>
      <w:bookmarkEnd w:id="961"/>
      <w:bookmarkEnd w:id="962"/>
    </w:p>
    <w:p w14:paraId="7ADF36D0">
      <w:pPr>
        <w:keepLines w:val="0"/>
        <w:pageBreakBefore w:val="0"/>
        <w:widowControl w:val="0"/>
        <w:tabs>
          <w:tab w:val="left" w:pos="960"/>
        </w:tabs>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bookmarkStart w:id="963" w:name="_Toc141084286"/>
      <w:bookmarkStart w:id="964" w:name="_Toc142299675"/>
      <w:bookmarkStart w:id="965" w:name="_Toc144180953"/>
      <w:r>
        <w:rPr>
          <w:rFonts w:hint="default" w:ascii="Times New Roman" w:hAnsi="Times New Roman" w:eastAsia="宋体" w:cs="Times New Roman"/>
          <w:color w:val="auto"/>
          <w:sz w:val="28"/>
          <w:szCs w:val="28"/>
        </w:rPr>
        <w:t>3、一次检测元部件故障（例如压力、温度、流量等仪表无指示或指示失误），导致对机组运行工况误判断、造成人为误操作，或机组保护拒动/误动，或自动调节失控，危及管廊安全运行。</w:t>
      </w:r>
      <w:bookmarkEnd w:id="963"/>
      <w:bookmarkEnd w:id="964"/>
      <w:bookmarkEnd w:id="965"/>
    </w:p>
    <w:p w14:paraId="4C0D911B">
      <w:pPr>
        <w:keepLines w:val="0"/>
        <w:pageBreakBefore w:val="0"/>
        <w:widowControl w:val="0"/>
        <w:tabs>
          <w:tab w:val="left" w:pos="960"/>
        </w:tabs>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bookmarkStart w:id="966" w:name="_Toc144180954"/>
      <w:bookmarkStart w:id="967" w:name="_Toc141084287"/>
      <w:bookmarkStart w:id="968" w:name="_Toc142299676"/>
      <w:r>
        <w:rPr>
          <w:rFonts w:hint="default" w:ascii="Times New Roman" w:hAnsi="Times New Roman" w:eastAsia="宋体" w:cs="Times New Roman"/>
          <w:color w:val="auto"/>
          <w:sz w:val="28"/>
          <w:szCs w:val="28"/>
        </w:rPr>
        <w:t>4、自动控制系统设备故障；控制系统电缆夹层、电缆竖井等部位的电缆较为密集，阻火措施不完善，一旦电缆发生故障和燃烧，将会引发严重的火灾事故，使系统严重损坏、失控，造成的损失将无法弥补。</w:t>
      </w:r>
      <w:bookmarkEnd w:id="966"/>
      <w:bookmarkEnd w:id="967"/>
      <w:bookmarkEnd w:id="968"/>
    </w:p>
    <w:p w14:paraId="6F9B8594">
      <w:pPr>
        <w:keepLines w:val="0"/>
        <w:pageBreakBefore w:val="0"/>
        <w:widowControl w:val="0"/>
        <w:tabs>
          <w:tab w:val="left" w:pos="960"/>
        </w:tabs>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bookmarkStart w:id="969" w:name="_Toc142299677"/>
      <w:bookmarkStart w:id="970" w:name="_Toc141084288"/>
      <w:bookmarkStart w:id="971" w:name="_Toc144180955"/>
      <w:r>
        <w:rPr>
          <w:rFonts w:hint="default" w:ascii="Times New Roman" w:hAnsi="Times New Roman" w:eastAsia="宋体" w:cs="Times New Roman"/>
          <w:color w:val="auto"/>
          <w:sz w:val="28"/>
          <w:szCs w:val="28"/>
        </w:rPr>
        <w:t>5、设备自动保护、联锁控制拒动或误动，直接危及设备安全运行，有造成人员伤亡或设备重大损坏的可能性。</w:t>
      </w:r>
      <w:bookmarkEnd w:id="969"/>
      <w:bookmarkEnd w:id="970"/>
      <w:bookmarkEnd w:id="971"/>
    </w:p>
    <w:p w14:paraId="532458F4">
      <w:pPr>
        <w:keepLines w:val="0"/>
        <w:pageBreakBefore w:val="0"/>
        <w:widowControl w:val="0"/>
        <w:tabs>
          <w:tab w:val="left" w:pos="960"/>
        </w:tabs>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color w:val="auto"/>
          <w:sz w:val="28"/>
          <w:szCs w:val="28"/>
        </w:rPr>
      </w:pPr>
      <w:bookmarkStart w:id="972" w:name="_Toc144180956"/>
      <w:bookmarkStart w:id="973" w:name="_Toc142299678"/>
      <w:bookmarkStart w:id="974" w:name="_Toc141084289"/>
      <w:r>
        <w:rPr>
          <w:rFonts w:hint="default" w:ascii="Times New Roman" w:hAnsi="Times New Roman" w:eastAsia="宋体" w:cs="Times New Roman"/>
          <w:color w:val="auto"/>
          <w:sz w:val="28"/>
          <w:szCs w:val="28"/>
        </w:rPr>
        <w:t>6、控制系统电源失电故障，将导致控制系统瘫痪，造成设备失控，造成人员伤亡或设备损坏。</w:t>
      </w:r>
      <w:bookmarkEnd w:id="972"/>
      <w:bookmarkEnd w:id="973"/>
      <w:bookmarkEnd w:id="974"/>
    </w:p>
    <w:p w14:paraId="5455A916">
      <w:pPr>
        <w:keepLines w:val="0"/>
        <w:pageBreakBefore w:val="0"/>
        <w:widowControl w:val="0"/>
        <w:numPr>
          <w:ilvl w:val="0"/>
          <w:numId w:val="0"/>
        </w:numPr>
        <w:kinsoku/>
        <w:wordWrap/>
        <w:overflowPunct/>
        <w:topLinePunct w:val="0"/>
        <w:autoSpaceDE/>
        <w:autoSpaceDN/>
        <w:bidi w:val="0"/>
        <w:snapToGrid w:val="0"/>
        <w:ind w:leftChars="200"/>
        <w:textAlignment w:val="auto"/>
        <w:outlineLvl w:val="9"/>
        <w:rPr>
          <w:rFonts w:hint="default" w:ascii="Times New Roman" w:hAnsi="Times New Roman" w:eastAsia="宋体" w:cs="Times New Roman"/>
          <w:b w:val="0"/>
          <w:color w:val="auto"/>
          <w:sz w:val="28"/>
          <w:szCs w:val="28"/>
        </w:rPr>
      </w:pPr>
      <w:r>
        <w:rPr>
          <w:rFonts w:hint="eastAsia" w:ascii="Times New Roman" w:hAnsi="Times New Roman" w:eastAsia="宋体" w:cs="Times New Roman"/>
          <w:b w:val="0"/>
          <w:color w:val="auto"/>
          <w:sz w:val="28"/>
          <w:szCs w:val="28"/>
          <w:lang w:val="en-US" w:eastAsia="zh-CN"/>
        </w:rPr>
        <w:t>四、</w:t>
      </w:r>
      <w:r>
        <w:rPr>
          <w:rFonts w:hint="default" w:ascii="Times New Roman" w:hAnsi="Times New Roman" w:eastAsia="宋体" w:cs="Times New Roman"/>
          <w:b w:val="0"/>
          <w:color w:val="auto"/>
          <w:sz w:val="28"/>
          <w:szCs w:val="28"/>
        </w:rPr>
        <w:t>依托方面的危险性分析</w:t>
      </w:r>
    </w:p>
    <w:p w14:paraId="4AE85E0D">
      <w:pPr>
        <w:keepLines w:val="0"/>
        <w:pageBreakBefore w:val="0"/>
        <w:widowControl w:val="0"/>
        <w:kinsoku/>
        <w:wordWrap/>
        <w:overflowPunct/>
        <w:topLinePunct w:val="0"/>
        <w:autoSpaceDE/>
        <w:autoSpaceDN/>
        <w:bidi w:val="0"/>
        <w:snapToGrid w:val="0"/>
        <w:ind w:firstLine="560" w:firstLineChars="200"/>
        <w:textAlignment w:val="auto"/>
        <w:outlineLvl w:val="9"/>
        <w:rPr>
          <w:rFonts w:hint="default" w:ascii="Times New Roman" w:hAnsi="Times New Roman" w:eastAsia="宋体" w:cs="Times New Roman"/>
          <w:color w:val="auto"/>
          <w:sz w:val="28"/>
        </w:rPr>
      </w:pPr>
      <w:r>
        <w:rPr>
          <w:rFonts w:hint="default" w:ascii="Times New Roman" w:hAnsi="Times New Roman" w:eastAsia="宋体" w:cs="Times New Roman"/>
          <w:color w:val="auto"/>
          <w:sz w:val="28"/>
          <w:szCs w:val="28"/>
          <w:lang w:val="en-US" w:eastAsia="zh-CN"/>
        </w:rPr>
        <w:t>本</w:t>
      </w:r>
      <w:r>
        <w:rPr>
          <w:rFonts w:hint="default" w:ascii="Times New Roman" w:hAnsi="Times New Roman" w:eastAsia="宋体" w:cs="Times New Roman"/>
          <w:color w:val="auto"/>
          <w:sz w:val="28"/>
          <w:szCs w:val="28"/>
        </w:rPr>
        <w:t>项目依托云南祥丰金麦化工有限公司和云南祥丰石化有限公司供电、</w:t>
      </w:r>
      <w:r>
        <w:rPr>
          <w:rFonts w:hint="default" w:ascii="Times New Roman" w:hAnsi="Times New Roman" w:eastAsia="宋体" w:cs="Times New Roman"/>
          <w:snapToGrid w:val="0"/>
          <w:color w:val="auto"/>
          <w:kern w:val="0"/>
          <w:sz w:val="28"/>
          <w:szCs w:val="28"/>
        </w:rPr>
        <w:t>供水等，</w:t>
      </w:r>
      <w:r>
        <w:rPr>
          <w:rFonts w:hint="default" w:ascii="Times New Roman" w:hAnsi="Times New Roman" w:eastAsia="宋体" w:cs="Times New Roman"/>
          <w:color w:val="auto"/>
          <w:sz w:val="28"/>
        </w:rPr>
        <w:t>若未考虑余量及可行性，可能导致项目无法正常生产、救援</w:t>
      </w:r>
      <w:r>
        <w:rPr>
          <w:rFonts w:hint="default" w:ascii="Times New Roman" w:hAnsi="Times New Roman" w:eastAsia="宋体" w:cs="Times New Roman"/>
          <w:color w:val="auto"/>
          <w:sz w:val="28"/>
          <w:lang w:eastAsia="zh-CN"/>
        </w:rPr>
        <w:t>；</w:t>
      </w:r>
      <w:r>
        <w:rPr>
          <w:rFonts w:hint="default" w:ascii="Times New Roman" w:hAnsi="Times New Roman" w:eastAsia="宋体" w:cs="Times New Roman"/>
          <w:color w:val="auto"/>
          <w:sz w:val="28"/>
          <w:lang w:val="en-US" w:eastAsia="zh-CN"/>
        </w:rPr>
        <w:t>本项目部分管道依托云南祥丰金麦化工有限公司磷酸装置区原有管架连接至本项目新建外管廊，若未核实原有管架的载荷，原有管架超荷载敷设管道可能导致管架坍塌</w:t>
      </w:r>
      <w:r>
        <w:rPr>
          <w:rFonts w:hint="default" w:ascii="Times New Roman" w:hAnsi="Times New Roman" w:eastAsia="宋体" w:cs="Times New Roman"/>
          <w:color w:val="auto"/>
          <w:sz w:val="28"/>
        </w:rPr>
        <w:t>。</w:t>
      </w:r>
    </w:p>
    <w:bookmarkEnd w:id="955"/>
    <w:bookmarkEnd w:id="956"/>
    <w:p w14:paraId="01B174EF">
      <w:pPr>
        <w:pStyle w:val="6"/>
        <w:keepNext/>
        <w:keepLines/>
        <w:pageBreakBefore w:val="0"/>
        <w:widowControl w:val="0"/>
        <w:numPr>
          <w:ilvl w:val="2"/>
          <w:numId w:val="0"/>
        </w:numPr>
        <w:tabs>
          <w:tab w:val="left" w:pos="931"/>
        </w:tabs>
        <w:kinsoku/>
        <w:wordWrap/>
        <w:overflowPunct/>
        <w:topLinePunct w:val="0"/>
        <w:autoSpaceDE/>
        <w:autoSpaceDN/>
        <w:bidi w:val="0"/>
        <w:adjustRightInd/>
        <w:snapToGrid w:val="0"/>
        <w:spacing w:line="360" w:lineRule="auto"/>
        <w:ind w:leftChars="100"/>
        <w:textAlignment w:val="auto"/>
        <w:outlineLvl w:val="3"/>
        <w:rPr>
          <w:rFonts w:hint="eastAsia" w:ascii="Times New Roman" w:hAnsi="Times New Roman" w:cs="Times New Roman"/>
          <w:snapToGrid w:val="0"/>
          <w:color w:val="000000"/>
          <w:kern w:val="0"/>
          <w:sz w:val="28"/>
          <w:szCs w:val="28"/>
          <w:lang w:val="en-US" w:eastAsia="zh-CN"/>
        </w:rPr>
      </w:pPr>
      <w:bookmarkStart w:id="975" w:name="_Toc112860018"/>
      <w:bookmarkStart w:id="976" w:name="_Toc30299"/>
      <w:bookmarkStart w:id="977" w:name="_Toc21370"/>
      <w:r>
        <w:rPr>
          <w:rFonts w:hint="eastAsia" w:ascii="Times New Roman" w:hAnsi="Times New Roman" w:cs="Times New Roman"/>
          <w:snapToGrid w:val="0"/>
          <w:color w:val="000000"/>
          <w:kern w:val="0"/>
          <w:sz w:val="28"/>
          <w:szCs w:val="28"/>
          <w:lang w:val="en-US" w:eastAsia="zh-CN"/>
        </w:rPr>
        <w:t>3.1.5.5检修及其他作业过程危险、有害因素分析</w:t>
      </w:r>
      <w:bookmarkEnd w:id="975"/>
      <w:bookmarkEnd w:id="976"/>
      <w:bookmarkEnd w:id="977"/>
    </w:p>
    <w:p w14:paraId="37FD3C10">
      <w:pPr>
        <w:keepLines w:val="0"/>
        <w:pageBreakBefore w:val="0"/>
        <w:widowControl w:val="0"/>
        <w:numPr>
          <w:ilvl w:val="0"/>
          <w:numId w:val="0"/>
        </w:numPr>
        <w:kinsoku/>
        <w:wordWrap/>
        <w:overflowPunct/>
        <w:topLinePunct w:val="0"/>
        <w:autoSpaceDE/>
        <w:autoSpaceDN/>
        <w:bidi w:val="0"/>
        <w:adjustRightInd/>
        <w:snapToGrid w:val="0"/>
        <w:ind w:leftChars="200"/>
        <w:textAlignment w:val="auto"/>
        <w:outlineLvl w:val="9"/>
        <w:rPr>
          <w:rFonts w:hint="default" w:ascii="Times New Roman" w:hAnsi="Times New Roman" w:eastAsia="宋体" w:cs="Times New Roman"/>
          <w:b w:val="0"/>
          <w:color w:val="auto"/>
          <w:sz w:val="28"/>
          <w:szCs w:val="28"/>
        </w:rPr>
      </w:pPr>
      <w:bookmarkStart w:id="978" w:name="_Toc112860019"/>
      <w:bookmarkStart w:id="979" w:name="_Toc28898"/>
      <w:bookmarkStart w:id="980" w:name="_Toc336555186"/>
      <w:bookmarkStart w:id="981" w:name="_Toc274812980"/>
      <w:bookmarkStart w:id="982" w:name="_Toc338676057"/>
      <w:bookmarkStart w:id="983" w:name="_Toc287564942"/>
      <w:r>
        <w:rPr>
          <w:rFonts w:hint="eastAsia" w:ascii="Times New Roman" w:hAnsi="Times New Roman" w:eastAsia="宋体" w:cs="Times New Roman"/>
          <w:b w:val="0"/>
          <w:color w:val="auto"/>
          <w:sz w:val="28"/>
          <w:szCs w:val="28"/>
          <w:lang w:val="en-US" w:eastAsia="zh-CN"/>
        </w:rPr>
        <w:t>一、</w:t>
      </w:r>
      <w:r>
        <w:rPr>
          <w:rFonts w:hint="default" w:ascii="Times New Roman" w:hAnsi="Times New Roman" w:eastAsia="宋体" w:cs="Times New Roman"/>
          <w:b w:val="0"/>
          <w:color w:val="auto"/>
          <w:sz w:val="28"/>
          <w:szCs w:val="28"/>
        </w:rPr>
        <w:t>检修过程中的火灾、爆炸危险性</w:t>
      </w:r>
      <w:bookmarkEnd w:id="978"/>
      <w:bookmarkEnd w:id="979"/>
    </w:p>
    <w:p w14:paraId="20B1A0F3">
      <w:pPr>
        <w:keepLines w:val="0"/>
        <w:pageBreakBefore w:val="0"/>
        <w:widowControl w:val="0"/>
        <w:kinsoku/>
        <w:wordWrap/>
        <w:overflowPunct/>
        <w:topLinePunct w:val="0"/>
        <w:autoSpaceDE/>
        <w:autoSpaceDN/>
        <w:bidi w:val="0"/>
        <w:adjustRightInd/>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在检修过程中容易发生火灾、爆炸事故，体现在以下几个方面：</w:t>
      </w:r>
    </w:p>
    <w:p w14:paraId="75285ACD">
      <w:pPr>
        <w:keepLines w:val="0"/>
        <w:pageBreakBefore w:val="0"/>
        <w:widowControl w:val="0"/>
        <w:kinsoku/>
        <w:wordWrap/>
        <w:overflowPunct/>
        <w:topLinePunct w:val="0"/>
        <w:autoSpaceDE/>
        <w:autoSpaceDN/>
        <w:bidi w:val="0"/>
        <w:adjustRightInd/>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1、生产设备多是处于腐蚀、磨损状态。设备检修使原本处于正常状态的连续生产中断，设备状态（如阀门、开关等）和工艺参数发生变化。检修完毕后存在设备状态及工艺参数返回正常值的过程，这一过程中容易出现操作失误及设备故障。</w:t>
      </w:r>
    </w:p>
    <w:p w14:paraId="4994EBCE">
      <w:pPr>
        <w:keepLines w:val="0"/>
        <w:pageBreakBefore w:val="0"/>
        <w:widowControl w:val="0"/>
        <w:kinsoku/>
        <w:wordWrap/>
        <w:overflowPunct/>
        <w:topLinePunct w:val="0"/>
        <w:autoSpaceDE/>
        <w:autoSpaceDN/>
        <w:bidi w:val="0"/>
        <w:adjustRightInd/>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2、检修过程中会使用乙炔、氧气进行气割、氧焊作业。乙炔气在空气中的爆炸范围相当宽，乙炔气体的引燃温度为305℃。乙炔气瓶在储存、使用过程中若不严格执行气瓶使用规程，使用时若氧气瓶、乙炔瓶与动火点小于10m的距离，氧气瓶与乙炔瓶的距离小于5m，管道老化等原因，均可能导致火灾爆炸。</w:t>
      </w:r>
    </w:p>
    <w:p w14:paraId="7C2DDE96">
      <w:pPr>
        <w:keepLines w:val="0"/>
        <w:pageBreakBefore w:val="0"/>
        <w:widowControl w:val="0"/>
        <w:kinsoku/>
        <w:wordWrap/>
        <w:overflowPunct/>
        <w:topLinePunct w:val="0"/>
        <w:autoSpaceDE/>
        <w:autoSpaceDN/>
        <w:bidi w:val="0"/>
        <w:adjustRightInd/>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3、检修作业频繁。设备运行过程中又常因突然性故障或事故，必须进行不停工或临时停工的检修和抢修。这经常性检修工作，容易使管理及维修人员习以为常，产生麻痹思想，增加了检修发生事故的概率。</w:t>
      </w:r>
    </w:p>
    <w:p w14:paraId="2618DA7E">
      <w:pPr>
        <w:keepLines w:val="0"/>
        <w:pageBreakBefore w:val="0"/>
        <w:widowControl w:val="0"/>
        <w:kinsoku/>
        <w:wordWrap/>
        <w:overflowPunct/>
        <w:topLinePunct w:val="0"/>
        <w:autoSpaceDE/>
        <w:autoSpaceDN/>
        <w:bidi w:val="0"/>
        <w:adjustRightInd/>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4、检修的防火安全制度不够健全。如：有的企业没有针对检修作业内容、范围提出的专门防火规定，施工要求也不明确。有的企业甚至在检修中无抽堵盲板、置换、清洗的规定。</w:t>
      </w:r>
    </w:p>
    <w:p w14:paraId="56C01C31">
      <w:pPr>
        <w:keepLines w:val="0"/>
        <w:pageBreakBefore w:val="0"/>
        <w:widowControl w:val="0"/>
        <w:kinsoku/>
        <w:wordWrap/>
        <w:overflowPunct/>
        <w:topLinePunct w:val="0"/>
        <w:autoSpaceDE/>
        <w:autoSpaceDN/>
        <w:bidi w:val="0"/>
        <w:adjustRightInd/>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5、在检修及试车中对工艺参数变化等问题不能及时发现或人为忽视。</w:t>
      </w:r>
    </w:p>
    <w:bookmarkEnd w:id="980"/>
    <w:bookmarkEnd w:id="981"/>
    <w:bookmarkEnd w:id="982"/>
    <w:bookmarkEnd w:id="983"/>
    <w:p w14:paraId="54C9ABCE">
      <w:pPr>
        <w:keepLines w:val="0"/>
        <w:pageBreakBefore w:val="0"/>
        <w:widowControl w:val="0"/>
        <w:numPr>
          <w:ilvl w:val="0"/>
          <w:numId w:val="0"/>
        </w:numPr>
        <w:kinsoku/>
        <w:wordWrap/>
        <w:overflowPunct/>
        <w:topLinePunct w:val="0"/>
        <w:autoSpaceDE/>
        <w:autoSpaceDN/>
        <w:bidi w:val="0"/>
        <w:adjustRightInd/>
        <w:snapToGrid w:val="0"/>
        <w:ind w:leftChars="200"/>
        <w:textAlignment w:val="auto"/>
        <w:outlineLvl w:val="9"/>
        <w:rPr>
          <w:rFonts w:hint="default" w:ascii="Times New Roman" w:hAnsi="Times New Roman" w:eastAsia="宋体" w:cs="Times New Roman"/>
          <w:b w:val="0"/>
          <w:color w:val="auto"/>
          <w:sz w:val="28"/>
          <w:szCs w:val="28"/>
        </w:rPr>
      </w:pPr>
      <w:bookmarkStart w:id="984" w:name="_Toc112860020"/>
      <w:r>
        <w:rPr>
          <w:rFonts w:hint="eastAsia" w:ascii="Times New Roman" w:hAnsi="Times New Roman" w:eastAsia="宋体" w:cs="Times New Roman"/>
          <w:b w:val="0"/>
          <w:color w:val="auto"/>
          <w:sz w:val="28"/>
          <w:szCs w:val="28"/>
          <w:lang w:val="en-US" w:eastAsia="zh-CN"/>
        </w:rPr>
        <w:t>二、</w:t>
      </w:r>
      <w:r>
        <w:rPr>
          <w:rFonts w:hint="default" w:ascii="Times New Roman" w:hAnsi="Times New Roman" w:eastAsia="宋体" w:cs="Times New Roman"/>
          <w:b w:val="0"/>
          <w:color w:val="auto"/>
          <w:sz w:val="28"/>
          <w:szCs w:val="28"/>
        </w:rPr>
        <w:t>检修过程出现的化学灼伤及其它人身伤害事故</w:t>
      </w:r>
      <w:bookmarkEnd w:id="984"/>
    </w:p>
    <w:p w14:paraId="71C97850">
      <w:pPr>
        <w:keepLines w:val="0"/>
        <w:pageBreakBefore w:val="0"/>
        <w:widowControl w:val="0"/>
        <w:kinsoku/>
        <w:wordWrap/>
        <w:overflowPunct/>
        <w:topLinePunct w:val="0"/>
        <w:autoSpaceDE/>
        <w:autoSpaceDN/>
        <w:bidi w:val="0"/>
        <w:adjustRightInd/>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1、检修过程中由于管道内的硫酸、氟硅酸等物料未排净，拆卸管道、设备时，酸性物料泄漏使检修人员造成化学灼伤。</w:t>
      </w:r>
    </w:p>
    <w:p w14:paraId="76B5ED79">
      <w:pPr>
        <w:keepLines w:val="0"/>
        <w:pageBreakBefore w:val="0"/>
        <w:widowControl w:val="0"/>
        <w:kinsoku/>
        <w:wordWrap/>
        <w:overflowPunct/>
        <w:topLinePunct w:val="0"/>
        <w:autoSpaceDE/>
        <w:autoSpaceDN/>
        <w:bidi w:val="0"/>
        <w:adjustRightInd/>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2、检修过程中，由于蒸汽使检修人员造成烫伤。</w:t>
      </w:r>
    </w:p>
    <w:p w14:paraId="089DEC0D">
      <w:pPr>
        <w:keepLines w:val="0"/>
        <w:pageBreakBefore w:val="0"/>
        <w:widowControl w:val="0"/>
        <w:kinsoku/>
        <w:wordWrap/>
        <w:overflowPunct/>
        <w:topLinePunct w:val="0"/>
        <w:autoSpaceDE/>
        <w:autoSpaceDN/>
        <w:bidi w:val="0"/>
        <w:adjustRightInd/>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3、检修过程中，由于施工脚手架、防护栏等设施不全，或由于检修人员安全带、安全绳等设施佩戴不全，可能发生高处坠落事故。</w:t>
      </w:r>
    </w:p>
    <w:p w14:paraId="4C6A136A">
      <w:pPr>
        <w:keepLines w:val="0"/>
        <w:pageBreakBefore w:val="0"/>
        <w:widowControl w:val="0"/>
        <w:kinsoku/>
        <w:wordWrap/>
        <w:overflowPunct/>
        <w:topLinePunct w:val="0"/>
        <w:autoSpaceDE/>
        <w:autoSpaceDN/>
        <w:bidi w:val="0"/>
        <w:adjustRightInd/>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4、检修过程中，由于起重吊装设备不安全，可能导致起重伤害事故；高处设施、工器具等放置不合理，可能导致物体打击事故。</w:t>
      </w:r>
    </w:p>
    <w:p w14:paraId="1C50206E">
      <w:pPr>
        <w:keepLines w:val="0"/>
        <w:pageBreakBefore w:val="0"/>
        <w:widowControl w:val="0"/>
        <w:kinsoku/>
        <w:wordWrap/>
        <w:overflowPunct/>
        <w:topLinePunct w:val="0"/>
        <w:autoSpaceDE/>
        <w:autoSpaceDN/>
        <w:bidi w:val="0"/>
        <w:adjustRightInd/>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5、检修过程中，检修人员缺乏防护意识，未佩戴个人防护用品或佩戴不规范，盲目拆卸管道、设备可能导致化学灼伤或高温烫伤。</w:t>
      </w:r>
    </w:p>
    <w:p w14:paraId="3EA6F523">
      <w:pPr>
        <w:keepLines w:val="0"/>
        <w:pageBreakBefore w:val="0"/>
        <w:widowControl w:val="0"/>
        <w:kinsoku/>
        <w:wordWrap/>
        <w:overflowPunct/>
        <w:topLinePunct w:val="0"/>
        <w:autoSpaceDE/>
        <w:autoSpaceDN/>
        <w:bidi w:val="0"/>
        <w:adjustRightInd/>
        <w:snapToGrid w:val="0"/>
        <w:ind w:firstLine="560" w:firstLineChars="200"/>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6、检修过程中由于违章指挥、违章操作，可能导致化学灼伤、高温烫伤、高处坠落等人身安全事故。</w:t>
      </w:r>
    </w:p>
    <w:p w14:paraId="27F292C1">
      <w:pPr>
        <w:keepLines w:val="0"/>
        <w:pageBreakBefore w:val="0"/>
        <w:widowControl w:val="0"/>
        <w:numPr>
          <w:ilvl w:val="0"/>
          <w:numId w:val="0"/>
        </w:numPr>
        <w:kinsoku/>
        <w:wordWrap/>
        <w:overflowPunct/>
        <w:topLinePunct w:val="0"/>
        <w:autoSpaceDE/>
        <w:autoSpaceDN/>
        <w:bidi w:val="0"/>
        <w:adjustRightInd/>
        <w:snapToGrid w:val="0"/>
        <w:ind w:leftChars="200"/>
        <w:textAlignment w:val="auto"/>
        <w:outlineLvl w:val="9"/>
        <w:rPr>
          <w:rFonts w:hint="default" w:ascii="Times New Roman" w:hAnsi="Times New Roman" w:eastAsia="宋体" w:cs="Times New Roman"/>
          <w:b w:val="0"/>
          <w:color w:val="auto"/>
          <w:sz w:val="28"/>
          <w:szCs w:val="28"/>
        </w:rPr>
      </w:pPr>
      <w:bookmarkStart w:id="985" w:name="_Toc112860021"/>
      <w:r>
        <w:rPr>
          <w:rFonts w:hint="eastAsia" w:ascii="Times New Roman" w:hAnsi="Times New Roman" w:eastAsia="宋体" w:cs="Times New Roman"/>
          <w:b w:val="0"/>
          <w:color w:val="auto"/>
          <w:sz w:val="28"/>
          <w:szCs w:val="28"/>
          <w:lang w:val="en-US" w:eastAsia="zh-CN"/>
        </w:rPr>
        <w:t>三、</w:t>
      </w:r>
      <w:r>
        <w:rPr>
          <w:rFonts w:hint="default" w:ascii="Times New Roman" w:hAnsi="Times New Roman" w:eastAsia="宋体" w:cs="Times New Roman"/>
          <w:b w:val="0"/>
          <w:color w:val="auto"/>
          <w:sz w:val="28"/>
          <w:szCs w:val="28"/>
        </w:rPr>
        <w:t>焊接作业过程</w:t>
      </w:r>
      <w:bookmarkEnd w:id="985"/>
    </w:p>
    <w:p w14:paraId="36813827">
      <w:pPr>
        <w:keepLines w:val="0"/>
        <w:pageBreakBefore w:val="0"/>
        <w:widowControl w:val="0"/>
        <w:kinsoku/>
        <w:wordWrap/>
        <w:overflowPunct/>
        <w:topLinePunct w:val="0"/>
        <w:autoSpaceDE/>
        <w:autoSpaceDN/>
        <w:bidi w:val="0"/>
        <w:adjustRightInd/>
        <w:snapToGrid w:val="0"/>
        <w:ind w:firstLine="560" w:firstLineChars="200"/>
        <w:textAlignment w:val="auto"/>
        <w:outlineLvl w:val="9"/>
        <w:rPr>
          <w:rFonts w:hint="default" w:ascii="Times New Roman" w:hAnsi="Times New Roman" w:eastAsia="宋体" w:cs="Times New Roman"/>
          <w:bCs/>
          <w:color w:val="auto"/>
          <w:kern w:val="28"/>
          <w:sz w:val="28"/>
          <w:szCs w:val="28"/>
        </w:rPr>
      </w:pPr>
      <w:bookmarkStart w:id="986" w:name="_Toc287564944"/>
      <w:bookmarkStart w:id="987" w:name="_Toc74109030"/>
      <w:bookmarkStart w:id="988" w:name="_Toc338676060"/>
      <w:bookmarkStart w:id="989" w:name="_Toc274812983"/>
      <w:bookmarkStart w:id="990" w:name="_Toc249295400"/>
      <w:bookmarkStart w:id="991" w:name="_Toc249862100"/>
      <w:bookmarkStart w:id="992" w:name="_Toc64432614"/>
      <w:r>
        <w:rPr>
          <w:rFonts w:hint="default" w:ascii="Times New Roman" w:hAnsi="Times New Roman" w:eastAsia="宋体" w:cs="Times New Roman"/>
          <w:bCs/>
          <w:color w:val="auto"/>
          <w:kern w:val="28"/>
          <w:sz w:val="28"/>
          <w:szCs w:val="28"/>
        </w:rPr>
        <w:t>本项目管廊检修过程中可能存在焊接作业，焊接作业过程存在的危险、有害因素有：</w:t>
      </w:r>
    </w:p>
    <w:p w14:paraId="6427DCC8">
      <w:pPr>
        <w:keepLines w:val="0"/>
        <w:pageBreakBefore w:val="0"/>
        <w:widowControl w:val="0"/>
        <w:kinsoku/>
        <w:wordWrap/>
        <w:overflowPunct/>
        <w:topLinePunct w:val="0"/>
        <w:autoSpaceDE/>
        <w:autoSpaceDN/>
        <w:bidi w:val="0"/>
        <w:adjustRightInd/>
        <w:snapToGrid w:val="0"/>
        <w:ind w:firstLine="560" w:firstLineChars="200"/>
        <w:textAlignment w:val="auto"/>
        <w:outlineLvl w:val="9"/>
        <w:rPr>
          <w:rFonts w:hint="default" w:ascii="Times New Roman" w:hAnsi="Times New Roman" w:eastAsia="宋体" w:cs="Times New Roman"/>
          <w:bCs/>
          <w:color w:val="auto"/>
          <w:kern w:val="28"/>
          <w:sz w:val="28"/>
          <w:szCs w:val="28"/>
        </w:rPr>
      </w:pPr>
      <w:r>
        <w:rPr>
          <w:rFonts w:hint="default" w:ascii="Times New Roman" w:hAnsi="Times New Roman" w:eastAsia="宋体" w:cs="Times New Roman"/>
          <w:bCs/>
          <w:color w:val="auto"/>
          <w:kern w:val="28"/>
          <w:sz w:val="28"/>
          <w:szCs w:val="28"/>
        </w:rPr>
        <w:t>1、焊接过程中，因焊工要经常更换焊条和调节焊接电流，操作中要直接接触电极和极板，而焊接电源通常是220/380V，当电气安全保护装置存在故障、劳动防护用品不合格、操作者违章操作时，可能引起触电事故。在金属设备内、管道上或潮湿的场所焊接，触电的危险性更大。</w:t>
      </w:r>
    </w:p>
    <w:p w14:paraId="74913A5F">
      <w:pPr>
        <w:keepLines w:val="0"/>
        <w:pageBreakBefore w:val="0"/>
        <w:widowControl w:val="0"/>
        <w:kinsoku/>
        <w:wordWrap/>
        <w:overflowPunct/>
        <w:topLinePunct w:val="0"/>
        <w:autoSpaceDE/>
        <w:autoSpaceDN/>
        <w:bidi w:val="0"/>
        <w:adjustRightInd/>
        <w:snapToGrid w:val="0"/>
        <w:ind w:firstLine="560" w:firstLineChars="200"/>
        <w:textAlignment w:val="auto"/>
        <w:outlineLvl w:val="9"/>
        <w:rPr>
          <w:rFonts w:hint="default" w:ascii="Times New Roman" w:hAnsi="Times New Roman" w:eastAsia="宋体" w:cs="Times New Roman"/>
          <w:bCs/>
          <w:color w:val="auto"/>
          <w:kern w:val="28"/>
          <w:sz w:val="28"/>
          <w:szCs w:val="28"/>
        </w:rPr>
      </w:pPr>
      <w:r>
        <w:rPr>
          <w:rFonts w:hint="default" w:ascii="Times New Roman" w:hAnsi="Times New Roman" w:eastAsia="宋体" w:cs="Times New Roman"/>
          <w:bCs/>
          <w:color w:val="auto"/>
          <w:kern w:val="28"/>
          <w:sz w:val="28"/>
          <w:szCs w:val="28"/>
        </w:rPr>
        <w:t>焊机空载时，二次绕组电压一般都在60-90V，由于电压沆，易被电焊工所忽视，但其电压超过规定安全电压36V，仍有一定触电危险性。</w:t>
      </w:r>
    </w:p>
    <w:p w14:paraId="0D167E7A">
      <w:pPr>
        <w:keepLines w:val="0"/>
        <w:pageBreakBefore w:val="0"/>
        <w:widowControl w:val="0"/>
        <w:kinsoku/>
        <w:wordWrap/>
        <w:overflowPunct/>
        <w:topLinePunct w:val="0"/>
        <w:autoSpaceDE/>
        <w:autoSpaceDN/>
        <w:bidi w:val="0"/>
        <w:adjustRightInd/>
        <w:snapToGrid w:val="0"/>
        <w:ind w:firstLine="560" w:firstLineChars="200"/>
        <w:textAlignment w:val="auto"/>
        <w:outlineLvl w:val="9"/>
        <w:rPr>
          <w:rFonts w:hint="default" w:ascii="Times New Roman" w:hAnsi="Times New Roman" w:eastAsia="宋体" w:cs="Times New Roman"/>
          <w:bCs/>
          <w:color w:val="auto"/>
          <w:kern w:val="28"/>
          <w:sz w:val="28"/>
          <w:szCs w:val="28"/>
        </w:rPr>
      </w:pPr>
      <w:r>
        <w:rPr>
          <w:rFonts w:hint="default" w:ascii="Times New Roman" w:hAnsi="Times New Roman" w:eastAsia="宋体" w:cs="Times New Roman"/>
          <w:bCs/>
          <w:color w:val="auto"/>
          <w:kern w:val="28"/>
          <w:sz w:val="28"/>
          <w:szCs w:val="28"/>
        </w:rPr>
        <w:t>2、由于焊接过程中产生电弧或明火，在有易燃易爆物品的场所作业，极易引发火灾、爆炸。特别是在易燃易爆装置区焊接时危险性更大。</w:t>
      </w:r>
    </w:p>
    <w:p w14:paraId="18441501">
      <w:pPr>
        <w:keepLines w:val="0"/>
        <w:pageBreakBefore w:val="0"/>
        <w:widowControl w:val="0"/>
        <w:kinsoku/>
        <w:wordWrap/>
        <w:overflowPunct/>
        <w:topLinePunct w:val="0"/>
        <w:autoSpaceDE/>
        <w:autoSpaceDN/>
        <w:bidi w:val="0"/>
        <w:adjustRightInd/>
        <w:snapToGrid w:val="0"/>
        <w:ind w:firstLine="560" w:firstLineChars="200"/>
        <w:textAlignment w:val="auto"/>
        <w:outlineLvl w:val="9"/>
        <w:rPr>
          <w:rFonts w:hint="default" w:ascii="Times New Roman" w:hAnsi="Times New Roman" w:eastAsia="宋体" w:cs="Times New Roman"/>
          <w:bCs/>
          <w:color w:val="auto"/>
          <w:kern w:val="28"/>
          <w:sz w:val="28"/>
          <w:szCs w:val="28"/>
        </w:rPr>
      </w:pPr>
      <w:r>
        <w:rPr>
          <w:rFonts w:hint="default" w:ascii="Times New Roman" w:hAnsi="Times New Roman" w:eastAsia="宋体" w:cs="Times New Roman"/>
          <w:bCs/>
          <w:color w:val="auto"/>
          <w:kern w:val="28"/>
          <w:sz w:val="28"/>
          <w:szCs w:val="28"/>
        </w:rPr>
        <w:t>3、因焊接过程中产生电弧、金属熔渣，如焊工没有穿戴好电焊专用的防护工作服、手套和皮鞋，尤其是在高处进行焊接时，因电焊火花飞溅，若没有采取防护隔离措施，易造成焊工自身或作业下方人员灼伤危害。</w:t>
      </w:r>
    </w:p>
    <w:p w14:paraId="6CECCA2E">
      <w:pPr>
        <w:keepLines w:val="0"/>
        <w:pageBreakBefore w:val="0"/>
        <w:widowControl w:val="0"/>
        <w:kinsoku/>
        <w:wordWrap/>
        <w:overflowPunct/>
        <w:topLinePunct w:val="0"/>
        <w:autoSpaceDE/>
        <w:autoSpaceDN/>
        <w:bidi w:val="0"/>
        <w:adjustRightInd/>
        <w:snapToGrid w:val="0"/>
        <w:ind w:firstLine="560" w:firstLineChars="200"/>
        <w:textAlignment w:val="auto"/>
        <w:outlineLvl w:val="9"/>
        <w:rPr>
          <w:rFonts w:hint="default" w:ascii="Times New Roman" w:hAnsi="Times New Roman" w:eastAsia="宋体" w:cs="Times New Roman"/>
          <w:bCs/>
          <w:color w:val="auto"/>
          <w:kern w:val="28"/>
          <w:sz w:val="28"/>
          <w:szCs w:val="28"/>
        </w:rPr>
      </w:pPr>
      <w:r>
        <w:rPr>
          <w:rFonts w:hint="default" w:ascii="Times New Roman" w:hAnsi="Times New Roman" w:eastAsia="宋体" w:cs="Times New Roman"/>
          <w:bCs/>
          <w:color w:val="auto"/>
          <w:kern w:val="28"/>
          <w:sz w:val="28"/>
          <w:szCs w:val="28"/>
        </w:rPr>
        <w:t>4、由于焊接时产生强烈的可见光和大量不可见的紫外线，对人的眼睛有很强的刺激伤害作用，长时间直接照射会引起眼睛疼痛、畏光、流泪、怕风等，易导致眼睛结膜发炎（电光性）。</w:t>
      </w:r>
    </w:p>
    <w:p w14:paraId="00F30BE4">
      <w:pPr>
        <w:keepLines w:val="0"/>
        <w:pageBreakBefore w:val="0"/>
        <w:widowControl w:val="0"/>
        <w:kinsoku/>
        <w:wordWrap/>
        <w:overflowPunct/>
        <w:topLinePunct w:val="0"/>
        <w:autoSpaceDE/>
        <w:autoSpaceDN/>
        <w:bidi w:val="0"/>
        <w:adjustRightInd/>
        <w:snapToGrid w:val="0"/>
        <w:ind w:firstLine="560" w:firstLineChars="200"/>
        <w:textAlignment w:val="auto"/>
        <w:outlineLvl w:val="9"/>
        <w:rPr>
          <w:rFonts w:hint="default" w:ascii="Times New Roman" w:hAnsi="Times New Roman" w:eastAsia="宋体" w:cs="Times New Roman"/>
          <w:bCs/>
          <w:color w:val="auto"/>
          <w:kern w:val="28"/>
          <w:sz w:val="28"/>
          <w:szCs w:val="28"/>
        </w:rPr>
      </w:pPr>
      <w:r>
        <w:rPr>
          <w:rFonts w:hint="default" w:ascii="Times New Roman" w:hAnsi="Times New Roman" w:eastAsia="宋体" w:cs="Times New Roman"/>
          <w:bCs/>
          <w:color w:val="auto"/>
          <w:kern w:val="28"/>
          <w:sz w:val="28"/>
          <w:szCs w:val="28"/>
        </w:rPr>
        <w:t>5、焊接中产生的电弧光含有红外线、紫外线和可见光，对人体具有辐射作用。红外线具有热辐射作用，在高温环境中焊接时易导致作业人员中暑；紫外线具有光化学作用，对人的皮肤有伤害，如长时间照射，会使外露的皮肤脱皮，可见光长时间照射会引起眼睛视力下降。</w:t>
      </w:r>
    </w:p>
    <w:p w14:paraId="666F94E1">
      <w:pPr>
        <w:keepLines w:val="0"/>
        <w:pageBreakBefore w:val="0"/>
        <w:widowControl w:val="0"/>
        <w:kinsoku/>
        <w:wordWrap/>
        <w:overflowPunct/>
        <w:topLinePunct w:val="0"/>
        <w:autoSpaceDE/>
        <w:autoSpaceDN/>
        <w:bidi w:val="0"/>
        <w:adjustRightInd/>
        <w:snapToGrid w:val="0"/>
        <w:ind w:firstLine="560" w:firstLineChars="200"/>
        <w:textAlignment w:val="auto"/>
        <w:outlineLvl w:val="9"/>
        <w:rPr>
          <w:rFonts w:hint="default" w:ascii="Times New Roman" w:hAnsi="Times New Roman" w:eastAsia="宋体" w:cs="Times New Roman"/>
          <w:bCs/>
          <w:color w:val="auto"/>
          <w:kern w:val="28"/>
          <w:sz w:val="28"/>
          <w:szCs w:val="28"/>
        </w:rPr>
      </w:pPr>
      <w:r>
        <w:rPr>
          <w:rFonts w:hint="default" w:ascii="Times New Roman" w:hAnsi="Times New Roman" w:eastAsia="宋体" w:cs="Times New Roman"/>
          <w:bCs/>
          <w:color w:val="auto"/>
          <w:kern w:val="28"/>
          <w:sz w:val="28"/>
          <w:szCs w:val="28"/>
        </w:rPr>
        <w:t>6、由于焊接过程中产生的电弧温度达到4200℃以上，焊条芯、药皮和金属焊件融熔后要发生气化、蒸发和凝结现象，会产生大量的锰铬氧化物及有害烟尘；同时，电弧光的高温和强烈的辐射作用，还会合周围空气产生臭氧、氮氧化物等有毒气体。长时间在通风条件不良的情况下从事电焊作业，人体大量吸入这些有毒的气体和烟尘可能导致毒物危害。</w:t>
      </w:r>
    </w:p>
    <w:p w14:paraId="34BE6743">
      <w:pPr>
        <w:keepLines w:val="0"/>
        <w:pageBreakBefore w:val="0"/>
        <w:widowControl w:val="0"/>
        <w:kinsoku/>
        <w:wordWrap/>
        <w:overflowPunct/>
        <w:topLinePunct w:val="0"/>
        <w:autoSpaceDE/>
        <w:autoSpaceDN/>
        <w:bidi w:val="0"/>
        <w:adjustRightInd/>
        <w:snapToGrid w:val="0"/>
        <w:ind w:firstLine="560" w:firstLineChars="200"/>
        <w:textAlignment w:val="auto"/>
        <w:outlineLvl w:val="9"/>
        <w:rPr>
          <w:rFonts w:hint="default" w:ascii="Times New Roman" w:hAnsi="Times New Roman" w:eastAsia="宋体" w:cs="Times New Roman"/>
          <w:bCs/>
          <w:color w:val="auto"/>
          <w:kern w:val="28"/>
          <w:sz w:val="28"/>
          <w:szCs w:val="28"/>
        </w:rPr>
      </w:pPr>
      <w:r>
        <w:rPr>
          <w:rFonts w:hint="default" w:ascii="Times New Roman" w:hAnsi="Times New Roman" w:eastAsia="宋体" w:cs="Times New Roman"/>
          <w:bCs/>
          <w:color w:val="auto"/>
          <w:kern w:val="28"/>
          <w:sz w:val="28"/>
          <w:szCs w:val="28"/>
        </w:rPr>
        <w:t>7、因施工需要，电焊工进行登高焊接作业，如果防护措施缺陷，脚手架搭设不规范，焊工个人安全防护意识不强、不系安全带等情况下，可能引发高处坠落事故。</w:t>
      </w:r>
    </w:p>
    <w:p w14:paraId="051FD7D0">
      <w:pPr>
        <w:pStyle w:val="6"/>
        <w:keepNext/>
        <w:keepLines/>
        <w:pageBreakBefore w:val="0"/>
        <w:widowControl w:val="0"/>
        <w:numPr>
          <w:ilvl w:val="2"/>
          <w:numId w:val="0"/>
        </w:numPr>
        <w:tabs>
          <w:tab w:val="left" w:pos="931"/>
        </w:tabs>
        <w:kinsoku/>
        <w:wordWrap/>
        <w:overflowPunct/>
        <w:topLinePunct w:val="0"/>
        <w:autoSpaceDE/>
        <w:autoSpaceDN/>
        <w:bidi w:val="0"/>
        <w:adjustRightInd/>
        <w:snapToGrid w:val="0"/>
        <w:spacing w:line="360" w:lineRule="auto"/>
        <w:ind w:leftChars="100"/>
        <w:textAlignment w:val="auto"/>
        <w:outlineLvl w:val="3"/>
        <w:rPr>
          <w:rFonts w:hint="eastAsia" w:ascii="Times New Roman" w:hAnsi="Times New Roman" w:cs="Times New Roman"/>
          <w:snapToGrid w:val="0"/>
          <w:color w:val="000000"/>
          <w:kern w:val="0"/>
          <w:sz w:val="28"/>
          <w:szCs w:val="28"/>
          <w:lang w:val="en-US" w:eastAsia="zh-CN"/>
        </w:rPr>
      </w:pPr>
      <w:bookmarkStart w:id="993" w:name="_Toc30420"/>
      <w:bookmarkStart w:id="994" w:name="_Toc17346"/>
      <w:bookmarkStart w:id="995" w:name="_Toc112860022"/>
      <w:bookmarkStart w:id="996" w:name="_Toc26805"/>
      <w:bookmarkStart w:id="997" w:name="_Toc17110"/>
      <w:bookmarkStart w:id="998" w:name="_Toc15701"/>
      <w:bookmarkStart w:id="999" w:name="_Toc532993146"/>
      <w:bookmarkStart w:id="1000" w:name="_Toc515639897"/>
      <w:bookmarkStart w:id="1001" w:name="_Toc532939125"/>
      <w:bookmarkStart w:id="1002" w:name="_Toc486955192"/>
      <w:bookmarkStart w:id="1003" w:name="_Toc524658899"/>
      <w:bookmarkStart w:id="1004" w:name="_Toc26462"/>
      <w:bookmarkStart w:id="1005" w:name="_Toc9080"/>
      <w:r>
        <w:rPr>
          <w:rFonts w:hint="eastAsia" w:ascii="Times New Roman" w:hAnsi="Times New Roman" w:cs="Times New Roman"/>
          <w:snapToGrid w:val="0"/>
          <w:color w:val="000000"/>
          <w:kern w:val="0"/>
          <w:sz w:val="28"/>
          <w:szCs w:val="28"/>
          <w:lang w:val="en-US" w:eastAsia="zh-CN"/>
        </w:rPr>
        <w:t>3.1.5.6特殊作业危险性分析</w:t>
      </w:r>
      <w:bookmarkEnd w:id="993"/>
      <w:bookmarkEnd w:id="994"/>
      <w:bookmarkEnd w:id="995"/>
    </w:p>
    <w:p w14:paraId="10B7294C">
      <w:pPr>
        <w:ind w:firstLine="560" w:firstLineChars="200"/>
        <w:rPr>
          <w:rFonts w:ascii="Times New Roman" w:hAnsi="Times New Roman"/>
          <w:bCs/>
          <w:color w:val="auto"/>
          <w:kern w:val="28"/>
          <w:sz w:val="28"/>
          <w:szCs w:val="28"/>
        </w:rPr>
      </w:pPr>
      <w:r>
        <w:rPr>
          <w:rFonts w:hint="eastAsia" w:ascii="Times New Roman" w:hAnsi="Times New Roman"/>
          <w:bCs/>
          <w:color w:val="auto"/>
          <w:kern w:val="28"/>
          <w:sz w:val="28"/>
          <w:szCs w:val="28"/>
        </w:rPr>
        <w:t>检修过程涉及动火作业、临时用电作业、高处作业、盲板抽堵作业等特殊作业。</w:t>
      </w:r>
    </w:p>
    <w:p w14:paraId="2EFDB1DD">
      <w:pPr>
        <w:ind w:firstLine="560" w:firstLineChars="200"/>
        <w:rPr>
          <w:rFonts w:ascii="Times New Roman" w:hAnsi="Times New Roman"/>
          <w:bCs/>
          <w:color w:val="auto"/>
          <w:kern w:val="28"/>
          <w:sz w:val="28"/>
          <w:szCs w:val="28"/>
        </w:rPr>
      </w:pPr>
      <w:r>
        <w:rPr>
          <w:rFonts w:hint="eastAsia" w:ascii="Times New Roman" w:hAnsi="Times New Roman"/>
          <w:bCs/>
          <w:color w:val="auto"/>
          <w:kern w:val="28"/>
          <w:sz w:val="28"/>
          <w:szCs w:val="28"/>
        </w:rPr>
        <w:t>动火作业点周围有可燃物、气瓶间距不足或放置不当、电气焊工具有缺陷、通风不良、监护不到位等引发火灾、爆炸事故。</w:t>
      </w:r>
    </w:p>
    <w:p w14:paraId="7A4205B2">
      <w:pPr>
        <w:ind w:firstLine="560" w:firstLineChars="200"/>
        <w:rPr>
          <w:rFonts w:ascii="Times New Roman" w:hAnsi="Times New Roman"/>
          <w:bCs/>
          <w:color w:val="auto"/>
          <w:kern w:val="28"/>
          <w:sz w:val="28"/>
          <w:szCs w:val="28"/>
        </w:rPr>
      </w:pPr>
      <w:r>
        <w:rPr>
          <w:rFonts w:hint="eastAsia" w:ascii="Times New Roman" w:hAnsi="Times New Roman"/>
          <w:bCs/>
          <w:color w:val="auto"/>
          <w:kern w:val="28"/>
          <w:sz w:val="28"/>
          <w:szCs w:val="28"/>
        </w:rPr>
        <w:t>临时用电时，违章作业、电缆损坏、配电箱短路等引发电气火灾、触电等安全事故。</w:t>
      </w:r>
    </w:p>
    <w:p w14:paraId="2863F086">
      <w:pPr>
        <w:ind w:firstLine="560" w:firstLineChars="200"/>
        <w:rPr>
          <w:rFonts w:ascii="Times New Roman" w:hAnsi="Times New Roman"/>
          <w:bCs/>
          <w:color w:val="auto"/>
          <w:kern w:val="28"/>
          <w:sz w:val="28"/>
          <w:szCs w:val="28"/>
        </w:rPr>
      </w:pPr>
      <w:r>
        <w:rPr>
          <w:rFonts w:hint="eastAsia" w:ascii="Times New Roman" w:hAnsi="Times New Roman"/>
          <w:bCs/>
          <w:color w:val="auto"/>
          <w:kern w:val="28"/>
          <w:sz w:val="28"/>
          <w:szCs w:val="28"/>
        </w:rPr>
        <w:t>高处作业时，作业人员不熟悉作业环境或不具备相关技能、未佩戴防坠落的安全带（绳）或使用方法不当、作业场所照度不满足要求、电气设备不符合要求、监护不到位等引发高处坠落事故。</w:t>
      </w:r>
    </w:p>
    <w:p w14:paraId="128A88AA">
      <w:pPr>
        <w:ind w:firstLine="560" w:firstLineChars="200"/>
        <w:rPr>
          <w:rFonts w:ascii="Times New Roman" w:hAnsi="Times New Roman"/>
          <w:bCs/>
          <w:color w:val="auto"/>
          <w:kern w:val="28"/>
          <w:sz w:val="28"/>
          <w:szCs w:val="28"/>
        </w:rPr>
      </w:pPr>
      <w:r>
        <w:rPr>
          <w:rFonts w:hint="eastAsia" w:ascii="Times New Roman" w:hAnsi="Times New Roman"/>
          <w:bCs/>
          <w:color w:val="auto"/>
          <w:kern w:val="28"/>
          <w:sz w:val="28"/>
          <w:szCs w:val="28"/>
        </w:rPr>
        <w:t>盲板抽堵作业未办理相关作业票、未经相关培训等引发化学灼伤、火灾、爆炸事故。</w:t>
      </w:r>
    </w:p>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86"/>
    <w:bookmarkEnd w:id="987"/>
    <w:bookmarkEnd w:id="988"/>
    <w:bookmarkEnd w:id="989"/>
    <w:bookmarkEnd w:id="990"/>
    <w:bookmarkEnd w:id="991"/>
    <w:bookmarkEnd w:id="992"/>
    <w:bookmarkEnd w:id="996"/>
    <w:bookmarkEnd w:id="997"/>
    <w:bookmarkEnd w:id="998"/>
    <w:bookmarkEnd w:id="999"/>
    <w:bookmarkEnd w:id="1000"/>
    <w:bookmarkEnd w:id="1001"/>
    <w:bookmarkEnd w:id="1002"/>
    <w:bookmarkEnd w:id="1003"/>
    <w:bookmarkEnd w:id="1004"/>
    <w:bookmarkEnd w:id="1005"/>
    <w:p w14:paraId="3C5B768D">
      <w:pPr>
        <w:pStyle w:val="6"/>
        <w:keepNext/>
        <w:keepLines/>
        <w:pageBreakBefore w:val="0"/>
        <w:widowControl w:val="0"/>
        <w:numPr>
          <w:ilvl w:val="2"/>
          <w:numId w:val="0"/>
        </w:numPr>
        <w:tabs>
          <w:tab w:val="left" w:pos="931"/>
        </w:tabs>
        <w:kinsoku/>
        <w:wordWrap/>
        <w:overflowPunct/>
        <w:topLinePunct w:val="0"/>
        <w:autoSpaceDE/>
        <w:autoSpaceDN/>
        <w:bidi w:val="0"/>
        <w:adjustRightInd/>
        <w:snapToGrid w:val="0"/>
        <w:spacing w:line="360" w:lineRule="auto"/>
        <w:ind w:leftChars="100"/>
        <w:textAlignment w:val="auto"/>
        <w:outlineLvl w:val="3"/>
        <w:rPr>
          <w:rFonts w:hint="eastAsia" w:ascii="Times New Roman" w:hAnsi="Times New Roman" w:cs="Times New Roman"/>
          <w:snapToGrid w:val="0"/>
          <w:color w:val="000000"/>
          <w:kern w:val="0"/>
          <w:sz w:val="28"/>
          <w:szCs w:val="28"/>
          <w:lang w:val="en-US" w:eastAsia="zh-CN"/>
        </w:rPr>
      </w:pPr>
      <w:bookmarkStart w:id="1006" w:name="_Toc22859"/>
      <w:bookmarkStart w:id="1007" w:name="_Toc62042217"/>
      <w:r>
        <w:rPr>
          <w:rFonts w:hint="eastAsia" w:ascii="Times New Roman" w:hAnsi="Times New Roman" w:cs="Times New Roman"/>
          <w:snapToGrid w:val="0"/>
          <w:color w:val="000000"/>
          <w:kern w:val="0"/>
          <w:sz w:val="28"/>
          <w:szCs w:val="28"/>
          <w:lang w:val="en-US" w:eastAsia="zh-CN"/>
        </w:rPr>
        <w:t>3.1.5.7安全管理危险、有害因素分析</w:t>
      </w:r>
      <w:bookmarkEnd w:id="1006"/>
      <w:bookmarkEnd w:id="1007"/>
    </w:p>
    <w:p w14:paraId="019D02D8">
      <w:pPr>
        <w:keepLines w:val="0"/>
        <w:pageBreakBefore w:val="0"/>
        <w:widowControl w:val="0"/>
        <w:numPr>
          <w:ilvl w:val="0"/>
          <w:numId w:val="0"/>
        </w:numPr>
        <w:kinsoku/>
        <w:wordWrap/>
        <w:overflowPunct/>
        <w:topLinePunct w:val="0"/>
        <w:autoSpaceDE/>
        <w:autoSpaceDN/>
        <w:bidi w:val="0"/>
        <w:snapToGrid w:val="0"/>
        <w:ind w:leftChars="200"/>
        <w:textAlignment w:val="auto"/>
        <w:outlineLvl w:val="9"/>
        <w:rPr>
          <w:rFonts w:hint="default" w:ascii="Times New Roman" w:hAnsi="Times New Roman" w:eastAsia="宋体" w:cs="Times New Roman"/>
          <w:b w:val="0"/>
          <w:color w:val="auto"/>
          <w:sz w:val="28"/>
          <w:szCs w:val="28"/>
        </w:rPr>
      </w:pPr>
      <w:r>
        <w:rPr>
          <w:rFonts w:hint="eastAsia" w:ascii="Times New Roman" w:hAnsi="Times New Roman" w:eastAsia="宋体" w:cs="Times New Roman"/>
          <w:b w:val="0"/>
          <w:color w:val="auto"/>
          <w:sz w:val="28"/>
          <w:szCs w:val="28"/>
          <w:lang w:val="en-US" w:eastAsia="zh-CN"/>
        </w:rPr>
        <w:t>一、</w:t>
      </w:r>
      <w:r>
        <w:rPr>
          <w:rFonts w:hint="default" w:ascii="Times New Roman" w:hAnsi="Times New Roman" w:eastAsia="宋体" w:cs="Times New Roman"/>
          <w:b w:val="0"/>
          <w:color w:val="auto"/>
          <w:sz w:val="28"/>
          <w:szCs w:val="28"/>
        </w:rPr>
        <w:t>安全管理组织体系方面危险性分析</w:t>
      </w:r>
    </w:p>
    <w:p w14:paraId="51E0A8CA">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snapToGrid w:val="0"/>
          <w:color w:val="auto"/>
          <w:kern w:val="0"/>
          <w:sz w:val="28"/>
          <w:szCs w:val="28"/>
        </w:rPr>
      </w:pPr>
      <w:r>
        <w:rPr>
          <w:rFonts w:hint="default" w:ascii="Times New Roman" w:hAnsi="Times New Roman" w:eastAsia="宋体" w:cs="Times New Roman"/>
          <w:snapToGrid w:val="0"/>
          <w:color w:val="auto"/>
          <w:kern w:val="0"/>
          <w:sz w:val="28"/>
          <w:szCs w:val="28"/>
        </w:rPr>
        <w:t>安全管理组织体系是企业安全生产责任人，安全生产管理的分级、协调等管理缺陷，可能因安全管理组织体系缺陷引发事故，或事故进一步扩大。</w:t>
      </w:r>
    </w:p>
    <w:p w14:paraId="369F9AB9">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snapToGrid w:val="0"/>
          <w:color w:val="auto"/>
          <w:kern w:val="0"/>
          <w:sz w:val="28"/>
          <w:szCs w:val="28"/>
        </w:rPr>
      </w:pPr>
      <w:r>
        <w:rPr>
          <w:rFonts w:hint="default" w:ascii="Times New Roman" w:hAnsi="Times New Roman" w:eastAsia="宋体" w:cs="Times New Roman"/>
          <w:snapToGrid w:val="0"/>
          <w:color w:val="auto"/>
          <w:kern w:val="0"/>
          <w:sz w:val="28"/>
          <w:szCs w:val="28"/>
        </w:rPr>
        <w:t>1、安全管理组织机构的结构、人员组成与生产系统不相适应。</w:t>
      </w:r>
    </w:p>
    <w:p w14:paraId="0D9A69AC">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snapToGrid w:val="0"/>
          <w:color w:val="auto"/>
          <w:kern w:val="0"/>
          <w:sz w:val="28"/>
          <w:szCs w:val="28"/>
        </w:rPr>
      </w:pPr>
      <w:r>
        <w:rPr>
          <w:rFonts w:hint="default" w:ascii="Times New Roman" w:hAnsi="Times New Roman" w:eastAsia="宋体" w:cs="Times New Roman"/>
          <w:snapToGrid w:val="0"/>
          <w:color w:val="auto"/>
          <w:kern w:val="0"/>
          <w:sz w:val="28"/>
          <w:szCs w:val="28"/>
        </w:rPr>
        <w:t>2、未按要求配备足额的管理人员，造成安全管理工作中存在衔接不当、管理空白、专业不全等。</w:t>
      </w:r>
    </w:p>
    <w:p w14:paraId="017DEA40">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snapToGrid w:val="0"/>
          <w:color w:val="auto"/>
          <w:kern w:val="0"/>
          <w:sz w:val="28"/>
          <w:szCs w:val="28"/>
        </w:rPr>
      </w:pPr>
      <w:r>
        <w:rPr>
          <w:rFonts w:hint="default" w:ascii="Times New Roman" w:hAnsi="Times New Roman" w:eastAsia="宋体" w:cs="Times New Roman"/>
          <w:snapToGrid w:val="0"/>
          <w:color w:val="auto"/>
          <w:kern w:val="0"/>
          <w:sz w:val="28"/>
          <w:szCs w:val="28"/>
        </w:rPr>
        <w:t>3、对从业人员的安全教育培训不足，如安全管理人员和基层操作人员未经过培训考核或培训学时不足，不具备相应的安全生产知识和上岗能力，忽视对外协用工、外来参观、学习人员的安全教育培训等。</w:t>
      </w:r>
    </w:p>
    <w:p w14:paraId="573A71A2">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snapToGrid w:val="0"/>
          <w:color w:val="auto"/>
          <w:kern w:val="0"/>
          <w:sz w:val="28"/>
          <w:szCs w:val="28"/>
        </w:rPr>
      </w:pPr>
      <w:r>
        <w:rPr>
          <w:rFonts w:hint="default" w:ascii="Times New Roman" w:hAnsi="Times New Roman" w:eastAsia="宋体" w:cs="Times New Roman"/>
          <w:snapToGrid w:val="0"/>
          <w:color w:val="auto"/>
          <w:kern w:val="0"/>
          <w:sz w:val="28"/>
          <w:szCs w:val="28"/>
        </w:rPr>
        <w:t>4、未对新进员工、转岗、复岗等人员进行相应安全教育培训，员工安全意识薄弱，素质较低，知识陈旧，观念落后，致使人员安全意识差、不安全行为数量增多。</w:t>
      </w:r>
    </w:p>
    <w:p w14:paraId="1F5B4A2B">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snapToGrid w:val="0"/>
          <w:color w:val="auto"/>
          <w:kern w:val="0"/>
          <w:sz w:val="28"/>
          <w:szCs w:val="28"/>
        </w:rPr>
      </w:pPr>
      <w:r>
        <w:rPr>
          <w:rFonts w:hint="default" w:ascii="Times New Roman" w:hAnsi="Times New Roman" w:eastAsia="宋体" w:cs="Times New Roman"/>
          <w:snapToGrid w:val="0"/>
          <w:color w:val="auto"/>
          <w:kern w:val="0"/>
          <w:sz w:val="28"/>
          <w:szCs w:val="28"/>
        </w:rPr>
        <w:t>5、人员职权交叉，造成管理混乱。</w:t>
      </w:r>
    </w:p>
    <w:p w14:paraId="3551C5CC">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snapToGrid w:val="0"/>
          <w:color w:val="auto"/>
          <w:kern w:val="0"/>
          <w:sz w:val="28"/>
          <w:szCs w:val="28"/>
          <w:lang w:eastAsia="zh-CN"/>
        </w:rPr>
      </w:pPr>
      <w:r>
        <w:rPr>
          <w:rFonts w:hint="default" w:ascii="Times New Roman" w:hAnsi="Times New Roman" w:eastAsia="宋体" w:cs="Times New Roman"/>
          <w:snapToGrid w:val="0"/>
          <w:color w:val="auto"/>
          <w:kern w:val="0"/>
          <w:sz w:val="28"/>
          <w:szCs w:val="28"/>
        </w:rPr>
        <w:t>6、在解决重大问题上由最高领导一人凭借经验作决策，没有征求大多数人的意见</w:t>
      </w:r>
      <w:r>
        <w:rPr>
          <w:rFonts w:hint="default" w:ascii="Times New Roman" w:hAnsi="Times New Roman" w:eastAsia="宋体" w:cs="Times New Roman"/>
          <w:snapToGrid w:val="0"/>
          <w:color w:val="auto"/>
          <w:kern w:val="0"/>
          <w:sz w:val="28"/>
          <w:szCs w:val="28"/>
          <w:lang w:eastAsia="zh-CN"/>
        </w:rPr>
        <w:t>。</w:t>
      </w:r>
    </w:p>
    <w:p w14:paraId="0E491655">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snapToGrid w:val="0"/>
          <w:color w:val="auto"/>
          <w:kern w:val="0"/>
          <w:sz w:val="28"/>
          <w:szCs w:val="28"/>
          <w:lang w:val="en-US" w:eastAsia="zh-CN"/>
        </w:rPr>
      </w:pPr>
      <w:r>
        <w:rPr>
          <w:rFonts w:hint="default" w:ascii="Times New Roman" w:hAnsi="Times New Roman" w:eastAsia="宋体" w:cs="Times New Roman"/>
          <w:snapToGrid w:val="0"/>
          <w:color w:val="auto"/>
          <w:kern w:val="0"/>
          <w:sz w:val="28"/>
          <w:szCs w:val="28"/>
          <w:lang w:val="en-US" w:eastAsia="zh-CN"/>
        </w:rPr>
        <w:t>7、本项目管廊物料输送涉及本公司与云南祥丰金麦化工有限公司和云南祥丰石化有限公司的生产联系，若投入使用前三方未签订管理协议，未明确管廊物料输送相关设施的管理职责范围及运行沟通机制，可能因沟通不畅导致物料泄漏或断料的情况，从而导致生产安全事故。</w:t>
      </w:r>
    </w:p>
    <w:p w14:paraId="3A1CD8E7">
      <w:pPr>
        <w:keepLines w:val="0"/>
        <w:pageBreakBefore w:val="0"/>
        <w:widowControl w:val="0"/>
        <w:numPr>
          <w:ilvl w:val="0"/>
          <w:numId w:val="0"/>
        </w:numPr>
        <w:kinsoku/>
        <w:wordWrap/>
        <w:overflowPunct/>
        <w:topLinePunct w:val="0"/>
        <w:autoSpaceDE/>
        <w:autoSpaceDN/>
        <w:bidi w:val="0"/>
        <w:snapToGrid w:val="0"/>
        <w:ind w:leftChars="200"/>
        <w:textAlignment w:val="auto"/>
        <w:outlineLvl w:val="9"/>
        <w:rPr>
          <w:rFonts w:hint="default" w:ascii="Times New Roman" w:hAnsi="Times New Roman" w:eastAsia="宋体" w:cs="Times New Roman"/>
          <w:b w:val="0"/>
          <w:color w:val="auto"/>
          <w:sz w:val="28"/>
          <w:szCs w:val="28"/>
        </w:rPr>
      </w:pPr>
      <w:r>
        <w:rPr>
          <w:rFonts w:hint="eastAsia" w:ascii="Times New Roman" w:hAnsi="Times New Roman" w:eastAsia="宋体" w:cs="Times New Roman"/>
          <w:b w:val="0"/>
          <w:color w:val="auto"/>
          <w:sz w:val="28"/>
          <w:szCs w:val="28"/>
          <w:lang w:val="en-US" w:eastAsia="zh-CN"/>
        </w:rPr>
        <w:t>二、</w:t>
      </w:r>
      <w:r>
        <w:rPr>
          <w:rFonts w:hint="default" w:ascii="Times New Roman" w:hAnsi="Times New Roman" w:eastAsia="宋体" w:cs="Times New Roman"/>
          <w:b w:val="0"/>
          <w:color w:val="auto"/>
          <w:sz w:val="28"/>
          <w:szCs w:val="28"/>
        </w:rPr>
        <w:t>安全管理制度方面危险性分析</w:t>
      </w:r>
    </w:p>
    <w:p w14:paraId="6F675D2F">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snapToGrid w:val="0"/>
          <w:color w:val="auto"/>
          <w:kern w:val="0"/>
          <w:sz w:val="28"/>
          <w:szCs w:val="28"/>
        </w:rPr>
      </w:pPr>
      <w:r>
        <w:rPr>
          <w:rFonts w:hint="default" w:ascii="Times New Roman" w:hAnsi="Times New Roman" w:eastAsia="宋体" w:cs="Times New Roman"/>
          <w:snapToGrid w:val="0"/>
          <w:color w:val="auto"/>
          <w:kern w:val="0"/>
          <w:sz w:val="28"/>
          <w:szCs w:val="28"/>
        </w:rPr>
        <w:t>其主要原因分析如下：</w:t>
      </w:r>
    </w:p>
    <w:p w14:paraId="0BDD52D7">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snapToGrid w:val="0"/>
          <w:color w:val="auto"/>
          <w:kern w:val="0"/>
          <w:sz w:val="28"/>
          <w:szCs w:val="28"/>
        </w:rPr>
      </w:pPr>
      <w:r>
        <w:rPr>
          <w:rFonts w:hint="default" w:ascii="Times New Roman" w:hAnsi="Times New Roman" w:eastAsia="宋体" w:cs="Times New Roman"/>
          <w:snapToGrid w:val="0"/>
          <w:color w:val="auto"/>
          <w:kern w:val="0"/>
          <w:sz w:val="28"/>
          <w:szCs w:val="28"/>
        </w:rPr>
        <w:t>1、未根据企业自身特点制定、完善安全生产责任制、安全生产管理制度，造成工作中无章可循，生产秩序混乱。</w:t>
      </w:r>
    </w:p>
    <w:p w14:paraId="439B4528">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snapToGrid w:val="0"/>
          <w:color w:val="auto"/>
          <w:kern w:val="0"/>
          <w:sz w:val="28"/>
          <w:szCs w:val="28"/>
        </w:rPr>
      </w:pPr>
      <w:r>
        <w:rPr>
          <w:rFonts w:hint="default" w:ascii="Times New Roman" w:hAnsi="Times New Roman" w:eastAsia="宋体" w:cs="Times New Roman"/>
          <w:snapToGrid w:val="0"/>
          <w:color w:val="auto"/>
          <w:kern w:val="0"/>
          <w:sz w:val="28"/>
          <w:szCs w:val="28"/>
        </w:rPr>
        <w:t>2、安全生产责任制未落实到每个环节、每个岗位、每个人，各自职责不明确。</w:t>
      </w:r>
    </w:p>
    <w:p w14:paraId="12E0AD90">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snapToGrid w:val="0"/>
          <w:color w:val="auto"/>
          <w:kern w:val="0"/>
          <w:sz w:val="28"/>
          <w:szCs w:val="28"/>
        </w:rPr>
      </w:pPr>
      <w:r>
        <w:rPr>
          <w:rFonts w:hint="default" w:ascii="Times New Roman" w:hAnsi="Times New Roman" w:eastAsia="宋体" w:cs="Times New Roman"/>
          <w:snapToGrid w:val="0"/>
          <w:color w:val="auto"/>
          <w:kern w:val="0"/>
          <w:sz w:val="28"/>
          <w:szCs w:val="28"/>
        </w:rPr>
        <w:t>3、不同的安全管理规章制度之间缺少相互配合和促进机制。</w:t>
      </w:r>
    </w:p>
    <w:p w14:paraId="45CE3F34">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snapToGrid w:val="0"/>
          <w:color w:val="auto"/>
          <w:kern w:val="0"/>
          <w:sz w:val="28"/>
          <w:szCs w:val="28"/>
        </w:rPr>
      </w:pPr>
      <w:r>
        <w:rPr>
          <w:rFonts w:hint="default" w:ascii="Times New Roman" w:hAnsi="Times New Roman" w:eastAsia="宋体" w:cs="Times New Roman"/>
          <w:snapToGrid w:val="0"/>
          <w:color w:val="auto"/>
          <w:kern w:val="0"/>
          <w:sz w:val="28"/>
          <w:szCs w:val="28"/>
        </w:rPr>
        <w:t>4、安全管理规章制度流于形式，内容不完善、不全面。</w:t>
      </w:r>
    </w:p>
    <w:p w14:paraId="715EC520">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snapToGrid w:val="0"/>
          <w:color w:val="auto"/>
          <w:kern w:val="0"/>
          <w:sz w:val="28"/>
          <w:szCs w:val="28"/>
        </w:rPr>
      </w:pPr>
      <w:r>
        <w:rPr>
          <w:rFonts w:hint="default" w:ascii="Times New Roman" w:hAnsi="Times New Roman" w:eastAsia="宋体" w:cs="Times New Roman"/>
          <w:snapToGrid w:val="0"/>
          <w:color w:val="auto"/>
          <w:kern w:val="0"/>
          <w:sz w:val="28"/>
          <w:szCs w:val="28"/>
        </w:rPr>
        <w:t>5、安全管理规章制度要求与实际工作脱节等。</w:t>
      </w:r>
    </w:p>
    <w:p w14:paraId="7589EDD3">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snapToGrid w:val="0"/>
          <w:color w:val="auto"/>
          <w:kern w:val="0"/>
          <w:sz w:val="28"/>
          <w:szCs w:val="28"/>
        </w:rPr>
      </w:pPr>
      <w:r>
        <w:rPr>
          <w:rFonts w:hint="default" w:ascii="Times New Roman" w:hAnsi="Times New Roman" w:eastAsia="宋体" w:cs="Times New Roman"/>
          <w:snapToGrid w:val="0"/>
          <w:color w:val="auto"/>
          <w:kern w:val="0"/>
          <w:sz w:val="28"/>
          <w:szCs w:val="28"/>
        </w:rPr>
        <w:t>6、特种作业人员掌握专业操作知识不熟练等。</w:t>
      </w:r>
    </w:p>
    <w:p w14:paraId="5DD5D682">
      <w:pPr>
        <w:keepLines w:val="0"/>
        <w:pageBreakBefore w:val="0"/>
        <w:widowControl w:val="0"/>
        <w:numPr>
          <w:ilvl w:val="0"/>
          <w:numId w:val="0"/>
        </w:numPr>
        <w:kinsoku/>
        <w:wordWrap/>
        <w:overflowPunct/>
        <w:topLinePunct w:val="0"/>
        <w:autoSpaceDE/>
        <w:autoSpaceDN/>
        <w:bidi w:val="0"/>
        <w:snapToGrid w:val="0"/>
        <w:ind w:leftChars="200"/>
        <w:textAlignment w:val="auto"/>
        <w:outlineLvl w:val="9"/>
        <w:rPr>
          <w:rFonts w:hint="default" w:ascii="Times New Roman" w:hAnsi="Times New Roman" w:eastAsia="宋体" w:cs="Times New Roman"/>
          <w:b w:val="0"/>
          <w:color w:val="auto"/>
          <w:sz w:val="28"/>
          <w:szCs w:val="28"/>
        </w:rPr>
      </w:pPr>
      <w:r>
        <w:rPr>
          <w:rFonts w:hint="eastAsia" w:ascii="Times New Roman" w:hAnsi="Times New Roman" w:eastAsia="宋体" w:cs="Times New Roman"/>
          <w:b w:val="0"/>
          <w:color w:val="auto"/>
          <w:sz w:val="28"/>
          <w:szCs w:val="28"/>
          <w:lang w:val="en-US" w:eastAsia="zh-CN"/>
        </w:rPr>
        <w:t>三、</w:t>
      </w:r>
      <w:r>
        <w:rPr>
          <w:rFonts w:hint="default" w:ascii="Times New Roman" w:hAnsi="Times New Roman" w:eastAsia="宋体" w:cs="Times New Roman"/>
          <w:b w:val="0"/>
          <w:color w:val="auto"/>
          <w:sz w:val="28"/>
          <w:szCs w:val="28"/>
        </w:rPr>
        <w:t>事故应急方面危险性分析</w:t>
      </w:r>
    </w:p>
    <w:p w14:paraId="38B35FA1">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snapToGrid w:val="0"/>
          <w:color w:val="auto"/>
          <w:kern w:val="0"/>
          <w:sz w:val="28"/>
          <w:szCs w:val="28"/>
        </w:rPr>
      </w:pPr>
      <w:r>
        <w:rPr>
          <w:rFonts w:hint="default" w:ascii="Times New Roman" w:hAnsi="Times New Roman" w:eastAsia="宋体" w:cs="Times New Roman"/>
          <w:snapToGrid w:val="0"/>
          <w:color w:val="auto"/>
          <w:kern w:val="0"/>
          <w:sz w:val="28"/>
          <w:szCs w:val="28"/>
        </w:rPr>
        <w:t>事故应急是针对可能发生的重大事故，为保证迅速、有效、有序地开展应急救援行动，以便预防、降低事故损，可能因为事故应急措施不当等引发事故，其主要原因分析如下：</w:t>
      </w:r>
    </w:p>
    <w:p w14:paraId="409D0CC9">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snapToGrid w:val="0"/>
          <w:color w:val="auto"/>
          <w:kern w:val="0"/>
          <w:sz w:val="28"/>
          <w:szCs w:val="28"/>
        </w:rPr>
      </w:pPr>
      <w:r>
        <w:rPr>
          <w:rFonts w:hint="default" w:ascii="Times New Roman" w:hAnsi="Times New Roman" w:eastAsia="宋体" w:cs="Times New Roman"/>
          <w:snapToGrid w:val="0"/>
          <w:color w:val="auto"/>
          <w:kern w:val="0"/>
          <w:sz w:val="28"/>
          <w:szCs w:val="28"/>
        </w:rPr>
        <w:t>1、应急救援时未按照事故应急原则进行处置，应急救援失效，如对突发事故无预见性，事故发生后无法及时组织救援。</w:t>
      </w:r>
    </w:p>
    <w:p w14:paraId="3FBACCBA">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snapToGrid w:val="0"/>
          <w:color w:val="auto"/>
          <w:kern w:val="0"/>
          <w:sz w:val="28"/>
          <w:szCs w:val="28"/>
        </w:rPr>
      </w:pPr>
      <w:r>
        <w:rPr>
          <w:rFonts w:hint="default" w:ascii="Times New Roman" w:hAnsi="Times New Roman" w:eastAsia="宋体" w:cs="Times New Roman"/>
          <w:snapToGrid w:val="0"/>
          <w:color w:val="auto"/>
          <w:kern w:val="0"/>
          <w:sz w:val="28"/>
          <w:szCs w:val="28"/>
        </w:rPr>
        <w:t>2、事故判断不准确，导致采取的应急救援行动和战术决策不准确。</w:t>
      </w:r>
    </w:p>
    <w:p w14:paraId="0F10D600">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snapToGrid w:val="0"/>
          <w:color w:val="auto"/>
          <w:kern w:val="0"/>
          <w:sz w:val="28"/>
          <w:szCs w:val="28"/>
        </w:rPr>
      </w:pPr>
      <w:r>
        <w:rPr>
          <w:rFonts w:hint="default" w:ascii="Times New Roman" w:hAnsi="Times New Roman" w:eastAsia="宋体" w:cs="Times New Roman"/>
          <w:snapToGrid w:val="0"/>
          <w:color w:val="auto"/>
          <w:kern w:val="0"/>
          <w:sz w:val="28"/>
          <w:szCs w:val="28"/>
        </w:rPr>
        <w:t>3、事故应急救援不迅速，事故救援缺乏有效性。</w:t>
      </w:r>
    </w:p>
    <w:p w14:paraId="0FFE5A86">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snapToGrid w:val="0"/>
          <w:color w:val="auto"/>
          <w:kern w:val="0"/>
          <w:sz w:val="28"/>
          <w:szCs w:val="28"/>
        </w:rPr>
      </w:pPr>
      <w:r>
        <w:rPr>
          <w:rFonts w:hint="default" w:ascii="Times New Roman" w:hAnsi="Times New Roman" w:eastAsia="宋体" w:cs="Times New Roman"/>
          <w:snapToGrid w:val="0"/>
          <w:color w:val="auto"/>
          <w:kern w:val="0"/>
          <w:sz w:val="28"/>
          <w:szCs w:val="28"/>
        </w:rPr>
        <w:t>4、救援人员不服从指挥。</w:t>
      </w:r>
    </w:p>
    <w:p w14:paraId="07F04D60">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snapToGrid w:val="0"/>
          <w:color w:val="auto"/>
          <w:kern w:val="0"/>
          <w:sz w:val="28"/>
          <w:szCs w:val="28"/>
        </w:rPr>
      </w:pPr>
      <w:r>
        <w:rPr>
          <w:rFonts w:hint="default" w:ascii="Times New Roman" w:hAnsi="Times New Roman" w:eastAsia="宋体" w:cs="Times New Roman"/>
          <w:snapToGrid w:val="0"/>
          <w:color w:val="auto"/>
          <w:kern w:val="0"/>
          <w:sz w:val="28"/>
          <w:szCs w:val="28"/>
        </w:rPr>
        <w:t>5、未能配备足够、有效的应急救援物资或物资维护保养不力失效。</w:t>
      </w:r>
    </w:p>
    <w:p w14:paraId="375175E7">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snapToGrid w:val="0"/>
          <w:color w:val="auto"/>
          <w:kern w:val="0"/>
          <w:sz w:val="28"/>
          <w:szCs w:val="28"/>
        </w:rPr>
      </w:pPr>
      <w:r>
        <w:rPr>
          <w:rFonts w:hint="default" w:ascii="Times New Roman" w:hAnsi="Times New Roman" w:eastAsia="宋体" w:cs="Times New Roman"/>
          <w:snapToGrid w:val="0"/>
          <w:color w:val="auto"/>
          <w:kern w:val="0"/>
          <w:sz w:val="28"/>
          <w:szCs w:val="28"/>
        </w:rPr>
        <w:t>6、未能按规定对应急预案进行定期演练，未进行定期修订或预案可操作性不强。</w:t>
      </w:r>
    </w:p>
    <w:p w14:paraId="68167116">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snapToGrid w:val="0"/>
          <w:color w:val="auto"/>
          <w:kern w:val="0"/>
          <w:sz w:val="28"/>
          <w:szCs w:val="28"/>
        </w:rPr>
      </w:pPr>
      <w:r>
        <w:rPr>
          <w:rFonts w:hint="default" w:ascii="Times New Roman" w:hAnsi="Times New Roman" w:eastAsia="宋体" w:cs="Times New Roman"/>
          <w:snapToGrid w:val="0"/>
          <w:color w:val="auto"/>
          <w:kern w:val="0"/>
          <w:sz w:val="28"/>
          <w:szCs w:val="28"/>
        </w:rPr>
        <w:t>7、未能按照企业的实际生产情况以及新法律、法规等要求，制定、修订应急预案。</w:t>
      </w:r>
    </w:p>
    <w:p w14:paraId="546222EB">
      <w:pPr>
        <w:keepLines w:val="0"/>
        <w:pageBreakBefore w:val="0"/>
        <w:widowControl w:val="0"/>
        <w:numPr>
          <w:ilvl w:val="0"/>
          <w:numId w:val="0"/>
        </w:numPr>
        <w:kinsoku/>
        <w:wordWrap/>
        <w:overflowPunct/>
        <w:topLinePunct w:val="0"/>
        <w:autoSpaceDE/>
        <w:autoSpaceDN/>
        <w:bidi w:val="0"/>
        <w:snapToGrid w:val="0"/>
        <w:ind w:leftChars="200"/>
        <w:textAlignment w:val="auto"/>
        <w:outlineLvl w:val="9"/>
        <w:rPr>
          <w:rFonts w:hint="default" w:ascii="Times New Roman" w:hAnsi="Times New Roman" w:eastAsia="宋体" w:cs="Times New Roman"/>
          <w:b w:val="0"/>
          <w:color w:val="auto"/>
          <w:sz w:val="28"/>
          <w:szCs w:val="28"/>
        </w:rPr>
      </w:pPr>
      <w:r>
        <w:rPr>
          <w:rFonts w:hint="eastAsia" w:ascii="Times New Roman" w:hAnsi="Times New Roman" w:eastAsia="宋体" w:cs="Times New Roman"/>
          <w:b w:val="0"/>
          <w:color w:val="auto"/>
          <w:sz w:val="28"/>
          <w:szCs w:val="28"/>
          <w:lang w:val="en-US" w:eastAsia="zh-CN"/>
        </w:rPr>
        <w:t>四、</w:t>
      </w:r>
      <w:r>
        <w:rPr>
          <w:rFonts w:hint="default" w:ascii="Times New Roman" w:hAnsi="Times New Roman" w:eastAsia="宋体" w:cs="Times New Roman"/>
          <w:b w:val="0"/>
          <w:color w:val="auto"/>
          <w:sz w:val="28"/>
          <w:szCs w:val="28"/>
        </w:rPr>
        <w:t>管理方面其它危险性分析</w:t>
      </w:r>
    </w:p>
    <w:p w14:paraId="0199F5ED">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snapToGrid w:val="0"/>
          <w:color w:val="auto"/>
          <w:kern w:val="0"/>
          <w:sz w:val="28"/>
          <w:szCs w:val="28"/>
        </w:rPr>
      </w:pPr>
      <w:r>
        <w:rPr>
          <w:rFonts w:hint="default" w:ascii="Times New Roman" w:hAnsi="Times New Roman" w:eastAsia="宋体" w:cs="Times New Roman"/>
          <w:snapToGrid w:val="0"/>
          <w:color w:val="auto"/>
          <w:kern w:val="0"/>
          <w:sz w:val="28"/>
          <w:szCs w:val="28"/>
        </w:rPr>
        <w:t>1、管理人员监督检查力度不足，有禁不止，有令不行，滋生违章行为等。</w:t>
      </w:r>
    </w:p>
    <w:p w14:paraId="777D1054">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snapToGrid w:val="0"/>
          <w:color w:val="auto"/>
          <w:kern w:val="0"/>
          <w:sz w:val="28"/>
          <w:szCs w:val="28"/>
        </w:rPr>
      </w:pPr>
      <w:r>
        <w:rPr>
          <w:rFonts w:hint="default" w:ascii="Times New Roman" w:hAnsi="Times New Roman" w:eastAsia="宋体" w:cs="Times New Roman"/>
          <w:snapToGrid w:val="0"/>
          <w:color w:val="auto"/>
          <w:kern w:val="0"/>
          <w:sz w:val="28"/>
          <w:szCs w:val="28"/>
        </w:rPr>
        <w:t>2、安全管理基础工作差、底子弱，安全管理体系未形成“PDCA（计划、执行、检查、修正）”的良性循环模式。</w:t>
      </w:r>
    </w:p>
    <w:p w14:paraId="4CFA8441">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snapToGrid w:val="0"/>
          <w:color w:val="auto"/>
          <w:kern w:val="0"/>
          <w:sz w:val="28"/>
          <w:szCs w:val="28"/>
        </w:rPr>
      </w:pPr>
      <w:r>
        <w:rPr>
          <w:rFonts w:hint="default" w:ascii="Times New Roman" w:hAnsi="Times New Roman" w:eastAsia="宋体" w:cs="Times New Roman"/>
          <w:snapToGrid w:val="0"/>
          <w:color w:val="auto"/>
          <w:kern w:val="0"/>
          <w:sz w:val="28"/>
          <w:szCs w:val="28"/>
        </w:rPr>
        <w:t>3、安全资金投入不足，安全教育培训不够、个人防护不到位、安全设施配备不足、未提供事故隐患排查治理所需的资金等导致事故的发生。</w:t>
      </w:r>
    </w:p>
    <w:p w14:paraId="57704E4F">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snapToGrid w:val="0"/>
          <w:color w:val="auto"/>
          <w:kern w:val="0"/>
          <w:sz w:val="28"/>
          <w:szCs w:val="28"/>
        </w:rPr>
      </w:pPr>
      <w:r>
        <w:rPr>
          <w:rFonts w:hint="default" w:ascii="Times New Roman" w:hAnsi="Times New Roman" w:eastAsia="宋体" w:cs="Times New Roman"/>
          <w:snapToGrid w:val="0"/>
          <w:color w:val="auto"/>
          <w:kern w:val="0"/>
          <w:sz w:val="28"/>
          <w:szCs w:val="28"/>
        </w:rPr>
        <w:t>4、隐患排查不彻底，治理措施不得当。</w:t>
      </w:r>
    </w:p>
    <w:p w14:paraId="35E4A8D0">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snapToGrid w:val="0"/>
          <w:color w:val="auto"/>
          <w:kern w:val="0"/>
          <w:sz w:val="28"/>
          <w:szCs w:val="28"/>
        </w:rPr>
      </w:pPr>
      <w:r>
        <w:rPr>
          <w:rFonts w:hint="default" w:ascii="Times New Roman" w:hAnsi="Times New Roman" w:eastAsia="宋体" w:cs="Times New Roman"/>
          <w:snapToGrid w:val="0"/>
          <w:color w:val="auto"/>
          <w:kern w:val="0"/>
          <w:sz w:val="28"/>
          <w:szCs w:val="28"/>
        </w:rPr>
        <w:t>5、相关安全管理人未及时、全面系统的掌握企业安全生产情况，不利于分析安全生产中的危险因素和作出安全管理决策。</w:t>
      </w:r>
    </w:p>
    <w:p w14:paraId="0529391B">
      <w:pPr>
        <w:keepLines w:val="0"/>
        <w:pageBreakBefore w:val="0"/>
        <w:widowControl w:val="0"/>
        <w:kinsoku/>
        <w:wordWrap/>
        <w:overflowPunct/>
        <w:topLinePunct w:val="0"/>
        <w:autoSpaceDE/>
        <w:autoSpaceDN/>
        <w:bidi w:val="0"/>
        <w:adjustRightInd w:val="0"/>
        <w:snapToGrid w:val="0"/>
        <w:ind w:firstLine="560" w:firstLineChars="200"/>
        <w:textAlignment w:val="auto"/>
        <w:outlineLvl w:val="9"/>
        <w:rPr>
          <w:rFonts w:hint="default" w:ascii="Times New Roman" w:hAnsi="Times New Roman" w:eastAsia="宋体" w:cs="Times New Roman"/>
          <w:snapToGrid w:val="0"/>
          <w:color w:val="auto"/>
          <w:kern w:val="0"/>
          <w:sz w:val="28"/>
          <w:szCs w:val="28"/>
        </w:rPr>
      </w:pPr>
      <w:r>
        <w:rPr>
          <w:rFonts w:hint="default" w:ascii="Times New Roman" w:hAnsi="Times New Roman" w:eastAsia="宋体" w:cs="Times New Roman"/>
          <w:snapToGrid w:val="0"/>
          <w:color w:val="auto"/>
          <w:kern w:val="0"/>
          <w:sz w:val="28"/>
          <w:szCs w:val="28"/>
        </w:rPr>
        <w:t>6、对事故管理不当，使事故恶化，如迟报、漏报、谎报或瞒报事故，事故原因没有查清楚，员工未受到教育等。</w:t>
      </w:r>
    </w:p>
    <w:bookmarkEnd w:id="888"/>
    <w:p w14:paraId="6827C90D">
      <w:pPr>
        <w:pStyle w:val="5"/>
        <w:keepNext/>
        <w:keepLines/>
        <w:pageBreakBefore w:val="0"/>
        <w:widowControl w:val="0"/>
        <w:numPr>
          <w:ilvl w:val="2"/>
          <w:numId w:val="0"/>
        </w:numPr>
        <w:kinsoku/>
        <w:wordWrap/>
        <w:overflowPunct/>
        <w:topLinePunct w:val="0"/>
        <w:autoSpaceDE/>
        <w:autoSpaceDN/>
        <w:bidi w:val="0"/>
        <w:adjustRightInd/>
        <w:snapToGrid w:val="0"/>
        <w:spacing w:line="360" w:lineRule="auto"/>
        <w:ind w:leftChars="100"/>
        <w:textAlignment w:val="auto"/>
        <w:rPr>
          <w:rFonts w:hint="eastAsia" w:ascii="Times New Roman" w:hAnsi="Times New Roman" w:cs="Times New Roman"/>
          <w:snapToGrid w:val="0"/>
          <w:color w:val="000000"/>
          <w:kern w:val="0"/>
          <w:sz w:val="32"/>
          <w:lang w:val="en-US" w:eastAsia="zh-CN"/>
        </w:rPr>
      </w:pPr>
      <w:bookmarkStart w:id="1008" w:name="_Toc26983"/>
      <w:bookmarkStart w:id="1009" w:name="_Toc32429"/>
      <w:r>
        <w:rPr>
          <w:rFonts w:hint="eastAsia" w:ascii="Times New Roman" w:hAnsi="Times New Roman" w:cs="Times New Roman"/>
          <w:snapToGrid w:val="0"/>
          <w:color w:val="000000"/>
          <w:kern w:val="0"/>
          <w:sz w:val="32"/>
          <w:lang w:val="en-US" w:eastAsia="zh-CN"/>
        </w:rPr>
        <w:t>3.1.6剧毒化学品、易制毒化学品、监控化学品、易制爆危险化学品、重点监管的危险化学品以及特别管控危险化学品辨识</w:t>
      </w:r>
      <w:bookmarkEnd w:id="1008"/>
      <w:bookmarkEnd w:id="1009"/>
    </w:p>
    <w:p w14:paraId="3A7E8B5A">
      <w:pPr>
        <w:pStyle w:val="6"/>
        <w:keepNext/>
        <w:keepLines/>
        <w:pageBreakBefore w:val="0"/>
        <w:widowControl w:val="0"/>
        <w:numPr>
          <w:ilvl w:val="2"/>
          <w:numId w:val="0"/>
        </w:numPr>
        <w:tabs>
          <w:tab w:val="left" w:pos="931"/>
        </w:tabs>
        <w:kinsoku/>
        <w:wordWrap/>
        <w:overflowPunct/>
        <w:topLinePunct w:val="0"/>
        <w:autoSpaceDE/>
        <w:autoSpaceDN/>
        <w:bidi w:val="0"/>
        <w:adjustRightInd/>
        <w:snapToGrid w:val="0"/>
        <w:spacing w:line="360" w:lineRule="auto"/>
        <w:ind w:leftChars="100"/>
        <w:textAlignment w:val="auto"/>
        <w:outlineLvl w:val="3"/>
        <w:rPr>
          <w:rFonts w:hint="eastAsia" w:ascii="Times New Roman" w:hAnsi="Times New Roman" w:cs="Times New Roman"/>
          <w:snapToGrid w:val="0"/>
          <w:color w:val="000000"/>
          <w:kern w:val="0"/>
          <w:sz w:val="28"/>
          <w:szCs w:val="28"/>
          <w:lang w:val="en-US" w:eastAsia="zh-CN"/>
        </w:rPr>
      </w:pPr>
      <w:bookmarkStart w:id="1010" w:name="_Toc32486"/>
      <w:bookmarkStart w:id="1011" w:name="_Toc460364933"/>
      <w:bookmarkStart w:id="1012" w:name="_Toc387703500"/>
      <w:bookmarkStart w:id="1013" w:name="_Toc354667458"/>
      <w:bookmarkStart w:id="1014" w:name="_Toc340446866"/>
      <w:bookmarkStart w:id="1015" w:name="_Toc346708596"/>
      <w:bookmarkStart w:id="1016" w:name="_Toc340447060"/>
      <w:bookmarkStart w:id="1017" w:name="_Toc349511634"/>
      <w:bookmarkStart w:id="1018" w:name="_Toc354667690"/>
      <w:bookmarkStart w:id="1019" w:name="_Toc387488510"/>
      <w:bookmarkStart w:id="1020" w:name="_Toc324380391"/>
      <w:bookmarkStart w:id="1021" w:name="_Toc330852617"/>
      <w:r>
        <w:rPr>
          <w:rFonts w:hint="eastAsia" w:ascii="Times New Roman" w:hAnsi="Times New Roman" w:cs="Times New Roman"/>
          <w:snapToGrid w:val="0"/>
          <w:color w:val="000000"/>
          <w:kern w:val="0"/>
          <w:sz w:val="28"/>
          <w:szCs w:val="28"/>
          <w:lang w:val="en-US" w:eastAsia="zh-CN"/>
        </w:rPr>
        <w:t>3.1.6.1剧毒危险化学品辨识结果</w:t>
      </w:r>
      <w:bookmarkEnd w:id="1010"/>
    </w:p>
    <w:p w14:paraId="076A6BE4">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ascii="Times New Roman" w:hAnsi="Times New Roman"/>
          <w:color w:val="auto"/>
          <w:sz w:val="28"/>
          <w:szCs w:val="28"/>
        </w:rPr>
      </w:pPr>
      <w:r>
        <w:rPr>
          <w:rFonts w:hint="default" w:ascii="Times New Roman" w:hAnsi="Times New Roman" w:cs="Times New Roman"/>
          <w:color w:val="000000"/>
          <w:sz w:val="28"/>
          <w:szCs w:val="28"/>
        </w:rPr>
        <w:t>根据《危险化学品目录（2015版）》（国家安全生产监督管理局等10部门公告2015年第5号，根据2022年第8号公告修订）</w:t>
      </w:r>
      <w:r>
        <w:rPr>
          <w:rFonts w:hint="default" w:ascii="Times New Roman" w:hAnsi="Times New Roman" w:cs="Times New Roman"/>
          <w:snapToGrid w:val="0"/>
          <w:color w:val="000000"/>
          <w:kern w:val="0"/>
          <w:sz w:val="28"/>
          <w:szCs w:val="28"/>
        </w:rPr>
        <w:t>、&lt;应急管理部办公厅关于修改《危险化学品目录（2015版）实施指南（试行）》涉及柴油部分内容的通知&gt;（应急厅函</w:t>
      </w:r>
      <w:r>
        <w:rPr>
          <w:rFonts w:hint="default" w:ascii="Times New Roman" w:hAnsi="Times New Roman" w:cs="Times New Roman"/>
          <w:color w:val="000000"/>
          <w:sz w:val="28"/>
          <w:szCs w:val="28"/>
        </w:rPr>
        <w:t>〔2022〕</w:t>
      </w:r>
      <w:r>
        <w:rPr>
          <w:rFonts w:hint="default" w:ascii="Times New Roman" w:hAnsi="Times New Roman" w:cs="Times New Roman"/>
          <w:snapToGrid w:val="0"/>
          <w:color w:val="000000"/>
          <w:kern w:val="0"/>
          <w:sz w:val="28"/>
          <w:szCs w:val="28"/>
        </w:rPr>
        <w:t>300号）</w:t>
      </w:r>
      <w:r>
        <w:rPr>
          <w:rFonts w:hint="default" w:ascii="Times New Roman" w:hAnsi="Times New Roman" w:cs="Times New Roman"/>
          <w:color w:val="000000"/>
          <w:sz w:val="28"/>
          <w:szCs w:val="28"/>
        </w:rPr>
        <w:t>的相关规定</w:t>
      </w:r>
      <w:r>
        <w:rPr>
          <w:rFonts w:hint="eastAsia" w:ascii="Times New Roman" w:hAnsi="Times New Roman"/>
          <w:color w:val="auto"/>
          <w:sz w:val="28"/>
          <w:szCs w:val="28"/>
        </w:rPr>
        <w:t>本项目不涉及剧毒化学品。</w:t>
      </w:r>
    </w:p>
    <w:p w14:paraId="5D85D3A0">
      <w:pPr>
        <w:pStyle w:val="6"/>
        <w:keepNext/>
        <w:keepLines/>
        <w:pageBreakBefore w:val="0"/>
        <w:widowControl w:val="0"/>
        <w:numPr>
          <w:ilvl w:val="2"/>
          <w:numId w:val="0"/>
        </w:numPr>
        <w:tabs>
          <w:tab w:val="left" w:pos="931"/>
        </w:tabs>
        <w:kinsoku/>
        <w:wordWrap/>
        <w:overflowPunct/>
        <w:topLinePunct w:val="0"/>
        <w:autoSpaceDE/>
        <w:autoSpaceDN/>
        <w:bidi w:val="0"/>
        <w:adjustRightInd/>
        <w:snapToGrid w:val="0"/>
        <w:spacing w:line="360" w:lineRule="auto"/>
        <w:ind w:leftChars="100"/>
        <w:textAlignment w:val="auto"/>
        <w:outlineLvl w:val="3"/>
        <w:rPr>
          <w:rFonts w:hint="eastAsia" w:ascii="Times New Roman" w:hAnsi="Times New Roman" w:cs="Times New Roman"/>
          <w:snapToGrid w:val="0"/>
          <w:color w:val="000000"/>
          <w:kern w:val="0"/>
          <w:sz w:val="28"/>
          <w:szCs w:val="28"/>
          <w:lang w:val="en-US" w:eastAsia="zh-CN"/>
        </w:rPr>
      </w:pPr>
      <w:bookmarkStart w:id="1022" w:name="_Toc324380392"/>
      <w:bookmarkStart w:id="1023" w:name="_Toc330852618"/>
      <w:bookmarkStart w:id="1024" w:name="_Toc346708597"/>
      <w:bookmarkStart w:id="1025" w:name="_Toc26896"/>
      <w:bookmarkStart w:id="1026" w:name="_Toc387703501"/>
      <w:bookmarkStart w:id="1027" w:name="_Toc354667691"/>
      <w:bookmarkStart w:id="1028" w:name="_Toc354667459"/>
      <w:bookmarkStart w:id="1029" w:name="_Toc460364934"/>
      <w:bookmarkStart w:id="1030" w:name="_Toc340447061"/>
      <w:bookmarkStart w:id="1031" w:name="_Toc340446867"/>
      <w:bookmarkStart w:id="1032" w:name="_Toc387488511"/>
      <w:bookmarkStart w:id="1033" w:name="_Toc349511635"/>
      <w:r>
        <w:rPr>
          <w:rFonts w:hint="eastAsia" w:ascii="Times New Roman" w:hAnsi="Times New Roman" w:cs="Times New Roman"/>
          <w:snapToGrid w:val="0"/>
          <w:color w:val="000000"/>
          <w:kern w:val="0"/>
          <w:sz w:val="28"/>
          <w:szCs w:val="28"/>
          <w:lang w:val="en-US" w:eastAsia="zh-CN"/>
        </w:rPr>
        <w:t>3.1.6.2易制毒化学品、易制爆危险化学品辨识结果</w:t>
      </w:r>
      <w:bookmarkEnd w:id="1022"/>
      <w:bookmarkEnd w:id="1023"/>
      <w:bookmarkEnd w:id="1024"/>
      <w:bookmarkEnd w:id="1025"/>
      <w:bookmarkEnd w:id="1026"/>
      <w:bookmarkEnd w:id="1027"/>
      <w:bookmarkEnd w:id="1028"/>
      <w:bookmarkEnd w:id="1029"/>
      <w:bookmarkEnd w:id="1030"/>
      <w:bookmarkEnd w:id="1031"/>
      <w:bookmarkEnd w:id="1032"/>
      <w:bookmarkEnd w:id="1033"/>
    </w:p>
    <w:p w14:paraId="3AB2DDD4">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imes New Roman" w:hAnsi="Times New Roman" w:eastAsia="宋体" w:cs="Times New Roman"/>
          <w:snapToGrid w:val="0"/>
          <w:color w:val="000000"/>
          <w:kern w:val="0"/>
          <w:sz w:val="28"/>
          <w:szCs w:val="28"/>
        </w:rPr>
      </w:pPr>
      <w:r>
        <w:rPr>
          <w:rFonts w:hint="eastAsia" w:ascii="Times New Roman" w:hAnsi="Times New Roman" w:eastAsia="宋体" w:cs="Times New Roman"/>
          <w:snapToGrid w:val="0"/>
          <w:color w:val="000000"/>
          <w:kern w:val="0"/>
          <w:sz w:val="28"/>
          <w:szCs w:val="28"/>
        </w:rPr>
        <w:t>根据《易制毒化学品管理条例》（国务院令第</w:t>
      </w:r>
      <w:r>
        <w:rPr>
          <w:rFonts w:hint="default" w:ascii="Times New Roman" w:hAnsi="Times New Roman" w:eastAsia="宋体" w:cs="Times New Roman"/>
          <w:snapToGrid w:val="0"/>
          <w:color w:val="000000"/>
          <w:kern w:val="0"/>
          <w:sz w:val="28"/>
          <w:szCs w:val="28"/>
        </w:rPr>
        <w:t>445</w:t>
      </w:r>
      <w:r>
        <w:rPr>
          <w:rFonts w:hint="eastAsia" w:ascii="Times New Roman" w:hAnsi="Times New Roman" w:eastAsia="宋体" w:cs="Times New Roman"/>
          <w:snapToGrid w:val="0"/>
          <w:color w:val="000000"/>
          <w:kern w:val="0"/>
          <w:sz w:val="28"/>
          <w:szCs w:val="28"/>
        </w:rPr>
        <w:t>号），本项目涉及易制毒化学品硫酸。</w:t>
      </w:r>
    </w:p>
    <w:p w14:paraId="663C32AD">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imes New Roman" w:hAnsi="Times New Roman" w:eastAsia="宋体" w:cs="Times New Roman"/>
          <w:snapToGrid w:val="0"/>
          <w:color w:val="000000"/>
          <w:kern w:val="0"/>
          <w:sz w:val="28"/>
          <w:szCs w:val="28"/>
        </w:rPr>
      </w:pPr>
      <w:r>
        <w:rPr>
          <w:rFonts w:hint="eastAsia" w:ascii="Times New Roman" w:hAnsi="Times New Roman" w:eastAsia="宋体" w:cs="Times New Roman"/>
          <w:snapToGrid w:val="0"/>
          <w:color w:val="000000"/>
          <w:kern w:val="0"/>
          <w:sz w:val="28"/>
          <w:szCs w:val="28"/>
        </w:rPr>
        <w:t>根据《易制爆危险化学品名录》（公安部，</w:t>
      </w:r>
      <w:r>
        <w:rPr>
          <w:rFonts w:hint="default" w:ascii="Times New Roman" w:hAnsi="Times New Roman" w:eastAsia="宋体" w:cs="Times New Roman"/>
          <w:snapToGrid w:val="0"/>
          <w:color w:val="000000"/>
          <w:kern w:val="0"/>
          <w:sz w:val="28"/>
          <w:szCs w:val="28"/>
        </w:rPr>
        <w:t>2017</w:t>
      </w:r>
      <w:r>
        <w:rPr>
          <w:rFonts w:hint="eastAsia" w:ascii="Times New Roman" w:hAnsi="Times New Roman" w:eastAsia="宋体" w:cs="Times New Roman"/>
          <w:snapToGrid w:val="0"/>
          <w:color w:val="000000"/>
          <w:kern w:val="0"/>
          <w:sz w:val="28"/>
          <w:szCs w:val="28"/>
        </w:rPr>
        <w:t>年版），本项目不涉及易制爆化学品。</w:t>
      </w:r>
    </w:p>
    <w:p w14:paraId="28B06A2E">
      <w:pPr>
        <w:pStyle w:val="6"/>
        <w:keepNext/>
        <w:keepLines/>
        <w:pageBreakBefore w:val="0"/>
        <w:widowControl w:val="0"/>
        <w:numPr>
          <w:ilvl w:val="2"/>
          <w:numId w:val="0"/>
        </w:numPr>
        <w:tabs>
          <w:tab w:val="left" w:pos="931"/>
        </w:tabs>
        <w:kinsoku/>
        <w:wordWrap/>
        <w:overflowPunct/>
        <w:topLinePunct w:val="0"/>
        <w:autoSpaceDE/>
        <w:autoSpaceDN/>
        <w:bidi w:val="0"/>
        <w:adjustRightInd/>
        <w:snapToGrid w:val="0"/>
        <w:spacing w:line="360" w:lineRule="auto"/>
        <w:ind w:leftChars="100"/>
        <w:textAlignment w:val="auto"/>
        <w:outlineLvl w:val="3"/>
        <w:rPr>
          <w:rFonts w:hint="eastAsia" w:ascii="Times New Roman" w:hAnsi="Times New Roman" w:cs="Times New Roman"/>
          <w:snapToGrid w:val="0"/>
          <w:color w:val="000000"/>
          <w:kern w:val="0"/>
          <w:sz w:val="28"/>
          <w:szCs w:val="28"/>
          <w:lang w:val="en-US" w:eastAsia="zh-CN"/>
        </w:rPr>
      </w:pPr>
      <w:bookmarkStart w:id="1034" w:name="_Toc30275"/>
      <w:r>
        <w:rPr>
          <w:rFonts w:hint="eastAsia" w:ascii="Times New Roman" w:hAnsi="Times New Roman" w:cs="Times New Roman"/>
          <w:snapToGrid w:val="0"/>
          <w:color w:val="000000"/>
          <w:kern w:val="0"/>
          <w:sz w:val="28"/>
          <w:szCs w:val="28"/>
          <w:lang w:val="en-US" w:eastAsia="zh-CN"/>
        </w:rPr>
        <w:t>3.1.6.3重点监管危险化学品辨识结果</w:t>
      </w:r>
      <w:bookmarkEnd w:id="1011"/>
      <w:bookmarkEnd w:id="1012"/>
      <w:bookmarkEnd w:id="1013"/>
      <w:bookmarkEnd w:id="1014"/>
      <w:bookmarkEnd w:id="1015"/>
      <w:bookmarkEnd w:id="1016"/>
      <w:bookmarkEnd w:id="1017"/>
      <w:bookmarkEnd w:id="1018"/>
      <w:bookmarkEnd w:id="1019"/>
      <w:bookmarkEnd w:id="1020"/>
      <w:bookmarkEnd w:id="1021"/>
      <w:bookmarkEnd w:id="1034"/>
    </w:p>
    <w:p w14:paraId="4F7A326F">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imes New Roman" w:hAnsi="Times New Roman" w:eastAsia="宋体" w:cs="Times New Roman"/>
          <w:snapToGrid w:val="0"/>
          <w:color w:val="000000"/>
          <w:kern w:val="0"/>
          <w:sz w:val="28"/>
          <w:szCs w:val="28"/>
        </w:rPr>
      </w:pPr>
      <w:r>
        <w:rPr>
          <w:rFonts w:hint="eastAsia" w:ascii="Times New Roman" w:hAnsi="Times New Roman" w:eastAsia="宋体" w:cs="Times New Roman"/>
          <w:snapToGrid w:val="0"/>
          <w:color w:val="000000"/>
          <w:kern w:val="0"/>
          <w:sz w:val="28"/>
          <w:szCs w:val="28"/>
        </w:rPr>
        <w:t>根据《国家安全监管总局关于公布首批重点监管的危险化学品名录的通知》（安监总管三〔2011〕95号）和《国家安全监管总局关于公布第二批重点监管危险化学品名录的通知》（安监总管三〔2013〕12号），本项目不涉及重点监管的危险化学品。</w:t>
      </w:r>
    </w:p>
    <w:p w14:paraId="3CD25055">
      <w:pPr>
        <w:pStyle w:val="6"/>
        <w:keepNext/>
        <w:keepLines/>
        <w:pageBreakBefore w:val="0"/>
        <w:widowControl w:val="0"/>
        <w:numPr>
          <w:ilvl w:val="2"/>
          <w:numId w:val="0"/>
        </w:numPr>
        <w:tabs>
          <w:tab w:val="left" w:pos="931"/>
        </w:tabs>
        <w:kinsoku/>
        <w:wordWrap/>
        <w:overflowPunct/>
        <w:topLinePunct w:val="0"/>
        <w:autoSpaceDE/>
        <w:autoSpaceDN/>
        <w:bidi w:val="0"/>
        <w:adjustRightInd/>
        <w:snapToGrid w:val="0"/>
        <w:spacing w:line="360" w:lineRule="auto"/>
        <w:ind w:leftChars="100"/>
        <w:textAlignment w:val="auto"/>
        <w:outlineLvl w:val="3"/>
        <w:rPr>
          <w:rFonts w:hint="eastAsia" w:ascii="Times New Roman" w:hAnsi="Times New Roman" w:cs="Times New Roman"/>
          <w:snapToGrid w:val="0"/>
          <w:color w:val="000000"/>
          <w:kern w:val="0"/>
          <w:sz w:val="28"/>
          <w:szCs w:val="28"/>
          <w:lang w:val="en-US" w:eastAsia="zh-CN"/>
        </w:rPr>
      </w:pPr>
      <w:bookmarkStart w:id="1035" w:name="_Toc1801"/>
      <w:r>
        <w:rPr>
          <w:rFonts w:hint="eastAsia" w:ascii="Times New Roman" w:hAnsi="Times New Roman" w:cs="Times New Roman"/>
          <w:snapToGrid w:val="0"/>
          <w:color w:val="000000"/>
          <w:kern w:val="0"/>
          <w:sz w:val="28"/>
          <w:szCs w:val="28"/>
          <w:lang w:val="en-US" w:eastAsia="zh-CN"/>
        </w:rPr>
        <w:t>3.1.6.4特别管控危险化学品辨识结果</w:t>
      </w:r>
      <w:bookmarkEnd w:id="1035"/>
    </w:p>
    <w:p w14:paraId="22A7BB1F">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imes New Roman" w:hAnsi="Times New Roman" w:eastAsia="宋体" w:cs="Times New Roman"/>
          <w:snapToGrid w:val="0"/>
          <w:color w:val="000000"/>
          <w:kern w:val="0"/>
          <w:sz w:val="28"/>
          <w:szCs w:val="28"/>
        </w:rPr>
      </w:pPr>
      <w:r>
        <w:rPr>
          <w:rFonts w:hint="eastAsia" w:ascii="Times New Roman" w:hAnsi="Times New Roman" w:eastAsia="宋体" w:cs="Times New Roman"/>
          <w:snapToGrid w:val="0"/>
          <w:color w:val="000000"/>
          <w:kern w:val="0"/>
          <w:sz w:val="28"/>
          <w:szCs w:val="28"/>
        </w:rPr>
        <w:t>根据《特别管控危险化学品目录（第一版）》（应急管理部、工业和信息化部、公安部、交通运输部公告2020年第1号），本项目不涉及特别管控危险化学品。</w:t>
      </w:r>
    </w:p>
    <w:p w14:paraId="23E726A4">
      <w:pPr>
        <w:pStyle w:val="6"/>
        <w:keepNext/>
        <w:keepLines/>
        <w:pageBreakBefore w:val="0"/>
        <w:widowControl w:val="0"/>
        <w:numPr>
          <w:ilvl w:val="2"/>
          <w:numId w:val="0"/>
        </w:numPr>
        <w:tabs>
          <w:tab w:val="left" w:pos="931"/>
        </w:tabs>
        <w:kinsoku/>
        <w:wordWrap/>
        <w:overflowPunct/>
        <w:topLinePunct w:val="0"/>
        <w:autoSpaceDE/>
        <w:autoSpaceDN/>
        <w:bidi w:val="0"/>
        <w:adjustRightInd/>
        <w:snapToGrid w:val="0"/>
        <w:spacing w:line="360" w:lineRule="auto"/>
        <w:ind w:leftChars="100"/>
        <w:textAlignment w:val="auto"/>
        <w:outlineLvl w:val="3"/>
        <w:rPr>
          <w:rFonts w:hint="eastAsia" w:ascii="Times New Roman" w:hAnsi="Times New Roman" w:cs="Times New Roman"/>
          <w:snapToGrid w:val="0"/>
          <w:color w:val="000000"/>
          <w:kern w:val="0"/>
          <w:sz w:val="28"/>
          <w:szCs w:val="28"/>
          <w:lang w:val="en-US" w:eastAsia="zh-CN"/>
        </w:rPr>
      </w:pPr>
      <w:bookmarkStart w:id="1036" w:name="_Toc6473"/>
      <w:r>
        <w:rPr>
          <w:rFonts w:hint="eastAsia" w:ascii="Times New Roman" w:hAnsi="Times New Roman" w:cs="Times New Roman"/>
          <w:snapToGrid w:val="0"/>
          <w:color w:val="000000"/>
          <w:kern w:val="0"/>
          <w:sz w:val="28"/>
          <w:szCs w:val="28"/>
          <w:lang w:val="en-US" w:eastAsia="zh-CN"/>
        </w:rPr>
        <w:t>3.1.6.5监控危险化学品辨识结果</w:t>
      </w:r>
      <w:bookmarkEnd w:id="1036"/>
    </w:p>
    <w:p w14:paraId="72BFA2EB">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imes New Roman" w:hAnsi="Times New Roman" w:eastAsia="宋体" w:cs="Times New Roman"/>
          <w:snapToGrid w:val="0"/>
          <w:color w:val="000000"/>
          <w:kern w:val="0"/>
          <w:sz w:val="28"/>
          <w:szCs w:val="28"/>
        </w:rPr>
      </w:pPr>
      <w:r>
        <w:rPr>
          <w:rFonts w:hint="eastAsia" w:ascii="Times New Roman" w:hAnsi="Times New Roman" w:eastAsia="宋体" w:cs="Times New Roman"/>
          <w:snapToGrid w:val="0"/>
          <w:color w:val="000000"/>
          <w:kern w:val="0"/>
          <w:sz w:val="28"/>
          <w:szCs w:val="28"/>
        </w:rPr>
        <w:t>根据《中华人民共和国监控化学品条例》（国务院令190号），本项目不涉及监控化学品。</w:t>
      </w:r>
    </w:p>
    <w:p w14:paraId="66C9BB73">
      <w:pPr>
        <w:pStyle w:val="6"/>
        <w:keepNext/>
        <w:keepLines/>
        <w:pageBreakBefore w:val="0"/>
        <w:widowControl w:val="0"/>
        <w:numPr>
          <w:ilvl w:val="2"/>
          <w:numId w:val="0"/>
        </w:numPr>
        <w:tabs>
          <w:tab w:val="left" w:pos="931"/>
        </w:tabs>
        <w:kinsoku/>
        <w:wordWrap/>
        <w:overflowPunct/>
        <w:topLinePunct w:val="0"/>
        <w:autoSpaceDE/>
        <w:autoSpaceDN/>
        <w:bidi w:val="0"/>
        <w:adjustRightInd/>
        <w:snapToGrid w:val="0"/>
        <w:spacing w:line="360" w:lineRule="auto"/>
        <w:ind w:leftChars="100"/>
        <w:textAlignment w:val="auto"/>
        <w:outlineLvl w:val="3"/>
        <w:rPr>
          <w:rFonts w:hint="eastAsia" w:ascii="Times New Roman" w:hAnsi="Times New Roman" w:cs="Times New Roman"/>
          <w:snapToGrid w:val="0"/>
          <w:color w:val="000000"/>
          <w:kern w:val="0"/>
          <w:sz w:val="28"/>
          <w:szCs w:val="28"/>
          <w:lang w:val="en-US" w:eastAsia="zh-CN"/>
        </w:rPr>
      </w:pPr>
      <w:bookmarkStart w:id="1037" w:name="_Toc62042225"/>
      <w:bookmarkStart w:id="1038" w:name="_Toc3013"/>
      <w:r>
        <w:rPr>
          <w:rFonts w:hint="eastAsia" w:ascii="Times New Roman" w:hAnsi="Times New Roman" w:cs="Times New Roman"/>
          <w:snapToGrid w:val="0"/>
          <w:color w:val="000000"/>
          <w:kern w:val="0"/>
          <w:sz w:val="28"/>
          <w:szCs w:val="28"/>
          <w:lang w:val="en-US" w:eastAsia="zh-CN"/>
        </w:rPr>
        <w:t>3.1.6.6重点监管的危险化工工艺辨识</w:t>
      </w:r>
      <w:bookmarkEnd w:id="1037"/>
      <w:bookmarkEnd w:id="1038"/>
    </w:p>
    <w:p w14:paraId="17DF2429">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imes New Roman" w:hAnsi="Times New Roman" w:eastAsia="宋体" w:cs="Times New Roman"/>
          <w:snapToGrid w:val="0"/>
          <w:color w:val="000000"/>
          <w:kern w:val="0"/>
          <w:sz w:val="28"/>
          <w:szCs w:val="28"/>
        </w:rPr>
      </w:pPr>
      <w:r>
        <w:rPr>
          <w:rFonts w:hint="eastAsia" w:ascii="Times New Roman" w:hAnsi="Times New Roman" w:eastAsia="宋体" w:cs="Times New Roman"/>
          <w:snapToGrid w:val="0"/>
          <w:color w:val="000000"/>
          <w:kern w:val="0"/>
          <w:sz w:val="28"/>
          <w:szCs w:val="28"/>
        </w:rPr>
        <w:t>根据《国家安全监管总局关于公布首批重点监管的危险化工工艺目录的通知》（安监总管三〔2009〕116号）及《国家安全监管总局关于公布第二批重点监管危险化工工艺目录和调整首批重点监管危险化工工艺中部分典型工艺的通知》（安监总管三〔2013〕3号），本项目为管道输送物料项目，不属于危险化工工艺。</w:t>
      </w:r>
    </w:p>
    <w:p w14:paraId="17A15C53">
      <w:pPr>
        <w:pStyle w:val="6"/>
        <w:keepNext/>
        <w:keepLines/>
        <w:pageBreakBefore w:val="0"/>
        <w:widowControl w:val="0"/>
        <w:numPr>
          <w:ilvl w:val="2"/>
          <w:numId w:val="0"/>
        </w:numPr>
        <w:tabs>
          <w:tab w:val="left" w:pos="931"/>
        </w:tabs>
        <w:kinsoku/>
        <w:wordWrap/>
        <w:overflowPunct/>
        <w:topLinePunct w:val="0"/>
        <w:autoSpaceDE/>
        <w:autoSpaceDN/>
        <w:bidi w:val="0"/>
        <w:adjustRightInd/>
        <w:snapToGrid w:val="0"/>
        <w:spacing w:line="360" w:lineRule="auto"/>
        <w:ind w:leftChars="100"/>
        <w:textAlignment w:val="auto"/>
        <w:outlineLvl w:val="3"/>
        <w:rPr>
          <w:rFonts w:hint="default" w:ascii="Times New Roman" w:hAnsi="Times New Roman" w:cs="Times New Roman"/>
          <w:snapToGrid w:val="0"/>
          <w:color w:val="000000"/>
          <w:kern w:val="0"/>
          <w:sz w:val="28"/>
          <w:szCs w:val="28"/>
          <w:lang w:val="en-US" w:eastAsia="zh-CN"/>
        </w:rPr>
      </w:pPr>
      <w:bookmarkStart w:id="1039" w:name="_Toc25112"/>
      <w:r>
        <w:rPr>
          <w:rFonts w:hint="default" w:ascii="Times New Roman" w:hAnsi="Times New Roman" w:cs="Times New Roman"/>
          <w:snapToGrid w:val="0"/>
          <w:color w:val="000000"/>
          <w:kern w:val="0"/>
          <w:sz w:val="28"/>
          <w:szCs w:val="28"/>
          <w:lang w:val="en-US" w:eastAsia="zh-CN"/>
        </w:rPr>
        <w:t>3.1.</w:t>
      </w:r>
      <w:r>
        <w:rPr>
          <w:rFonts w:hint="eastAsia" w:ascii="Times New Roman" w:hAnsi="Times New Roman" w:cs="Times New Roman"/>
          <w:snapToGrid w:val="0"/>
          <w:color w:val="000000"/>
          <w:kern w:val="0"/>
          <w:sz w:val="28"/>
          <w:szCs w:val="28"/>
          <w:lang w:val="en-US" w:eastAsia="zh-CN"/>
        </w:rPr>
        <w:t>6.7</w:t>
      </w:r>
      <w:r>
        <w:rPr>
          <w:rFonts w:hint="default" w:ascii="Times New Roman" w:hAnsi="Times New Roman" w:cs="Times New Roman"/>
          <w:snapToGrid w:val="0"/>
          <w:color w:val="000000"/>
          <w:kern w:val="0"/>
          <w:sz w:val="28"/>
          <w:szCs w:val="28"/>
          <w:lang w:val="en-US" w:eastAsia="zh-CN"/>
        </w:rPr>
        <w:t>淘汰工艺、淘汰设备辨识</w:t>
      </w:r>
      <w:bookmarkEnd w:id="1039"/>
    </w:p>
    <w:p w14:paraId="3A2BCA88">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imes New Roman" w:hAnsi="Times New Roman" w:eastAsia="宋体" w:cs="Times New Roman"/>
          <w:snapToGrid w:val="0"/>
          <w:color w:val="000000"/>
          <w:kern w:val="0"/>
          <w:sz w:val="28"/>
          <w:szCs w:val="28"/>
        </w:rPr>
      </w:pPr>
      <w:r>
        <w:rPr>
          <w:rFonts w:hint="default" w:ascii="Times New Roman" w:hAnsi="Times New Roman" w:eastAsia="宋体" w:cs="Times New Roman"/>
          <w:snapToGrid w:val="0"/>
          <w:color w:val="000000"/>
          <w:kern w:val="0"/>
          <w:sz w:val="28"/>
          <w:szCs w:val="28"/>
        </w:rPr>
        <w:t>根据《淘汰落后危险化学品安全生产技术工艺设备目录（第一批）》（应急厅〔2020〕38 号）</w:t>
      </w:r>
      <w:r>
        <w:rPr>
          <w:rFonts w:hint="default" w:ascii="Times New Roman" w:hAnsi="Times New Roman" w:eastAsia="宋体" w:cs="Times New Roman"/>
          <w:snapToGrid w:val="0"/>
          <w:color w:val="000000"/>
          <w:kern w:val="0"/>
          <w:sz w:val="28"/>
          <w:szCs w:val="28"/>
          <w:lang w:eastAsia="zh-CN"/>
        </w:rPr>
        <w:t>、《应急管理部办公厅关于印发&lt;淘汰落后危险化学品安全生产工艺技术设备目录（第二批）&gt;的通知》（应急厅〔2024〕86号）、《淘汰落后安全技术工艺、设备目录（2016 年）》（安监总科技〔2016〕137 号）、《淘汰落后安全技术装备目录（2015 年第一批）》（安监总科技〔2015〕75 号）</w:t>
      </w:r>
      <w:r>
        <w:rPr>
          <w:rFonts w:hint="eastAsia" w:ascii="Times New Roman" w:hAnsi="Times New Roman" w:eastAsia="宋体" w:cs="Times New Roman"/>
          <w:snapToGrid w:val="0"/>
          <w:color w:val="000000"/>
          <w:kern w:val="0"/>
          <w:sz w:val="28"/>
          <w:szCs w:val="28"/>
          <w:lang w:eastAsia="zh-CN"/>
        </w:rPr>
        <w:t>、</w:t>
      </w:r>
      <w:r>
        <w:rPr>
          <w:rFonts w:hint="default" w:ascii="Times New Roman" w:hAnsi="Times New Roman" w:eastAsia="宋体" w:cs="Times New Roman"/>
          <w:snapToGrid w:val="0"/>
          <w:color w:val="000000"/>
          <w:kern w:val="0"/>
          <w:sz w:val="28"/>
          <w:szCs w:val="28"/>
          <w:lang w:val="en-US" w:eastAsia="zh-CN"/>
        </w:rPr>
        <w:t>《〈产业结构调整指导目录</w:t>
      </w:r>
      <w:r>
        <w:rPr>
          <w:rFonts w:hint="eastAsia" w:ascii="Times New Roman" w:hAnsi="Times New Roman" w:eastAsia="宋体" w:cs="Times New Roman"/>
          <w:snapToGrid w:val="0"/>
          <w:color w:val="000000"/>
          <w:kern w:val="0"/>
          <w:sz w:val="28"/>
          <w:szCs w:val="28"/>
          <w:lang w:val="en-US" w:eastAsia="zh-CN"/>
        </w:rPr>
        <w:t>（</w:t>
      </w:r>
      <w:r>
        <w:rPr>
          <w:rFonts w:hint="default" w:ascii="Times New Roman" w:hAnsi="Times New Roman" w:eastAsia="宋体" w:cs="Times New Roman"/>
          <w:snapToGrid w:val="0"/>
          <w:color w:val="000000"/>
          <w:kern w:val="0"/>
          <w:sz w:val="28"/>
          <w:szCs w:val="28"/>
          <w:lang w:val="en-US" w:eastAsia="zh-CN"/>
        </w:rPr>
        <w:t>20</w:t>
      </w:r>
      <w:r>
        <w:rPr>
          <w:rFonts w:hint="eastAsia" w:ascii="Times New Roman" w:hAnsi="Times New Roman" w:eastAsia="宋体" w:cs="Times New Roman"/>
          <w:snapToGrid w:val="0"/>
          <w:color w:val="000000"/>
          <w:kern w:val="0"/>
          <w:sz w:val="28"/>
          <w:szCs w:val="28"/>
          <w:lang w:val="en-US" w:eastAsia="zh-CN"/>
        </w:rPr>
        <w:t>24</w:t>
      </w:r>
      <w:r>
        <w:rPr>
          <w:rFonts w:hint="default" w:ascii="Times New Roman" w:hAnsi="Times New Roman" w:eastAsia="宋体" w:cs="Times New Roman"/>
          <w:snapToGrid w:val="0"/>
          <w:color w:val="000000"/>
          <w:kern w:val="0"/>
          <w:sz w:val="28"/>
          <w:szCs w:val="28"/>
          <w:lang w:val="en-US" w:eastAsia="zh-CN"/>
        </w:rPr>
        <w:t>年本)</w:t>
      </w:r>
      <w:r>
        <w:rPr>
          <w:rFonts w:hint="eastAsia" w:ascii="Times New Roman" w:hAnsi="Times New Roman" w:eastAsia="宋体" w:cs="Times New Roman"/>
          <w:snapToGrid w:val="0"/>
          <w:color w:val="000000"/>
          <w:kern w:val="0"/>
          <w:sz w:val="28"/>
          <w:szCs w:val="28"/>
          <w:lang w:val="en-US" w:eastAsia="zh-CN"/>
        </w:rPr>
        <w:t>〉</w:t>
      </w:r>
      <w:r>
        <w:rPr>
          <w:rFonts w:hint="default" w:ascii="Times New Roman" w:hAnsi="Times New Roman" w:eastAsia="宋体" w:cs="Times New Roman"/>
          <w:snapToGrid w:val="0"/>
          <w:color w:val="000000"/>
          <w:kern w:val="0"/>
          <w:sz w:val="28"/>
          <w:szCs w:val="28"/>
          <w:lang w:val="en-US" w:eastAsia="zh-CN"/>
        </w:rPr>
        <w:t>》</w:t>
      </w:r>
      <w:r>
        <w:rPr>
          <w:rFonts w:hint="default" w:ascii="Times New Roman" w:hAnsi="Times New Roman" w:eastAsia="宋体" w:cs="Times New Roman"/>
          <w:snapToGrid w:val="0"/>
          <w:color w:val="000000"/>
          <w:kern w:val="0"/>
          <w:sz w:val="28"/>
          <w:szCs w:val="28"/>
          <w:lang w:eastAsia="zh-CN"/>
        </w:rPr>
        <w:t>，</w:t>
      </w:r>
      <w:r>
        <w:rPr>
          <w:rFonts w:hint="default" w:ascii="Times New Roman" w:hAnsi="Times New Roman" w:eastAsia="宋体" w:cs="Times New Roman"/>
          <w:snapToGrid w:val="0"/>
          <w:color w:val="000000"/>
          <w:kern w:val="0"/>
          <w:sz w:val="28"/>
          <w:szCs w:val="28"/>
        </w:rPr>
        <w:t>该项目不涉及</w:t>
      </w:r>
      <w:r>
        <w:rPr>
          <w:rFonts w:hint="default" w:ascii="Times New Roman" w:hAnsi="Times New Roman" w:eastAsia="宋体" w:cs="Times New Roman"/>
          <w:snapToGrid w:val="0"/>
          <w:color w:val="000000"/>
          <w:kern w:val="0"/>
          <w:sz w:val="28"/>
          <w:szCs w:val="28"/>
          <w:lang w:val="en-US" w:eastAsia="zh-CN"/>
        </w:rPr>
        <w:t>淘汰工艺、淘汰设备</w:t>
      </w:r>
      <w:r>
        <w:rPr>
          <w:rFonts w:hint="default" w:ascii="Times New Roman" w:hAnsi="Times New Roman" w:eastAsia="宋体" w:cs="Times New Roman"/>
          <w:snapToGrid w:val="0"/>
          <w:color w:val="000000"/>
          <w:kern w:val="0"/>
          <w:sz w:val="28"/>
          <w:szCs w:val="28"/>
        </w:rPr>
        <w:t>。</w:t>
      </w:r>
    </w:p>
    <w:p w14:paraId="07F37297">
      <w:pPr>
        <w:pStyle w:val="5"/>
        <w:keepNext/>
        <w:keepLines/>
        <w:pageBreakBefore w:val="0"/>
        <w:widowControl w:val="0"/>
        <w:numPr>
          <w:ilvl w:val="2"/>
          <w:numId w:val="0"/>
        </w:numPr>
        <w:kinsoku/>
        <w:wordWrap/>
        <w:overflowPunct/>
        <w:topLinePunct w:val="0"/>
        <w:autoSpaceDE/>
        <w:autoSpaceDN/>
        <w:bidi w:val="0"/>
        <w:adjustRightInd/>
        <w:snapToGrid w:val="0"/>
        <w:spacing w:line="360" w:lineRule="auto"/>
        <w:ind w:leftChars="100"/>
        <w:textAlignment w:val="auto"/>
        <w:rPr>
          <w:rFonts w:hint="eastAsia" w:ascii="Times New Roman" w:hAnsi="Times New Roman" w:cs="Times New Roman"/>
          <w:snapToGrid w:val="0"/>
          <w:color w:val="000000"/>
          <w:kern w:val="0"/>
          <w:sz w:val="32"/>
          <w:lang w:val="en-US" w:eastAsia="zh-CN"/>
        </w:rPr>
      </w:pPr>
      <w:bookmarkStart w:id="1040" w:name="_Toc23487"/>
      <w:bookmarkStart w:id="1041" w:name="_Toc106898652"/>
      <w:bookmarkStart w:id="1042" w:name="_Toc5065"/>
      <w:bookmarkStart w:id="1043" w:name="_Toc109325088"/>
      <w:r>
        <w:rPr>
          <w:rFonts w:hint="eastAsia" w:ascii="Times New Roman" w:hAnsi="Times New Roman" w:cs="Times New Roman"/>
          <w:snapToGrid w:val="0"/>
          <w:color w:val="000000"/>
          <w:kern w:val="0"/>
          <w:sz w:val="32"/>
          <w:lang w:val="en-US" w:eastAsia="zh-CN"/>
        </w:rPr>
        <w:t>3.1.7重大危险源辨识</w:t>
      </w:r>
      <w:bookmarkEnd w:id="1040"/>
      <w:bookmarkEnd w:id="1041"/>
      <w:bookmarkEnd w:id="1042"/>
      <w:bookmarkEnd w:id="1043"/>
    </w:p>
    <w:p w14:paraId="7C7C7247">
      <w:pPr>
        <w:pStyle w:val="6"/>
        <w:keepNext/>
        <w:keepLines/>
        <w:pageBreakBefore w:val="0"/>
        <w:widowControl w:val="0"/>
        <w:numPr>
          <w:ilvl w:val="2"/>
          <w:numId w:val="0"/>
        </w:numPr>
        <w:tabs>
          <w:tab w:val="left" w:pos="931"/>
        </w:tabs>
        <w:kinsoku/>
        <w:wordWrap/>
        <w:overflowPunct/>
        <w:topLinePunct w:val="0"/>
        <w:autoSpaceDE/>
        <w:autoSpaceDN/>
        <w:bidi w:val="0"/>
        <w:adjustRightInd/>
        <w:snapToGrid w:val="0"/>
        <w:spacing w:line="360" w:lineRule="auto"/>
        <w:ind w:leftChars="100"/>
        <w:textAlignment w:val="auto"/>
        <w:outlineLvl w:val="3"/>
        <w:rPr>
          <w:rFonts w:hint="eastAsia" w:ascii="Times New Roman" w:hAnsi="Times New Roman" w:cs="Times New Roman"/>
          <w:snapToGrid w:val="0"/>
          <w:color w:val="000000"/>
          <w:kern w:val="0"/>
          <w:sz w:val="28"/>
          <w:szCs w:val="28"/>
          <w:lang w:val="en-US" w:eastAsia="zh-CN"/>
        </w:rPr>
      </w:pPr>
      <w:bookmarkStart w:id="1044" w:name="_Toc109325089"/>
      <w:bookmarkStart w:id="1045" w:name="_Toc23691"/>
      <w:bookmarkStart w:id="1046" w:name="_Toc106898653"/>
      <w:bookmarkStart w:id="1047" w:name="_Toc3012"/>
      <w:bookmarkStart w:id="1048" w:name="_Toc10890"/>
      <w:r>
        <w:rPr>
          <w:rFonts w:hint="eastAsia" w:ascii="Times New Roman" w:hAnsi="Times New Roman" w:cs="Times New Roman"/>
          <w:snapToGrid w:val="0"/>
          <w:color w:val="000000"/>
          <w:kern w:val="0"/>
          <w:sz w:val="28"/>
          <w:szCs w:val="28"/>
          <w:lang w:val="en-US" w:eastAsia="zh-CN"/>
        </w:rPr>
        <w:t>3.1.7.1辨识依据</w:t>
      </w:r>
      <w:bookmarkEnd w:id="1044"/>
      <w:bookmarkEnd w:id="1045"/>
      <w:bookmarkEnd w:id="1046"/>
      <w:bookmarkEnd w:id="1047"/>
      <w:bookmarkEnd w:id="1048"/>
    </w:p>
    <w:p w14:paraId="1505A5FE">
      <w:pPr>
        <w:ind w:firstLine="560" w:firstLineChars="200"/>
        <w:rPr>
          <w:rFonts w:ascii="Times New Roman" w:hAnsi="Times New Roman"/>
          <w:b/>
          <w:color w:val="auto"/>
          <w:sz w:val="28"/>
          <w:szCs w:val="28"/>
        </w:rPr>
      </w:pPr>
      <w:r>
        <w:rPr>
          <w:rFonts w:hint="eastAsia" w:ascii="Times New Roman" w:hAnsi="Times New Roman"/>
          <w:color w:val="auto"/>
          <w:sz w:val="28"/>
          <w:szCs w:val="28"/>
        </w:rPr>
        <w:t>按照《危险化学品重大危险源辨识》（GB18218-2018），危险化学品重大危险源</w:t>
      </w:r>
      <w:r>
        <w:rPr>
          <w:rFonts w:hint="eastAsia" w:ascii="Times New Roman" w:hAnsi="Times New Roman"/>
          <w:bCs/>
          <w:color w:val="auto"/>
          <w:sz w:val="28"/>
          <w:szCs w:val="28"/>
        </w:rPr>
        <w:t>定义为：</w:t>
      </w:r>
      <w:r>
        <w:rPr>
          <w:rFonts w:hint="eastAsia" w:ascii="Times New Roman" w:hAnsi="Times New Roman"/>
          <w:color w:val="auto"/>
          <w:sz w:val="28"/>
          <w:szCs w:val="28"/>
        </w:rPr>
        <w:t>长期地或临时地生产、储存、使用和经营危险化学品,且危险化学品的数量等于或超过临界量的单元。</w:t>
      </w:r>
    </w:p>
    <w:p w14:paraId="7DBE17B0">
      <w:pPr>
        <w:ind w:firstLine="560" w:firstLineChars="200"/>
        <w:rPr>
          <w:rFonts w:ascii="Times New Roman" w:hAnsi="Times New Roman"/>
          <w:color w:val="auto"/>
          <w:sz w:val="28"/>
          <w:szCs w:val="28"/>
        </w:rPr>
      </w:pPr>
      <w:r>
        <w:rPr>
          <w:rFonts w:hint="eastAsia" w:ascii="Times New Roman" w:hAnsi="Times New Roman"/>
          <w:color w:val="auto"/>
          <w:sz w:val="28"/>
          <w:szCs w:val="28"/>
        </w:rPr>
        <w:t>生产单元：危险化学品的生产、加工及使用等的装置及设施,当装置及设施之间有切断阀时，以切断阀作为分隔界限划分为独立的单元。</w:t>
      </w:r>
    </w:p>
    <w:p w14:paraId="134E466A">
      <w:pPr>
        <w:ind w:firstLine="560" w:firstLineChars="200"/>
        <w:rPr>
          <w:rFonts w:ascii="Times New Roman" w:hAnsi="Times New Roman"/>
          <w:color w:val="auto"/>
          <w:sz w:val="28"/>
          <w:szCs w:val="28"/>
        </w:rPr>
      </w:pPr>
      <w:r>
        <w:rPr>
          <w:rFonts w:hint="eastAsia" w:ascii="Times New Roman" w:hAnsi="Times New Roman"/>
          <w:color w:val="auto"/>
          <w:sz w:val="28"/>
          <w:szCs w:val="28"/>
        </w:rPr>
        <w:t>储存单元：用于储存危险化学品的储罐或仓库组成的相对独立的区域,储罐区以罐区防火堤为界限划分为独立的单元,仓库以独立库房（独立建筑物）为界限划分为独立的单元。</w:t>
      </w:r>
    </w:p>
    <w:p w14:paraId="2801C733">
      <w:pPr>
        <w:widowControl/>
        <w:ind w:firstLine="560" w:firstLineChars="200"/>
        <w:jc w:val="left"/>
        <w:rPr>
          <w:rFonts w:ascii="Times New Roman" w:hAnsi="Times New Roman"/>
          <w:color w:val="auto"/>
          <w:kern w:val="0"/>
          <w:sz w:val="28"/>
          <w:szCs w:val="28"/>
          <w:lang w:bidi="ar"/>
        </w:rPr>
      </w:pPr>
      <w:r>
        <w:rPr>
          <w:rFonts w:hint="eastAsia" w:ascii="Times New Roman" w:hAnsi="Times New Roman"/>
          <w:color w:val="auto"/>
          <w:kern w:val="0"/>
          <w:sz w:val="28"/>
          <w:szCs w:val="28"/>
          <w:lang w:bidi="ar"/>
        </w:rPr>
        <w:t>生产单元、储存单元内存在的危险化学品为单一品种时,该危险化学品的数量即为单元内危险化学品的总量,若等于或超过相应的临界量,则定为重大危险源。</w:t>
      </w:r>
    </w:p>
    <w:p w14:paraId="0F8359C8">
      <w:pPr>
        <w:widowControl/>
        <w:ind w:firstLine="560" w:firstLineChars="200"/>
        <w:jc w:val="left"/>
        <w:rPr>
          <w:rFonts w:ascii="Times New Roman" w:hAnsi="Times New Roman"/>
          <w:color w:val="auto"/>
          <w:kern w:val="0"/>
          <w:sz w:val="28"/>
          <w:szCs w:val="28"/>
          <w:lang w:bidi="ar"/>
        </w:rPr>
      </w:pPr>
      <w:r>
        <w:rPr>
          <w:rFonts w:hint="eastAsia" w:ascii="Times New Roman" w:hAnsi="Times New Roman"/>
          <w:color w:val="auto"/>
          <w:kern w:val="0"/>
          <w:sz w:val="28"/>
          <w:szCs w:val="28"/>
          <w:lang w:bidi="ar"/>
        </w:rPr>
        <w:t>生产单元、储存单元内存在的危险化学品为多品种时,按下式计算,若满足下式,则定为重大危险源:</w:t>
      </w:r>
    </w:p>
    <w:p w14:paraId="36C6A04F">
      <w:pPr>
        <w:widowControl/>
        <w:ind w:left="745" w:leftChars="266" w:firstLine="560" w:firstLineChars="200"/>
        <w:jc w:val="left"/>
        <w:rPr>
          <w:rFonts w:hint="eastAsia" w:ascii="Times New Roman" w:hAnsi="Times New Roman" w:eastAsia="宋体"/>
          <w:color w:val="auto"/>
          <w:kern w:val="0"/>
          <w:sz w:val="28"/>
          <w:szCs w:val="28"/>
          <w:lang w:eastAsia="zh-CN" w:bidi="ar"/>
        </w:rPr>
      </w:pPr>
      <w:r>
        <w:rPr>
          <w:rFonts w:hint="eastAsia" w:ascii="Times New Roman" w:hAnsi="Times New Roman"/>
          <w:color w:val="auto"/>
          <w:kern w:val="0"/>
          <w:sz w:val="28"/>
          <w:szCs w:val="28"/>
          <w:lang w:bidi="ar"/>
        </w:rPr>
        <w:t>S = q</w:t>
      </w:r>
      <w:r>
        <w:rPr>
          <w:rFonts w:hint="eastAsia" w:ascii="Times New Roman" w:hAnsi="Times New Roman"/>
          <w:color w:val="auto"/>
          <w:kern w:val="0"/>
          <w:sz w:val="28"/>
          <w:szCs w:val="28"/>
          <w:vertAlign w:val="subscript"/>
          <w:lang w:bidi="ar"/>
        </w:rPr>
        <w:t>1</w:t>
      </w:r>
      <w:r>
        <w:rPr>
          <w:rFonts w:hint="eastAsia" w:ascii="Times New Roman" w:hAnsi="Times New Roman"/>
          <w:color w:val="auto"/>
          <w:kern w:val="0"/>
          <w:sz w:val="28"/>
          <w:szCs w:val="28"/>
          <w:lang w:bidi="ar"/>
        </w:rPr>
        <w:t>/Q</w:t>
      </w:r>
      <w:r>
        <w:rPr>
          <w:rFonts w:hint="eastAsia" w:ascii="Times New Roman" w:hAnsi="Times New Roman"/>
          <w:color w:val="auto"/>
          <w:kern w:val="0"/>
          <w:sz w:val="28"/>
          <w:szCs w:val="28"/>
          <w:vertAlign w:val="subscript"/>
          <w:lang w:bidi="ar"/>
        </w:rPr>
        <w:t>1</w:t>
      </w:r>
      <w:r>
        <w:rPr>
          <w:rFonts w:hint="eastAsia" w:ascii="Times New Roman" w:hAnsi="Times New Roman"/>
          <w:color w:val="auto"/>
          <w:kern w:val="0"/>
          <w:sz w:val="28"/>
          <w:szCs w:val="28"/>
          <w:lang w:bidi="ar"/>
        </w:rPr>
        <w:t> + q</w:t>
      </w:r>
      <w:r>
        <w:rPr>
          <w:rFonts w:hint="eastAsia" w:ascii="Times New Roman" w:hAnsi="Times New Roman"/>
          <w:color w:val="auto"/>
          <w:kern w:val="0"/>
          <w:sz w:val="28"/>
          <w:szCs w:val="28"/>
          <w:vertAlign w:val="subscript"/>
          <w:lang w:bidi="ar"/>
        </w:rPr>
        <w:t>2</w:t>
      </w:r>
      <w:r>
        <w:rPr>
          <w:rFonts w:hint="eastAsia" w:ascii="Times New Roman" w:hAnsi="Times New Roman"/>
          <w:color w:val="auto"/>
          <w:kern w:val="0"/>
          <w:sz w:val="28"/>
          <w:szCs w:val="28"/>
          <w:lang w:bidi="ar"/>
        </w:rPr>
        <w:t>/Q</w:t>
      </w:r>
      <w:r>
        <w:rPr>
          <w:rFonts w:hint="eastAsia" w:ascii="Times New Roman" w:hAnsi="Times New Roman"/>
          <w:color w:val="auto"/>
          <w:kern w:val="0"/>
          <w:sz w:val="28"/>
          <w:szCs w:val="28"/>
          <w:vertAlign w:val="subscript"/>
          <w:lang w:bidi="ar"/>
        </w:rPr>
        <w:t>2</w:t>
      </w:r>
      <w:r>
        <w:rPr>
          <w:rFonts w:hint="eastAsia" w:ascii="Times New Roman" w:hAnsi="Times New Roman"/>
          <w:color w:val="auto"/>
          <w:kern w:val="0"/>
          <w:sz w:val="28"/>
          <w:szCs w:val="28"/>
          <w:lang w:bidi="ar"/>
        </w:rPr>
        <w:t>+...十q</w:t>
      </w:r>
      <w:r>
        <w:rPr>
          <w:rFonts w:hint="eastAsia" w:ascii="Times New Roman" w:hAnsi="Times New Roman"/>
          <w:color w:val="auto"/>
          <w:kern w:val="0"/>
          <w:sz w:val="28"/>
          <w:szCs w:val="28"/>
          <w:vertAlign w:val="subscript"/>
          <w:lang w:bidi="ar"/>
        </w:rPr>
        <w:t>n</w:t>
      </w:r>
      <w:r>
        <w:rPr>
          <w:rFonts w:hint="eastAsia" w:ascii="Times New Roman" w:hAnsi="Times New Roman"/>
          <w:color w:val="auto"/>
          <w:kern w:val="0"/>
          <w:sz w:val="28"/>
          <w:szCs w:val="28"/>
          <w:lang w:bidi="ar"/>
        </w:rPr>
        <w:t>/Q</w:t>
      </w:r>
      <w:r>
        <w:rPr>
          <w:rFonts w:hint="eastAsia" w:ascii="Times New Roman" w:hAnsi="Times New Roman"/>
          <w:color w:val="auto"/>
          <w:kern w:val="0"/>
          <w:sz w:val="28"/>
          <w:szCs w:val="28"/>
          <w:vertAlign w:val="subscript"/>
          <w:lang w:bidi="ar"/>
        </w:rPr>
        <w:t>n</w:t>
      </w:r>
      <w:r>
        <w:rPr>
          <w:rFonts w:hint="eastAsia" w:ascii="Times New Roman" w:hAnsi="Times New Roman"/>
          <w:color w:val="auto"/>
          <w:kern w:val="0"/>
          <w:sz w:val="28"/>
          <w:szCs w:val="28"/>
          <w:lang w:bidi="ar"/>
        </w:rPr>
        <w:t>≥1</w:t>
      </w:r>
    </w:p>
    <w:p w14:paraId="4C08AB8D">
      <w:pPr>
        <w:widowControl/>
        <w:ind w:left="745" w:leftChars="266" w:firstLine="560" w:firstLineChars="200"/>
        <w:jc w:val="left"/>
        <w:rPr>
          <w:rFonts w:ascii="Times New Roman" w:hAnsi="Times New Roman"/>
          <w:color w:val="auto"/>
          <w:kern w:val="0"/>
          <w:sz w:val="28"/>
          <w:szCs w:val="28"/>
          <w:lang w:bidi="ar"/>
        </w:rPr>
      </w:pPr>
      <w:r>
        <w:rPr>
          <w:rFonts w:hint="eastAsia" w:ascii="Times New Roman" w:hAnsi="Times New Roman"/>
          <w:color w:val="auto"/>
          <w:kern w:val="0"/>
          <w:sz w:val="28"/>
          <w:szCs w:val="28"/>
          <w:lang w:bidi="ar"/>
        </w:rPr>
        <w:t>式中:</w:t>
      </w:r>
    </w:p>
    <w:p w14:paraId="69DA3EDD">
      <w:pPr>
        <w:widowControl/>
        <w:ind w:firstLine="560" w:firstLineChars="200"/>
        <w:jc w:val="left"/>
        <w:rPr>
          <w:rFonts w:ascii="Times New Roman" w:hAnsi="Times New Roman"/>
          <w:color w:val="auto"/>
          <w:kern w:val="0"/>
          <w:sz w:val="28"/>
          <w:szCs w:val="28"/>
          <w:lang w:bidi="ar"/>
        </w:rPr>
      </w:pPr>
      <w:r>
        <w:rPr>
          <w:rFonts w:hint="eastAsia" w:ascii="Times New Roman" w:hAnsi="Times New Roman"/>
          <w:color w:val="auto"/>
          <w:kern w:val="0"/>
          <w:sz w:val="28"/>
          <w:szCs w:val="28"/>
          <w:lang w:bidi="ar"/>
        </w:rPr>
        <w:t>S—辨识指标;</w:t>
      </w:r>
    </w:p>
    <w:p w14:paraId="400A0AD5">
      <w:pPr>
        <w:widowControl/>
        <w:ind w:firstLine="560" w:firstLineChars="200"/>
        <w:jc w:val="left"/>
        <w:rPr>
          <w:rFonts w:ascii="Times New Roman" w:hAnsi="Times New Roman"/>
          <w:color w:val="auto"/>
          <w:kern w:val="0"/>
          <w:sz w:val="28"/>
          <w:szCs w:val="28"/>
          <w:lang w:bidi="ar"/>
        </w:rPr>
      </w:pPr>
      <w:r>
        <w:rPr>
          <w:rFonts w:hint="eastAsia" w:ascii="Times New Roman" w:hAnsi="Times New Roman"/>
          <w:color w:val="auto"/>
          <w:kern w:val="0"/>
          <w:sz w:val="28"/>
          <w:szCs w:val="28"/>
          <w:lang w:bidi="ar"/>
        </w:rPr>
        <w:t>q</w:t>
      </w:r>
      <w:r>
        <w:rPr>
          <w:rFonts w:hint="eastAsia" w:ascii="Times New Roman" w:hAnsi="Times New Roman"/>
          <w:color w:val="auto"/>
          <w:kern w:val="0"/>
          <w:sz w:val="28"/>
          <w:szCs w:val="28"/>
          <w:vertAlign w:val="subscript"/>
          <w:lang w:bidi="ar"/>
        </w:rPr>
        <w:t>1，</w:t>
      </w:r>
      <w:r>
        <w:rPr>
          <w:rFonts w:hint="eastAsia" w:ascii="Times New Roman" w:hAnsi="Times New Roman"/>
          <w:color w:val="auto"/>
          <w:kern w:val="0"/>
          <w:sz w:val="28"/>
          <w:szCs w:val="28"/>
          <w:lang w:bidi="ar"/>
        </w:rPr>
        <w:t>q</w:t>
      </w:r>
      <w:r>
        <w:rPr>
          <w:rFonts w:hint="eastAsia" w:ascii="Times New Roman" w:hAnsi="Times New Roman"/>
          <w:color w:val="auto"/>
          <w:kern w:val="0"/>
          <w:sz w:val="28"/>
          <w:szCs w:val="28"/>
          <w:vertAlign w:val="subscript"/>
          <w:lang w:bidi="ar"/>
        </w:rPr>
        <w:t>2，</w:t>
      </w:r>
      <w:r>
        <w:rPr>
          <w:rFonts w:hint="eastAsia" w:ascii="Times New Roman" w:hAnsi="Times New Roman"/>
          <w:color w:val="auto"/>
          <w:kern w:val="0"/>
          <w:sz w:val="28"/>
          <w:szCs w:val="28"/>
          <w:lang w:bidi="ar"/>
        </w:rPr>
        <w:t>...q</w:t>
      </w:r>
      <w:r>
        <w:rPr>
          <w:rFonts w:hint="eastAsia" w:ascii="Times New Roman" w:hAnsi="Times New Roman"/>
          <w:color w:val="auto"/>
          <w:kern w:val="0"/>
          <w:sz w:val="28"/>
          <w:szCs w:val="28"/>
          <w:vertAlign w:val="subscript"/>
          <w:lang w:bidi="ar"/>
        </w:rPr>
        <w:t>n——</w:t>
      </w:r>
      <w:r>
        <w:rPr>
          <w:rFonts w:hint="eastAsia" w:ascii="Times New Roman" w:hAnsi="Times New Roman"/>
          <w:color w:val="auto"/>
          <w:kern w:val="0"/>
          <w:sz w:val="28"/>
          <w:szCs w:val="28"/>
          <w:lang w:bidi="ar"/>
        </w:rPr>
        <w:t>每种危险化学品的实际存在量,单位为吨(t)；</w:t>
      </w:r>
    </w:p>
    <w:p w14:paraId="6B1A9E9D">
      <w:pPr>
        <w:widowControl/>
        <w:ind w:firstLine="560" w:firstLineChars="200"/>
        <w:jc w:val="left"/>
        <w:rPr>
          <w:rFonts w:ascii="Times New Roman" w:hAnsi="Times New Roman"/>
          <w:color w:val="auto"/>
          <w:kern w:val="0"/>
          <w:sz w:val="28"/>
          <w:szCs w:val="28"/>
          <w:lang w:bidi="ar"/>
        </w:rPr>
      </w:pPr>
      <w:r>
        <w:rPr>
          <w:rFonts w:hint="eastAsia" w:ascii="Times New Roman" w:hAnsi="Times New Roman"/>
          <w:color w:val="auto"/>
          <w:kern w:val="0"/>
          <w:sz w:val="28"/>
          <w:szCs w:val="28"/>
          <w:lang w:bidi="ar"/>
        </w:rPr>
        <w:t>Q</w:t>
      </w:r>
      <w:r>
        <w:rPr>
          <w:rFonts w:hint="eastAsia" w:ascii="Times New Roman" w:hAnsi="Times New Roman"/>
          <w:color w:val="auto"/>
          <w:kern w:val="0"/>
          <w:sz w:val="28"/>
          <w:szCs w:val="28"/>
          <w:vertAlign w:val="subscript"/>
          <w:lang w:bidi="ar"/>
        </w:rPr>
        <w:t>1</w:t>
      </w:r>
      <w:r>
        <w:rPr>
          <w:rFonts w:hint="eastAsia" w:ascii="Times New Roman" w:hAnsi="Times New Roman"/>
          <w:color w:val="auto"/>
          <w:kern w:val="0"/>
          <w:sz w:val="28"/>
          <w:szCs w:val="28"/>
          <w:lang w:bidi="ar"/>
        </w:rPr>
        <w:t>，Q</w:t>
      </w:r>
      <w:r>
        <w:rPr>
          <w:rFonts w:hint="eastAsia" w:ascii="Times New Roman" w:hAnsi="Times New Roman"/>
          <w:color w:val="auto"/>
          <w:kern w:val="0"/>
          <w:sz w:val="28"/>
          <w:szCs w:val="28"/>
          <w:vertAlign w:val="subscript"/>
          <w:lang w:bidi="ar"/>
        </w:rPr>
        <w:t>2</w:t>
      </w:r>
      <w:r>
        <w:rPr>
          <w:rFonts w:hint="eastAsia" w:ascii="Times New Roman" w:hAnsi="Times New Roman"/>
          <w:color w:val="auto"/>
          <w:kern w:val="0"/>
          <w:sz w:val="28"/>
          <w:szCs w:val="28"/>
          <w:lang w:bidi="ar"/>
        </w:rPr>
        <w:t>...Q</w:t>
      </w:r>
      <w:r>
        <w:rPr>
          <w:rFonts w:hint="eastAsia" w:ascii="Times New Roman" w:hAnsi="Times New Roman"/>
          <w:color w:val="auto"/>
          <w:kern w:val="0"/>
          <w:sz w:val="28"/>
          <w:szCs w:val="28"/>
          <w:vertAlign w:val="subscript"/>
          <w:lang w:bidi="ar"/>
        </w:rPr>
        <w:t>n——</w:t>
      </w:r>
      <w:r>
        <w:rPr>
          <w:rFonts w:hint="eastAsia" w:ascii="Times New Roman" w:hAnsi="Times New Roman"/>
          <w:color w:val="auto"/>
          <w:kern w:val="0"/>
          <w:sz w:val="28"/>
          <w:szCs w:val="28"/>
          <w:lang w:bidi="ar"/>
        </w:rPr>
        <w:t>与每种危险化学品相对应的临界量,单位为吨(t)。</w:t>
      </w:r>
    </w:p>
    <w:p w14:paraId="1B5D21C5">
      <w:pPr>
        <w:widowControl/>
        <w:ind w:firstLine="560" w:firstLineChars="200"/>
        <w:jc w:val="left"/>
        <w:rPr>
          <w:rFonts w:ascii="Times New Roman" w:hAnsi="Times New Roman"/>
          <w:color w:val="auto"/>
          <w:kern w:val="0"/>
          <w:sz w:val="28"/>
          <w:szCs w:val="28"/>
          <w:lang w:bidi="ar"/>
        </w:rPr>
      </w:pPr>
      <w:r>
        <w:rPr>
          <w:rFonts w:hint="eastAsia" w:ascii="Times New Roman" w:hAnsi="Times New Roman"/>
          <w:color w:val="auto"/>
          <w:kern w:val="0"/>
          <w:sz w:val="28"/>
          <w:szCs w:val="28"/>
          <w:lang w:bidi="ar"/>
        </w:rPr>
        <w:t>危险化学品储罐以及其他容器、设备或仓储区的危险化学品的实际存在量按设计最大量确定。对于危险化学品混合物，如果混合物与其纯净物质属于相同危险类别，则视混合物为纯净物，按混合物整体进行计算。如果混合物与其纯净物质不属于相同危险类别，则应按新危险类别考虑其临界量。</w:t>
      </w:r>
    </w:p>
    <w:p w14:paraId="5F734F5A">
      <w:pPr>
        <w:pStyle w:val="6"/>
        <w:keepNext/>
        <w:keepLines/>
        <w:pageBreakBefore w:val="0"/>
        <w:widowControl w:val="0"/>
        <w:numPr>
          <w:ilvl w:val="2"/>
          <w:numId w:val="0"/>
        </w:numPr>
        <w:tabs>
          <w:tab w:val="left" w:pos="931"/>
        </w:tabs>
        <w:kinsoku/>
        <w:wordWrap/>
        <w:overflowPunct/>
        <w:topLinePunct w:val="0"/>
        <w:autoSpaceDE/>
        <w:autoSpaceDN/>
        <w:bidi w:val="0"/>
        <w:adjustRightInd/>
        <w:snapToGrid w:val="0"/>
        <w:spacing w:line="360" w:lineRule="auto"/>
        <w:ind w:leftChars="100"/>
        <w:textAlignment w:val="auto"/>
        <w:outlineLvl w:val="3"/>
        <w:rPr>
          <w:rFonts w:hint="eastAsia" w:ascii="Times New Roman" w:hAnsi="Times New Roman" w:cs="Times New Roman"/>
          <w:snapToGrid w:val="0"/>
          <w:color w:val="000000"/>
          <w:kern w:val="0"/>
          <w:sz w:val="28"/>
          <w:szCs w:val="28"/>
          <w:lang w:val="en-US" w:eastAsia="zh-CN"/>
        </w:rPr>
      </w:pPr>
      <w:bookmarkStart w:id="1049" w:name="_Toc10355"/>
      <w:bookmarkStart w:id="1050" w:name="_Toc6226"/>
      <w:bookmarkStart w:id="1051" w:name="_Toc109325090"/>
      <w:bookmarkStart w:id="1052" w:name="_Toc106898654"/>
      <w:bookmarkStart w:id="1053" w:name="_Toc11141"/>
      <w:r>
        <w:rPr>
          <w:rFonts w:hint="eastAsia" w:ascii="Times New Roman" w:hAnsi="Times New Roman" w:cs="Times New Roman"/>
          <w:snapToGrid w:val="0"/>
          <w:color w:val="000000"/>
          <w:kern w:val="0"/>
          <w:sz w:val="28"/>
          <w:szCs w:val="28"/>
          <w:lang w:val="en-US" w:eastAsia="zh-CN"/>
        </w:rPr>
        <w:t>3.1.7.2辨识过程</w:t>
      </w:r>
      <w:bookmarkEnd w:id="1049"/>
      <w:bookmarkEnd w:id="1050"/>
      <w:bookmarkEnd w:id="1051"/>
      <w:bookmarkEnd w:id="1052"/>
      <w:bookmarkEnd w:id="1053"/>
    </w:p>
    <w:p w14:paraId="6C7A3A7F">
      <w:pPr>
        <w:keepNext w:val="0"/>
        <w:keepLines w:val="0"/>
        <w:pageBreakBefore w:val="0"/>
        <w:widowControl w:val="0"/>
        <w:kinsoku/>
        <w:wordWrap/>
        <w:overflowPunct/>
        <w:topLinePunct w:val="0"/>
        <w:autoSpaceDE/>
        <w:autoSpaceDN/>
        <w:bidi w:val="0"/>
        <w:adjustRightInd/>
        <w:snapToGrid w:val="0"/>
        <w:ind w:firstLine="560" w:firstLineChars="200"/>
        <w:jc w:val="both"/>
        <w:textAlignment w:val="auto"/>
        <w:rPr>
          <w:rFonts w:hint="eastAsia" w:ascii="宋体" w:hAnsi="宋体" w:cs="宋体"/>
          <w:color w:val="auto"/>
          <w:kern w:val="0"/>
          <w:sz w:val="28"/>
          <w:szCs w:val="28"/>
        </w:rPr>
      </w:pPr>
      <w:bookmarkStart w:id="1054" w:name="_Toc73343389"/>
      <w:bookmarkStart w:id="1055" w:name="_Toc72069398"/>
      <w:r>
        <w:rPr>
          <w:rFonts w:hint="eastAsia"/>
          <w:color w:val="auto"/>
          <w:sz w:val="28"/>
          <w:szCs w:val="28"/>
        </w:rPr>
        <w:t>本项目物料输送外管廊属于管道输送，不属于危险化学品的生产、加工、使用或储存，不在危险化学品重大危险源辨识范围内，不构成重大危险源</w:t>
      </w:r>
      <w:r>
        <w:rPr>
          <w:rFonts w:hint="eastAsia" w:ascii="宋体" w:hAnsi="宋体" w:cs="宋体"/>
          <w:color w:val="auto"/>
          <w:kern w:val="0"/>
          <w:sz w:val="28"/>
          <w:szCs w:val="28"/>
        </w:rPr>
        <w:t>。</w:t>
      </w:r>
    </w:p>
    <w:p w14:paraId="279A13FF">
      <w:pPr>
        <w:pStyle w:val="5"/>
        <w:keepNext/>
        <w:keepLines/>
        <w:pageBreakBefore w:val="0"/>
        <w:widowControl w:val="0"/>
        <w:numPr>
          <w:ilvl w:val="2"/>
          <w:numId w:val="0"/>
        </w:numPr>
        <w:kinsoku/>
        <w:wordWrap/>
        <w:overflowPunct/>
        <w:topLinePunct w:val="0"/>
        <w:autoSpaceDE/>
        <w:autoSpaceDN/>
        <w:bidi w:val="0"/>
        <w:adjustRightInd/>
        <w:snapToGrid w:val="0"/>
        <w:spacing w:line="360" w:lineRule="auto"/>
        <w:ind w:leftChars="100"/>
        <w:textAlignment w:val="auto"/>
        <w:rPr>
          <w:rFonts w:hint="eastAsia" w:ascii="Times New Roman" w:hAnsi="Times New Roman" w:cs="Times New Roman"/>
          <w:snapToGrid w:val="0"/>
          <w:color w:val="000000"/>
          <w:kern w:val="0"/>
          <w:sz w:val="32"/>
          <w:lang w:val="en-US" w:eastAsia="zh-CN"/>
        </w:rPr>
      </w:pPr>
      <w:bookmarkStart w:id="1056" w:name="_Toc8364"/>
      <w:r>
        <w:rPr>
          <w:rFonts w:hint="eastAsia" w:ascii="Times New Roman" w:hAnsi="Times New Roman" w:cs="Times New Roman"/>
          <w:snapToGrid w:val="0"/>
          <w:color w:val="000000"/>
          <w:kern w:val="0"/>
          <w:sz w:val="32"/>
          <w:lang w:val="en-US" w:eastAsia="zh-CN"/>
        </w:rPr>
        <w:t>3.1.8爆炸危险区域划分</w:t>
      </w:r>
      <w:bookmarkEnd w:id="1056"/>
    </w:p>
    <w:p w14:paraId="19199D07">
      <w:pPr>
        <w:ind w:firstLine="560"/>
      </w:pPr>
      <w:r>
        <w:rPr>
          <w:rFonts w:hint="eastAsia"/>
        </w:rPr>
        <w:t>本项目涉及的危险物质有浓硫酸、稀硫酸和氟硅酸，为非易燃易爆物质，火灾危险类别为戊类。</w:t>
      </w:r>
    </w:p>
    <w:p w14:paraId="14C27728">
      <w:pPr>
        <w:ind w:firstLine="560"/>
        <w:rPr>
          <w:kern w:val="0"/>
        </w:rPr>
      </w:pPr>
      <w:r>
        <w:rPr>
          <w:rFonts w:hint="eastAsia"/>
          <w:kern w:val="0"/>
        </w:rPr>
        <w:t>根据《爆炸危险环境电力装置设计规范》和本项目特点，本项目按非爆炸危险区域考虑。</w:t>
      </w:r>
    </w:p>
    <w:bookmarkEnd w:id="889"/>
    <w:bookmarkEnd w:id="890"/>
    <w:bookmarkEnd w:id="891"/>
    <w:bookmarkEnd w:id="1054"/>
    <w:bookmarkEnd w:id="1055"/>
    <w:p w14:paraId="6B3CBC61">
      <w:pPr>
        <w:pStyle w:val="5"/>
        <w:keepNext/>
        <w:keepLines/>
        <w:pageBreakBefore w:val="0"/>
        <w:widowControl w:val="0"/>
        <w:numPr>
          <w:ilvl w:val="2"/>
          <w:numId w:val="0"/>
        </w:numPr>
        <w:kinsoku/>
        <w:wordWrap/>
        <w:overflowPunct/>
        <w:topLinePunct w:val="0"/>
        <w:autoSpaceDE/>
        <w:autoSpaceDN/>
        <w:bidi w:val="0"/>
        <w:adjustRightInd/>
        <w:snapToGrid w:val="0"/>
        <w:spacing w:line="360" w:lineRule="auto"/>
        <w:ind w:leftChars="100"/>
        <w:textAlignment w:val="auto"/>
        <w:rPr>
          <w:rFonts w:hint="eastAsia" w:ascii="Times New Roman" w:hAnsi="Times New Roman" w:cs="Times New Roman"/>
          <w:snapToGrid w:val="0"/>
          <w:color w:val="000000"/>
          <w:kern w:val="0"/>
          <w:sz w:val="32"/>
          <w:lang w:val="en-US" w:eastAsia="zh-CN"/>
        </w:rPr>
      </w:pPr>
      <w:bookmarkStart w:id="1057" w:name="_Toc387790938"/>
      <w:bookmarkStart w:id="1058" w:name="_Toc387703616"/>
      <w:bookmarkStart w:id="1059" w:name="_Toc349511209"/>
      <w:bookmarkStart w:id="1060" w:name="_Toc19051"/>
      <w:bookmarkStart w:id="1061" w:name="_Toc30007"/>
      <w:bookmarkStart w:id="1062" w:name="_Toc354667584"/>
      <w:bookmarkStart w:id="1063" w:name="_Toc346708713"/>
      <w:bookmarkStart w:id="1064" w:name="_Toc460364936"/>
      <w:bookmarkStart w:id="1065" w:name="_Toc387488059"/>
      <w:r>
        <w:rPr>
          <w:rFonts w:hint="eastAsia" w:ascii="Times New Roman" w:hAnsi="Times New Roman" w:cs="Times New Roman"/>
          <w:snapToGrid w:val="0"/>
          <w:color w:val="000000"/>
          <w:kern w:val="0"/>
          <w:sz w:val="32"/>
          <w:lang w:val="en-US" w:eastAsia="zh-CN"/>
        </w:rPr>
        <w:t>3.1.9本章小结</w:t>
      </w:r>
      <w:bookmarkEnd w:id="1057"/>
      <w:bookmarkEnd w:id="1058"/>
      <w:bookmarkEnd w:id="1059"/>
      <w:bookmarkEnd w:id="1060"/>
      <w:bookmarkEnd w:id="1061"/>
      <w:bookmarkEnd w:id="1062"/>
      <w:bookmarkEnd w:id="1063"/>
      <w:bookmarkEnd w:id="1064"/>
      <w:bookmarkEnd w:id="1065"/>
    </w:p>
    <w:p w14:paraId="2615CF5C">
      <w:pPr>
        <w:adjustRightInd w:val="0"/>
        <w:ind w:firstLine="560" w:firstLineChars="200"/>
        <w:rPr>
          <w:rFonts w:hint="eastAsia" w:ascii="Times New Roman" w:hAnsi="Times New Roman" w:eastAsia="宋体" w:cs="宋体"/>
          <w:color w:val="auto"/>
          <w:sz w:val="28"/>
          <w:szCs w:val="28"/>
        </w:rPr>
      </w:pPr>
      <w:bookmarkStart w:id="1066" w:name="_Hlk72878725"/>
      <w:bookmarkStart w:id="1067" w:name="_Hlk72843986"/>
      <w:r>
        <w:rPr>
          <w:rFonts w:hint="eastAsia" w:ascii="Times New Roman" w:hAnsi="Times New Roman" w:eastAsia="宋体" w:cs="宋体"/>
          <w:color w:val="auto"/>
          <w:sz w:val="28"/>
          <w:szCs w:val="28"/>
        </w:rPr>
        <w:t>本项目涉及的危险化学品为浓硫酸、稀硫酸、氟硅酸等。</w:t>
      </w:r>
    </w:p>
    <w:p w14:paraId="045AFEFA">
      <w:pPr>
        <w:adjustRightInd w:val="0"/>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存在着火灾、化学腐蚀、化学灼伤、高温烫伤、机械伤害、触电、高处坠落、滑坡、坍塌等。其中主要危险、有害因素为化学腐蚀、化学灼伤、滑坡、坍塌。</w:t>
      </w:r>
    </w:p>
    <w:p w14:paraId="219FD7B8">
      <w:pPr>
        <w:adjustRightInd w:val="0"/>
        <w:ind w:firstLine="560" w:firstLineChars="200"/>
        <w:rPr>
          <w:rFonts w:hint="eastAsia" w:ascii="Times New Roman" w:hAnsi="Times New Roman" w:eastAsia="宋体" w:cs="宋体"/>
          <w:color w:val="auto"/>
          <w:sz w:val="28"/>
          <w:szCs w:val="28"/>
        </w:rPr>
      </w:pPr>
      <w:r>
        <w:rPr>
          <w:rFonts w:hint="eastAsia" w:ascii="Times New Roman" w:hAnsi="Times New Roman"/>
          <w:snapToGrid w:val="0"/>
          <w:color w:val="auto"/>
          <w:kern w:val="0"/>
          <w:sz w:val="28"/>
          <w:szCs w:val="28"/>
        </w:rPr>
        <w:t>本项目不涉及剧毒化学品，</w:t>
      </w:r>
      <w:r>
        <w:rPr>
          <w:rFonts w:hint="eastAsia" w:ascii="Times New Roman" w:hAnsi="Times New Roman"/>
          <w:color w:val="auto"/>
          <w:sz w:val="28"/>
          <w:szCs w:val="28"/>
        </w:rPr>
        <w:t>涉及易制爆化学品</w:t>
      </w:r>
      <w:r>
        <w:rPr>
          <w:rFonts w:hint="eastAsia" w:ascii="Times New Roman" w:hAnsi="Times New Roman"/>
          <w:color w:val="auto"/>
          <w:kern w:val="3"/>
          <w:sz w:val="28"/>
          <w:szCs w:val="28"/>
        </w:rPr>
        <w:t>硫酸</w:t>
      </w:r>
      <w:r>
        <w:rPr>
          <w:rFonts w:ascii="Times New Roman" w:hAnsi="Times New Roman"/>
          <w:color w:val="auto"/>
          <w:sz w:val="28"/>
          <w:szCs w:val="28"/>
        </w:rPr>
        <w:t>，</w:t>
      </w:r>
      <w:r>
        <w:rPr>
          <w:rFonts w:hint="eastAsia" w:ascii="Times New Roman" w:hAnsi="Times New Roman"/>
          <w:color w:val="auto"/>
          <w:sz w:val="28"/>
          <w:szCs w:val="28"/>
        </w:rPr>
        <w:t>不涉及特别管控危险化</w:t>
      </w:r>
      <w:r>
        <w:rPr>
          <w:rFonts w:hint="eastAsia" w:ascii="Times New Roman" w:hAnsi="Times New Roman" w:eastAsia="宋体" w:cs="宋体"/>
          <w:color w:val="auto"/>
          <w:sz w:val="28"/>
          <w:szCs w:val="28"/>
        </w:rPr>
        <w:t>学品，不涉及监控危险化学品，不涉及重点监管的危险化学品。</w:t>
      </w:r>
    </w:p>
    <w:p w14:paraId="43486656">
      <w:pPr>
        <w:adjustRightInd w:val="0"/>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本项目生产工艺不属于重点监管危险化工工艺</w:t>
      </w:r>
      <w:r>
        <w:rPr>
          <w:rFonts w:hint="eastAsia" w:ascii="Times New Roman" w:hAnsi="Times New Roman" w:eastAsia="宋体" w:cs="宋体"/>
          <w:color w:val="auto"/>
          <w:sz w:val="28"/>
          <w:szCs w:val="28"/>
          <w:lang w:val="en-US" w:eastAsia="zh-CN"/>
        </w:rPr>
        <w:t>,</w:t>
      </w:r>
      <w:r>
        <w:rPr>
          <w:rFonts w:hint="default" w:ascii="Times New Roman" w:hAnsi="Times New Roman" w:eastAsia="宋体" w:cs="宋体"/>
          <w:color w:val="auto"/>
          <w:sz w:val="28"/>
          <w:szCs w:val="28"/>
        </w:rPr>
        <w:t>不涉及</w:t>
      </w:r>
      <w:r>
        <w:rPr>
          <w:rFonts w:hint="default" w:ascii="Times New Roman" w:hAnsi="Times New Roman" w:eastAsia="宋体" w:cs="宋体"/>
          <w:color w:val="auto"/>
          <w:sz w:val="28"/>
          <w:szCs w:val="28"/>
          <w:lang w:val="en-US" w:eastAsia="zh-CN"/>
        </w:rPr>
        <w:t>淘汰工艺、淘汰设备</w:t>
      </w:r>
      <w:r>
        <w:rPr>
          <w:rFonts w:hint="eastAsia" w:ascii="Times New Roman" w:hAnsi="Times New Roman" w:eastAsia="宋体" w:cs="宋体"/>
          <w:color w:val="auto"/>
          <w:sz w:val="28"/>
          <w:szCs w:val="28"/>
        </w:rPr>
        <w:t>。</w:t>
      </w:r>
    </w:p>
    <w:p w14:paraId="1C687D54">
      <w:pPr>
        <w:adjustRightInd w:val="0"/>
        <w:ind w:firstLine="560" w:firstLineChars="200"/>
        <w:rPr>
          <w:rFonts w:ascii="Times New Roman" w:hAnsi="Times New Roman"/>
          <w:color w:val="auto"/>
          <w:sz w:val="28"/>
          <w:szCs w:val="28"/>
        </w:rPr>
      </w:pPr>
      <w:r>
        <w:rPr>
          <w:rFonts w:hint="eastAsia" w:ascii="Times New Roman" w:hAnsi="Times New Roman" w:eastAsia="宋体" w:cs="宋体"/>
          <w:color w:val="auto"/>
          <w:sz w:val="28"/>
          <w:szCs w:val="28"/>
        </w:rPr>
        <w:t>本项目不构成危险</w:t>
      </w:r>
      <w:r>
        <w:rPr>
          <w:rFonts w:hint="eastAsia" w:ascii="宋体" w:hAnsi="宋体" w:cs="宋体"/>
          <w:color w:val="auto"/>
          <w:kern w:val="0"/>
          <w:sz w:val="28"/>
          <w:szCs w:val="28"/>
        </w:rPr>
        <w:t>化学品重大危险源</w:t>
      </w:r>
      <w:r>
        <w:rPr>
          <w:rFonts w:hint="eastAsia" w:ascii="Times New Roman" w:hAnsi="Times New Roman"/>
          <w:color w:val="auto"/>
          <w:kern w:val="0"/>
          <w:sz w:val="28"/>
          <w:szCs w:val="28"/>
        </w:rPr>
        <w:t>。</w:t>
      </w:r>
    </w:p>
    <w:bookmarkEnd w:id="1066"/>
    <w:bookmarkEnd w:id="1067"/>
    <w:p w14:paraId="1027A6C0">
      <w:pPr>
        <w:pStyle w:val="3"/>
        <w:adjustRightInd w:val="0"/>
        <w:spacing w:before="340" w:after="330"/>
        <w:jc w:val="both"/>
        <w:rPr>
          <w:color w:val="auto"/>
        </w:rPr>
        <w:sectPr>
          <w:pgSz w:w="11905" w:h="16838"/>
          <w:pgMar w:top="1417" w:right="1134" w:bottom="1134" w:left="1587" w:header="850" w:footer="680" w:gutter="0"/>
          <w:pgNumType w:fmt="decimal"/>
          <w:cols w:space="0" w:num="1"/>
          <w:rtlGutter w:val="0"/>
          <w:docGrid w:type="lines" w:linePitch="386" w:charSpace="0"/>
        </w:sectPr>
      </w:pPr>
      <w:bookmarkStart w:id="1068" w:name="_Toc62042230"/>
      <w:bookmarkStart w:id="1069" w:name="_Toc349511654"/>
      <w:bookmarkStart w:id="1070" w:name="_Toc292639468"/>
      <w:bookmarkStart w:id="1071" w:name="_Toc195889318"/>
      <w:bookmarkStart w:id="1072" w:name="_Toc354667478"/>
      <w:bookmarkStart w:id="1073" w:name="_Toc387488530"/>
      <w:bookmarkStart w:id="1074" w:name="_Toc213436480"/>
      <w:bookmarkStart w:id="1075" w:name="_Toc213744501"/>
      <w:bookmarkStart w:id="1076" w:name="_Toc387703520"/>
      <w:bookmarkStart w:id="1077" w:name="_Toc335599698"/>
      <w:bookmarkStart w:id="1078" w:name="_Toc213436589"/>
      <w:bookmarkStart w:id="1079" w:name="_Toc335511853"/>
      <w:bookmarkStart w:id="1080" w:name="_Toc292639651"/>
      <w:bookmarkStart w:id="1081" w:name="_Toc297416395"/>
      <w:bookmarkStart w:id="1082" w:name="_Toc217055066"/>
      <w:bookmarkStart w:id="1083" w:name="_Toc297653242"/>
      <w:bookmarkStart w:id="1084" w:name="_Toc354667710"/>
      <w:bookmarkStart w:id="1085" w:name="_Toc297452854"/>
    </w:p>
    <w:bookmarkEnd w:id="1068"/>
    <w:p w14:paraId="5856FB89">
      <w:pPr>
        <w:pStyle w:val="4"/>
        <w:keepNext/>
        <w:keepLines/>
        <w:pageBreakBefore w:val="0"/>
        <w:widowControl w:val="0"/>
        <w:numPr>
          <w:ilvl w:val="1"/>
          <w:numId w:val="0"/>
        </w:numPr>
        <w:kinsoku/>
        <w:wordWrap/>
        <w:overflowPunct/>
        <w:topLinePunct w:val="0"/>
        <w:autoSpaceDE/>
        <w:autoSpaceDN/>
        <w:bidi w:val="0"/>
        <w:adjustRightInd/>
        <w:snapToGrid w:val="0"/>
        <w:spacing w:before="193"/>
        <w:ind w:leftChars="0"/>
        <w:jc w:val="left"/>
        <w:textAlignment w:val="auto"/>
        <w:rPr>
          <w:rFonts w:hint="eastAsia" w:ascii="黑体" w:hAnsi="黑体" w:eastAsia="黑体" w:cs="黑体"/>
          <w:b/>
          <w:bCs w:val="0"/>
          <w:color w:val="auto"/>
          <w:sz w:val="36"/>
          <w:szCs w:val="36"/>
          <w:lang w:val="en-US" w:eastAsia="zh-CN"/>
        </w:rPr>
      </w:pPr>
      <w:bookmarkStart w:id="1086" w:name="_Toc28540"/>
      <w:bookmarkStart w:id="1087" w:name="_Toc26635"/>
      <w:r>
        <w:rPr>
          <w:rFonts w:hint="eastAsia" w:ascii="黑体" w:hAnsi="黑体" w:eastAsia="黑体" w:cs="黑体"/>
          <w:b/>
          <w:bCs w:val="0"/>
          <w:color w:val="auto"/>
          <w:sz w:val="36"/>
          <w:szCs w:val="36"/>
          <w:lang w:val="en-US" w:eastAsia="zh-CN"/>
        </w:rPr>
        <w:t>3.2 定性、定量分析过程</w:t>
      </w:r>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p>
    <w:p w14:paraId="1CA30C34">
      <w:pPr>
        <w:pStyle w:val="5"/>
        <w:keepNext/>
        <w:keepLines/>
        <w:pageBreakBefore w:val="0"/>
        <w:widowControl w:val="0"/>
        <w:numPr>
          <w:ilvl w:val="2"/>
          <w:numId w:val="0"/>
        </w:numPr>
        <w:kinsoku/>
        <w:wordWrap/>
        <w:overflowPunct/>
        <w:topLinePunct w:val="0"/>
        <w:autoSpaceDE/>
        <w:autoSpaceDN/>
        <w:bidi w:val="0"/>
        <w:adjustRightInd/>
        <w:snapToGrid w:val="0"/>
        <w:spacing w:line="360" w:lineRule="auto"/>
        <w:ind w:leftChars="100"/>
        <w:textAlignment w:val="auto"/>
        <w:rPr>
          <w:rFonts w:hint="eastAsia" w:ascii="Times New Roman" w:hAnsi="Times New Roman" w:cs="Times New Roman"/>
          <w:snapToGrid w:val="0"/>
          <w:color w:val="000000"/>
          <w:kern w:val="0"/>
          <w:sz w:val="32"/>
          <w:lang w:val="en-US" w:eastAsia="zh-CN"/>
        </w:rPr>
      </w:pPr>
      <w:bookmarkStart w:id="1088" w:name="_Toc22941"/>
      <w:bookmarkStart w:id="1089" w:name="_Toc28386"/>
      <w:r>
        <w:rPr>
          <w:rFonts w:hint="eastAsia" w:ascii="Times New Roman" w:hAnsi="Times New Roman" w:cs="Times New Roman"/>
          <w:snapToGrid w:val="0"/>
          <w:color w:val="000000"/>
          <w:kern w:val="0"/>
          <w:sz w:val="32"/>
          <w:lang w:val="en-US" w:eastAsia="zh-CN"/>
        </w:rPr>
        <w:t>3.2.1外部安全条件评价单元分析评价</w:t>
      </w:r>
      <w:bookmarkEnd w:id="1088"/>
      <w:bookmarkEnd w:id="1089"/>
    </w:p>
    <w:p w14:paraId="4079CF9C">
      <w:pPr>
        <w:pStyle w:val="6"/>
        <w:keepNext/>
        <w:keepLines/>
        <w:pageBreakBefore w:val="0"/>
        <w:widowControl w:val="0"/>
        <w:numPr>
          <w:ilvl w:val="2"/>
          <w:numId w:val="0"/>
        </w:numPr>
        <w:tabs>
          <w:tab w:val="left" w:pos="931"/>
        </w:tabs>
        <w:kinsoku/>
        <w:wordWrap/>
        <w:overflowPunct/>
        <w:topLinePunct w:val="0"/>
        <w:autoSpaceDE/>
        <w:autoSpaceDN/>
        <w:bidi w:val="0"/>
        <w:adjustRightInd/>
        <w:snapToGrid w:val="0"/>
        <w:spacing w:line="360" w:lineRule="auto"/>
        <w:ind w:leftChars="100"/>
        <w:textAlignment w:val="auto"/>
        <w:outlineLvl w:val="3"/>
        <w:rPr>
          <w:rFonts w:hint="eastAsia" w:ascii="Times New Roman" w:hAnsi="Times New Roman" w:cs="Times New Roman"/>
          <w:snapToGrid w:val="0"/>
          <w:color w:val="000000"/>
          <w:kern w:val="0"/>
          <w:sz w:val="28"/>
          <w:szCs w:val="28"/>
          <w:lang w:val="en-US" w:eastAsia="zh-CN"/>
        </w:rPr>
      </w:pPr>
      <w:bookmarkStart w:id="1090" w:name="_Toc12940"/>
      <w:r>
        <w:rPr>
          <w:rFonts w:hint="eastAsia" w:ascii="Times New Roman" w:hAnsi="Times New Roman" w:cs="Times New Roman"/>
          <w:snapToGrid w:val="0"/>
          <w:color w:val="000000"/>
          <w:kern w:val="0"/>
          <w:sz w:val="28"/>
          <w:szCs w:val="28"/>
          <w:lang w:val="en-US" w:eastAsia="zh-CN"/>
        </w:rPr>
        <w:t>3.2.1.1建设程序符合性分析评价</w:t>
      </w:r>
      <w:bookmarkEnd w:id="1090"/>
    </w:p>
    <w:p w14:paraId="32AC132B">
      <w:pPr>
        <w:pStyle w:val="122"/>
        <w:keepNext w:val="0"/>
        <w:keepLines w:val="0"/>
        <w:pageBreakBefore w:val="0"/>
        <w:widowControl w:val="0"/>
        <w:numPr>
          <w:ilvl w:val="0"/>
          <w:numId w:val="0"/>
        </w:numPr>
        <w:kinsoku/>
        <w:wordWrap/>
        <w:overflowPunct/>
        <w:topLinePunct w:val="0"/>
        <w:autoSpaceDE/>
        <w:autoSpaceDN/>
        <w:bidi w:val="0"/>
        <w:snapToGrid w:val="0"/>
        <w:spacing w:line="360" w:lineRule="auto"/>
        <w:ind w:leftChars="0" w:firstLine="560" w:firstLineChars="200"/>
        <w:textAlignment w:val="auto"/>
        <w:rPr>
          <w:rFonts w:hint="eastAsia" w:ascii="Times New Roman" w:hAnsi="Times New Roman" w:eastAsia="宋体" w:cs="Times New Roman"/>
          <w:color w:val="auto"/>
          <w:sz w:val="28"/>
          <w:szCs w:val="28"/>
          <w:lang w:val="en-US" w:eastAsia="zh-CN" w:bidi="ar-SA"/>
        </w:rPr>
      </w:pPr>
      <w:r>
        <w:rPr>
          <w:rFonts w:hint="eastAsia" w:ascii="Times New Roman" w:hAnsi="Times New Roman" w:eastAsia="宋体" w:cs="Times New Roman"/>
          <w:color w:val="auto"/>
          <w:sz w:val="28"/>
          <w:szCs w:val="28"/>
          <w:lang w:val="en-US" w:eastAsia="zh-CN" w:bidi="ar-SA"/>
        </w:rPr>
        <w:t>云南瓮福祥丰氟硅新材料有限公司3万吨/年无水氟化氢和2万吨/年电子级氢氟酸厂外公用工程管架建设项目不在《产业结构调整指导目录（2024年本）》淘汰类，符合产业结构调整指导目录，建设项目于2023年11月由华陆工程科技有限责任公司编制了可行性研究报告，于2023年11月22日取得云南省固定资产投资项目备案证（备案号【项目代码】：2311-530181-04-01-896081，备案机关：安宁市发展和改革局）</w:t>
      </w:r>
    </w:p>
    <w:p w14:paraId="449B578B">
      <w:pPr>
        <w:pStyle w:val="12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560" w:firstLineChars="200"/>
        <w:textAlignment w:val="auto"/>
        <w:rPr>
          <w:rFonts w:hint="default" w:ascii="Times New Roman" w:hAnsi="Times New Roman" w:eastAsia="宋体" w:cs="Times New Roman"/>
          <w:color w:val="auto"/>
          <w:sz w:val="28"/>
          <w:szCs w:val="28"/>
          <w:lang w:val="en-US" w:eastAsia="zh-CN" w:bidi="ar-SA"/>
        </w:rPr>
      </w:pPr>
      <w:r>
        <w:rPr>
          <w:rFonts w:hint="eastAsia" w:ascii="Times New Roman" w:hAnsi="Times New Roman" w:eastAsia="宋体" w:cs="Times New Roman"/>
          <w:color w:val="auto"/>
          <w:sz w:val="28"/>
          <w:szCs w:val="28"/>
          <w:lang w:val="en-US" w:eastAsia="zh-CN" w:bidi="ar-SA"/>
        </w:rPr>
        <w:t>于2024年4月18日取得云南省林业和草原局出具的3万吨/年无水氟化氢和2万吨/年电子级氢氟酸厂外公用工程管架建设项目使用林地审核同意书(云林许准（昆）[2024]76号)。</w:t>
      </w:r>
    </w:p>
    <w:p w14:paraId="252F0620">
      <w:pPr>
        <w:pStyle w:val="12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560" w:firstLineChars="200"/>
        <w:textAlignment w:val="auto"/>
        <w:rPr>
          <w:rFonts w:hint="eastAsia" w:ascii="Times New Roman" w:hAnsi="Times New Roman" w:eastAsia="宋体" w:cs="Times New Roman"/>
          <w:color w:val="auto"/>
          <w:sz w:val="28"/>
          <w:szCs w:val="28"/>
          <w:lang w:val="en-US" w:eastAsia="zh-CN" w:bidi="ar-SA"/>
        </w:rPr>
      </w:pPr>
      <w:r>
        <w:rPr>
          <w:rFonts w:hint="eastAsia" w:ascii="Times New Roman" w:hAnsi="Times New Roman" w:eastAsia="宋体" w:cs="Times New Roman"/>
          <w:color w:val="auto"/>
          <w:sz w:val="28"/>
          <w:szCs w:val="28"/>
          <w:lang w:val="en-US" w:eastAsia="zh-CN" w:bidi="ar-SA"/>
        </w:rPr>
        <w:t>于2024年7月8日取得云南安宁产业园区管理委员会自然资源与规划局出具的关于3万吨/年无水氟化氢和2万吨/年电子级氢氟酸厂外公用工程管架建设项目的选址情况说明。</w:t>
      </w:r>
    </w:p>
    <w:p w14:paraId="4DD1C275">
      <w:pPr>
        <w:pStyle w:val="12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560" w:firstLineChars="200"/>
        <w:textAlignment w:val="auto"/>
        <w:rPr>
          <w:rFonts w:hint="eastAsia" w:ascii="Times New Roman" w:hAnsi="Times New Roman" w:eastAsia="宋体" w:cs="Times New Roman"/>
          <w:color w:val="auto"/>
          <w:sz w:val="28"/>
          <w:szCs w:val="28"/>
          <w:lang w:val="en-US" w:eastAsia="zh-CN" w:bidi="ar-SA"/>
        </w:rPr>
      </w:pPr>
      <w:r>
        <w:rPr>
          <w:rFonts w:hint="eastAsia" w:ascii="Times New Roman" w:hAnsi="Times New Roman" w:eastAsia="宋体" w:cs="Times New Roman"/>
          <w:color w:val="auto"/>
          <w:sz w:val="28"/>
          <w:szCs w:val="28"/>
          <w:lang w:val="en-US" w:eastAsia="zh-CN" w:bidi="ar-SA"/>
        </w:rPr>
        <w:t>于2024年8月由云南恒然安全技术有限公司编制了《云南瓮福祥丰氟硅新材料有限公司3万吨/年无水氟化氢和2万吨/年电子级氢氟酸厂外公用工程管架建设项目安全预评价</w:t>
      </w:r>
      <w:r>
        <w:rPr>
          <w:rFonts w:hint="eastAsia" w:ascii="Times New Roman" w:hAnsi="Times New Roman" w:eastAsia="宋体" w:cs="Times New Roman"/>
          <w:color w:val="auto"/>
          <w:sz w:val="28"/>
          <w:szCs w:val="28"/>
          <w:lang w:val="zh-CN" w:eastAsia="zh-CN" w:bidi="ar-SA"/>
        </w:rPr>
        <w:t>报告》</w:t>
      </w:r>
      <w:r>
        <w:rPr>
          <w:rFonts w:hint="eastAsia" w:ascii="Times New Roman" w:hAnsi="Times New Roman" w:eastAsia="宋体" w:cs="Times New Roman"/>
          <w:color w:val="auto"/>
          <w:sz w:val="28"/>
          <w:szCs w:val="28"/>
          <w:lang w:val="en-US" w:eastAsia="zh-CN" w:bidi="ar-SA"/>
        </w:rPr>
        <w:t>，通过安全条件审查并于2024年8月09日取得昆明市应急管理局出具的《危险化学品建设项目安全条件审查意见书》（昆应急危化项目安条审字[2024]4号）。</w:t>
      </w:r>
    </w:p>
    <w:p w14:paraId="1603C7E1">
      <w:pPr>
        <w:pStyle w:val="12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560" w:firstLineChars="200"/>
        <w:textAlignment w:val="auto"/>
        <w:rPr>
          <w:rFonts w:hint="eastAsia" w:ascii="Times New Roman" w:hAnsi="Times New Roman" w:eastAsia="宋体" w:cs="Times New Roman"/>
          <w:color w:val="auto"/>
          <w:sz w:val="28"/>
          <w:szCs w:val="28"/>
          <w:lang w:val="en-US" w:eastAsia="zh-CN" w:bidi="ar-SA"/>
        </w:rPr>
      </w:pPr>
      <w:r>
        <w:rPr>
          <w:rFonts w:hint="eastAsia" w:ascii="Times New Roman" w:hAnsi="Times New Roman" w:eastAsia="宋体" w:cs="Times New Roman"/>
          <w:color w:val="auto"/>
          <w:sz w:val="28"/>
          <w:szCs w:val="28"/>
          <w:lang w:val="en-US" w:eastAsia="zh-CN" w:bidi="ar-SA"/>
        </w:rPr>
        <w:t>于2024年10月由华陆工程科技有限责任公司编制了《云南瓮福祥丰氟硅新材料有限公司3万吨/年无水氟化氢和2万吨/年电子级氢氟酸厂外公用工程管架建设项目安全设施设计专篇》，并经昆明市应急管理局组织专家审查通过，于2024年11月04日取得昆明市应急管理局出具的《危险化学品建设项目安全设施设计审查意见书》（昆危化项目安设审字[2024]09号）。</w:t>
      </w:r>
    </w:p>
    <w:p w14:paraId="4D69180F">
      <w:pPr>
        <w:pStyle w:val="12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560" w:firstLineChars="200"/>
        <w:textAlignment w:val="auto"/>
        <w:rPr>
          <w:rFonts w:hint="eastAsia" w:ascii="Times New Roman" w:hAnsi="Times New Roman" w:eastAsia="宋体" w:cs="Times New Roman"/>
          <w:color w:val="auto"/>
          <w:sz w:val="28"/>
          <w:szCs w:val="28"/>
          <w:lang w:val="en-US" w:eastAsia="zh-CN" w:bidi="ar-SA"/>
        </w:rPr>
      </w:pPr>
      <w:r>
        <w:rPr>
          <w:rFonts w:hint="eastAsia"/>
          <w:snapToGrid w:val="0"/>
          <w:color w:val="000000"/>
          <w:kern w:val="0"/>
          <w:sz w:val="28"/>
          <w:szCs w:val="28"/>
          <w:lang w:val="en-US" w:eastAsia="zh-CN" w:bidi="ar"/>
        </w:rPr>
        <w:t>主项目无水氟化氢装置2024年10月25日开始试生产，电子级氢氟酸装置2024年11月15日开始试生产，</w:t>
      </w:r>
      <w:r>
        <w:rPr>
          <w:rFonts w:hint="eastAsia"/>
        </w:rPr>
        <w:t>本项目为云南瓮福祥丰氟硅新材料有限公司3万吨/年无水氟化氢和2万吨/年电子级氢氟酸项目配套的厂外公用工程管道设施</w:t>
      </w:r>
      <w:r>
        <w:rPr>
          <w:rFonts w:hint="eastAsia"/>
          <w:lang w:val="en-US" w:eastAsia="zh-CN"/>
        </w:rPr>
        <w:t>配套主项目同步试生产，项目外管廊于2024年10月24日完成所有管线的打压试漏及吹扫工作，于10月25日正式投入使用，化工投料试车时间自2024年10月26日16：00起</w:t>
      </w:r>
      <w:r>
        <w:rPr>
          <w:rFonts w:hint="eastAsia"/>
          <w:snapToGrid w:val="0"/>
          <w:color w:val="000000"/>
          <w:kern w:val="0"/>
          <w:sz w:val="28"/>
          <w:szCs w:val="28"/>
          <w:lang w:val="en-US" w:eastAsia="zh-CN" w:bidi="ar"/>
        </w:rPr>
        <w:t>。</w:t>
      </w:r>
      <w:r>
        <w:rPr>
          <w:snapToGrid w:val="0"/>
          <w:color w:val="000000"/>
          <w:kern w:val="0"/>
          <w:sz w:val="28"/>
          <w:szCs w:val="28"/>
          <w:lang w:bidi="ar"/>
        </w:rPr>
        <w:t>试生产期间，装置符合工艺流程的要求，</w:t>
      </w:r>
      <w:r>
        <w:rPr>
          <w:rFonts w:hint="eastAsia"/>
          <w:snapToGrid w:val="0"/>
          <w:color w:val="000000"/>
          <w:kern w:val="0"/>
          <w:sz w:val="28"/>
          <w:szCs w:val="28"/>
          <w:lang w:bidi="ar"/>
        </w:rPr>
        <w:t>主要指标</w:t>
      </w:r>
      <w:r>
        <w:rPr>
          <w:snapToGrid w:val="0"/>
          <w:color w:val="000000"/>
          <w:kern w:val="0"/>
          <w:sz w:val="28"/>
          <w:szCs w:val="28"/>
          <w:lang w:bidi="ar"/>
        </w:rPr>
        <w:t>达到设计要求，</w:t>
      </w:r>
      <w:r>
        <w:rPr>
          <w:color w:val="000000"/>
          <w:sz w:val="28"/>
          <w:szCs w:val="28"/>
          <w:lang w:bidi="ar"/>
        </w:rPr>
        <w:t>运行正常、有效</w:t>
      </w:r>
      <w:r>
        <w:rPr>
          <w:rFonts w:hint="eastAsia"/>
          <w:color w:val="000000"/>
          <w:sz w:val="28"/>
          <w:szCs w:val="28"/>
          <w:lang w:bidi="ar"/>
        </w:rPr>
        <w:t>，达到性能要求</w:t>
      </w:r>
      <w:r>
        <w:rPr>
          <w:snapToGrid w:val="0"/>
          <w:color w:val="000000"/>
          <w:kern w:val="0"/>
          <w:sz w:val="28"/>
          <w:szCs w:val="28"/>
          <w:lang w:bidi="ar"/>
        </w:rPr>
        <w:t>。</w:t>
      </w:r>
    </w:p>
    <w:p w14:paraId="62E78144">
      <w:pPr>
        <w:pStyle w:val="12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560" w:firstLineChars="200"/>
        <w:textAlignment w:val="auto"/>
        <w:rPr>
          <w:rFonts w:hint="eastAsia" w:ascii="Times New Roman" w:hAnsi="Times New Roman" w:eastAsia="宋体" w:cs="Times New Roman"/>
          <w:color w:val="auto"/>
          <w:sz w:val="28"/>
          <w:szCs w:val="28"/>
          <w:lang w:val="en-US" w:eastAsia="zh-CN" w:bidi="ar-SA"/>
        </w:rPr>
      </w:pPr>
      <w:r>
        <w:rPr>
          <w:rFonts w:hint="eastAsia" w:ascii="Times New Roman" w:hAnsi="Times New Roman" w:eastAsia="宋体" w:cs="Times New Roman"/>
          <w:color w:val="auto"/>
          <w:sz w:val="28"/>
          <w:szCs w:val="28"/>
          <w:lang w:val="en-US" w:eastAsia="zh-CN" w:bidi="ar-SA"/>
        </w:rPr>
        <w:t>目前正在开展项目的安全验收评价工作，项目建设程序符合《中华人民共和国安全生产法》（中华人民共和国主席令第88号）、《危险化学品建设项目安全监督管理办法》（国家安全生产监督管理总局令第45号）、《危险化学品输送管道安全管理规定》（国家安全生产监督管理总局令第79号修正）、《云南省危险化学品建设项目安全监督管理实施细则》（云南省安全生产监督管理局公告第32号）要求，符合国家、地方规划产业政策、发展规划和安全准入条件要求，该项目建设内容、规模与投资备案证上的内容、规模一致。</w:t>
      </w:r>
    </w:p>
    <w:p w14:paraId="0E95E99E">
      <w:pPr>
        <w:pStyle w:val="6"/>
        <w:keepNext/>
        <w:keepLines/>
        <w:pageBreakBefore w:val="0"/>
        <w:widowControl w:val="0"/>
        <w:numPr>
          <w:ilvl w:val="2"/>
          <w:numId w:val="0"/>
        </w:numPr>
        <w:tabs>
          <w:tab w:val="left" w:pos="931"/>
        </w:tabs>
        <w:kinsoku/>
        <w:wordWrap/>
        <w:overflowPunct/>
        <w:topLinePunct w:val="0"/>
        <w:autoSpaceDE/>
        <w:autoSpaceDN/>
        <w:bidi w:val="0"/>
        <w:adjustRightInd/>
        <w:snapToGrid w:val="0"/>
        <w:spacing w:line="360" w:lineRule="auto"/>
        <w:ind w:leftChars="100"/>
        <w:textAlignment w:val="auto"/>
        <w:outlineLvl w:val="3"/>
        <w:rPr>
          <w:rFonts w:hint="eastAsia" w:ascii="Times New Roman" w:hAnsi="Times New Roman" w:cs="Times New Roman"/>
          <w:snapToGrid w:val="0"/>
          <w:color w:val="000000"/>
          <w:kern w:val="0"/>
          <w:sz w:val="28"/>
          <w:szCs w:val="28"/>
          <w:lang w:val="en-US" w:eastAsia="zh-CN"/>
        </w:rPr>
      </w:pPr>
      <w:bookmarkStart w:id="1091" w:name="_Toc10684"/>
      <w:r>
        <w:rPr>
          <w:rFonts w:hint="eastAsia" w:ascii="Times New Roman" w:hAnsi="Times New Roman" w:cs="Times New Roman"/>
          <w:snapToGrid w:val="0"/>
          <w:color w:val="000000"/>
          <w:kern w:val="0"/>
          <w:sz w:val="28"/>
          <w:szCs w:val="28"/>
          <w:lang w:val="en-US" w:eastAsia="zh-CN"/>
        </w:rPr>
        <w:t>3.2.1.2建设项目对周边环境的影响</w:t>
      </w:r>
      <w:bookmarkEnd w:id="1091"/>
    </w:p>
    <w:p w14:paraId="7CA3A7FB">
      <w:pPr>
        <w:adjustRightInd w:val="0"/>
        <w:ind w:firstLine="560" w:firstLineChars="200"/>
        <w:rPr>
          <w:rFonts w:hint="eastAsia" w:ascii="Times New Roman" w:cs="Times New Roman"/>
          <w:bCs/>
          <w:color w:val="auto"/>
          <w:sz w:val="28"/>
          <w:szCs w:val="28"/>
        </w:rPr>
      </w:pPr>
      <w:r>
        <w:rPr>
          <w:rFonts w:hint="eastAsia" w:ascii="Times New Roman" w:cs="Times New Roman"/>
          <w:bCs/>
          <w:color w:val="auto"/>
          <w:sz w:val="28"/>
          <w:szCs w:val="28"/>
        </w:rPr>
        <w:t>根据对云南瓮福祥丰氟硅新材料有限公司3万吨/年无水氟化氢和2万吨/年电子级氢氟酸厂外公用工程管架建设项目涉及物料的危险特性及输送工艺过程的危险性分析，项目存在的主要危险、有害因素是化学腐蚀、化学灼伤、高温烫伤、机械伤害、触电、高处坠落、火灾</w:t>
      </w:r>
      <w:r>
        <w:rPr>
          <w:rFonts w:hint="eastAsia" w:ascii="Times New Roman" w:cs="Times New Roman"/>
          <w:bCs/>
          <w:color w:val="auto"/>
          <w:sz w:val="28"/>
          <w:szCs w:val="28"/>
          <w:lang w:val="en-US" w:eastAsia="zh-CN"/>
        </w:rPr>
        <w:t>等</w:t>
      </w:r>
      <w:r>
        <w:rPr>
          <w:rFonts w:hint="eastAsia" w:ascii="Times New Roman" w:cs="Times New Roman"/>
          <w:bCs/>
          <w:color w:val="auto"/>
          <w:sz w:val="28"/>
          <w:szCs w:val="28"/>
        </w:rPr>
        <w:t>。项目外管廊输送物料浓硫酸、稀硫酸、氟硅酸等具有较强的腐蚀性，若发生浓硫酸、稀硫酸、氟硅酸等泄漏，可能对周边环境造成强烈腐蚀并造成环境污染；若饱和蒸汽泄漏可能导致周边人员、动物被烫伤。</w:t>
      </w:r>
    </w:p>
    <w:p w14:paraId="16D990B3">
      <w:pPr>
        <w:adjustRightInd w:val="0"/>
        <w:ind w:firstLine="560" w:firstLineChars="200"/>
        <w:rPr>
          <w:rFonts w:hint="eastAsia" w:ascii="Times New Roman" w:cs="Times New Roman"/>
          <w:bCs/>
          <w:color w:val="auto"/>
          <w:sz w:val="28"/>
          <w:szCs w:val="28"/>
        </w:rPr>
      </w:pPr>
      <w:r>
        <w:rPr>
          <w:rFonts w:hint="eastAsia" w:ascii="Times New Roman" w:cs="Times New Roman"/>
          <w:bCs/>
          <w:color w:val="auto"/>
          <w:sz w:val="28"/>
          <w:szCs w:val="28"/>
        </w:rPr>
        <w:t>云南瓮福祥丰氟硅新材料有限公司3万吨/年无水氟化氢和2万吨/年电子级氢氟酸厂外公用工程管架建设项目外管廊输送工艺为国内较成熟的输送工艺，项目属于新建项目，生产操作由公司抽调生产经验丰富、具备安全生产技能的人员进行，项目出现工艺失调、设备故障而导致浓硫酸、稀硫酸、氟硅酸、饱和蒸汽大量泄漏的机率较小，故该项目对周边环境的影响可以接受。</w:t>
      </w:r>
    </w:p>
    <w:p w14:paraId="26AA9474">
      <w:pPr>
        <w:adjustRightInd w:val="0"/>
        <w:ind w:firstLine="560" w:firstLineChars="200"/>
        <w:rPr>
          <w:rFonts w:ascii="Times New Roman" w:cs="Times New Roman"/>
          <w:bCs/>
          <w:color w:val="auto"/>
          <w:sz w:val="28"/>
          <w:szCs w:val="28"/>
        </w:rPr>
      </w:pPr>
      <w:r>
        <w:rPr>
          <w:rFonts w:hint="eastAsia" w:ascii="Times New Roman" w:cs="Times New Roman"/>
          <w:bCs/>
          <w:color w:val="auto"/>
          <w:sz w:val="28"/>
          <w:szCs w:val="28"/>
        </w:rPr>
        <w:t>经现场调查，管廊周围无风景区和自然保护区，无自然保护的历史文化遗迹，也无国家保护的珍稀动植物，云南瓮福祥丰氟硅新材料有限公司3万吨/年无水氟化氢和2万吨/年电子级氢氟酸厂外公用工程管架建设项目外管廊的建设不会对区域生态产生明显影响。</w:t>
      </w:r>
    </w:p>
    <w:p w14:paraId="6A33B167">
      <w:pPr>
        <w:pStyle w:val="6"/>
        <w:keepNext/>
        <w:keepLines/>
        <w:pageBreakBefore w:val="0"/>
        <w:widowControl w:val="0"/>
        <w:numPr>
          <w:ilvl w:val="2"/>
          <w:numId w:val="0"/>
        </w:numPr>
        <w:tabs>
          <w:tab w:val="left" w:pos="931"/>
        </w:tabs>
        <w:kinsoku/>
        <w:wordWrap/>
        <w:overflowPunct/>
        <w:topLinePunct w:val="0"/>
        <w:autoSpaceDE/>
        <w:autoSpaceDN/>
        <w:bidi w:val="0"/>
        <w:adjustRightInd/>
        <w:snapToGrid w:val="0"/>
        <w:spacing w:line="360" w:lineRule="auto"/>
        <w:ind w:leftChars="100"/>
        <w:textAlignment w:val="auto"/>
        <w:outlineLvl w:val="3"/>
        <w:rPr>
          <w:rFonts w:hint="eastAsia" w:ascii="Times New Roman" w:hAnsi="Times New Roman" w:cs="Times New Roman"/>
          <w:snapToGrid w:val="0"/>
          <w:color w:val="000000"/>
          <w:kern w:val="0"/>
          <w:sz w:val="28"/>
          <w:szCs w:val="28"/>
          <w:lang w:val="en-US" w:eastAsia="zh-CN"/>
        </w:rPr>
      </w:pPr>
      <w:bookmarkStart w:id="1092" w:name="_Toc9831"/>
      <w:r>
        <w:rPr>
          <w:rFonts w:hint="eastAsia" w:ascii="Times New Roman" w:hAnsi="Times New Roman" w:cs="Times New Roman"/>
          <w:snapToGrid w:val="0"/>
          <w:color w:val="000000"/>
          <w:kern w:val="0"/>
          <w:sz w:val="28"/>
          <w:szCs w:val="28"/>
          <w:lang w:val="en-US" w:eastAsia="zh-CN"/>
        </w:rPr>
        <w:t>3.2.1.3周边环境对建设项目的影响</w:t>
      </w:r>
      <w:bookmarkEnd w:id="1092"/>
    </w:p>
    <w:p w14:paraId="258248FF">
      <w:pPr>
        <w:adjustRightInd w:val="0"/>
        <w:ind w:firstLine="560" w:firstLineChars="200"/>
        <w:rPr>
          <w:rFonts w:hint="eastAsia" w:ascii="Times New Roman" w:cs="Times New Roman"/>
          <w:bCs/>
          <w:color w:val="auto"/>
          <w:sz w:val="28"/>
          <w:szCs w:val="28"/>
        </w:rPr>
      </w:pPr>
      <w:r>
        <w:rPr>
          <w:rFonts w:hint="eastAsia" w:ascii="Times New Roman" w:cs="Times New Roman"/>
          <w:bCs/>
          <w:color w:val="auto"/>
          <w:sz w:val="28"/>
          <w:szCs w:val="28"/>
        </w:rPr>
        <w:t>周边企业建筑与本项目建构筑物的安全防火间距能够满足有关规范要求，正常情况下周边生产经营活动对本项目的安全生产不存在不利影响。周边环境对本项目影响情况分析如下：</w:t>
      </w:r>
    </w:p>
    <w:p w14:paraId="0D9437A9">
      <w:pPr>
        <w:adjustRightInd w:val="0"/>
        <w:ind w:firstLine="560" w:firstLineChars="200"/>
        <w:rPr>
          <w:rFonts w:hint="eastAsia" w:ascii="Times New Roman" w:cs="Times New Roman"/>
          <w:bCs/>
          <w:color w:val="auto"/>
          <w:sz w:val="28"/>
          <w:szCs w:val="28"/>
        </w:rPr>
      </w:pPr>
      <w:r>
        <w:rPr>
          <w:rFonts w:hint="eastAsia" w:ascii="Times New Roman" w:cs="Times New Roman"/>
          <w:bCs/>
          <w:color w:val="auto"/>
          <w:sz w:val="28"/>
          <w:szCs w:val="28"/>
        </w:rPr>
        <w:t>1、云南祥丰石化有限公司液氨罐区距离本项目外管廊距离云南祥丰石化有限公司液氨球罐6</w:t>
      </w:r>
      <w:r>
        <w:rPr>
          <w:rFonts w:ascii="Times New Roman" w:cs="Times New Roman"/>
          <w:bCs/>
          <w:color w:val="auto"/>
          <w:sz w:val="28"/>
          <w:szCs w:val="28"/>
        </w:rPr>
        <w:t>2m</w:t>
      </w:r>
      <w:r>
        <w:rPr>
          <w:rFonts w:hint="eastAsia" w:ascii="Times New Roman" w:cs="Times New Roman"/>
          <w:bCs/>
          <w:color w:val="auto"/>
          <w:sz w:val="28"/>
          <w:szCs w:val="28"/>
        </w:rPr>
        <w:t>，如果液氨球罐发生火灾爆炸事故，会使本项目外管廊管道发生泄漏，导致化学腐蚀、化学灼伤、高温烫伤、坍塌等事故。</w:t>
      </w:r>
    </w:p>
    <w:p w14:paraId="3E8CE35F">
      <w:pPr>
        <w:adjustRightInd w:val="0"/>
        <w:ind w:firstLine="560" w:firstLineChars="200"/>
        <w:rPr>
          <w:rFonts w:hint="eastAsia" w:ascii="Times New Roman" w:cs="Times New Roman"/>
          <w:bCs/>
          <w:color w:val="auto"/>
          <w:sz w:val="28"/>
          <w:szCs w:val="28"/>
        </w:rPr>
      </w:pPr>
      <w:r>
        <w:rPr>
          <w:rFonts w:hint="eastAsia" w:ascii="Times New Roman" w:cs="Times New Roman"/>
          <w:bCs/>
          <w:color w:val="auto"/>
          <w:sz w:val="28"/>
          <w:szCs w:val="28"/>
        </w:rPr>
        <w:t>2、本项目外管廊沿途经过林地，如果周边林地发生雷击、火灾或树林倒塌事故，会使本项目外管廊</w:t>
      </w:r>
      <w:r>
        <w:rPr>
          <w:rFonts w:hint="eastAsia" w:ascii="Times New Roman" w:cs="Times New Roman"/>
          <w:bCs/>
          <w:color w:val="auto"/>
          <w:sz w:val="28"/>
          <w:szCs w:val="28"/>
          <w:lang w:val="en-US" w:eastAsia="zh-CN"/>
        </w:rPr>
        <w:t>坍塌，</w:t>
      </w:r>
      <w:r>
        <w:rPr>
          <w:rFonts w:hint="eastAsia" w:ascii="Times New Roman" w:cs="Times New Roman"/>
          <w:bCs/>
          <w:color w:val="auto"/>
          <w:sz w:val="28"/>
          <w:szCs w:val="28"/>
        </w:rPr>
        <w:t>管道发生泄漏，导致化学腐蚀、化学灼伤、高温烫伤、坍塌等事故。</w:t>
      </w:r>
    </w:p>
    <w:p w14:paraId="246CD8A3">
      <w:pPr>
        <w:adjustRightInd w:val="0"/>
        <w:ind w:firstLine="560" w:firstLineChars="200"/>
        <w:rPr>
          <w:rFonts w:hint="eastAsia" w:ascii="Times New Roman" w:cs="Times New Roman"/>
          <w:bCs/>
          <w:color w:val="auto"/>
          <w:sz w:val="28"/>
          <w:szCs w:val="28"/>
        </w:rPr>
      </w:pPr>
      <w:r>
        <w:rPr>
          <w:rFonts w:hint="eastAsia" w:ascii="Times New Roman" w:cs="Times New Roman"/>
          <w:bCs/>
          <w:color w:val="auto"/>
          <w:sz w:val="28"/>
          <w:szCs w:val="28"/>
        </w:rPr>
        <w:t>3、本项目外管廊与道路有4个交叉。如果过往车辆超高，会使管道发生泄漏，导致化学腐蚀、化学灼伤、高温烫伤、坍塌等事故。</w:t>
      </w:r>
    </w:p>
    <w:p w14:paraId="3FFDB005">
      <w:pPr>
        <w:adjustRightInd w:val="0"/>
        <w:ind w:firstLine="560" w:firstLineChars="200"/>
        <w:rPr>
          <w:rFonts w:ascii="Times New Roman" w:cs="Times New Roman"/>
          <w:bCs/>
          <w:color w:val="auto"/>
          <w:sz w:val="28"/>
          <w:szCs w:val="28"/>
        </w:rPr>
      </w:pPr>
      <w:r>
        <w:rPr>
          <w:rFonts w:hint="eastAsia" w:ascii="Times New Roman" w:cs="Times New Roman"/>
          <w:bCs/>
          <w:color w:val="auto"/>
          <w:sz w:val="28"/>
          <w:szCs w:val="28"/>
        </w:rPr>
        <w:t xml:space="preserve"> 经现场调查，周边环境发生事故的机率较小，周边环境对建设项目的影响可接受。</w:t>
      </w:r>
    </w:p>
    <w:p w14:paraId="2F11BB26">
      <w:pPr>
        <w:pStyle w:val="6"/>
        <w:keepNext/>
        <w:keepLines/>
        <w:pageBreakBefore w:val="0"/>
        <w:widowControl w:val="0"/>
        <w:numPr>
          <w:ilvl w:val="2"/>
          <w:numId w:val="0"/>
        </w:numPr>
        <w:tabs>
          <w:tab w:val="left" w:pos="931"/>
        </w:tabs>
        <w:kinsoku/>
        <w:wordWrap/>
        <w:overflowPunct/>
        <w:topLinePunct w:val="0"/>
        <w:autoSpaceDE/>
        <w:autoSpaceDN/>
        <w:bidi w:val="0"/>
        <w:adjustRightInd/>
        <w:snapToGrid w:val="0"/>
        <w:spacing w:line="360" w:lineRule="auto"/>
        <w:ind w:leftChars="100"/>
        <w:textAlignment w:val="auto"/>
        <w:outlineLvl w:val="3"/>
        <w:rPr>
          <w:rFonts w:hint="eastAsia" w:ascii="Times New Roman" w:hAnsi="Times New Roman" w:cs="Times New Roman"/>
          <w:snapToGrid w:val="0"/>
          <w:color w:val="000000"/>
          <w:kern w:val="0"/>
          <w:sz w:val="28"/>
          <w:szCs w:val="28"/>
          <w:lang w:val="en-US" w:eastAsia="zh-CN"/>
        </w:rPr>
      </w:pPr>
      <w:bookmarkStart w:id="1093" w:name="_Toc4386"/>
      <w:r>
        <w:rPr>
          <w:rFonts w:hint="eastAsia" w:ascii="Times New Roman" w:hAnsi="Times New Roman" w:cs="Times New Roman"/>
          <w:snapToGrid w:val="0"/>
          <w:color w:val="000000"/>
          <w:kern w:val="0"/>
          <w:sz w:val="28"/>
          <w:szCs w:val="28"/>
          <w:lang w:val="en-US" w:eastAsia="zh-CN"/>
        </w:rPr>
        <w:t>3.2.1.4自然条件对建设项目的影响</w:t>
      </w:r>
      <w:bookmarkEnd w:id="1093"/>
    </w:p>
    <w:p w14:paraId="17790805">
      <w:pPr>
        <w:adjustRightInd w:val="0"/>
        <w:ind w:firstLine="560" w:firstLineChars="200"/>
        <w:rPr>
          <w:rFonts w:hint="eastAsia" w:ascii="Times New Roman" w:cs="Times New Roman"/>
          <w:bCs/>
          <w:color w:val="auto"/>
          <w:sz w:val="28"/>
          <w:szCs w:val="28"/>
        </w:rPr>
      </w:pPr>
      <w:r>
        <w:rPr>
          <w:rFonts w:hint="eastAsia" w:ascii="Times New Roman" w:cs="Times New Roman"/>
          <w:bCs/>
          <w:color w:val="auto"/>
          <w:sz w:val="28"/>
          <w:szCs w:val="28"/>
        </w:rPr>
        <w:t>气象资料来源于《云南瓮福祥丰氟硅新材料有限公司3万吨/年无水氟化氢和2万吨/年电子级氢氟酸厂外公用工程管架建设项目可行性研究报告》。</w:t>
      </w:r>
    </w:p>
    <w:p w14:paraId="2A6EB7BD">
      <w:pPr>
        <w:adjustRightInd w:val="0"/>
        <w:ind w:firstLine="560" w:firstLineChars="200"/>
        <w:rPr>
          <w:rFonts w:hint="eastAsia" w:ascii="Times New Roman" w:cs="Times New Roman"/>
          <w:bCs/>
          <w:color w:val="auto"/>
          <w:sz w:val="28"/>
          <w:szCs w:val="28"/>
        </w:rPr>
      </w:pPr>
      <w:r>
        <w:rPr>
          <w:rFonts w:hint="eastAsia" w:ascii="Times New Roman" w:cs="Times New Roman"/>
          <w:bCs/>
          <w:color w:val="auto"/>
          <w:sz w:val="28"/>
          <w:szCs w:val="28"/>
        </w:rPr>
        <w:t>1、温度和湿度的影响</w:t>
      </w:r>
    </w:p>
    <w:p w14:paraId="085DB219">
      <w:pPr>
        <w:adjustRightInd w:val="0"/>
        <w:ind w:firstLine="560" w:firstLineChars="200"/>
        <w:rPr>
          <w:rFonts w:hint="eastAsia" w:ascii="Times New Roman" w:cs="Times New Roman"/>
          <w:bCs/>
          <w:color w:val="auto"/>
          <w:sz w:val="28"/>
          <w:szCs w:val="28"/>
        </w:rPr>
      </w:pPr>
      <w:r>
        <w:rPr>
          <w:rFonts w:hint="eastAsia" w:ascii="Times New Roman" w:cs="Times New Roman"/>
          <w:bCs/>
          <w:color w:val="auto"/>
          <w:sz w:val="28"/>
          <w:szCs w:val="28"/>
        </w:rPr>
        <w:t>项目所在地安宁地区属中北亚热带低纬度高海拔地区的高原季风气候区，平均海拔1800m，具有冬暖夏凉，四季如春的特征。最热月为7月，夏季平均气温20.0℃，最冷月为1月，冬季平均气温7.2℃，极端最高气温38.7℃，极端最低气温-7.2℃，多年平均气温14.7℃。干球温度为21℃，湿球温度为31℃；无霜期平均日数为232d。年平均最大相对湿度82.0%，年平均最小相对湿度47.0%，年平均相对湿度72.0%。</w:t>
      </w:r>
    </w:p>
    <w:p w14:paraId="1F49B57F">
      <w:pPr>
        <w:adjustRightInd w:val="0"/>
        <w:ind w:firstLine="560" w:firstLineChars="200"/>
        <w:rPr>
          <w:rFonts w:hint="eastAsia" w:ascii="Times New Roman" w:cs="Times New Roman"/>
          <w:bCs/>
          <w:color w:val="auto"/>
          <w:sz w:val="28"/>
          <w:szCs w:val="28"/>
        </w:rPr>
      </w:pPr>
      <w:r>
        <w:rPr>
          <w:rFonts w:hint="eastAsia" w:ascii="Times New Roman" w:cs="Times New Roman"/>
          <w:bCs/>
          <w:color w:val="auto"/>
          <w:sz w:val="28"/>
          <w:szCs w:val="28"/>
        </w:rPr>
        <w:t>气温和湿度的高低和变化，对封闭管路输送操作系统影响不大，通过严格执行输送操作规程，其影响也可消除。因此，气温和湿度对本项目输送装置产生的干扰，不会波及装置生产安全，气温和湿度对本项目的生产和安全的影响极小。</w:t>
      </w:r>
    </w:p>
    <w:p w14:paraId="71CA1795">
      <w:pPr>
        <w:adjustRightInd w:val="0"/>
        <w:ind w:firstLine="560" w:firstLineChars="200"/>
        <w:rPr>
          <w:rFonts w:hint="eastAsia" w:ascii="Times New Roman" w:cs="Times New Roman"/>
          <w:bCs/>
          <w:color w:val="auto"/>
          <w:sz w:val="28"/>
          <w:szCs w:val="28"/>
        </w:rPr>
      </w:pPr>
      <w:r>
        <w:rPr>
          <w:rFonts w:hint="eastAsia" w:ascii="Times New Roman" w:cs="Times New Roman"/>
          <w:bCs/>
          <w:color w:val="auto"/>
          <w:sz w:val="28"/>
          <w:szCs w:val="28"/>
        </w:rPr>
        <w:t>气温过高会造成工作人员中暑。通过在厂区内设置有饮用水和休息室，调整工作人员作息时间，避免在阳光强射下工作，高温引起中暑危害是可以避免的。</w:t>
      </w:r>
    </w:p>
    <w:p w14:paraId="49AD3961">
      <w:pPr>
        <w:adjustRightInd w:val="0"/>
        <w:ind w:firstLine="560" w:firstLineChars="200"/>
        <w:rPr>
          <w:rFonts w:hint="eastAsia" w:ascii="Times New Roman" w:cs="Times New Roman"/>
          <w:bCs/>
          <w:color w:val="auto"/>
          <w:sz w:val="28"/>
          <w:szCs w:val="28"/>
        </w:rPr>
      </w:pPr>
      <w:r>
        <w:rPr>
          <w:rFonts w:hint="eastAsia" w:ascii="Times New Roman" w:cs="Times New Roman"/>
          <w:bCs/>
          <w:color w:val="auto"/>
          <w:sz w:val="28"/>
          <w:szCs w:val="28"/>
        </w:rPr>
        <w:t>2、风频条件的影响</w:t>
      </w:r>
    </w:p>
    <w:p w14:paraId="775D36C2">
      <w:pPr>
        <w:adjustRightInd w:val="0"/>
        <w:ind w:firstLine="560" w:firstLineChars="200"/>
        <w:rPr>
          <w:rFonts w:hint="eastAsia" w:ascii="Times New Roman" w:cs="Times New Roman"/>
          <w:bCs/>
          <w:color w:val="auto"/>
          <w:sz w:val="28"/>
          <w:szCs w:val="28"/>
        </w:rPr>
      </w:pPr>
      <w:r>
        <w:rPr>
          <w:rFonts w:hint="eastAsia" w:ascii="Times New Roman" w:cs="Times New Roman"/>
          <w:bCs/>
          <w:color w:val="auto"/>
          <w:sz w:val="28"/>
          <w:szCs w:val="28"/>
        </w:rPr>
        <w:t>本项目在正常输送情况下，气相和液相都不存在危险有毒物质外排，风向的影响主要是在发生泄漏事故和火灾时，泄漏的危险气体物质可能会扩散到周边。项目所在地全年主导风向为西南风，频率约12.5%；多年平均风速2.23m/s，最大风速17.0m/s。总体来说，这样的风频条件，有利于有害气体的扩散，有利于项目和周边单位的安全。但是会导致火灾时火焰飘向东北面，通过加强企业之间的交流和合作，采取厂区内消火栓和周边企业临近方向消火栓及云南祥丰石化有限公司消防站，是可以控制火焰飞窜造成的威胁。</w:t>
      </w:r>
    </w:p>
    <w:p w14:paraId="1653D6B1">
      <w:pPr>
        <w:adjustRightInd w:val="0"/>
        <w:ind w:firstLine="560" w:firstLineChars="200"/>
        <w:rPr>
          <w:rFonts w:hint="eastAsia" w:ascii="Times New Roman" w:cs="Times New Roman"/>
          <w:bCs/>
          <w:color w:val="auto"/>
          <w:sz w:val="28"/>
          <w:szCs w:val="28"/>
        </w:rPr>
      </w:pPr>
      <w:r>
        <w:rPr>
          <w:rFonts w:hint="eastAsia" w:ascii="Times New Roman" w:cs="Times New Roman"/>
          <w:bCs/>
          <w:color w:val="auto"/>
          <w:sz w:val="28"/>
          <w:szCs w:val="28"/>
        </w:rPr>
        <w:t>3、降雨量影响</w:t>
      </w:r>
    </w:p>
    <w:p w14:paraId="29E623D0">
      <w:pPr>
        <w:adjustRightInd w:val="0"/>
        <w:ind w:firstLine="560" w:firstLineChars="200"/>
        <w:rPr>
          <w:rFonts w:hint="eastAsia" w:ascii="Times New Roman" w:cs="Times New Roman"/>
          <w:bCs/>
          <w:color w:val="auto"/>
          <w:sz w:val="28"/>
          <w:szCs w:val="28"/>
        </w:rPr>
      </w:pPr>
      <w:r>
        <w:rPr>
          <w:rFonts w:hint="eastAsia" w:ascii="Times New Roman" w:cs="Times New Roman"/>
          <w:bCs/>
          <w:color w:val="auto"/>
          <w:sz w:val="28"/>
          <w:szCs w:val="28"/>
        </w:rPr>
        <w:t>安宁地区内干、雨季分明，降水主要集中于雨季(每年5～10月份)，约占全年降水量的80％，多年平均降水量为876.48mm，最大年降水量为1122.90mm(1971年)，最小年降水量为657.30mm(1975年)，日最大降水量为120.40mm(1979年8月15日)。管廊处地势高不会形成积水淹没，排水顺畅，降雨量对管廊的危害可以排除。管廊场地高差较大，不会受山洪、泥石流的影响。</w:t>
      </w:r>
    </w:p>
    <w:p w14:paraId="19D197E4">
      <w:pPr>
        <w:adjustRightInd w:val="0"/>
        <w:ind w:firstLine="560" w:firstLineChars="200"/>
        <w:rPr>
          <w:rFonts w:hint="eastAsia" w:ascii="Times New Roman" w:cs="Times New Roman"/>
          <w:bCs/>
          <w:color w:val="auto"/>
          <w:sz w:val="28"/>
          <w:szCs w:val="28"/>
        </w:rPr>
      </w:pPr>
      <w:r>
        <w:rPr>
          <w:rFonts w:hint="eastAsia" w:ascii="Times New Roman" w:cs="Times New Roman"/>
          <w:bCs/>
          <w:color w:val="auto"/>
          <w:sz w:val="28"/>
          <w:szCs w:val="28"/>
        </w:rPr>
        <w:t>4、雷电的影响</w:t>
      </w:r>
    </w:p>
    <w:p w14:paraId="7B607F04">
      <w:pPr>
        <w:adjustRightInd w:val="0"/>
        <w:ind w:firstLine="560" w:firstLineChars="200"/>
        <w:rPr>
          <w:rFonts w:hint="eastAsia" w:ascii="Times New Roman" w:cs="Times New Roman"/>
          <w:bCs/>
          <w:color w:val="auto"/>
          <w:sz w:val="28"/>
          <w:szCs w:val="28"/>
        </w:rPr>
      </w:pPr>
      <w:r>
        <w:rPr>
          <w:rFonts w:hint="eastAsia" w:ascii="Times New Roman" w:cs="Times New Roman"/>
          <w:bCs/>
          <w:color w:val="auto"/>
          <w:sz w:val="28"/>
          <w:szCs w:val="28"/>
        </w:rPr>
        <w:t>雷电是一种大气中的放电现象，其中云层对大地的放电，对建筑物、人和建筑物内电子设备产生极大危害。雷击易引起本工程设备、设施的损坏。本项目厂址所在地夏季常有雷电（年平均雷暴日数为70d），对输送装置的安全生产构成威胁，根据国家有关安全生产法规，按《建筑物防雷设计规范》、《云南省气象条例》等规范要求，设计防雷电安全设施。本项目按有关规定进行防雷装置设计、施工、防雷装置检测、验收、维护并加强管理，雷电对项目安全的影响是完全可以排除的。</w:t>
      </w:r>
    </w:p>
    <w:p w14:paraId="60077B85">
      <w:pPr>
        <w:adjustRightInd w:val="0"/>
        <w:ind w:firstLine="560" w:firstLineChars="200"/>
        <w:rPr>
          <w:rFonts w:hint="eastAsia" w:ascii="Times New Roman" w:cs="Times New Roman"/>
          <w:bCs/>
          <w:color w:val="auto"/>
          <w:sz w:val="28"/>
          <w:szCs w:val="28"/>
          <w:lang w:val="en-US" w:eastAsia="zh-CN"/>
        </w:rPr>
      </w:pPr>
      <w:r>
        <w:rPr>
          <w:rFonts w:hint="eastAsia" w:ascii="Times New Roman" w:cs="Times New Roman"/>
          <w:bCs/>
          <w:color w:val="auto"/>
          <w:sz w:val="28"/>
          <w:szCs w:val="28"/>
        </w:rPr>
        <w:t>5、边坡及地质条件</w:t>
      </w:r>
      <w:r>
        <w:rPr>
          <w:rFonts w:hint="eastAsia" w:ascii="Times New Roman" w:cs="Times New Roman"/>
          <w:bCs/>
          <w:color w:val="auto"/>
          <w:sz w:val="28"/>
          <w:szCs w:val="28"/>
          <w:lang w:val="en-US" w:eastAsia="zh-CN"/>
        </w:rPr>
        <w:t>的影响</w:t>
      </w:r>
    </w:p>
    <w:p w14:paraId="6F02C3D2">
      <w:pPr>
        <w:adjustRightInd w:val="0"/>
        <w:ind w:firstLine="560" w:firstLineChars="200"/>
        <w:rPr>
          <w:rFonts w:hint="default" w:ascii="Times New Roman" w:eastAsia="宋体" w:cs="Times New Roman"/>
          <w:bCs/>
          <w:color w:val="auto"/>
          <w:sz w:val="28"/>
          <w:szCs w:val="28"/>
          <w:lang w:val="en-US" w:eastAsia="zh-CN"/>
        </w:rPr>
      </w:pPr>
      <w:r>
        <w:rPr>
          <w:rFonts w:hint="default" w:ascii="Times New Roman" w:cs="Times New Roman"/>
          <w:bCs/>
          <w:color w:val="auto"/>
          <w:sz w:val="28"/>
          <w:szCs w:val="28"/>
          <w:lang w:val="en-US" w:eastAsia="zh-CN"/>
        </w:rPr>
        <w:t>场地位于山腰缓坡地段，场地地形整体起伏较大，E、F段管廊架东侧存在挖方边坡，挖方高度约为2-3m，西侧局部地段存在填方边坡，填方厚度约为4-6m，挖方边坡及填方边坡将在今后采取永久性支挡措施，支挡方式为重力式挡土墙支护。场地地基为不均匀地基，设计时</w:t>
      </w:r>
      <w:r>
        <w:rPr>
          <w:rFonts w:hint="eastAsia" w:ascii="Times New Roman" w:cs="Times New Roman"/>
          <w:bCs/>
          <w:color w:val="auto"/>
          <w:sz w:val="28"/>
          <w:szCs w:val="28"/>
          <w:lang w:val="en-US" w:eastAsia="zh-CN"/>
        </w:rPr>
        <w:t>将</w:t>
      </w:r>
      <w:r>
        <w:rPr>
          <w:rFonts w:hint="default" w:ascii="Times New Roman" w:cs="Times New Roman"/>
          <w:bCs/>
          <w:color w:val="auto"/>
          <w:sz w:val="28"/>
          <w:szCs w:val="28"/>
          <w:lang w:val="en-US" w:eastAsia="zh-CN"/>
        </w:rPr>
        <w:t>按不均匀地基考虑，并适当加强基础和上部结构设计的刚度。</w:t>
      </w:r>
      <w:r>
        <w:rPr>
          <w:rFonts w:hint="eastAsia" w:ascii="Times New Roman" w:cs="Times New Roman"/>
          <w:bCs/>
          <w:color w:val="auto"/>
          <w:sz w:val="28"/>
          <w:szCs w:val="28"/>
          <w:lang w:val="en-US" w:eastAsia="zh-CN"/>
        </w:rPr>
        <w:t>经过对边坡采取支护措施，对不均匀地基进行设计处理，</w:t>
      </w:r>
      <w:r>
        <w:rPr>
          <w:rFonts w:hint="eastAsia" w:ascii="Times New Roman" w:cs="Times New Roman"/>
          <w:bCs/>
          <w:color w:val="auto"/>
          <w:sz w:val="28"/>
          <w:szCs w:val="28"/>
        </w:rPr>
        <w:t>边坡及地质条件</w:t>
      </w:r>
      <w:r>
        <w:rPr>
          <w:rFonts w:hint="eastAsia" w:ascii="Times New Roman" w:cs="Times New Roman"/>
          <w:bCs/>
          <w:color w:val="auto"/>
          <w:sz w:val="28"/>
          <w:szCs w:val="28"/>
          <w:lang w:val="en-US" w:eastAsia="zh-CN"/>
        </w:rPr>
        <w:t>对本项目的影响可以控制。</w:t>
      </w:r>
    </w:p>
    <w:p w14:paraId="4352C27C">
      <w:pPr>
        <w:adjustRightInd w:val="0"/>
        <w:ind w:firstLine="560" w:firstLineChars="200"/>
        <w:rPr>
          <w:rFonts w:hint="eastAsia" w:ascii="Times New Roman" w:cs="Times New Roman"/>
          <w:bCs/>
          <w:color w:val="auto"/>
          <w:sz w:val="28"/>
          <w:szCs w:val="28"/>
        </w:rPr>
      </w:pPr>
      <w:r>
        <w:rPr>
          <w:rFonts w:hint="eastAsia" w:ascii="Times New Roman" w:cs="Times New Roman"/>
          <w:bCs/>
          <w:color w:val="auto"/>
          <w:sz w:val="28"/>
          <w:szCs w:val="28"/>
          <w:lang w:val="en-US" w:eastAsia="zh-CN"/>
        </w:rPr>
        <w:t>6、</w:t>
      </w:r>
      <w:r>
        <w:rPr>
          <w:rFonts w:hint="eastAsia" w:ascii="Times New Roman" w:cs="Times New Roman"/>
          <w:bCs/>
          <w:color w:val="auto"/>
          <w:sz w:val="28"/>
          <w:szCs w:val="28"/>
        </w:rPr>
        <w:t>地震的影响</w:t>
      </w:r>
    </w:p>
    <w:p w14:paraId="2FA105CF">
      <w:pPr>
        <w:adjustRightInd w:val="0"/>
        <w:ind w:firstLine="560" w:firstLineChars="200"/>
        <w:rPr>
          <w:rFonts w:ascii="Times New Roman" w:cs="Times New Roman"/>
          <w:bCs/>
          <w:color w:val="auto"/>
          <w:sz w:val="28"/>
          <w:szCs w:val="28"/>
        </w:rPr>
      </w:pPr>
      <w:r>
        <w:rPr>
          <w:rFonts w:hint="eastAsia" w:ascii="Times New Roman" w:cs="Times New Roman"/>
          <w:bCs/>
          <w:color w:val="auto"/>
          <w:sz w:val="28"/>
          <w:szCs w:val="28"/>
        </w:rPr>
        <w:t>根据《中国地震动参数区划图》（GB18306-2015）本项目所处地区抗震设防烈度为</w:t>
      </w:r>
      <w:r>
        <w:rPr>
          <w:rFonts w:hint="eastAsia" w:ascii="Times New Roman" w:cs="Times New Roman"/>
          <w:bCs/>
          <w:color w:val="auto"/>
          <w:sz w:val="28"/>
          <w:szCs w:val="28"/>
          <w:lang w:val="en-US" w:eastAsia="zh-CN"/>
        </w:rPr>
        <w:t>8</w:t>
      </w:r>
      <w:r>
        <w:rPr>
          <w:rFonts w:hint="eastAsia" w:ascii="Times New Roman" w:cs="Times New Roman"/>
          <w:bCs/>
          <w:color w:val="auto"/>
          <w:sz w:val="28"/>
          <w:szCs w:val="28"/>
        </w:rPr>
        <w:t>度，设计基本地震加速度值为0.15g，特征周期为0.45s。</w:t>
      </w:r>
    </w:p>
    <w:p w14:paraId="34AAA39C">
      <w:pPr>
        <w:adjustRightInd w:val="0"/>
        <w:ind w:firstLine="560" w:firstLineChars="200"/>
        <w:rPr>
          <w:rFonts w:hint="eastAsia" w:ascii="Times New Roman" w:cs="Times New Roman"/>
          <w:bCs/>
          <w:color w:val="auto"/>
          <w:sz w:val="28"/>
          <w:szCs w:val="28"/>
        </w:rPr>
      </w:pPr>
      <w:r>
        <w:rPr>
          <w:rFonts w:hint="eastAsia" w:ascii="Times New Roman" w:cs="Times New Roman"/>
          <w:bCs/>
          <w:color w:val="auto"/>
          <w:sz w:val="28"/>
          <w:szCs w:val="28"/>
        </w:rPr>
        <w:t>地质情况根据（《云南瓮福祥丰氟硅新材料有限公司3万吨AHF及2万吨电子氢氟酸项目外管廊项目岩土工程勘察报告》（详细勘察阶段））的地质资料。场分布的特殊性岩土为填土及风化岩，设计需考虑特殊性岩土对场地影响。场地覆盖层深度范围以中软场地土为主，综合判定场地建筑场地类别为Ⅱ类；场地属对建筑抗震的不利地段。场地内未发现液化土，场地可不考虑液化土影响。</w:t>
      </w:r>
    </w:p>
    <w:p w14:paraId="0340AB14">
      <w:pPr>
        <w:adjustRightInd w:val="0"/>
        <w:ind w:firstLine="560" w:firstLineChars="200"/>
        <w:rPr>
          <w:rFonts w:hint="eastAsia" w:ascii="Times New Roman" w:cs="Times New Roman"/>
          <w:bCs/>
          <w:color w:val="auto"/>
          <w:sz w:val="28"/>
          <w:szCs w:val="28"/>
        </w:rPr>
      </w:pPr>
      <w:r>
        <w:rPr>
          <w:rFonts w:hint="eastAsia" w:ascii="Times New Roman" w:cs="Times New Roman"/>
          <w:bCs/>
          <w:color w:val="auto"/>
          <w:sz w:val="28"/>
          <w:szCs w:val="28"/>
        </w:rPr>
        <w:t>只要在管廊基础的设计、施工中，严格把关，本项目能够抵御</w:t>
      </w:r>
      <w:r>
        <w:rPr>
          <w:rFonts w:hint="eastAsia" w:ascii="Times New Roman" w:cs="Times New Roman"/>
          <w:bCs/>
          <w:color w:val="auto"/>
          <w:sz w:val="28"/>
          <w:szCs w:val="28"/>
          <w:lang w:val="en-US" w:eastAsia="zh-CN"/>
        </w:rPr>
        <w:t>8</w:t>
      </w:r>
      <w:r>
        <w:rPr>
          <w:rFonts w:hint="eastAsia" w:ascii="Times New Roman" w:cs="Times New Roman"/>
          <w:bCs/>
          <w:color w:val="auto"/>
          <w:sz w:val="28"/>
          <w:szCs w:val="28"/>
        </w:rPr>
        <w:t>度以内的地震对管廊装置的安全造成威胁。</w:t>
      </w:r>
    </w:p>
    <w:p w14:paraId="38FDA2A6">
      <w:pPr>
        <w:adjustRightInd w:val="0"/>
        <w:ind w:firstLine="560" w:firstLineChars="200"/>
        <w:rPr>
          <w:rFonts w:hint="eastAsia" w:ascii="Times New Roman" w:cs="Times New Roman"/>
          <w:bCs/>
          <w:color w:val="auto"/>
          <w:sz w:val="28"/>
          <w:szCs w:val="28"/>
        </w:rPr>
      </w:pPr>
      <w:r>
        <w:rPr>
          <w:rFonts w:hint="eastAsia" w:ascii="Times New Roman" w:cs="Times New Roman"/>
          <w:bCs/>
          <w:color w:val="auto"/>
          <w:sz w:val="28"/>
          <w:szCs w:val="28"/>
        </w:rPr>
        <w:t>对管廊选择、总图布置、项目对周边影响、周边环境对该项目的影响和自然条件对项目的影响进行了分析评价，本项目管廊符合当地政府总体规划。管廊方案符合相关法律、法规、标准和规范要求，满足安全条件。该项目总平面布置符合相关法律、法规、标准和规范要求。</w:t>
      </w:r>
    </w:p>
    <w:p w14:paraId="7DDACE30">
      <w:pPr>
        <w:pStyle w:val="6"/>
        <w:keepNext/>
        <w:keepLines/>
        <w:pageBreakBefore w:val="0"/>
        <w:widowControl w:val="0"/>
        <w:numPr>
          <w:ilvl w:val="2"/>
          <w:numId w:val="0"/>
        </w:numPr>
        <w:tabs>
          <w:tab w:val="left" w:pos="931"/>
        </w:tabs>
        <w:kinsoku/>
        <w:wordWrap/>
        <w:overflowPunct/>
        <w:topLinePunct w:val="0"/>
        <w:autoSpaceDE/>
        <w:autoSpaceDN/>
        <w:bidi w:val="0"/>
        <w:adjustRightInd/>
        <w:snapToGrid w:val="0"/>
        <w:spacing w:line="360" w:lineRule="auto"/>
        <w:ind w:leftChars="100"/>
        <w:textAlignment w:val="auto"/>
        <w:outlineLvl w:val="3"/>
        <w:rPr>
          <w:rFonts w:hint="eastAsia" w:ascii="Times New Roman" w:hAnsi="Times New Roman" w:cs="Times New Roman"/>
          <w:snapToGrid w:val="0"/>
          <w:color w:val="000000"/>
          <w:kern w:val="0"/>
          <w:sz w:val="28"/>
          <w:szCs w:val="28"/>
          <w:lang w:val="en-US" w:eastAsia="zh-CN"/>
        </w:rPr>
      </w:pPr>
      <w:bookmarkStart w:id="1094" w:name="_Toc22630"/>
      <w:r>
        <w:rPr>
          <w:rFonts w:hint="eastAsia" w:ascii="Times New Roman" w:hAnsi="Times New Roman" w:cs="Times New Roman"/>
          <w:snapToGrid w:val="0"/>
          <w:color w:val="000000"/>
          <w:kern w:val="0"/>
          <w:sz w:val="28"/>
          <w:szCs w:val="28"/>
          <w:lang w:val="en-US" w:eastAsia="zh-CN"/>
        </w:rPr>
        <w:t>3.2.1.5多米诺效应分析</w:t>
      </w:r>
      <w:bookmarkEnd w:id="1094"/>
    </w:p>
    <w:p w14:paraId="11D9ED9D">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本项目涉及的危险物质有浓硫酸、稀硫酸和氟硅酸，为</w:t>
      </w:r>
      <w:r>
        <w:rPr>
          <w:rFonts w:hint="eastAsia" w:ascii="宋体" w:hAnsi="宋体" w:cs="宋体"/>
          <w:color w:val="auto"/>
          <w:sz w:val="28"/>
          <w:szCs w:val="28"/>
          <w:lang w:val="en-US" w:eastAsia="zh-CN"/>
        </w:rPr>
        <w:t>非易燃易爆物质，不会引发火灾爆炸、</w:t>
      </w:r>
      <w:r>
        <w:rPr>
          <w:rFonts w:ascii="宋体" w:hAnsi="宋体" w:eastAsia="宋体" w:cs="宋体"/>
          <w:color w:val="auto"/>
          <w:spacing w:val="4"/>
          <w:sz w:val="28"/>
          <w:szCs w:val="28"/>
        </w:rPr>
        <w:t>爆炸冲击波、</w:t>
      </w:r>
      <w:r>
        <w:rPr>
          <w:rFonts w:ascii="宋体" w:hAnsi="宋体" w:eastAsia="宋体" w:cs="宋体"/>
          <w:color w:val="auto"/>
          <w:spacing w:val="3"/>
          <w:sz w:val="28"/>
          <w:szCs w:val="28"/>
        </w:rPr>
        <w:t>热</w:t>
      </w:r>
      <w:r>
        <w:rPr>
          <w:rFonts w:ascii="宋体" w:hAnsi="宋体" w:eastAsia="宋体" w:cs="宋体"/>
          <w:color w:val="auto"/>
          <w:sz w:val="28"/>
          <w:szCs w:val="28"/>
        </w:rPr>
        <w:t>辐</w:t>
      </w:r>
      <w:r>
        <w:rPr>
          <w:rFonts w:ascii="宋体" w:hAnsi="宋体" w:eastAsia="宋体" w:cs="宋体"/>
          <w:color w:val="auto"/>
          <w:spacing w:val="-12"/>
          <w:sz w:val="28"/>
          <w:szCs w:val="28"/>
        </w:rPr>
        <w:t>射</w:t>
      </w:r>
      <w:r>
        <w:rPr>
          <w:rFonts w:ascii="宋体" w:hAnsi="宋体" w:eastAsia="宋体" w:cs="宋体"/>
          <w:color w:val="auto"/>
          <w:spacing w:val="-6"/>
          <w:sz w:val="28"/>
          <w:szCs w:val="28"/>
        </w:rPr>
        <w:t>及碎片</w:t>
      </w:r>
      <w:r>
        <w:rPr>
          <w:rFonts w:hint="eastAsia" w:ascii="宋体" w:hAnsi="宋体" w:cs="宋体"/>
          <w:color w:val="auto"/>
          <w:spacing w:val="-6"/>
          <w:sz w:val="28"/>
          <w:szCs w:val="28"/>
          <w:lang w:eastAsia="zh-CN"/>
        </w:rPr>
        <w:t>，</w:t>
      </w:r>
      <w:r>
        <w:rPr>
          <w:rFonts w:hint="eastAsia" w:ascii="宋体" w:hAnsi="宋体" w:cs="宋体"/>
          <w:color w:val="auto"/>
          <w:spacing w:val="-6"/>
          <w:sz w:val="28"/>
          <w:szCs w:val="28"/>
          <w:lang w:val="en-US" w:eastAsia="zh-CN"/>
        </w:rPr>
        <w:t>不会对周边危险源引发多米诺效应。</w:t>
      </w:r>
    </w:p>
    <w:p w14:paraId="544BA7BA">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olor w:val="auto"/>
          <w:sz w:val="28"/>
          <w:lang w:val="en-US" w:eastAsia="zh-CN"/>
        </w:rPr>
        <w:t>根据《云南安宁产业园区草铺化工园区 (含禄脿片区)整体性安全风险评估报告》中的内容，</w:t>
      </w:r>
      <w:r>
        <w:rPr>
          <w:rFonts w:hint="eastAsia" w:ascii="宋体" w:hAnsi="宋体" w:eastAsia="宋体" w:cs="宋体"/>
          <w:color w:val="auto"/>
          <w:sz w:val="28"/>
          <w:szCs w:val="28"/>
        </w:rPr>
        <w:t>若</w:t>
      </w:r>
      <w:r>
        <w:rPr>
          <w:rFonts w:hint="eastAsia" w:ascii="宋体" w:hAnsi="宋体" w:eastAsia="宋体" w:cs="宋体"/>
          <w:color w:val="auto"/>
          <w:sz w:val="28"/>
          <w:szCs w:val="28"/>
          <w:lang w:val="en-US" w:eastAsia="zh-CN"/>
        </w:rPr>
        <w:t>周边危险源</w:t>
      </w:r>
      <w:r>
        <w:rPr>
          <w:rFonts w:hint="eastAsia" w:ascii="宋体" w:hAnsi="宋体" w:eastAsia="宋体" w:cs="宋体"/>
          <w:color w:val="auto"/>
          <w:sz w:val="28"/>
          <w:szCs w:val="28"/>
        </w:rPr>
        <w:t>发生物理爆炸冲击波不会对本项目</w:t>
      </w:r>
      <w:r>
        <w:rPr>
          <w:rFonts w:hint="eastAsia" w:ascii="宋体" w:hAnsi="宋体" w:eastAsia="宋体" w:cs="宋体"/>
          <w:color w:val="auto"/>
          <w:sz w:val="28"/>
          <w:szCs w:val="28"/>
          <w:lang w:val="en-US" w:eastAsia="zh-CN"/>
        </w:rPr>
        <w:t>管廊管道</w:t>
      </w:r>
      <w:r>
        <w:rPr>
          <w:rFonts w:hint="eastAsia" w:ascii="宋体" w:hAnsi="宋体" w:eastAsia="宋体" w:cs="宋体"/>
          <w:color w:val="auto"/>
          <w:sz w:val="28"/>
          <w:szCs w:val="28"/>
        </w:rPr>
        <w:t>导致链式反应</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不会产生多米诺效应。但本项目</w:t>
      </w:r>
      <w:r>
        <w:rPr>
          <w:rFonts w:hint="eastAsia" w:hAnsi="宋体" w:cs="宋体"/>
          <w:color w:val="auto"/>
          <w:sz w:val="28"/>
          <w:szCs w:val="28"/>
          <w:lang w:val="en-US" w:eastAsia="zh-CN"/>
        </w:rPr>
        <w:t>管架E74-E93</w:t>
      </w:r>
      <w:r>
        <w:rPr>
          <w:rFonts w:hint="eastAsia" w:ascii="宋体" w:hAnsi="宋体" w:eastAsia="宋体" w:cs="宋体"/>
          <w:color w:val="auto"/>
          <w:sz w:val="28"/>
          <w:szCs w:val="28"/>
          <w:lang w:val="en-US" w:eastAsia="zh-CN"/>
        </w:rPr>
        <w:t>段距离</w:t>
      </w:r>
      <w:r>
        <w:rPr>
          <w:rFonts w:hint="eastAsia" w:ascii="宋体" w:hAnsi="宋体" w:eastAsia="宋体" w:cs="宋体"/>
          <w:color w:val="auto"/>
          <w:sz w:val="28"/>
          <w:szCs w:val="28"/>
        </w:rPr>
        <w:t>云南祥丰石化有限公司液氨球罐</w:t>
      </w:r>
      <w:r>
        <w:rPr>
          <w:rFonts w:hint="eastAsia" w:ascii="宋体" w:hAnsi="宋体" w:eastAsia="宋体" w:cs="宋体"/>
          <w:color w:val="auto"/>
          <w:sz w:val="28"/>
          <w:szCs w:val="28"/>
          <w:lang w:val="en-US" w:eastAsia="zh-CN"/>
        </w:rPr>
        <w:t>最近距离62m，在</w:t>
      </w:r>
      <w:r>
        <w:rPr>
          <w:rFonts w:hint="eastAsia" w:ascii="宋体" w:hAnsi="宋体" w:eastAsia="宋体" w:cs="宋体"/>
          <w:color w:val="auto"/>
          <w:sz w:val="28"/>
          <w:szCs w:val="28"/>
        </w:rPr>
        <w:t>液氨球罐</w:t>
      </w:r>
      <w:r>
        <w:rPr>
          <w:rFonts w:hint="eastAsia" w:ascii="宋体" w:hAnsi="宋体" w:eastAsia="宋体" w:cs="宋体"/>
          <w:color w:val="auto"/>
          <w:sz w:val="28"/>
          <w:szCs w:val="28"/>
          <w:lang w:val="en-US" w:eastAsia="zh-CN"/>
        </w:rPr>
        <w:t>物理爆炸多米诺半径（120m）范围内，</w:t>
      </w:r>
      <w:r>
        <w:rPr>
          <w:rFonts w:hint="eastAsia" w:ascii="宋体" w:hAnsi="宋体" w:eastAsia="宋体" w:cs="宋体"/>
          <w:color w:val="auto"/>
          <w:sz w:val="28"/>
          <w:szCs w:val="28"/>
        </w:rPr>
        <w:t>云南祥丰石化有限公司液氨球罐</w:t>
      </w:r>
      <w:r>
        <w:rPr>
          <w:rFonts w:hint="eastAsia" w:ascii="宋体" w:hAnsi="宋体" w:eastAsia="宋体" w:cs="宋体"/>
          <w:color w:val="auto"/>
          <w:sz w:val="28"/>
          <w:szCs w:val="28"/>
          <w:lang w:val="en-US" w:eastAsia="zh-CN"/>
        </w:rPr>
        <w:t>发生爆炸可能造成本项目管廊损坏，导致管廊输送的物料泄漏</w:t>
      </w:r>
      <w:r>
        <w:rPr>
          <w:rFonts w:hint="eastAsia" w:ascii="宋体" w:hAnsi="宋体" w:eastAsia="宋体" w:cs="宋体"/>
          <w:color w:val="auto"/>
          <w:sz w:val="28"/>
          <w:szCs w:val="28"/>
          <w:lang w:eastAsia="zh-CN"/>
        </w:rPr>
        <w:t>。</w:t>
      </w:r>
    </w:p>
    <w:p w14:paraId="22253054">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rPr>
          <w:rFonts w:hint="eastAsia" w:ascii="宋体" w:hAnsi="宋体" w:eastAsia="宋体"/>
          <w:color w:val="auto"/>
          <w:sz w:val="28"/>
          <w:lang w:val="en-US" w:eastAsia="zh-CN"/>
        </w:rPr>
      </w:pPr>
      <w:r>
        <w:rPr>
          <w:rFonts w:hint="eastAsia" w:ascii="宋体" w:hAnsi="宋体" w:eastAsia="宋体"/>
          <w:color w:val="auto"/>
          <w:sz w:val="28"/>
          <w:lang w:val="en-US" w:eastAsia="zh-CN"/>
        </w:rPr>
        <w:t>周边危险源的多米诺半径如下：</w:t>
      </w:r>
    </w:p>
    <w:p w14:paraId="6354187D">
      <w:pPr>
        <w:pStyle w:val="32"/>
        <w:spacing w:line="560" w:lineRule="exact"/>
        <w:ind w:firstLine="361"/>
        <w:contextualSpacing/>
        <w:jc w:val="center"/>
        <w:rPr>
          <w:rFonts w:hint="default" w:ascii="Times New Roman" w:hAnsi="Times New Roman" w:eastAsia="宋体" w:cs="黑体"/>
          <w:b/>
          <w:bCs/>
          <w:color w:val="auto"/>
          <w:spacing w:val="0"/>
          <w:kern w:val="2"/>
          <w:sz w:val="24"/>
          <w:szCs w:val="22"/>
          <w:lang w:val="en-US" w:eastAsia="zh-CN" w:bidi="ar-SA"/>
        </w:rPr>
      </w:pPr>
      <w:r>
        <w:rPr>
          <w:rFonts w:hint="eastAsia" w:ascii="Times New Roman" w:hAnsi="Times New Roman" w:eastAsia="宋体" w:cs="黑体"/>
          <w:b/>
          <w:bCs/>
          <w:color w:val="auto"/>
          <w:spacing w:val="0"/>
          <w:kern w:val="2"/>
          <w:sz w:val="24"/>
          <w:szCs w:val="22"/>
          <w:lang w:val="en-US" w:eastAsia="zh-CN" w:bidi="ar-SA"/>
        </w:rPr>
        <w:t>附表3</w:t>
      </w:r>
      <w:r>
        <w:rPr>
          <w:rFonts w:hint="eastAsia" w:ascii="Times New Roman" w:hAnsi="Times New Roman" w:cs="黑体"/>
          <w:b/>
          <w:bCs/>
          <w:color w:val="auto"/>
          <w:spacing w:val="0"/>
          <w:kern w:val="2"/>
          <w:sz w:val="24"/>
          <w:szCs w:val="22"/>
          <w:lang w:val="en-US" w:eastAsia="zh-CN" w:bidi="ar-SA"/>
        </w:rPr>
        <w:t>.2</w:t>
      </w:r>
      <w:r>
        <w:rPr>
          <w:rFonts w:hint="eastAsia" w:ascii="Times New Roman" w:hAnsi="Times New Roman" w:eastAsia="宋体" w:cs="黑体"/>
          <w:b/>
          <w:bCs/>
          <w:color w:val="auto"/>
          <w:spacing w:val="0"/>
          <w:kern w:val="2"/>
          <w:sz w:val="24"/>
          <w:szCs w:val="22"/>
          <w:lang w:val="en-US" w:eastAsia="zh-CN" w:bidi="ar-SA"/>
        </w:rPr>
        <w:t>-</w:t>
      </w:r>
      <w:r>
        <w:rPr>
          <w:rFonts w:hint="eastAsia" w:ascii="Times New Roman" w:hAnsi="Times New Roman" w:cs="黑体"/>
          <w:b/>
          <w:bCs/>
          <w:color w:val="auto"/>
          <w:spacing w:val="0"/>
          <w:kern w:val="2"/>
          <w:sz w:val="24"/>
          <w:szCs w:val="22"/>
          <w:lang w:val="en-US" w:eastAsia="zh-CN" w:bidi="ar-SA"/>
        </w:rPr>
        <w:t>1</w:t>
      </w:r>
      <w:r>
        <w:rPr>
          <w:rFonts w:hint="eastAsia" w:ascii="Times New Roman" w:hAnsi="Times New Roman" w:eastAsia="宋体" w:cs="黑体"/>
          <w:b/>
          <w:bCs/>
          <w:color w:val="auto"/>
          <w:spacing w:val="0"/>
          <w:kern w:val="2"/>
          <w:sz w:val="24"/>
          <w:szCs w:val="22"/>
          <w:lang w:val="en-US" w:eastAsia="zh-CN" w:bidi="ar-SA"/>
        </w:rPr>
        <w:t xml:space="preserve"> 周边危险源多米诺半径分析情况表</w:t>
      </w:r>
    </w:p>
    <w:tbl>
      <w:tblPr>
        <w:tblStyle w:val="781"/>
        <w:tblW w:w="5042"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548"/>
        <w:gridCol w:w="1488"/>
        <w:gridCol w:w="976"/>
        <w:gridCol w:w="862"/>
        <w:gridCol w:w="1378"/>
        <w:gridCol w:w="1015"/>
      </w:tblGrid>
      <w:tr w14:paraId="20862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blHeader/>
        </w:trPr>
        <w:tc>
          <w:tcPr>
            <w:tcW w:w="1913" w:type="pct"/>
            <w:vAlign w:val="center"/>
          </w:tcPr>
          <w:p w14:paraId="357C97D2">
            <w:pPr>
              <w:keepNext w:val="0"/>
              <w:keepLines w:val="0"/>
              <w:pageBreakBefore w:val="0"/>
              <w:widowControl w:val="0"/>
              <w:kinsoku/>
              <w:wordWrap/>
              <w:overflowPunct/>
              <w:topLinePunct w:val="0"/>
              <w:autoSpaceDE/>
              <w:autoSpaceDN/>
              <w:bidi w:val="0"/>
              <w:adjustRightInd/>
              <w:snapToGrid w:val="0"/>
              <w:spacing w:before="55" w:line="240" w:lineRule="auto"/>
              <w:jc w:val="center"/>
              <w:textAlignment w:val="auto"/>
              <w:rPr>
                <w:rFonts w:hint="eastAsia" w:ascii="宋体" w:hAnsi="宋体" w:eastAsia="宋体" w:cs="宋体"/>
                <w:b/>
                <w:bCs/>
                <w:color w:val="auto"/>
                <w:sz w:val="21"/>
                <w:szCs w:val="21"/>
                <w:lang w:eastAsia="zh-CN"/>
              </w:rPr>
            </w:pPr>
            <w:r>
              <w:rPr>
                <w:rFonts w:hint="eastAsia" w:ascii="宋体" w:hAnsi="宋体" w:eastAsia="宋体" w:cs="宋体"/>
                <w:b/>
                <w:bCs/>
                <w:color w:val="auto"/>
                <w:spacing w:val="9"/>
                <w:sz w:val="21"/>
                <w:szCs w:val="21"/>
                <w:lang w:val="en-US" w:eastAsia="zh-CN"/>
              </w:rPr>
              <w:t>危险源</w:t>
            </w:r>
          </w:p>
        </w:tc>
        <w:tc>
          <w:tcPr>
            <w:tcW w:w="802" w:type="pct"/>
            <w:vAlign w:val="center"/>
          </w:tcPr>
          <w:p w14:paraId="29B8CF94">
            <w:pPr>
              <w:keepNext w:val="0"/>
              <w:keepLines w:val="0"/>
              <w:pageBreakBefore w:val="0"/>
              <w:widowControl w:val="0"/>
              <w:kinsoku/>
              <w:wordWrap/>
              <w:overflowPunct/>
              <w:topLinePunct w:val="0"/>
              <w:autoSpaceDE/>
              <w:autoSpaceDN/>
              <w:bidi w:val="0"/>
              <w:adjustRightInd/>
              <w:snapToGrid w:val="0"/>
              <w:spacing w:before="55" w:line="240" w:lineRule="auto"/>
              <w:jc w:val="center"/>
              <w:textAlignment w:val="auto"/>
              <w:rPr>
                <w:rFonts w:hint="eastAsia" w:ascii="宋体" w:hAnsi="宋体" w:eastAsia="宋体" w:cs="宋体"/>
                <w:b/>
                <w:bCs/>
                <w:color w:val="auto"/>
                <w:spacing w:val="9"/>
                <w:sz w:val="21"/>
                <w:szCs w:val="21"/>
                <w:lang w:val="en-US" w:eastAsia="zh-CN"/>
              </w:rPr>
            </w:pPr>
            <w:r>
              <w:rPr>
                <w:rFonts w:hint="eastAsia" w:ascii="宋体" w:hAnsi="宋体" w:eastAsia="宋体" w:cs="宋体"/>
                <w:b/>
                <w:bCs/>
                <w:color w:val="auto"/>
                <w:spacing w:val="9"/>
                <w:sz w:val="21"/>
                <w:szCs w:val="21"/>
                <w:lang w:val="en-US" w:eastAsia="zh-CN"/>
              </w:rPr>
              <w:t>泄漏模式</w:t>
            </w:r>
          </w:p>
        </w:tc>
        <w:tc>
          <w:tcPr>
            <w:tcW w:w="526" w:type="pct"/>
            <w:vAlign w:val="center"/>
          </w:tcPr>
          <w:p w14:paraId="4378D69C">
            <w:pPr>
              <w:keepNext w:val="0"/>
              <w:keepLines w:val="0"/>
              <w:pageBreakBefore w:val="0"/>
              <w:widowControl w:val="0"/>
              <w:kinsoku/>
              <w:wordWrap/>
              <w:overflowPunct/>
              <w:topLinePunct w:val="0"/>
              <w:autoSpaceDE/>
              <w:autoSpaceDN/>
              <w:bidi w:val="0"/>
              <w:adjustRightInd/>
              <w:snapToGrid w:val="0"/>
              <w:spacing w:before="55" w:line="240" w:lineRule="auto"/>
              <w:jc w:val="center"/>
              <w:textAlignment w:val="auto"/>
              <w:rPr>
                <w:rFonts w:hint="eastAsia" w:ascii="宋体" w:hAnsi="宋体" w:eastAsia="宋体" w:cs="宋体"/>
                <w:b/>
                <w:bCs/>
                <w:color w:val="auto"/>
                <w:spacing w:val="9"/>
                <w:sz w:val="21"/>
                <w:szCs w:val="21"/>
                <w:lang w:val="en-US" w:eastAsia="zh-CN"/>
              </w:rPr>
            </w:pPr>
            <w:r>
              <w:rPr>
                <w:rFonts w:hint="eastAsia" w:ascii="宋体" w:hAnsi="宋体" w:eastAsia="宋体" w:cs="宋体"/>
                <w:b/>
                <w:bCs/>
                <w:color w:val="auto"/>
                <w:spacing w:val="9"/>
                <w:sz w:val="21"/>
                <w:szCs w:val="21"/>
                <w:lang w:val="en-US" w:eastAsia="zh-CN"/>
              </w:rPr>
              <w:t>灾害模式</w:t>
            </w:r>
          </w:p>
        </w:tc>
        <w:tc>
          <w:tcPr>
            <w:tcW w:w="465" w:type="pct"/>
            <w:vAlign w:val="center"/>
          </w:tcPr>
          <w:p w14:paraId="3C80A5BB">
            <w:pPr>
              <w:keepNext w:val="0"/>
              <w:keepLines w:val="0"/>
              <w:pageBreakBefore w:val="0"/>
              <w:widowControl w:val="0"/>
              <w:kinsoku/>
              <w:wordWrap/>
              <w:overflowPunct/>
              <w:topLinePunct w:val="0"/>
              <w:autoSpaceDE/>
              <w:autoSpaceDN/>
              <w:bidi w:val="0"/>
              <w:adjustRightInd/>
              <w:snapToGrid w:val="0"/>
              <w:spacing w:before="55" w:line="240" w:lineRule="auto"/>
              <w:jc w:val="center"/>
              <w:textAlignment w:val="auto"/>
              <w:rPr>
                <w:rFonts w:hint="eastAsia" w:ascii="宋体" w:hAnsi="宋体" w:eastAsia="宋体" w:cs="宋体"/>
                <w:b/>
                <w:bCs/>
                <w:color w:val="auto"/>
                <w:spacing w:val="9"/>
                <w:sz w:val="21"/>
                <w:szCs w:val="21"/>
                <w:lang w:val="en-US" w:eastAsia="zh-CN"/>
              </w:rPr>
            </w:pPr>
            <w:r>
              <w:rPr>
                <w:rFonts w:hint="eastAsia" w:ascii="宋体" w:hAnsi="宋体" w:eastAsia="宋体" w:cs="宋体"/>
                <w:b/>
                <w:bCs/>
                <w:color w:val="auto"/>
                <w:spacing w:val="9"/>
                <w:sz w:val="21"/>
                <w:szCs w:val="21"/>
                <w:lang w:val="en-US" w:eastAsia="zh-CN"/>
              </w:rPr>
              <w:t>多米诺半径(m)</w:t>
            </w:r>
          </w:p>
        </w:tc>
        <w:tc>
          <w:tcPr>
            <w:tcW w:w="743" w:type="pct"/>
            <w:vAlign w:val="center"/>
          </w:tcPr>
          <w:p w14:paraId="7497EC27">
            <w:pPr>
              <w:keepNext w:val="0"/>
              <w:keepLines w:val="0"/>
              <w:pageBreakBefore w:val="0"/>
              <w:widowControl w:val="0"/>
              <w:kinsoku/>
              <w:wordWrap/>
              <w:overflowPunct/>
              <w:topLinePunct w:val="0"/>
              <w:autoSpaceDE/>
              <w:autoSpaceDN/>
              <w:bidi w:val="0"/>
              <w:adjustRightInd/>
              <w:snapToGrid w:val="0"/>
              <w:spacing w:before="55" w:line="240" w:lineRule="auto"/>
              <w:jc w:val="center"/>
              <w:textAlignment w:val="auto"/>
              <w:rPr>
                <w:rFonts w:hint="eastAsia" w:ascii="宋体" w:hAnsi="宋体" w:eastAsia="宋体" w:cs="宋体"/>
                <w:b/>
                <w:bCs/>
                <w:color w:val="auto"/>
                <w:spacing w:val="9"/>
                <w:sz w:val="21"/>
                <w:szCs w:val="21"/>
                <w:lang w:val="en-US" w:eastAsia="zh-CN"/>
              </w:rPr>
            </w:pPr>
            <w:r>
              <w:rPr>
                <w:rFonts w:hint="eastAsia" w:ascii="宋体" w:hAnsi="宋体" w:eastAsia="宋体" w:cs="宋体"/>
                <w:b/>
                <w:bCs/>
                <w:color w:val="auto"/>
                <w:spacing w:val="9"/>
                <w:sz w:val="21"/>
                <w:szCs w:val="21"/>
                <w:lang w:val="en-US" w:eastAsia="zh-CN"/>
              </w:rPr>
              <w:t>多米诺半径内是否有其他企业易燃易爆设施</w:t>
            </w:r>
          </w:p>
        </w:tc>
        <w:tc>
          <w:tcPr>
            <w:tcW w:w="547" w:type="pct"/>
            <w:vAlign w:val="center"/>
          </w:tcPr>
          <w:p w14:paraId="5897567D">
            <w:pPr>
              <w:keepNext w:val="0"/>
              <w:keepLines w:val="0"/>
              <w:pageBreakBefore w:val="0"/>
              <w:widowControl w:val="0"/>
              <w:kinsoku/>
              <w:wordWrap/>
              <w:overflowPunct/>
              <w:topLinePunct w:val="0"/>
              <w:autoSpaceDE/>
              <w:autoSpaceDN/>
              <w:bidi w:val="0"/>
              <w:adjustRightInd/>
              <w:snapToGrid w:val="0"/>
              <w:spacing w:before="55" w:line="240" w:lineRule="auto"/>
              <w:jc w:val="center"/>
              <w:textAlignment w:val="auto"/>
              <w:rPr>
                <w:rFonts w:hint="eastAsia" w:ascii="宋体" w:hAnsi="宋体" w:eastAsia="宋体" w:cs="宋体"/>
                <w:b/>
                <w:bCs/>
                <w:color w:val="auto"/>
                <w:spacing w:val="9"/>
                <w:sz w:val="21"/>
                <w:szCs w:val="21"/>
                <w:lang w:val="en-US" w:eastAsia="zh-CN"/>
              </w:rPr>
            </w:pPr>
            <w:r>
              <w:rPr>
                <w:rFonts w:hint="eastAsia" w:ascii="宋体" w:hAnsi="宋体" w:eastAsia="宋体" w:cs="宋体"/>
                <w:b/>
                <w:bCs/>
                <w:color w:val="auto"/>
                <w:spacing w:val="9"/>
                <w:sz w:val="21"/>
                <w:szCs w:val="21"/>
                <w:lang w:val="en-US" w:eastAsia="zh-CN"/>
              </w:rPr>
              <w:t>是否会引发企业间多米诺效应</w:t>
            </w:r>
          </w:p>
        </w:tc>
      </w:tr>
      <w:tr w14:paraId="56F41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724BF0E8">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祥丰石化：液氨球罐区</w:t>
            </w:r>
          </w:p>
        </w:tc>
        <w:tc>
          <w:tcPr>
            <w:tcW w:w="802" w:type="pct"/>
            <w:vAlign w:val="top"/>
          </w:tcPr>
          <w:p w14:paraId="4B1BDB78">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容器物理爆炸</w:t>
            </w:r>
          </w:p>
        </w:tc>
        <w:tc>
          <w:tcPr>
            <w:tcW w:w="526" w:type="pct"/>
            <w:vAlign w:val="top"/>
          </w:tcPr>
          <w:p w14:paraId="73D26D9B">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物理爆炸</w:t>
            </w:r>
          </w:p>
        </w:tc>
        <w:tc>
          <w:tcPr>
            <w:tcW w:w="465" w:type="pct"/>
            <w:vAlign w:val="top"/>
          </w:tcPr>
          <w:p w14:paraId="2CAA7581">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120</w:t>
            </w:r>
          </w:p>
        </w:tc>
        <w:tc>
          <w:tcPr>
            <w:tcW w:w="743" w:type="pct"/>
            <w:vAlign w:val="top"/>
          </w:tcPr>
          <w:p w14:paraId="085C48B1">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03D0D590">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26E66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38855068">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祥丰金麦：液氨球罐区</w:t>
            </w:r>
          </w:p>
        </w:tc>
        <w:tc>
          <w:tcPr>
            <w:tcW w:w="802" w:type="pct"/>
            <w:vAlign w:val="top"/>
          </w:tcPr>
          <w:p w14:paraId="221E7712">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容器物理爆炸</w:t>
            </w:r>
          </w:p>
        </w:tc>
        <w:tc>
          <w:tcPr>
            <w:tcW w:w="526" w:type="pct"/>
            <w:vAlign w:val="top"/>
          </w:tcPr>
          <w:p w14:paraId="07B3B383">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物理爆炸</w:t>
            </w:r>
          </w:p>
        </w:tc>
        <w:tc>
          <w:tcPr>
            <w:tcW w:w="465" w:type="pct"/>
            <w:vAlign w:val="top"/>
          </w:tcPr>
          <w:p w14:paraId="04354800">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110</w:t>
            </w:r>
          </w:p>
        </w:tc>
        <w:tc>
          <w:tcPr>
            <w:tcW w:w="743" w:type="pct"/>
            <w:vAlign w:val="top"/>
          </w:tcPr>
          <w:p w14:paraId="40C0DBFF">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2247658D">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0AECC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163AA119">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禄脿门站：禄脿门站</w:t>
            </w:r>
          </w:p>
        </w:tc>
        <w:tc>
          <w:tcPr>
            <w:tcW w:w="802" w:type="pct"/>
            <w:vAlign w:val="top"/>
          </w:tcPr>
          <w:p w14:paraId="44FAF1F1">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管道完全破裂</w:t>
            </w:r>
          </w:p>
        </w:tc>
        <w:tc>
          <w:tcPr>
            <w:tcW w:w="526" w:type="pct"/>
            <w:vAlign w:val="top"/>
          </w:tcPr>
          <w:p w14:paraId="22FA8CC7">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40587D99">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65</w:t>
            </w:r>
          </w:p>
        </w:tc>
        <w:tc>
          <w:tcPr>
            <w:tcW w:w="743" w:type="pct"/>
            <w:vAlign w:val="top"/>
          </w:tcPr>
          <w:p w14:paraId="4E41516C">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4AB00251">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017EED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1B5DF941">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禄脿门站：禄脿门站</w:t>
            </w:r>
          </w:p>
        </w:tc>
        <w:tc>
          <w:tcPr>
            <w:tcW w:w="802" w:type="pct"/>
            <w:vAlign w:val="top"/>
          </w:tcPr>
          <w:p w14:paraId="126C4575">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管道大孔泄漏</w:t>
            </w:r>
          </w:p>
        </w:tc>
        <w:tc>
          <w:tcPr>
            <w:tcW w:w="526" w:type="pct"/>
            <w:vAlign w:val="top"/>
          </w:tcPr>
          <w:p w14:paraId="6979F72E">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04A697E0">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65</w:t>
            </w:r>
          </w:p>
        </w:tc>
        <w:tc>
          <w:tcPr>
            <w:tcW w:w="743" w:type="pct"/>
            <w:vAlign w:val="top"/>
          </w:tcPr>
          <w:p w14:paraId="7BC8D0FC">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567B4AFB">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46815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44517CAF">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1#线-高温变换炉</w:t>
            </w:r>
          </w:p>
        </w:tc>
        <w:tc>
          <w:tcPr>
            <w:tcW w:w="802" w:type="pct"/>
            <w:vAlign w:val="top"/>
          </w:tcPr>
          <w:p w14:paraId="725CEDF4">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反应器大孔泄漏</w:t>
            </w:r>
          </w:p>
        </w:tc>
        <w:tc>
          <w:tcPr>
            <w:tcW w:w="526" w:type="pct"/>
            <w:vAlign w:val="top"/>
          </w:tcPr>
          <w:p w14:paraId="38042B91">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415BFA2B">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58</w:t>
            </w:r>
          </w:p>
        </w:tc>
        <w:tc>
          <w:tcPr>
            <w:tcW w:w="743" w:type="pct"/>
            <w:vAlign w:val="top"/>
          </w:tcPr>
          <w:p w14:paraId="6F2A66F5">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64749BFA">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4964C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535C63CB">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1#线-氨合成塔</w:t>
            </w:r>
          </w:p>
        </w:tc>
        <w:tc>
          <w:tcPr>
            <w:tcW w:w="802" w:type="pct"/>
            <w:vAlign w:val="top"/>
          </w:tcPr>
          <w:p w14:paraId="5AFB2AF3">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阀门大孔泄漏</w:t>
            </w:r>
          </w:p>
        </w:tc>
        <w:tc>
          <w:tcPr>
            <w:tcW w:w="526" w:type="pct"/>
            <w:vAlign w:val="top"/>
          </w:tcPr>
          <w:p w14:paraId="29F3892C">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70B9F13D">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58</w:t>
            </w:r>
          </w:p>
        </w:tc>
        <w:tc>
          <w:tcPr>
            <w:tcW w:w="743" w:type="pct"/>
            <w:vAlign w:val="top"/>
          </w:tcPr>
          <w:p w14:paraId="0174263C">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419C825F">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697627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2BD643BF">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1#线-氨合成塔</w:t>
            </w:r>
          </w:p>
        </w:tc>
        <w:tc>
          <w:tcPr>
            <w:tcW w:w="802" w:type="pct"/>
            <w:vAlign w:val="top"/>
          </w:tcPr>
          <w:p w14:paraId="18329CE7">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反应器完全破裂</w:t>
            </w:r>
          </w:p>
        </w:tc>
        <w:tc>
          <w:tcPr>
            <w:tcW w:w="526" w:type="pct"/>
            <w:vAlign w:val="top"/>
          </w:tcPr>
          <w:p w14:paraId="0F95E774">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3E4B582C">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58</w:t>
            </w:r>
          </w:p>
        </w:tc>
        <w:tc>
          <w:tcPr>
            <w:tcW w:w="743" w:type="pct"/>
            <w:vAlign w:val="top"/>
          </w:tcPr>
          <w:p w14:paraId="5648A2CC">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563EBED5">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4F6E85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01A51E39">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1#线-低温变换炉</w:t>
            </w:r>
          </w:p>
        </w:tc>
        <w:tc>
          <w:tcPr>
            <w:tcW w:w="802" w:type="pct"/>
            <w:vAlign w:val="top"/>
          </w:tcPr>
          <w:p w14:paraId="799FAF77">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管道大孔泄漏</w:t>
            </w:r>
          </w:p>
        </w:tc>
        <w:tc>
          <w:tcPr>
            <w:tcW w:w="526" w:type="pct"/>
            <w:vAlign w:val="top"/>
          </w:tcPr>
          <w:p w14:paraId="0E07EB6C">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5E61B239">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58</w:t>
            </w:r>
          </w:p>
        </w:tc>
        <w:tc>
          <w:tcPr>
            <w:tcW w:w="743" w:type="pct"/>
            <w:vAlign w:val="top"/>
          </w:tcPr>
          <w:p w14:paraId="512E6BD6">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6F5E7342">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330B51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256CF700">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2#线-高温变换炉</w:t>
            </w:r>
          </w:p>
        </w:tc>
        <w:tc>
          <w:tcPr>
            <w:tcW w:w="802" w:type="pct"/>
            <w:vAlign w:val="top"/>
          </w:tcPr>
          <w:p w14:paraId="4D653C92">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管道大孔泄漏</w:t>
            </w:r>
          </w:p>
        </w:tc>
        <w:tc>
          <w:tcPr>
            <w:tcW w:w="526" w:type="pct"/>
            <w:vAlign w:val="top"/>
          </w:tcPr>
          <w:p w14:paraId="6689D7AF">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3B11ACC0">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58</w:t>
            </w:r>
          </w:p>
        </w:tc>
        <w:tc>
          <w:tcPr>
            <w:tcW w:w="743" w:type="pct"/>
            <w:vAlign w:val="top"/>
          </w:tcPr>
          <w:p w14:paraId="0F775A8C">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38D1C8E6">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760783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13717C11">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1#线-高温变换炉</w:t>
            </w:r>
          </w:p>
        </w:tc>
        <w:tc>
          <w:tcPr>
            <w:tcW w:w="802" w:type="pct"/>
            <w:vAlign w:val="top"/>
          </w:tcPr>
          <w:p w14:paraId="3768CC53">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反应器完全破裂</w:t>
            </w:r>
          </w:p>
        </w:tc>
        <w:tc>
          <w:tcPr>
            <w:tcW w:w="526" w:type="pct"/>
            <w:vAlign w:val="top"/>
          </w:tcPr>
          <w:p w14:paraId="70584A4E">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5FE116FD">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58</w:t>
            </w:r>
          </w:p>
        </w:tc>
        <w:tc>
          <w:tcPr>
            <w:tcW w:w="743" w:type="pct"/>
            <w:vAlign w:val="top"/>
          </w:tcPr>
          <w:p w14:paraId="6FAE214E">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703A5803">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63FD8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67F0B44E">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2#线-甲烷化炉</w:t>
            </w:r>
          </w:p>
        </w:tc>
        <w:tc>
          <w:tcPr>
            <w:tcW w:w="802" w:type="pct"/>
            <w:vAlign w:val="top"/>
          </w:tcPr>
          <w:p w14:paraId="72B45D01">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反应器大孔泄漏</w:t>
            </w:r>
          </w:p>
        </w:tc>
        <w:tc>
          <w:tcPr>
            <w:tcW w:w="526" w:type="pct"/>
            <w:vAlign w:val="top"/>
          </w:tcPr>
          <w:p w14:paraId="0C04907A">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23062D39">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58</w:t>
            </w:r>
          </w:p>
        </w:tc>
        <w:tc>
          <w:tcPr>
            <w:tcW w:w="743" w:type="pct"/>
            <w:vAlign w:val="top"/>
          </w:tcPr>
          <w:p w14:paraId="3A24C5E1">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1A07EDB8">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733DB0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7D193922">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2#线-低温变换炉</w:t>
            </w:r>
          </w:p>
        </w:tc>
        <w:tc>
          <w:tcPr>
            <w:tcW w:w="802" w:type="pct"/>
            <w:vAlign w:val="top"/>
          </w:tcPr>
          <w:p w14:paraId="2308A1D1">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管道完全破裂</w:t>
            </w:r>
          </w:p>
        </w:tc>
        <w:tc>
          <w:tcPr>
            <w:tcW w:w="526" w:type="pct"/>
            <w:vAlign w:val="top"/>
          </w:tcPr>
          <w:p w14:paraId="33A8CE07">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10DD4D08">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58</w:t>
            </w:r>
          </w:p>
        </w:tc>
        <w:tc>
          <w:tcPr>
            <w:tcW w:w="743" w:type="pct"/>
            <w:vAlign w:val="top"/>
          </w:tcPr>
          <w:p w14:paraId="59FC7DC3">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00685785">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28EF0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052F46DD">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2#线-高温变换炉</w:t>
            </w:r>
          </w:p>
        </w:tc>
        <w:tc>
          <w:tcPr>
            <w:tcW w:w="802" w:type="pct"/>
            <w:vAlign w:val="top"/>
          </w:tcPr>
          <w:p w14:paraId="1B3F4C96">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反应器完全破裂</w:t>
            </w:r>
          </w:p>
        </w:tc>
        <w:tc>
          <w:tcPr>
            <w:tcW w:w="526" w:type="pct"/>
            <w:vAlign w:val="top"/>
          </w:tcPr>
          <w:p w14:paraId="6756310C">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4F5CE8A8">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58</w:t>
            </w:r>
          </w:p>
        </w:tc>
        <w:tc>
          <w:tcPr>
            <w:tcW w:w="743" w:type="pct"/>
            <w:vAlign w:val="top"/>
          </w:tcPr>
          <w:p w14:paraId="0F112604">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516ABDBA">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600A00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36C90E90">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2#线-甲烷化炉</w:t>
            </w:r>
          </w:p>
        </w:tc>
        <w:tc>
          <w:tcPr>
            <w:tcW w:w="802" w:type="pct"/>
            <w:vAlign w:val="top"/>
          </w:tcPr>
          <w:p w14:paraId="0D843579">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管道完全破裂</w:t>
            </w:r>
          </w:p>
        </w:tc>
        <w:tc>
          <w:tcPr>
            <w:tcW w:w="526" w:type="pct"/>
            <w:vAlign w:val="top"/>
          </w:tcPr>
          <w:p w14:paraId="3454077D">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0CB09657">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58</w:t>
            </w:r>
          </w:p>
        </w:tc>
        <w:tc>
          <w:tcPr>
            <w:tcW w:w="743" w:type="pct"/>
            <w:vAlign w:val="top"/>
          </w:tcPr>
          <w:p w14:paraId="183EFEDA">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44404223">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11F36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3CBF6F5C">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mc:AlternateContent>
                <mc:Choice Requires="wps">
                  <w:drawing>
                    <wp:anchor distT="0" distB="0" distL="114300" distR="114300" simplePos="0" relativeHeight="251660288" behindDoc="0" locked="0" layoutInCell="0" allowOverlap="1">
                      <wp:simplePos x="0" y="0"/>
                      <wp:positionH relativeFrom="page">
                        <wp:posOffset>1008380</wp:posOffset>
                      </wp:positionH>
                      <wp:positionV relativeFrom="page">
                        <wp:posOffset>9912350</wp:posOffset>
                      </wp:positionV>
                      <wp:extent cx="5315585" cy="6350"/>
                      <wp:effectExtent l="0" t="0" r="0" b="0"/>
                      <wp:wrapNone/>
                      <wp:docPr id="43" name="任意多边形 43"/>
                      <wp:cNvGraphicFramePr/>
                      <a:graphic xmlns:a="http://schemas.openxmlformats.org/drawingml/2006/main">
                        <a:graphicData uri="http://schemas.microsoft.com/office/word/2010/wordprocessingShape">
                          <wps:wsp>
                            <wps:cNvSpPr/>
                            <wps:spPr>
                              <a:xfrm>
                                <a:off x="0" y="0"/>
                                <a:ext cx="5315585" cy="6350"/>
                              </a:xfrm>
                              <a:custGeom>
                                <a:avLst/>
                                <a:gdLst/>
                                <a:ahLst/>
                                <a:cxnLst/>
                                <a:pathLst>
                                  <a:path w="8370" h="10">
                                    <a:moveTo>
                                      <a:pt x="0" y="0"/>
                                    </a:moveTo>
                                    <a:lnTo>
                                      <a:pt x="8370" y="0"/>
                                    </a:lnTo>
                                    <a:lnTo>
                                      <a:pt x="8370"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9.4pt;margin-top:780.5pt;height:0.5pt;width:418.55pt;mso-position-horizontal-relative:page;mso-position-vertical-relative:page;z-index:251660288;mso-width-relative:page;mso-height-relative:page;" fillcolor="#000000" filled="t" stroked="f" coordsize="8370,10" o:allowincell="f" o:gfxdata="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RMaGO2AAAAA0BAAAPAAAAAAAAAAEA&#10;IAAAACIAAABkcnMvZG93bnJldi54bWxQSwECFAAUAAAACACHTuJAvjHYjw8CAAB7BAAADgAAAAAA&#10;AAABACAAAAAnAQAAZHJzL2Uyb0RvYy54bWxQSwUGAAAAAAYABgBZAQAAqAUAAAAA&#10;" path="m0,0l8370,0,8370,9,0,9,0,0xe">
                      <v:fill on="t" focussize="0,0"/>
                      <v:stroke on="f"/>
                      <v:imagedata o:title=""/>
                      <o:lock v:ext="edit" aspectratio="f"/>
                    </v:shape>
                  </w:pict>
                </mc:Fallback>
              </mc:AlternateContent>
            </w:r>
            <w:r>
              <w:rPr>
                <w:rFonts w:ascii="宋体" w:hAnsi="宋体" w:eastAsia="宋体" w:cs="宋体"/>
                <w:color w:val="auto"/>
                <w:spacing w:val="11"/>
                <w:kern w:val="0"/>
                <w:sz w:val="21"/>
                <w:szCs w:val="21"/>
              </w:rPr>
              <w:t>祥丰石化：合成氨装置 1#线-氨合成塔</w:t>
            </w:r>
          </w:p>
        </w:tc>
        <w:tc>
          <w:tcPr>
            <w:tcW w:w="802" w:type="pct"/>
            <w:vAlign w:val="top"/>
          </w:tcPr>
          <w:p w14:paraId="16E2C72C">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反应器大孔泄漏</w:t>
            </w:r>
          </w:p>
        </w:tc>
        <w:tc>
          <w:tcPr>
            <w:tcW w:w="526" w:type="pct"/>
            <w:vAlign w:val="top"/>
          </w:tcPr>
          <w:p w14:paraId="2A22FCD3">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39A4305F">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58</w:t>
            </w:r>
          </w:p>
        </w:tc>
        <w:tc>
          <w:tcPr>
            <w:tcW w:w="743" w:type="pct"/>
            <w:vAlign w:val="top"/>
          </w:tcPr>
          <w:p w14:paraId="79B2AE5E">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6FF1489C">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0A71D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58781C28">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2#线-高温变换炉</w:t>
            </w:r>
          </w:p>
        </w:tc>
        <w:tc>
          <w:tcPr>
            <w:tcW w:w="802" w:type="pct"/>
            <w:vAlign w:val="top"/>
          </w:tcPr>
          <w:p w14:paraId="2F35EA02">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反应器大孔泄漏</w:t>
            </w:r>
          </w:p>
        </w:tc>
        <w:tc>
          <w:tcPr>
            <w:tcW w:w="526" w:type="pct"/>
            <w:vAlign w:val="top"/>
          </w:tcPr>
          <w:p w14:paraId="5C3872BF">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1A3D587F">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58</w:t>
            </w:r>
          </w:p>
        </w:tc>
        <w:tc>
          <w:tcPr>
            <w:tcW w:w="743" w:type="pct"/>
            <w:vAlign w:val="top"/>
          </w:tcPr>
          <w:p w14:paraId="3ED34980">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03EBE5A6">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7C27E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7B9DA436">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2#线-低温变换炉</w:t>
            </w:r>
          </w:p>
        </w:tc>
        <w:tc>
          <w:tcPr>
            <w:tcW w:w="802" w:type="pct"/>
            <w:vAlign w:val="top"/>
          </w:tcPr>
          <w:p w14:paraId="0B5F0953">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管道大孔泄漏</w:t>
            </w:r>
          </w:p>
        </w:tc>
        <w:tc>
          <w:tcPr>
            <w:tcW w:w="526" w:type="pct"/>
            <w:vAlign w:val="top"/>
          </w:tcPr>
          <w:p w14:paraId="02A6A3F9">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20328E2E">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58</w:t>
            </w:r>
          </w:p>
        </w:tc>
        <w:tc>
          <w:tcPr>
            <w:tcW w:w="743" w:type="pct"/>
            <w:vAlign w:val="top"/>
          </w:tcPr>
          <w:p w14:paraId="75BEDE0E">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0F493009">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43776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656C297B">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1#线-氨合成塔</w:t>
            </w:r>
          </w:p>
        </w:tc>
        <w:tc>
          <w:tcPr>
            <w:tcW w:w="802" w:type="pct"/>
            <w:vAlign w:val="top"/>
          </w:tcPr>
          <w:p w14:paraId="2FECD6F3">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管道完全破裂</w:t>
            </w:r>
          </w:p>
        </w:tc>
        <w:tc>
          <w:tcPr>
            <w:tcW w:w="526" w:type="pct"/>
            <w:vAlign w:val="top"/>
          </w:tcPr>
          <w:p w14:paraId="413FDC08">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41824D51">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58</w:t>
            </w:r>
          </w:p>
        </w:tc>
        <w:tc>
          <w:tcPr>
            <w:tcW w:w="743" w:type="pct"/>
            <w:vAlign w:val="top"/>
          </w:tcPr>
          <w:p w14:paraId="57B1A12E">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059854E4">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5B14E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36E7D3D4">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1#线-低温变换炉</w:t>
            </w:r>
          </w:p>
        </w:tc>
        <w:tc>
          <w:tcPr>
            <w:tcW w:w="802" w:type="pct"/>
            <w:vAlign w:val="top"/>
          </w:tcPr>
          <w:p w14:paraId="06CEEED5">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反应器完全破裂</w:t>
            </w:r>
          </w:p>
        </w:tc>
        <w:tc>
          <w:tcPr>
            <w:tcW w:w="526" w:type="pct"/>
            <w:vAlign w:val="top"/>
          </w:tcPr>
          <w:p w14:paraId="66492A91">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3878F124">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58</w:t>
            </w:r>
          </w:p>
        </w:tc>
        <w:tc>
          <w:tcPr>
            <w:tcW w:w="743" w:type="pct"/>
            <w:vAlign w:val="top"/>
          </w:tcPr>
          <w:p w14:paraId="657B9176">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22F23EA9">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10599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7632B7EB">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2#线-甲烷化炉</w:t>
            </w:r>
          </w:p>
        </w:tc>
        <w:tc>
          <w:tcPr>
            <w:tcW w:w="802" w:type="pct"/>
            <w:vAlign w:val="top"/>
          </w:tcPr>
          <w:p w14:paraId="3A0C3486">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管道大孔泄漏</w:t>
            </w:r>
          </w:p>
        </w:tc>
        <w:tc>
          <w:tcPr>
            <w:tcW w:w="526" w:type="pct"/>
            <w:vAlign w:val="top"/>
          </w:tcPr>
          <w:p w14:paraId="6B0C48FF">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7C5A2301">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58</w:t>
            </w:r>
          </w:p>
        </w:tc>
        <w:tc>
          <w:tcPr>
            <w:tcW w:w="743" w:type="pct"/>
            <w:vAlign w:val="top"/>
          </w:tcPr>
          <w:p w14:paraId="33078567">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44D47066">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5F4A1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3D171EF7">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1#线-低温变换炉</w:t>
            </w:r>
          </w:p>
        </w:tc>
        <w:tc>
          <w:tcPr>
            <w:tcW w:w="802" w:type="pct"/>
            <w:vAlign w:val="top"/>
          </w:tcPr>
          <w:p w14:paraId="73F6E3DD">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反应器大孔泄漏</w:t>
            </w:r>
          </w:p>
        </w:tc>
        <w:tc>
          <w:tcPr>
            <w:tcW w:w="526" w:type="pct"/>
            <w:vAlign w:val="top"/>
          </w:tcPr>
          <w:p w14:paraId="58696F28">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63418A62">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58</w:t>
            </w:r>
          </w:p>
        </w:tc>
        <w:tc>
          <w:tcPr>
            <w:tcW w:w="743" w:type="pct"/>
            <w:vAlign w:val="top"/>
          </w:tcPr>
          <w:p w14:paraId="6BCF39BA">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69CB5F84">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79DDF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33382864">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1#线-甲烷化炉</w:t>
            </w:r>
          </w:p>
        </w:tc>
        <w:tc>
          <w:tcPr>
            <w:tcW w:w="802" w:type="pct"/>
            <w:vAlign w:val="top"/>
          </w:tcPr>
          <w:p w14:paraId="74767F11">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反应器大孔泄漏</w:t>
            </w:r>
          </w:p>
        </w:tc>
        <w:tc>
          <w:tcPr>
            <w:tcW w:w="526" w:type="pct"/>
            <w:vAlign w:val="top"/>
          </w:tcPr>
          <w:p w14:paraId="184D8393">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26015D69">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58</w:t>
            </w:r>
          </w:p>
        </w:tc>
        <w:tc>
          <w:tcPr>
            <w:tcW w:w="743" w:type="pct"/>
            <w:vAlign w:val="top"/>
          </w:tcPr>
          <w:p w14:paraId="731E4F2E">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264AD814">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18A9D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582CE499">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1#线-氨合成塔</w:t>
            </w:r>
          </w:p>
        </w:tc>
        <w:tc>
          <w:tcPr>
            <w:tcW w:w="802" w:type="pct"/>
            <w:vAlign w:val="top"/>
          </w:tcPr>
          <w:p w14:paraId="7DEC0CFC">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管道大孔泄漏</w:t>
            </w:r>
          </w:p>
        </w:tc>
        <w:tc>
          <w:tcPr>
            <w:tcW w:w="526" w:type="pct"/>
            <w:vAlign w:val="top"/>
          </w:tcPr>
          <w:p w14:paraId="135A9FFE">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7E0EAE75">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58</w:t>
            </w:r>
          </w:p>
        </w:tc>
        <w:tc>
          <w:tcPr>
            <w:tcW w:w="743" w:type="pct"/>
            <w:vAlign w:val="top"/>
          </w:tcPr>
          <w:p w14:paraId="45805EFF">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50B1808C">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22978F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4031C24E">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2#线-氨合成塔</w:t>
            </w:r>
          </w:p>
        </w:tc>
        <w:tc>
          <w:tcPr>
            <w:tcW w:w="802" w:type="pct"/>
            <w:vAlign w:val="top"/>
          </w:tcPr>
          <w:p w14:paraId="6D09A58B">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反应器完全破裂</w:t>
            </w:r>
          </w:p>
        </w:tc>
        <w:tc>
          <w:tcPr>
            <w:tcW w:w="526" w:type="pct"/>
            <w:vAlign w:val="top"/>
          </w:tcPr>
          <w:p w14:paraId="7A27D00F">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1E7DD1E6">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58</w:t>
            </w:r>
          </w:p>
        </w:tc>
        <w:tc>
          <w:tcPr>
            <w:tcW w:w="743" w:type="pct"/>
            <w:vAlign w:val="top"/>
          </w:tcPr>
          <w:p w14:paraId="0C76AC06">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19F5BDD6">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3C1BB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053064DD">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1#线-甲烷化炉</w:t>
            </w:r>
          </w:p>
        </w:tc>
        <w:tc>
          <w:tcPr>
            <w:tcW w:w="802" w:type="pct"/>
            <w:vAlign w:val="top"/>
          </w:tcPr>
          <w:p w14:paraId="1F46932B">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反应器完全破裂</w:t>
            </w:r>
          </w:p>
        </w:tc>
        <w:tc>
          <w:tcPr>
            <w:tcW w:w="526" w:type="pct"/>
            <w:vAlign w:val="top"/>
          </w:tcPr>
          <w:p w14:paraId="2CAAFFE2">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36717821">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58</w:t>
            </w:r>
          </w:p>
        </w:tc>
        <w:tc>
          <w:tcPr>
            <w:tcW w:w="743" w:type="pct"/>
            <w:vAlign w:val="top"/>
          </w:tcPr>
          <w:p w14:paraId="7477B7CF">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3CF3C79F">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0DA04D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3DDF1691">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2#线-高温变换炉</w:t>
            </w:r>
          </w:p>
        </w:tc>
        <w:tc>
          <w:tcPr>
            <w:tcW w:w="802" w:type="pct"/>
            <w:vAlign w:val="top"/>
          </w:tcPr>
          <w:p w14:paraId="63540932">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管道完全破裂</w:t>
            </w:r>
          </w:p>
        </w:tc>
        <w:tc>
          <w:tcPr>
            <w:tcW w:w="526" w:type="pct"/>
            <w:vAlign w:val="top"/>
          </w:tcPr>
          <w:p w14:paraId="030E0CAF">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02AC66CF">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58</w:t>
            </w:r>
          </w:p>
        </w:tc>
        <w:tc>
          <w:tcPr>
            <w:tcW w:w="743" w:type="pct"/>
            <w:vAlign w:val="top"/>
          </w:tcPr>
          <w:p w14:paraId="606BD6A1">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2EF3B345">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32C4A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4DDDACC9">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1#线-甲烷化炉</w:t>
            </w:r>
          </w:p>
        </w:tc>
        <w:tc>
          <w:tcPr>
            <w:tcW w:w="802" w:type="pct"/>
            <w:vAlign w:val="top"/>
          </w:tcPr>
          <w:p w14:paraId="016555DF">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管道完全破裂</w:t>
            </w:r>
          </w:p>
        </w:tc>
        <w:tc>
          <w:tcPr>
            <w:tcW w:w="526" w:type="pct"/>
            <w:vAlign w:val="top"/>
          </w:tcPr>
          <w:p w14:paraId="09343FF9">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31E93752">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58</w:t>
            </w:r>
          </w:p>
        </w:tc>
        <w:tc>
          <w:tcPr>
            <w:tcW w:w="743" w:type="pct"/>
            <w:vAlign w:val="top"/>
          </w:tcPr>
          <w:p w14:paraId="7B6BC02C">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42B01907">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6738F5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69A095FB">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2#线-氨合成塔</w:t>
            </w:r>
          </w:p>
        </w:tc>
        <w:tc>
          <w:tcPr>
            <w:tcW w:w="802" w:type="pct"/>
            <w:vAlign w:val="top"/>
          </w:tcPr>
          <w:p w14:paraId="59E0A36B">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阀门大孔泄漏</w:t>
            </w:r>
          </w:p>
        </w:tc>
        <w:tc>
          <w:tcPr>
            <w:tcW w:w="526" w:type="pct"/>
            <w:vAlign w:val="top"/>
          </w:tcPr>
          <w:p w14:paraId="7D063FDC">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0E7E4C6F">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58</w:t>
            </w:r>
          </w:p>
        </w:tc>
        <w:tc>
          <w:tcPr>
            <w:tcW w:w="743" w:type="pct"/>
            <w:vAlign w:val="top"/>
          </w:tcPr>
          <w:p w14:paraId="19D45D76">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6757C94E">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62FD6B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46A0E2BF">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2#线-氨合成塔</w:t>
            </w:r>
          </w:p>
        </w:tc>
        <w:tc>
          <w:tcPr>
            <w:tcW w:w="802" w:type="pct"/>
            <w:vAlign w:val="top"/>
          </w:tcPr>
          <w:p w14:paraId="7964006C">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反应器大孔泄漏</w:t>
            </w:r>
          </w:p>
        </w:tc>
        <w:tc>
          <w:tcPr>
            <w:tcW w:w="526" w:type="pct"/>
            <w:vAlign w:val="top"/>
          </w:tcPr>
          <w:p w14:paraId="18ACD06D">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5B74262C">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58</w:t>
            </w:r>
          </w:p>
        </w:tc>
        <w:tc>
          <w:tcPr>
            <w:tcW w:w="743" w:type="pct"/>
            <w:vAlign w:val="top"/>
          </w:tcPr>
          <w:p w14:paraId="0D118F07">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083AAC05">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397C2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2E5155E5">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2#线-低温变换炉</w:t>
            </w:r>
          </w:p>
        </w:tc>
        <w:tc>
          <w:tcPr>
            <w:tcW w:w="802" w:type="pct"/>
            <w:vAlign w:val="top"/>
          </w:tcPr>
          <w:p w14:paraId="0050CD31">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反应器完全破裂</w:t>
            </w:r>
          </w:p>
        </w:tc>
        <w:tc>
          <w:tcPr>
            <w:tcW w:w="526" w:type="pct"/>
            <w:vAlign w:val="top"/>
          </w:tcPr>
          <w:p w14:paraId="2F15E088">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3CACE8A3">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58</w:t>
            </w:r>
          </w:p>
        </w:tc>
        <w:tc>
          <w:tcPr>
            <w:tcW w:w="743" w:type="pct"/>
            <w:vAlign w:val="top"/>
          </w:tcPr>
          <w:p w14:paraId="0F2DC53F">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5C08CCC1">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5B7DD0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38DBDBA4">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2#线-氨合成塔</w:t>
            </w:r>
          </w:p>
        </w:tc>
        <w:tc>
          <w:tcPr>
            <w:tcW w:w="802" w:type="pct"/>
            <w:vAlign w:val="top"/>
          </w:tcPr>
          <w:p w14:paraId="4498196E">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管道大孔泄漏</w:t>
            </w:r>
          </w:p>
        </w:tc>
        <w:tc>
          <w:tcPr>
            <w:tcW w:w="526" w:type="pct"/>
            <w:vAlign w:val="top"/>
          </w:tcPr>
          <w:p w14:paraId="2583A177">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7C90BF06">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58</w:t>
            </w:r>
          </w:p>
        </w:tc>
        <w:tc>
          <w:tcPr>
            <w:tcW w:w="743" w:type="pct"/>
            <w:vAlign w:val="top"/>
          </w:tcPr>
          <w:p w14:paraId="7A4F8CF6">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6C79A9BA">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1591DD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3AC62E9E">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1#线-高温变换炉</w:t>
            </w:r>
          </w:p>
        </w:tc>
        <w:tc>
          <w:tcPr>
            <w:tcW w:w="802" w:type="pct"/>
            <w:vAlign w:val="top"/>
          </w:tcPr>
          <w:p w14:paraId="50BCD6A5">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管道完全破裂</w:t>
            </w:r>
          </w:p>
        </w:tc>
        <w:tc>
          <w:tcPr>
            <w:tcW w:w="526" w:type="pct"/>
            <w:vAlign w:val="top"/>
          </w:tcPr>
          <w:p w14:paraId="391AA199">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521C3CCC">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58</w:t>
            </w:r>
          </w:p>
        </w:tc>
        <w:tc>
          <w:tcPr>
            <w:tcW w:w="743" w:type="pct"/>
            <w:vAlign w:val="top"/>
          </w:tcPr>
          <w:p w14:paraId="1FA6149F">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5712D159">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1FBC5B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1FF4158C">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2#线-氨合成塔</w:t>
            </w:r>
          </w:p>
        </w:tc>
        <w:tc>
          <w:tcPr>
            <w:tcW w:w="802" w:type="pct"/>
            <w:vAlign w:val="top"/>
          </w:tcPr>
          <w:p w14:paraId="42812BCA">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管道完全破裂</w:t>
            </w:r>
          </w:p>
        </w:tc>
        <w:tc>
          <w:tcPr>
            <w:tcW w:w="526" w:type="pct"/>
            <w:vAlign w:val="top"/>
          </w:tcPr>
          <w:p w14:paraId="3E3E9044">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43B3DBD6">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58</w:t>
            </w:r>
          </w:p>
        </w:tc>
        <w:tc>
          <w:tcPr>
            <w:tcW w:w="743" w:type="pct"/>
            <w:vAlign w:val="top"/>
          </w:tcPr>
          <w:p w14:paraId="4B196FB1">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46014021">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09615D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61BF0CA8">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1#线-高温变换炉</w:t>
            </w:r>
          </w:p>
        </w:tc>
        <w:tc>
          <w:tcPr>
            <w:tcW w:w="802" w:type="pct"/>
            <w:vAlign w:val="top"/>
          </w:tcPr>
          <w:p w14:paraId="5EDF506E">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管道大孔泄漏</w:t>
            </w:r>
          </w:p>
        </w:tc>
        <w:tc>
          <w:tcPr>
            <w:tcW w:w="526" w:type="pct"/>
            <w:vAlign w:val="top"/>
          </w:tcPr>
          <w:p w14:paraId="23EFBBBE">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37855CB5">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58</w:t>
            </w:r>
          </w:p>
        </w:tc>
        <w:tc>
          <w:tcPr>
            <w:tcW w:w="743" w:type="pct"/>
            <w:vAlign w:val="top"/>
          </w:tcPr>
          <w:p w14:paraId="27906DB0">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7EC1F171">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1F12F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1F58395F">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1#线-甲烷化炉</w:t>
            </w:r>
          </w:p>
        </w:tc>
        <w:tc>
          <w:tcPr>
            <w:tcW w:w="802" w:type="pct"/>
            <w:vAlign w:val="top"/>
          </w:tcPr>
          <w:p w14:paraId="6493751A">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管道大孔泄漏</w:t>
            </w:r>
          </w:p>
        </w:tc>
        <w:tc>
          <w:tcPr>
            <w:tcW w:w="526" w:type="pct"/>
            <w:vAlign w:val="top"/>
          </w:tcPr>
          <w:p w14:paraId="1C97C37F">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1730182B">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58</w:t>
            </w:r>
          </w:p>
        </w:tc>
        <w:tc>
          <w:tcPr>
            <w:tcW w:w="743" w:type="pct"/>
            <w:vAlign w:val="top"/>
          </w:tcPr>
          <w:p w14:paraId="63246423">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58C04AD0">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0D341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6ED0F732">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2#线-甲烷化炉</w:t>
            </w:r>
          </w:p>
        </w:tc>
        <w:tc>
          <w:tcPr>
            <w:tcW w:w="802" w:type="pct"/>
            <w:vAlign w:val="top"/>
          </w:tcPr>
          <w:p w14:paraId="1F9DC831">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反应器完全破裂</w:t>
            </w:r>
          </w:p>
        </w:tc>
        <w:tc>
          <w:tcPr>
            <w:tcW w:w="526" w:type="pct"/>
            <w:vAlign w:val="top"/>
          </w:tcPr>
          <w:p w14:paraId="62720BA2">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1C0BC279">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58</w:t>
            </w:r>
          </w:p>
        </w:tc>
        <w:tc>
          <w:tcPr>
            <w:tcW w:w="743" w:type="pct"/>
            <w:vAlign w:val="top"/>
          </w:tcPr>
          <w:p w14:paraId="4019BCDA">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205A64AF">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318C4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15059A9A">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2#线-低温变换炉</w:t>
            </w:r>
          </w:p>
        </w:tc>
        <w:tc>
          <w:tcPr>
            <w:tcW w:w="802" w:type="pct"/>
            <w:vAlign w:val="top"/>
          </w:tcPr>
          <w:p w14:paraId="151C45E6">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反应器大孔泄漏</w:t>
            </w:r>
          </w:p>
        </w:tc>
        <w:tc>
          <w:tcPr>
            <w:tcW w:w="526" w:type="pct"/>
            <w:vAlign w:val="top"/>
          </w:tcPr>
          <w:p w14:paraId="121355F4">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236FBCE0">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58</w:t>
            </w:r>
          </w:p>
        </w:tc>
        <w:tc>
          <w:tcPr>
            <w:tcW w:w="743" w:type="pct"/>
            <w:vAlign w:val="top"/>
          </w:tcPr>
          <w:p w14:paraId="23D8E2AC">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622697A8">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418C10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216D7FA1">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1#线-低温变换炉</w:t>
            </w:r>
          </w:p>
        </w:tc>
        <w:tc>
          <w:tcPr>
            <w:tcW w:w="802" w:type="pct"/>
            <w:vAlign w:val="top"/>
          </w:tcPr>
          <w:p w14:paraId="76336D2E">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管道完全破裂</w:t>
            </w:r>
          </w:p>
        </w:tc>
        <w:tc>
          <w:tcPr>
            <w:tcW w:w="526" w:type="pct"/>
            <w:vAlign w:val="top"/>
          </w:tcPr>
          <w:p w14:paraId="7819E0EE">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320D1C80">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58</w:t>
            </w:r>
          </w:p>
        </w:tc>
        <w:tc>
          <w:tcPr>
            <w:tcW w:w="743" w:type="pct"/>
            <w:vAlign w:val="top"/>
          </w:tcPr>
          <w:p w14:paraId="7A9FB559">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77A16EBA">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2BB814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0FDE093F">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禄脿门站：禄脿门站</w:t>
            </w:r>
          </w:p>
        </w:tc>
        <w:tc>
          <w:tcPr>
            <w:tcW w:w="802" w:type="pct"/>
            <w:vAlign w:val="top"/>
          </w:tcPr>
          <w:p w14:paraId="357C005D">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管道中孔泄漏</w:t>
            </w:r>
          </w:p>
        </w:tc>
        <w:tc>
          <w:tcPr>
            <w:tcW w:w="526" w:type="pct"/>
            <w:vAlign w:val="top"/>
          </w:tcPr>
          <w:p w14:paraId="3C57E806">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614E213E">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53</w:t>
            </w:r>
          </w:p>
        </w:tc>
        <w:tc>
          <w:tcPr>
            <w:tcW w:w="743" w:type="pct"/>
            <w:vAlign w:val="top"/>
          </w:tcPr>
          <w:p w14:paraId="3DC7967E">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01C7634C">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0E8CB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61437344">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1#线-低温变换炉</w:t>
            </w:r>
          </w:p>
        </w:tc>
        <w:tc>
          <w:tcPr>
            <w:tcW w:w="802" w:type="pct"/>
            <w:vAlign w:val="top"/>
          </w:tcPr>
          <w:p w14:paraId="102FF726">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阀门大孔泄漏</w:t>
            </w:r>
          </w:p>
        </w:tc>
        <w:tc>
          <w:tcPr>
            <w:tcW w:w="526" w:type="pct"/>
            <w:vAlign w:val="top"/>
          </w:tcPr>
          <w:p w14:paraId="5F57AE9E">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1D5A181F">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44</w:t>
            </w:r>
          </w:p>
        </w:tc>
        <w:tc>
          <w:tcPr>
            <w:tcW w:w="743" w:type="pct"/>
            <w:vAlign w:val="top"/>
          </w:tcPr>
          <w:p w14:paraId="0DAB0407">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527D7E0F">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7EE189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54F941AD">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2#线-低温变换炉</w:t>
            </w:r>
          </w:p>
        </w:tc>
        <w:tc>
          <w:tcPr>
            <w:tcW w:w="802" w:type="pct"/>
            <w:vAlign w:val="top"/>
          </w:tcPr>
          <w:p w14:paraId="0854E842">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阀门大孔泄漏</w:t>
            </w:r>
          </w:p>
        </w:tc>
        <w:tc>
          <w:tcPr>
            <w:tcW w:w="526" w:type="pct"/>
            <w:vAlign w:val="top"/>
          </w:tcPr>
          <w:p w14:paraId="64511BDB">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77EF52ED">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44</w:t>
            </w:r>
          </w:p>
        </w:tc>
        <w:tc>
          <w:tcPr>
            <w:tcW w:w="743" w:type="pct"/>
            <w:vAlign w:val="top"/>
          </w:tcPr>
          <w:p w14:paraId="3D4C7CF7">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037395BB">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4E4DD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3EC1D362">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1#线-氨合成塔</w:t>
            </w:r>
          </w:p>
        </w:tc>
        <w:tc>
          <w:tcPr>
            <w:tcW w:w="802" w:type="pct"/>
            <w:vAlign w:val="top"/>
          </w:tcPr>
          <w:p w14:paraId="4BDF0911">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阀门中孔泄漏</w:t>
            </w:r>
          </w:p>
        </w:tc>
        <w:tc>
          <w:tcPr>
            <w:tcW w:w="526" w:type="pct"/>
            <w:vAlign w:val="top"/>
          </w:tcPr>
          <w:p w14:paraId="58C4A6AE">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1B38F85B">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45</w:t>
            </w:r>
          </w:p>
        </w:tc>
        <w:tc>
          <w:tcPr>
            <w:tcW w:w="743" w:type="pct"/>
            <w:vAlign w:val="top"/>
          </w:tcPr>
          <w:p w14:paraId="2DAB8CB0">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35F986E8">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4728E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28A442D1">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1#线-氨合成塔</w:t>
            </w:r>
          </w:p>
        </w:tc>
        <w:tc>
          <w:tcPr>
            <w:tcW w:w="802" w:type="pct"/>
            <w:vAlign w:val="top"/>
          </w:tcPr>
          <w:p w14:paraId="60E1A55B">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反应器中孔泄漏</w:t>
            </w:r>
          </w:p>
        </w:tc>
        <w:tc>
          <w:tcPr>
            <w:tcW w:w="526" w:type="pct"/>
            <w:vAlign w:val="top"/>
          </w:tcPr>
          <w:p w14:paraId="2AA65222">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782DF4A9">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45</w:t>
            </w:r>
          </w:p>
        </w:tc>
        <w:tc>
          <w:tcPr>
            <w:tcW w:w="743" w:type="pct"/>
            <w:vAlign w:val="top"/>
          </w:tcPr>
          <w:p w14:paraId="50CAD530">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43AD6561">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6E8B4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5ADAFD51">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2#线-氨合成塔</w:t>
            </w:r>
          </w:p>
        </w:tc>
        <w:tc>
          <w:tcPr>
            <w:tcW w:w="802" w:type="pct"/>
            <w:vAlign w:val="top"/>
          </w:tcPr>
          <w:p w14:paraId="044ABA61">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反应器中孔泄漏</w:t>
            </w:r>
          </w:p>
        </w:tc>
        <w:tc>
          <w:tcPr>
            <w:tcW w:w="526" w:type="pct"/>
            <w:vAlign w:val="top"/>
          </w:tcPr>
          <w:p w14:paraId="66EF4432">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42485232">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45</w:t>
            </w:r>
          </w:p>
        </w:tc>
        <w:tc>
          <w:tcPr>
            <w:tcW w:w="743" w:type="pct"/>
            <w:vAlign w:val="top"/>
          </w:tcPr>
          <w:p w14:paraId="0B3C1399">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0545D5BC">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7AEEF5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3B9A3F6C">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1#线-氨合成塔</w:t>
            </w:r>
          </w:p>
        </w:tc>
        <w:tc>
          <w:tcPr>
            <w:tcW w:w="802" w:type="pct"/>
            <w:vAlign w:val="top"/>
          </w:tcPr>
          <w:p w14:paraId="30E63F3C">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管道中孔泄漏</w:t>
            </w:r>
          </w:p>
        </w:tc>
        <w:tc>
          <w:tcPr>
            <w:tcW w:w="526" w:type="pct"/>
            <w:vAlign w:val="top"/>
          </w:tcPr>
          <w:p w14:paraId="2A04C348">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2E88AC5E">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45</w:t>
            </w:r>
          </w:p>
        </w:tc>
        <w:tc>
          <w:tcPr>
            <w:tcW w:w="743" w:type="pct"/>
            <w:vAlign w:val="top"/>
          </w:tcPr>
          <w:p w14:paraId="395C094F">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68D9CA89">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5D696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1E5121A5">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2#线-氨合成塔</w:t>
            </w:r>
          </w:p>
        </w:tc>
        <w:tc>
          <w:tcPr>
            <w:tcW w:w="802" w:type="pct"/>
            <w:vAlign w:val="top"/>
          </w:tcPr>
          <w:p w14:paraId="49B0727B">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管道中孔泄漏</w:t>
            </w:r>
          </w:p>
        </w:tc>
        <w:tc>
          <w:tcPr>
            <w:tcW w:w="526" w:type="pct"/>
            <w:vAlign w:val="top"/>
          </w:tcPr>
          <w:p w14:paraId="4B1A24A4">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07540906">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45</w:t>
            </w:r>
          </w:p>
        </w:tc>
        <w:tc>
          <w:tcPr>
            <w:tcW w:w="743" w:type="pct"/>
            <w:vAlign w:val="top"/>
          </w:tcPr>
          <w:p w14:paraId="2729BB58">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51926031">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70C32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7407CC01">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2#线-氨合成塔</w:t>
            </w:r>
          </w:p>
        </w:tc>
        <w:tc>
          <w:tcPr>
            <w:tcW w:w="802" w:type="pct"/>
            <w:vAlign w:val="top"/>
          </w:tcPr>
          <w:p w14:paraId="3754052D">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阀门中孔泄漏</w:t>
            </w:r>
          </w:p>
        </w:tc>
        <w:tc>
          <w:tcPr>
            <w:tcW w:w="526" w:type="pct"/>
            <w:vAlign w:val="top"/>
          </w:tcPr>
          <w:p w14:paraId="087E3F52">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1859E8EE">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45</w:t>
            </w:r>
          </w:p>
        </w:tc>
        <w:tc>
          <w:tcPr>
            <w:tcW w:w="743" w:type="pct"/>
            <w:vAlign w:val="top"/>
          </w:tcPr>
          <w:p w14:paraId="29DB3516">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35B38F15">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5227D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42E12406">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1#线-高温变换炉</w:t>
            </w:r>
          </w:p>
        </w:tc>
        <w:tc>
          <w:tcPr>
            <w:tcW w:w="802" w:type="pct"/>
            <w:vAlign w:val="top"/>
          </w:tcPr>
          <w:p w14:paraId="7075A3A6">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阀门大孔泄漏</w:t>
            </w:r>
          </w:p>
        </w:tc>
        <w:tc>
          <w:tcPr>
            <w:tcW w:w="526" w:type="pct"/>
            <w:vAlign w:val="top"/>
          </w:tcPr>
          <w:p w14:paraId="30E1111F">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0D8C500B">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44</w:t>
            </w:r>
          </w:p>
        </w:tc>
        <w:tc>
          <w:tcPr>
            <w:tcW w:w="743" w:type="pct"/>
            <w:vAlign w:val="top"/>
          </w:tcPr>
          <w:p w14:paraId="77956A5B">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0E08FBDC">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6AF31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5B10DFB4">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2#线-高温变换炉</w:t>
            </w:r>
          </w:p>
        </w:tc>
        <w:tc>
          <w:tcPr>
            <w:tcW w:w="802" w:type="pct"/>
            <w:vAlign w:val="top"/>
          </w:tcPr>
          <w:p w14:paraId="05CFD040">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阀门大孔泄漏</w:t>
            </w:r>
          </w:p>
        </w:tc>
        <w:tc>
          <w:tcPr>
            <w:tcW w:w="526" w:type="pct"/>
            <w:vAlign w:val="top"/>
          </w:tcPr>
          <w:p w14:paraId="61FC30B3">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044BD9DF">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44</w:t>
            </w:r>
          </w:p>
        </w:tc>
        <w:tc>
          <w:tcPr>
            <w:tcW w:w="743" w:type="pct"/>
            <w:vAlign w:val="top"/>
          </w:tcPr>
          <w:p w14:paraId="541BBE5B">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0348EE2E">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546B54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21E0FA91">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2#线-甲烷化炉</w:t>
            </w:r>
          </w:p>
        </w:tc>
        <w:tc>
          <w:tcPr>
            <w:tcW w:w="802" w:type="pct"/>
            <w:vAlign w:val="top"/>
          </w:tcPr>
          <w:p w14:paraId="593901B9">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阀门大孔泄漏</w:t>
            </w:r>
          </w:p>
        </w:tc>
        <w:tc>
          <w:tcPr>
            <w:tcW w:w="526" w:type="pct"/>
            <w:vAlign w:val="top"/>
          </w:tcPr>
          <w:p w14:paraId="19B992CE">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0BBCE635">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43</w:t>
            </w:r>
          </w:p>
        </w:tc>
        <w:tc>
          <w:tcPr>
            <w:tcW w:w="743" w:type="pct"/>
            <w:vAlign w:val="top"/>
          </w:tcPr>
          <w:p w14:paraId="146E3702">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1D459079">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629CD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22BB7A31">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1#线-甲烷化炉</w:t>
            </w:r>
          </w:p>
        </w:tc>
        <w:tc>
          <w:tcPr>
            <w:tcW w:w="802" w:type="pct"/>
            <w:vAlign w:val="top"/>
          </w:tcPr>
          <w:p w14:paraId="18EE4503">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阀门大孔泄漏</w:t>
            </w:r>
          </w:p>
        </w:tc>
        <w:tc>
          <w:tcPr>
            <w:tcW w:w="526" w:type="pct"/>
            <w:vAlign w:val="top"/>
          </w:tcPr>
          <w:p w14:paraId="0B390ABB">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0DE16F27">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43</w:t>
            </w:r>
          </w:p>
        </w:tc>
        <w:tc>
          <w:tcPr>
            <w:tcW w:w="743" w:type="pct"/>
            <w:vAlign w:val="top"/>
          </w:tcPr>
          <w:p w14:paraId="5E792113">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20888255">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14D0FA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03BD6447">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1#线-低温变换炉</w:t>
            </w:r>
          </w:p>
        </w:tc>
        <w:tc>
          <w:tcPr>
            <w:tcW w:w="802" w:type="pct"/>
            <w:vAlign w:val="top"/>
          </w:tcPr>
          <w:p w14:paraId="2A296E5B">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反应器中孔泄漏</w:t>
            </w:r>
          </w:p>
        </w:tc>
        <w:tc>
          <w:tcPr>
            <w:tcW w:w="526" w:type="pct"/>
            <w:vAlign w:val="top"/>
          </w:tcPr>
          <w:p w14:paraId="7F43A9A1">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55AF99F4">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28</w:t>
            </w:r>
          </w:p>
        </w:tc>
        <w:tc>
          <w:tcPr>
            <w:tcW w:w="743" w:type="pct"/>
            <w:vAlign w:val="top"/>
          </w:tcPr>
          <w:p w14:paraId="2A9DEEF9">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0EE210D6">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07ABCB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0514D26D">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1#线-低温变换炉</w:t>
            </w:r>
          </w:p>
        </w:tc>
        <w:tc>
          <w:tcPr>
            <w:tcW w:w="802" w:type="pct"/>
            <w:vAlign w:val="top"/>
          </w:tcPr>
          <w:p w14:paraId="17F9DB03">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阀门中孔泄漏</w:t>
            </w:r>
          </w:p>
        </w:tc>
        <w:tc>
          <w:tcPr>
            <w:tcW w:w="526" w:type="pct"/>
            <w:vAlign w:val="top"/>
          </w:tcPr>
          <w:p w14:paraId="175FBD1B">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31F4ACFD">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28</w:t>
            </w:r>
          </w:p>
        </w:tc>
        <w:tc>
          <w:tcPr>
            <w:tcW w:w="743" w:type="pct"/>
            <w:vAlign w:val="top"/>
          </w:tcPr>
          <w:p w14:paraId="68293A68">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64ADD404">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4EC74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641AF400">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2#线-低温变换炉</w:t>
            </w:r>
          </w:p>
        </w:tc>
        <w:tc>
          <w:tcPr>
            <w:tcW w:w="802" w:type="pct"/>
            <w:vAlign w:val="top"/>
          </w:tcPr>
          <w:p w14:paraId="1A8000E7">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阀门中孔泄漏</w:t>
            </w:r>
          </w:p>
        </w:tc>
        <w:tc>
          <w:tcPr>
            <w:tcW w:w="526" w:type="pct"/>
            <w:vAlign w:val="top"/>
          </w:tcPr>
          <w:p w14:paraId="395BF76D">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0F3866DC">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28</w:t>
            </w:r>
          </w:p>
        </w:tc>
        <w:tc>
          <w:tcPr>
            <w:tcW w:w="743" w:type="pct"/>
            <w:vAlign w:val="top"/>
          </w:tcPr>
          <w:p w14:paraId="662F3428">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40293EDC">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2ADE3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5181328F">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2#线-低温变换炉</w:t>
            </w:r>
          </w:p>
        </w:tc>
        <w:tc>
          <w:tcPr>
            <w:tcW w:w="802" w:type="pct"/>
            <w:vAlign w:val="top"/>
          </w:tcPr>
          <w:p w14:paraId="6377BA64">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反应器中孔泄漏</w:t>
            </w:r>
          </w:p>
        </w:tc>
        <w:tc>
          <w:tcPr>
            <w:tcW w:w="526" w:type="pct"/>
            <w:vAlign w:val="top"/>
          </w:tcPr>
          <w:p w14:paraId="4BFA78CD">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49E58D89">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28</w:t>
            </w:r>
          </w:p>
        </w:tc>
        <w:tc>
          <w:tcPr>
            <w:tcW w:w="743" w:type="pct"/>
            <w:vAlign w:val="top"/>
          </w:tcPr>
          <w:p w14:paraId="2E725AF7">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405B7C4C">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01414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5FF50BA1">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2#线-低温变换炉</w:t>
            </w:r>
          </w:p>
        </w:tc>
        <w:tc>
          <w:tcPr>
            <w:tcW w:w="802" w:type="pct"/>
            <w:vAlign w:val="top"/>
          </w:tcPr>
          <w:p w14:paraId="3D03B9EA">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管道中孔泄漏</w:t>
            </w:r>
          </w:p>
        </w:tc>
        <w:tc>
          <w:tcPr>
            <w:tcW w:w="526" w:type="pct"/>
            <w:vAlign w:val="top"/>
          </w:tcPr>
          <w:p w14:paraId="7AA6E4C2">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08A0E9B5">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28</w:t>
            </w:r>
          </w:p>
        </w:tc>
        <w:tc>
          <w:tcPr>
            <w:tcW w:w="743" w:type="pct"/>
            <w:vAlign w:val="top"/>
          </w:tcPr>
          <w:p w14:paraId="3BDF1A63">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39CA686C">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4B8DCD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28F24DF2">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1#线-低温变换炉</w:t>
            </w:r>
          </w:p>
        </w:tc>
        <w:tc>
          <w:tcPr>
            <w:tcW w:w="802" w:type="pct"/>
            <w:vAlign w:val="top"/>
          </w:tcPr>
          <w:p w14:paraId="2892985F">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管道中孔泄漏</w:t>
            </w:r>
          </w:p>
        </w:tc>
        <w:tc>
          <w:tcPr>
            <w:tcW w:w="526" w:type="pct"/>
            <w:vAlign w:val="top"/>
          </w:tcPr>
          <w:p w14:paraId="3574A9CC">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04ADDA1A">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28</w:t>
            </w:r>
          </w:p>
        </w:tc>
        <w:tc>
          <w:tcPr>
            <w:tcW w:w="743" w:type="pct"/>
            <w:vAlign w:val="top"/>
          </w:tcPr>
          <w:p w14:paraId="41BB094C">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3D4B5037">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288B30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7FB78355">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2#线-高温变换炉</w:t>
            </w:r>
          </w:p>
        </w:tc>
        <w:tc>
          <w:tcPr>
            <w:tcW w:w="802" w:type="pct"/>
            <w:vAlign w:val="top"/>
          </w:tcPr>
          <w:p w14:paraId="4560960F">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管道中孔泄漏</w:t>
            </w:r>
          </w:p>
        </w:tc>
        <w:tc>
          <w:tcPr>
            <w:tcW w:w="526" w:type="pct"/>
            <w:vAlign w:val="top"/>
          </w:tcPr>
          <w:p w14:paraId="1A268F07">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096754C5">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27</w:t>
            </w:r>
          </w:p>
        </w:tc>
        <w:tc>
          <w:tcPr>
            <w:tcW w:w="743" w:type="pct"/>
            <w:vAlign w:val="top"/>
          </w:tcPr>
          <w:p w14:paraId="542D0033">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7E2E5F2F">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3C0971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7D19F535">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1#线-高温变换炉</w:t>
            </w:r>
          </w:p>
        </w:tc>
        <w:tc>
          <w:tcPr>
            <w:tcW w:w="802" w:type="pct"/>
            <w:vAlign w:val="top"/>
          </w:tcPr>
          <w:p w14:paraId="665D985D">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阀门中孔泄漏</w:t>
            </w:r>
          </w:p>
        </w:tc>
        <w:tc>
          <w:tcPr>
            <w:tcW w:w="526" w:type="pct"/>
            <w:vAlign w:val="top"/>
          </w:tcPr>
          <w:p w14:paraId="3E333C1D">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15827196">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27</w:t>
            </w:r>
          </w:p>
        </w:tc>
        <w:tc>
          <w:tcPr>
            <w:tcW w:w="743" w:type="pct"/>
            <w:vAlign w:val="top"/>
          </w:tcPr>
          <w:p w14:paraId="5C3822D3">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6D769426">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3DC55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375D71BA">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2#线-高温变换炉</w:t>
            </w:r>
          </w:p>
        </w:tc>
        <w:tc>
          <w:tcPr>
            <w:tcW w:w="802" w:type="pct"/>
            <w:vAlign w:val="top"/>
          </w:tcPr>
          <w:p w14:paraId="00C1911B">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反应器中孔泄漏</w:t>
            </w:r>
          </w:p>
        </w:tc>
        <w:tc>
          <w:tcPr>
            <w:tcW w:w="526" w:type="pct"/>
            <w:vAlign w:val="top"/>
          </w:tcPr>
          <w:p w14:paraId="05C826B0">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0E5FA156">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27</w:t>
            </w:r>
          </w:p>
        </w:tc>
        <w:tc>
          <w:tcPr>
            <w:tcW w:w="743" w:type="pct"/>
            <w:vAlign w:val="top"/>
          </w:tcPr>
          <w:p w14:paraId="32F2517F">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532B2448">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46B18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7BAB04A6">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2#线-高温变换炉</w:t>
            </w:r>
          </w:p>
        </w:tc>
        <w:tc>
          <w:tcPr>
            <w:tcW w:w="802" w:type="pct"/>
            <w:vAlign w:val="top"/>
          </w:tcPr>
          <w:p w14:paraId="4D97C117">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阀门中孔泄漏</w:t>
            </w:r>
          </w:p>
        </w:tc>
        <w:tc>
          <w:tcPr>
            <w:tcW w:w="526" w:type="pct"/>
            <w:vAlign w:val="top"/>
          </w:tcPr>
          <w:p w14:paraId="5111C5D3">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7F03398E">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27</w:t>
            </w:r>
          </w:p>
        </w:tc>
        <w:tc>
          <w:tcPr>
            <w:tcW w:w="743" w:type="pct"/>
            <w:vAlign w:val="top"/>
          </w:tcPr>
          <w:p w14:paraId="5C4286C5">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4A976187">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44D1A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235C5955">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1#线-高温变换炉</w:t>
            </w:r>
          </w:p>
        </w:tc>
        <w:tc>
          <w:tcPr>
            <w:tcW w:w="802" w:type="pct"/>
            <w:vAlign w:val="top"/>
          </w:tcPr>
          <w:p w14:paraId="61F9ADD1">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管道中孔泄漏</w:t>
            </w:r>
          </w:p>
        </w:tc>
        <w:tc>
          <w:tcPr>
            <w:tcW w:w="526" w:type="pct"/>
            <w:vAlign w:val="top"/>
          </w:tcPr>
          <w:p w14:paraId="748291D5">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2287A475">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27</w:t>
            </w:r>
          </w:p>
        </w:tc>
        <w:tc>
          <w:tcPr>
            <w:tcW w:w="743" w:type="pct"/>
            <w:vAlign w:val="top"/>
          </w:tcPr>
          <w:p w14:paraId="7E212FD1">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19DAB87E">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394447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55F7FDB0">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1#线-高温变换炉</w:t>
            </w:r>
          </w:p>
        </w:tc>
        <w:tc>
          <w:tcPr>
            <w:tcW w:w="802" w:type="pct"/>
            <w:vAlign w:val="top"/>
          </w:tcPr>
          <w:p w14:paraId="0E0D6945">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反应器中孔泄漏</w:t>
            </w:r>
          </w:p>
        </w:tc>
        <w:tc>
          <w:tcPr>
            <w:tcW w:w="526" w:type="pct"/>
            <w:vAlign w:val="top"/>
          </w:tcPr>
          <w:p w14:paraId="57E26841">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386955F5">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27</w:t>
            </w:r>
          </w:p>
        </w:tc>
        <w:tc>
          <w:tcPr>
            <w:tcW w:w="743" w:type="pct"/>
            <w:vAlign w:val="top"/>
          </w:tcPr>
          <w:p w14:paraId="1EF166A9">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62D5EDD0">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357AB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5F791035">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1#线-甲烷化炉</w:t>
            </w:r>
          </w:p>
        </w:tc>
        <w:tc>
          <w:tcPr>
            <w:tcW w:w="802" w:type="pct"/>
            <w:vAlign w:val="top"/>
          </w:tcPr>
          <w:p w14:paraId="3912832D">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管道中孔泄漏</w:t>
            </w:r>
          </w:p>
        </w:tc>
        <w:tc>
          <w:tcPr>
            <w:tcW w:w="526" w:type="pct"/>
            <w:vAlign w:val="top"/>
          </w:tcPr>
          <w:p w14:paraId="3203308B">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51C7467A">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26</w:t>
            </w:r>
          </w:p>
        </w:tc>
        <w:tc>
          <w:tcPr>
            <w:tcW w:w="743" w:type="pct"/>
            <w:vAlign w:val="top"/>
          </w:tcPr>
          <w:p w14:paraId="5471CDDD">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617B4A6F">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3158A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399CC755">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2#线-甲烷化炉</w:t>
            </w:r>
          </w:p>
        </w:tc>
        <w:tc>
          <w:tcPr>
            <w:tcW w:w="802" w:type="pct"/>
            <w:vAlign w:val="top"/>
          </w:tcPr>
          <w:p w14:paraId="4A443CDD">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反应器中孔泄漏</w:t>
            </w:r>
          </w:p>
        </w:tc>
        <w:tc>
          <w:tcPr>
            <w:tcW w:w="526" w:type="pct"/>
            <w:vAlign w:val="top"/>
          </w:tcPr>
          <w:p w14:paraId="44EB685D">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5CDA27F1">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26</w:t>
            </w:r>
          </w:p>
        </w:tc>
        <w:tc>
          <w:tcPr>
            <w:tcW w:w="743" w:type="pct"/>
            <w:vAlign w:val="top"/>
          </w:tcPr>
          <w:p w14:paraId="6246B409">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1672B9DB">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4CA8D1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09945D8F">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1#线-甲烷化炉</w:t>
            </w:r>
          </w:p>
        </w:tc>
        <w:tc>
          <w:tcPr>
            <w:tcW w:w="802" w:type="pct"/>
            <w:vAlign w:val="top"/>
          </w:tcPr>
          <w:p w14:paraId="3EC7B63E">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反应器中孔泄漏</w:t>
            </w:r>
          </w:p>
        </w:tc>
        <w:tc>
          <w:tcPr>
            <w:tcW w:w="526" w:type="pct"/>
            <w:vAlign w:val="top"/>
          </w:tcPr>
          <w:p w14:paraId="5EC954E4">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3F8728F5">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26</w:t>
            </w:r>
          </w:p>
        </w:tc>
        <w:tc>
          <w:tcPr>
            <w:tcW w:w="743" w:type="pct"/>
            <w:vAlign w:val="top"/>
          </w:tcPr>
          <w:p w14:paraId="5B5EDC99">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20774005">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53CEE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06762EEB">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2#线-甲烷化炉</w:t>
            </w:r>
          </w:p>
        </w:tc>
        <w:tc>
          <w:tcPr>
            <w:tcW w:w="802" w:type="pct"/>
            <w:vAlign w:val="top"/>
          </w:tcPr>
          <w:p w14:paraId="5DF8B15B">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阀门中孔泄漏</w:t>
            </w:r>
          </w:p>
        </w:tc>
        <w:tc>
          <w:tcPr>
            <w:tcW w:w="526" w:type="pct"/>
            <w:vAlign w:val="top"/>
          </w:tcPr>
          <w:p w14:paraId="51F9B103">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7DE8DF80">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26</w:t>
            </w:r>
          </w:p>
        </w:tc>
        <w:tc>
          <w:tcPr>
            <w:tcW w:w="743" w:type="pct"/>
            <w:vAlign w:val="top"/>
          </w:tcPr>
          <w:p w14:paraId="109FAA31">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303502B5">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4F470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5F163FBE">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2#线-甲烷化炉</w:t>
            </w:r>
          </w:p>
        </w:tc>
        <w:tc>
          <w:tcPr>
            <w:tcW w:w="802" w:type="pct"/>
            <w:vAlign w:val="top"/>
          </w:tcPr>
          <w:p w14:paraId="3EBF4D62">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管道中孔泄漏</w:t>
            </w:r>
          </w:p>
        </w:tc>
        <w:tc>
          <w:tcPr>
            <w:tcW w:w="526" w:type="pct"/>
            <w:vAlign w:val="top"/>
          </w:tcPr>
          <w:p w14:paraId="16A4E65E">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4A4E388C">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26</w:t>
            </w:r>
          </w:p>
        </w:tc>
        <w:tc>
          <w:tcPr>
            <w:tcW w:w="743" w:type="pct"/>
            <w:vAlign w:val="top"/>
          </w:tcPr>
          <w:p w14:paraId="19D3F78C">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3AB7DA90">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60BB79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37BEB59F">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1#线-甲烷化炉</w:t>
            </w:r>
          </w:p>
        </w:tc>
        <w:tc>
          <w:tcPr>
            <w:tcW w:w="802" w:type="pct"/>
            <w:vAlign w:val="top"/>
          </w:tcPr>
          <w:p w14:paraId="5F63F48D">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阀门中孔泄漏</w:t>
            </w:r>
          </w:p>
        </w:tc>
        <w:tc>
          <w:tcPr>
            <w:tcW w:w="526" w:type="pct"/>
            <w:vAlign w:val="top"/>
          </w:tcPr>
          <w:p w14:paraId="6606725C">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3A8CD24F">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26</w:t>
            </w:r>
          </w:p>
        </w:tc>
        <w:tc>
          <w:tcPr>
            <w:tcW w:w="743" w:type="pct"/>
            <w:vAlign w:val="top"/>
          </w:tcPr>
          <w:p w14:paraId="2BB46DD8">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67657005">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186593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7E8BAE39">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祥丰同辉：液氨储槽区</w:t>
            </w:r>
          </w:p>
        </w:tc>
        <w:tc>
          <w:tcPr>
            <w:tcW w:w="802" w:type="pct"/>
            <w:vAlign w:val="top"/>
          </w:tcPr>
          <w:p w14:paraId="1D384CBD">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容器物理爆炸</w:t>
            </w:r>
          </w:p>
        </w:tc>
        <w:tc>
          <w:tcPr>
            <w:tcW w:w="526" w:type="pct"/>
            <w:vAlign w:val="top"/>
          </w:tcPr>
          <w:p w14:paraId="1CB0EF39">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物理爆炸</w:t>
            </w:r>
          </w:p>
        </w:tc>
        <w:tc>
          <w:tcPr>
            <w:tcW w:w="465" w:type="pct"/>
            <w:vAlign w:val="top"/>
          </w:tcPr>
          <w:p w14:paraId="516BFEF8">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23</w:t>
            </w:r>
          </w:p>
        </w:tc>
        <w:tc>
          <w:tcPr>
            <w:tcW w:w="743" w:type="pct"/>
            <w:vAlign w:val="top"/>
          </w:tcPr>
          <w:p w14:paraId="6ECB16C4">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480D8CF6">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48FAB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78F467A9">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1#线-氨合成塔</w:t>
            </w:r>
          </w:p>
        </w:tc>
        <w:tc>
          <w:tcPr>
            <w:tcW w:w="802" w:type="pct"/>
            <w:vAlign w:val="top"/>
          </w:tcPr>
          <w:p w14:paraId="55F594E9">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阀门小孔泄漏</w:t>
            </w:r>
          </w:p>
        </w:tc>
        <w:tc>
          <w:tcPr>
            <w:tcW w:w="526" w:type="pct"/>
            <w:vAlign w:val="top"/>
          </w:tcPr>
          <w:p w14:paraId="5EF410E1">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7E3E0C8D">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15</w:t>
            </w:r>
          </w:p>
        </w:tc>
        <w:tc>
          <w:tcPr>
            <w:tcW w:w="743" w:type="pct"/>
            <w:vAlign w:val="top"/>
          </w:tcPr>
          <w:p w14:paraId="663C7C88">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42D7F408">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r w14:paraId="2679EE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exact"/>
        </w:trPr>
        <w:tc>
          <w:tcPr>
            <w:tcW w:w="1913" w:type="pct"/>
            <w:vAlign w:val="top"/>
          </w:tcPr>
          <w:p w14:paraId="2067A7BA">
            <w:pPr>
              <w:keepNext w:val="0"/>
              <w:keepLines w:val="0"/>
              <w:pageBreakBefore w:val="0"/>
              <w:widowControl w:val="0"/>
              <w:kinsoku/>
              <w:wordWrap/>
              <w:overflowPunct/>
              <w:topLinePunct w:val="0"/>
              <w:autoSpaceDE/>
              <w:autoSpaceDN/>
              <w:bidi w:val="0"/>
              <w:adjustRightInd/>
              <w:snapToGrid w:val="0"/>
              <w:spacing w:before="70" w:line="240" w:lineRule="auto"/>
              <w:ind w:left="114"/>
              <w:textAlignment w:val="auto"/>
              <w:rPr>
                <w:rFonts w:ascii="宋体" w:hAnsi="宋体" w:eastAsia="宋体" w:cs="宋体"/>
                <w:color w:val="auto"/>
                <w:spacing w:val="11"/>
                <w:kern w:val="0"/>
                <w:sz w:val="21"/>
                <w:szCs w:val="21"/>
              </w:rPr>
            </w:pPr>
            <w:r>
              <w:rPr>
                <w:rFonts w:ascii="宋体" w:hAnsi="宋体" w:eastAsia="宋体" w:cs="宋体"/>
                <w:color w:val="auto"/>
                <w:spacing w:val="11"/>
                <w:kern w:val="0"/>
                <w:sz w:val="21"/>
                <w:szCs w:val="21"/>
              </w:rPr>
              <w:t>祥丰石化：合成氨装置 2#线-氨合成塔</w:t>
            </w:r>
          </w:p>
        </w:tc>
        <w:tc>
          <w:tcPr>
            <w:tcW w:w="802" w:type="pct"/>
            <w:vAlign w:val="top"/>
          </w:tcPr>
          <w:p w14:paraId="14B2EE42">
            <w:pPr>
              <w:keepNext w:val="0"/>
              <w:keepLines w:val="0"/>
              <w:pageBreakBefore w:val="0"/>
              <w:widowControl w:val="0"/>
              <w:kinsoku/>
              <w:wordWrap/>
              <w:overflowPunct/>
              <w:topLinePunct w:val="0"/>
              <w:autoSpaceDE/>
              <w:autoSpaceDN/>
              <w:bidi w:val="0"/>
              <w:adjustRightInd/>
              <w:snapToGrid w:val="0"/>
              <w:spacing w:before="71" w:line="240" w:lineRule="auto"/>
              <w:ind w:left="115"/>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阀门小孔泄漏</w:t>
            </w:r>
          </w:p>
        </w:tc>
        <w:tc>
          <w:tcPr>
            <w:tcW w:w="526" w:type="pct"/>
            <w:vAlign w:val="top"/>
          </w:tcPr>
          <w:p w14:paraId="2F59A0F8">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云爆</w:t>
            </w:r>
          </w:p>
        </w:tc>
        <w:tc>
          <w:tcPr>
            <w:tcW w:w="465" w:type="pct"/>
            <w:vAlign w:val="top"/>
          </w:tcPr>
          <w:p w14:paraId="7AFDFC97">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15</w:t>
            </w:r>
          </w:p>
        </w:tc>
        <w:tc>
          <w:tcPr>
            <w:tcW w:w="743" w:type="pct"/>
            <w:vAlign w:val="top"/>
          </w:tcPr>
          <w:p w14:paraId="50D058CA">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无</w:t>
            </w:r>
          </w:p>
        </w:tc>
        <w:tc>
          <w:tcPr>
            <w:tcW w:w="547" w:type="pct"/>
            <w:vAlign w:val="top"/>
          </w:tcPr>
          <w:p w14:paraId="29629B97">
            <w:pPr>
              <w:keepNext w:val="0"/>
              <w:keepLines w:val="0"/>
              <w:pageBreakBefore w:val="0"/>
              <w:widowControl w:val="0"/>
              <w:kinsoku/>
              <w:wordWrap/>
              <w:overflowPunct/>
              <w:topLinePunct w:val="0"/>
              <w:autoSpaceDE/>
              <w:autoSpaceDN/>
              <w:bidi w:val="0"/>
              <w:adjustRightInd/>
              <w:snapToGrid w:val="0"/>
              <w:spacing w:before="69" w:line="240" w:lineRule="auto"/>
              <w:ind w:left="113"/>
              <w:jc w:val="center"/>
              <w:textAlignment w:val="auto"/>
              <w:rPr>
                <w:rFonts w:ascii="宋体" w:hAnsi="宋体" w:eastAsia="宋体" w:cs="宋体"/>
                <w:color w:val="auto"/>
                <w:spacing w:val="8"/>
                <w:kern w:val="0"/>
                <w:sz w:val="21"/>
                <w:szCs w:val="21"/>
              </w:rPr>
            </w:pPr>
            <w:r>
              <w:rPr>
                <w:rFonts w:ascii="宋体" w:hAnsi="宋体" w:eastAsia="宋体" w:cs="宋体"/>
                <w:color w:val="auto"/>
                <w:spacing w:val="8"/>
                <w:kern w:val="0"/>
                <w:sz w:val="21"/>
                <w:szCs w:val="21"/>
              </w:rPr>
              <w:t>否</w:t>
            </w:r>
          </w:p>
        </w:tc>
      </w:tr>
    </w:tbl>
    <w:p w14:paraId="73769FE4">
      <w:pPr>
        <w:ind w:firstLine="560" w:firstLineChars="200"/>
        <w:rPr>
          <w:rFonts w:hint="eastAsia" w:ascii="Times New Roman" w:hAnsi="Times New Roman" w:eastAsia="宋体" w:cs="宋体"/>
          <w:color w:val="auto"/>
          <w:sz w:val="28"/>
          <w:szCs w:val="28"/>
        </w:rPr>
      </w:pPr>
      <w:bookmarkStart w:id="1095" w:name="_Toc12080"/>
      <w:r>
        <w:rPr>
          <w:rFonts w:hint="eastAsia" w:ascii="Times New Roman" w:hAnsi="Times New Roman" w:eastAsia="宋体" w:cs="宋体"/>
          <w:color w:val="auto"/>
          <w:sz w:val="28"/>
          <w:szCs w:val="28"/>
        </w:rPr>
        <w:t>云南祥丰石化有限公司的液氨球罐发生爆炸可能造成本项目管廊损坏，导致本项目</w:t>
      </w:r>
      <w:r>
        <w:rPr>
          <w:rFonts w:hint="eastAsia" w:ascii="Times New Roman" w:cs="宋体"/>
          <w:color w:val="auto"/>
          <w:sz w:val="28"/>
          <w:szCs w:val="28"/>
          <w:lang w:eastAsia="zh-CN"/>
        </w:rPr>
        <w:t>E74-E93</w:t>
      </w:r>
      <w:r>
        <w:rPr>
          <w:rFonts w:hint="eastAsia" w:ascii="Times New Roman" w:hAnsi="Times New Roman" w:eastAsia="宋体" w:cs="宋体"/>
          <w:color w:val="auto"/>
          <w:sz w:val="28"/>
          <w:szCs w:val="28"/>
        </w:rPr>
        <w:t>段管廊输送的物料泄漏。对此，本项目采取但不限于如下防泄漏措施：</w:t>
      </w:r>
    </w:p>
    <w:p w14:paraId="31FB328F">
      <w:pPr>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（1）本项目管道的材质、设计压力、设计温度、设计寿命等设计参数不低于上游和下游设施的连接管道。</w:t>
      </w:r>
    </w:p>
    <w:p w14:paraId="09DB56E1">
      <w:pPr>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（2）本项目原则上不在外管设置调节、切换、减压等阀门，有需要调节、切换以及减压的，在各个用户厂区内设置。</w:t>
      </w:r>
    </w:p>
    <w:p w14:paraId="5B7F834C">
      <w:pPr>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（3）管道走向的布置在经济性的原则下，尽量进行柔性设计，以减少设备管口的受力，防止法兰泄露。</w:t>
      </w:r>
    </w:p>
    <w:p w14:paraId="66975D01">
      <w:pPr>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4）管架优先采用钢结构，钢材应有良好的可焊性和合格的冲击韧性；钢结构的连结方式采用焊接连接。管架结构设计使用年限按《建筑结构可靠度设计统一标准》一般为50年。其安全等级为二级，结构重要性系数为1.0。</w:t>
      </w:r>
    </w:p>
    <w:p w14:paraId="7C4BD571">
      <w:pPr>
        <w:pStyle w:val="6"/>
        <w:keepNext/>
        <w:keepLines/>
        <w:pageBreakBefore w:val="0"/>
        <w:widowControl w:val="0"/>
        <w:numPr>
          <w:ilvl w:val="2"/>
          <w:numId w:val="0"/>
        </w:numPr>
        <w:tabs>
          <w:tab w:val="left" w:pos="931"/>
        </w:tabs>
        <w:kinsoku/>
        <w:wordWrap/>
        <w:overflowPunct/>
        <w:topLinePunct w:val="0"/>
        <w:autoSpaceDE/>
        <w:autoSpaceDN/>
        <w:bidi w:val="0"/>
        <w:adjustRightInd/>
        <w:snapToGrid w:val="0"/>
        <w:spacing w:line="360" w:lineRule="auto"/>
        <w:ind w:leftChars="100"/>
        <w:textAlignment w:val="auto"/>
        <w:outlineLvl w:val="3"/>
        <w:rPr>
          <w:rFonts w:hint="eastAsia" w:ascii="Times New Roman" w:hAnsi="Times New Roman" w:cs="Times New Roman"/>
          <w:snapToGrid w:val="0"/>
          <w:color w:val="000000"/>
          <w:kern w:val="0"/>
          <w:sz w:val="28"/>
          <w:szCs w:val="28"/>
          <w:lang w:val="en-US" w:eastAsia="zh-CN"/>
        </w:rPr>
      </w:pPr>
      <w:r>
        <w:rPr>
          <w:rFonts w:hint="eastAsia" w:ascii="Times New Roman" w:hAnsi="Times New Roman" w:cs="Times New Roman"/>
          <w:snapToGrid w:val="0"/>
          <w:color w:val="000000"/>
          <w:kern w:val="0"/>
          <w:sz w:val="28"/>
          <w:szCs w:val="28"/>
          <w:lang w:val="en-US" w:eastAsia="zh-CN"/>
        </w:rPr>
        <w:t>3.2.1.6个人风险和社会风险</w:t>
      </w:r>
    </w:p>
    <w:p w14:paraId="545131B3">
      <w:pPr>
        <w:ind w:firstLine="560" w:firstLineChars="200"/>
        <w:rPr>
          <w:rFonts w:hint="default" w:ascii="Times New Roman" w:hAnsi="Times New Roman" w:eastAsia="宋体" w:cs="宋体"/>
          <w:color w:val="auto"/>
          <w:sz w:val="28"/>
          <w:szCs w:val="28"/>
        </w:rPr>
      </w:pPr>
      <w:r>
        <w:rPr>
          <w:rFonts w:hint="default" w:ascii="Times New Roman" w:hAnsi="Times New Roman" w:eastAsia="宋体" w:cs="宋体"/>
          <w:color w:val="auto"/>
          <w:sz w:val="28"/>
          <w:szCs w:val="28"/>
        </w:rPr>
        <w:t>根据《危险化学品生产装置和储存设施风险基准》（GB36894-2018）可知：</w:t>
      </w:r>
    </w:p>
    <w:p w14:paraId="7FA597A5">
      <w:pPr>
        <w:ind w:firstLine="560" w:firstLineChars="200"/>
        <w:rPr>
          <w:rFonts w:hint="default" w:ascii="Times New Roman" w:hAnsi="Times New Roman" w:eastAsia="宋体" w:cs="宋体"/>
          <w:color w:val="auto"/>
          <w:sz w:val="28"/>
          <w:szCs w:val="28"/>
        </w:rPr>
      </w:pPr>
      <w:r>
        <w:rPr>
          <w:rFonts w:hint="default" w:ascii="Times New Roman" w:hAnsi="Times New Roman" w:eastAsia="宋体" w:cs="宋体"/>
          <w:color w:val="auto"/>
          <w:sz w:val="28"/>
          <w:szCs w:val="28"/>
        </w:rPr>
        <w:t>个人风险：是指因危险化学品生产、储存装置各种潜在的火灾、爆炸、有毒气体泄漏事故造成区域内某一固定位置的个体人员死亡概率，单位为次每年。</w:t>
      </w:r>
    </w:p>
    <w:p w14:paraId="458519BE">
      <w:pPr>
        <w:ind w:firstLine="560" w:firstLineChars="200"/>
        <w:rPr>
          <w:rFonts w:hint="default" w:ascii="Times New Roman" w:hAnsi="Times New Roman" w:eastAsia="宋体" w:cs="宋体"/>
          <w:color w:val="auto"/>
          <w:sz w:val="28"/>
          <w:szCs w:val="28"/>
        </w:rPr>
      </w:pPr>
      <w:r>
        <w:rPr>
          <w:rFonts w:hint="default" w:ascii="Times New Roman" w:hAnsi="Times New Roman" w:eastAsia="宋体" w:cs="宋体"/>
          <w:color w:val="auto"/>
          <w:sz w:val="28"/>
          <w:szCs w:val="28"/>
        </w:rPr>
        <w:t>社会风险：群体（包括周边企业员工和公众）在危险区域承受某种程度伤害的频发程度，通常表示为大于或等于N人死亡的事故累计频率(F)，以累计频率和死亡人数之间关系的曲线图（F-N曲线）来表示。</w:t>
      </w:r>
    </w:p>
    <w:p w14:paraId="4E828292">
      <w:pPr>
        <w:ind w:firstLine="560"/>
        <w:rPr>
          <w:rFonts w:hint="eastAsia"/>
          <w:kern w:val="0"/>
        </w:rPr>
      </w:pPr>
      <w:r>
        <w:rPr>
          <w:rFonts w:hint="eastAsia" w:ascii="Times New Roman" w:hAnsi="Times New Roman" w:eastAsia="宋体" w:cs="宋体"/>
          <w:color w:val="auto"/>
          <w:sz w:val="28"/>
          <w:szCs w:val="28"/>
        </w:rPr>
        <w:t>本项目不涉及危险化学品生产装置和存储设施。</w:t>
      </w:r>
      <w:r>
        <w:rPr>
          <w:rFonts w:hint="eastAsia"/>
        </w:rPr>
        <w:t>涉及的危险物质有浓硫酸、稀硫酸和氟硅酸，为非易燃易爆物质，火灾危险类别为戊类。</w:t>
      </w:r>
      <w:r>
        <w:rPr>
          <w:rFonts w:hint="eastAsia"/>
          <w:kern w:val="0"/>
        </w:rPr>
        <w:t>根据《爆炸危险环境电力装置设计规范》和本项目特点，本项目按非爆炸危险区域考虑。</w:t>
      </w:r>
    </w:p>
    <w:p w14:paraId="73B6643E">
      <w:pPr>
        <w:ind w:firstLine="560" w:firstLineChars="200"/>
        <w:rPr>
          <w:rFonts w:hint="default" w:ascii="Times New Roman" w:hAnsi="Times New Roman" w:eastAsia="宋体" w:cs="宋体"/>
          <w:color w:val="auto"/>
          <w:sz w:val="28"/>
          <w:szCs w:val="28"/>
        </w:rPr>
      </w:pPr>
      <w:r>
        <w:rPr>
          <w:rFonts w:hint="eastAsia" w:ascii="Times New Roman" w:hAnsi="Times New Roman" w:eastAsia="宋体" w:cs="宋体"/>
          <w:color w:val="auto"/>
          <w:sz w:val="28"/>
          <w:szCs w:val="28"/>
          <w:lang w:val="en-US" w:eastAsia="zh-CN"/>
        </w:rPr>
        <w:t>（1）</w:t>
      </w:r>
      <w:r>
        <w:rPr>
          <w:rFonts w:hint="default" w:ascii="Times New Roman" w:hAnsi="Times New Roman" w:eastAsia="宋体" w:cs="宋体"/>
          <w:color w:val="auto"/>
          <w:sz w:val="28"/>
          <w:szCs w:val="28"/>
        </w:rPr>
        <w:t>个人风险分析</w:t>
      </w:r>
    </w:p>
    <w:p w14:paraId="0B6EA2A2">
      <w:pPr>
        <w:ind w:firstLine="560" w:firstLineChars="200"/>
        <w:rPr>
          <w:rFonts w:hint="default" w:ascii="Times New Roman" w:hAnsi="Times New Roman" w:eastAsia="宋体" w:cs="宋体"/>
          <w:color w:val="auto"/>
          <w:sz w:val="28"/>
          <w:szCs w:val="28"/>
        </w:rPr>
      </w:pPr>
      <w:r>
        <w:rPr>
          <w:rFonts w:hint="default" w:ascii="Times New Roman" w:hAnsi="Times New Roman" w:eastAsia="宋体" w:cs="宋体"/>
          <w:color w:val="auto"/>
          <w:sz w:val="28"/>
          <w:szCs w:val="28"/>
          <w:lang w:val="en-US" w:eastAsia="zh-CN"/>
        </w:rPr>
        <w:t>个人风险主要指项目运营过程中，操作人员、巡检人员及周边少量作业人员面临的潜在伤害风险，具体如下：</w:t>
      </w:r>
    </w:p>
    <w:p w14:paraId="18ED7CE9">
      <w:pPr>
        <w:ind w:firstLine="560" w:firstLineChars="200"/>
        <w:rPr>
          <w:rFonts w:hint="default" w:ascii="Times New Roman" w:hAnsi="Times New Roman" w:eastAsia="宋体" w:cs="宋体"/>
          <w:color w:val="auto"/>
          <w:sz w:val="28"/>
          <w:szCs w:val="28"/>
        </w:rPr>
      </w:pPr>
      <w:r>
        <w:rPr>
          <w:rFonts w:hint="eastAsia" w:ascii="Times New Roman" w:hAnsi="Times New Roman" w:eastAsia="宋体" w:cs="宋体"/>
          <w:color w:val="auto"/>
          <w:sz w:val="28"/>
          <w:szCs w:val="28"/>
          <w:lang w:val="en-US" w:eastAsia="zh-CN"/>
        </w:rPr>
        <w:t>1、</w:t>
      </w:r>
      <w:r>
        <w:rPr>
          <w:rFonts w:hint="default" w:ascii="Times New Roman" w:hAnsi="Times New Roman" w:eastAsia="宋体" w:cs="宋体"/>
          <w:color w:val="auto"/>
          <w:sz w:val="28"/>
          <w:szCs w:val="28"/>
        </w:rPr>
        <w:t>化学灼伤风险</w:t>
      </w:r>
    </w:p>
    <w:p w14:paraId="783528D1">
      <w:pPr>
        <w:numPr>
          <w:ilvl w:val="0"/>
          <w:numId w:val="37"/>
        </w:numPr>
        <w:ind w:left="0" w:leftChars="0" w:firstLine="560" w:firstLineChars="200"/>
        <w:rPr>
          <w:rFonts w:hint="default" w:ascii="Times New Roman" w:hAnsi="Times New Roman" w:eastAsia="宋体" w:cs="宋体"/>
          <w:color w:val="auto"/>
          <w:sz w:val="28"/>
          <w:szCs w:val="28"/>
        </w:rPr>
      </w:pPr>
      <w:r>
        <w:rPr>
          <w:rFonts w:hint="default" w:ascii="Times New Roman" w:hAnsi="Times New Roman" w:eastAsia="宋体" w:cs="宋体"/>
          <w:color w:val="auto"/>
          <w:sz w:val="28"/>
          <w:szCs w:val="28"/>
        </w:rPr>
        <w:t>风险场景：氟硅酸、浓硫酸、稀硫酸等腐蚀性介质管道因腐蚀、焊接缺陷、阀门失效等发生泄漏，接触人体后造成化学灼伤。</w:t>
      </w:r>
    </w:p>
    <w:p w14:paraId="221C987B">
      <w:pPr>
        <w:numPr>
          <w:ilvl w:val="0"/>
          <w:numId w:val="37"/>
        </w:numPr>
        <w:ind w:left="0" w:leftChars="0" w:firstLine="560" w:firstLineChars="200"/>
        <w:rPr>
          <w:rFonts w:hint="default" w:ascii="Times New Roman" w:hAnsi="Times New Roman" w:eastAsia="宋体" w:cs="宋体"/>
          <w:color w:val="auto"/>
          <w:sz w:val="28"/>
          <w:szCs w:val="28"/>
        </w:rPr>
      </w:pPr>
      <w:r>
        <w:rPr>
          <w:rFonts w:hint="default" w:ascii="Times New Roman" w:hAnsi="Times New Roman" w:eastAsia="宋体" w:cs="宋体"/>
          <w:color w:val="auto"/>
          <w:sz w:val="28"/>
          <w:szCs w:val="28"/>
        </w:rPr>
        <w:t>影响对象：管廊巡检人员、管道维修人员、周边企业作业人员。</w:t>
      </w:r>
    </w:p>
    <w:p w14:paraId="77AA9F86">
      <w:pPr>
        <w:numPr>
          <w:ilvl w:val="0"/>
          <w:numId w:val="37"/>
        </w:numPr>
        <w:ind w:left="0" w:leftChars="0" w:firstLine="560" w:firstLineChars="200"/>
        <w:rPr>
          <w:rFonts w:hint="default" w:ascii="Times New Roman" w:hAnsi="Times New Roman" w:eastAsia="宋体" w:cs="宋体"/>
          <w:color w:val="auto"/>
          <w:sz w:val="28"/>
          <w:szCs w:val="28"/>
        </w:rPr>
      </w:pPr>
      <w:r>
        <w:rPr>
          <w:rFonts w:hint="default" w:ascii="Times New Roman" w:hAnsi="Times New Roman" w:eastAsia="宋体" w:cs="宋体"/>
          <w:color w:val="auto"/>
          <w:sz w:val="28"/>
          <w:szCs w:val="28"/>
        </w:rPr>
        <w:t>风险程度：</w:t>
      </w:r>
    </w:p>
    <w:p w14:paraId="575107DF">
      <w:pPr>
        <w:ind w:firstLine="560" w:firstLineChars="200"/>
        <w:rPr>
          <w:rFonts w:hint="default" w:ascii="Times New Roman" w:hAnsi="Times New Roman" w:eastAsia="宋体" w:cs="宋体"/>
          <w:color w:val="auto"/>
          <w:sz w:val="28"/>
          <w:szCs w:val="28"/>
        </w:rPr>
      </w:pPr>
      <w:r>
        <w:rPr>
          <w:rFonts w:hint="default" w:ascii="Times New Roman" w:hAnsi="Times New Roman" w:eastAsia="宋体" w:cs="宋体"/>
          <w:color w:val="auto"/>
          <w:sz w:val="28"/>
          <w:szCs w:val="28"/>
        </w:rPr>
        <w:t>氟硅酸泄漏后，其蒸气具有刺激性，接触皮肤可导致红肿、溃疡；若溅入眼睛，可能造成角膜损伤。</w:t>
      </w:r>
    </w:p>
    <w:p w14:paraId="3F2CF3AE">
      <w:pPr>
        <w:ind w:firstLine="560" w:firstLineChars="200"/>
        <w:rPr>
          <w:rFonts w:hint="default" w:ascii="Times New Roman" w:hAnsi="Times New Roman" w:eastAsia="宋体" w:cs="宋体"/>
          <w:color w:val="auto"/>
          <w:sz w:val="28"/>
          <w:szCs w:val="28"/>
        </w:rPr>
      </w:pPr>
      <w:r>
        <w:rPr>
          <w:rFonts w:hint="default" w:ascii="Times New Roman" w:hAnsi="Times New Roman" w:eastAsia="宋体" w:cs="宋体"/>
          <w:color w:val="auto"/>
          <w:sz w:val="28"/>
          <w:szCs w:val="28"/>
        </w:rPr>
        <w:t>浓硫酸（98%）泄漏后，遇水放热，可导致皮肤碳化灼伤，后果较严重。</w:t>
      </w:r>
    </w:p>
    <w:p w14:paraId="7BDC5CC7">
      <w:pPr>
        <w:numPr>
          <w:ilvl w:val="0"/>
          <w:numId w:val="37"/>
        </w:numPr>
        <w:ind w:left="0" w:leftChars="0" w:firstLine="560" w:firstLineChars="200"/>
        <w:rPr>
          <w:rFonts w:hint="default" w:ascii="Times New Roman" w:hAnsi="Times New Roman" w:eastAsia="宋体" w:cs="宋体"/>
          <w:color w:val="auto"/>
          <w:sz w:val="28"/>
          <w:szCs w:val="28"/>
        </w:rPr>
      </w:pPr>
      <w:r>
        <w:rPr>
          <w:rFonts w:hint="default" w:ascii="Times New Roman" w:hAnsi="Times New Roman" w:eastAsia="宋体" w:cs="宋体"/>
          <w:color w:val="auto"/>
          <w:sz w:val="28"/>
          <w:szCs w:val="28"/>
        </w:rPr>
        <w:t>防控措施：</w:t>
      </w:r>
    </w:p>
    <w:p w14:paraId="29486D28">
      <w:pPr>
        <w:ind w:firstLine="560" w:firstLineChars="200"/>
        <w:rPr>
          <w:rFonts w:hint="default" w:ascii="Times New Roman" w:hAnsi="Times New Roman" w:eastAsia="宋体" w:cs="宋体"/>
          <w:color w:val="auto"/>
          <w:sz w:val="28"/>
          <w:szCs w:val="28"/>
        </w:rPr>
      </w:pPr>
      <w:r>
        <w:rPr>
          <w:rFonts w:hint="default" w:ascii="Times New Roman" w:hAnsi="Times New Roman" w:eastAsia="宋体" w:cs="宋体"/>
          <w:color w:val="auto"/>
          <w:sz w:val="28"/>
          <w:szCs w:val="28"/>
        </w:rPr>
        <w:t>管道采用耐腐蚀材质（如钢衬超高分子量聚乙烯、不锈钢 304），法兰处设防喷溅护罩；</w:t>
      </w:r>
    </w:p>
    <w:p w14:paraId="0BAB476B">
      <w:pPr>
        <w:ind w:firstLine="560" w:firstLineChars="200"/>
        <w:rPr>
          <w:rFonts w:hint="default" w:ascii="Times New Roman" w:hAnsi="Times New Roman" w:eastAsia="宋体" w:cs="宋体"/>
          <w:color w:val="auto"/>
          <w:sz w:val="28"/>
          <w:szCs w:val="28"/>
        </w:rPr>
      </w:pPr>
      <w:r>
        <w:rPr>
          <w:rFonts w:hint="default" w:ascii="Times New Roman" w:hAnsi="Times New Roman" w:eastAsia="宋体" w:cs="宋体"/>
          <w:color w:val="auto"/>
          <w:sz w:val="28"/>
          <w:szCs w:val="28"/>
        </w:rPr>
        <w:t>泄漏后可通过无人机巡检快速定位，10分钟内启动应急围堵。</w:t>
      </w:r>
    </w:p>
    <w:p w14:paraId="0FE1E69C">
      <w:pPr>
        <w:ind w:firstLine="560" w:firstLineChars="200"/>
        <w:rPr>
          <w:rFonts w:hint="default" w:ascii="Times New Roman" w:hAnsi="Times New Roman" w:eastAsia="宋体" w:cs="宋体"/>
          <w:color w:val="auto"/>
          <w:sz w:val="28"/>
          <w:szCs w:val="28"/>
        </w:rPr>
      </w:pPr>
      <w:r>
        <w:rPr>
          <w:rFonts w:hint="eastAsia" w:ascii="Times New Roman" w:hAnsi="Times New Roman" w:eastAsia="宋体" w:cs="宋体"/>
          <w:color w:val="auto"/>
          <w:sz w:val="28"/>
          <w:szCs w:val="28"/>
          <w:lang w:val="en-US" w:eastAsia="zh-CN"/>
        </w:rPr>
        <w:t>2、</w:t>
      </w:r>
      <w:r>
        <w:rPr>
          <w:rFonts w:hint="default" w:ascii="Times New Roman" w:hAnsi="Times New Roman" w:eastAsia="宋体" w:cs="宋体"/>
          <w:color w:val="auto"/>
          <w:sz w:val="28"/>
          <w:szCs w:val="28"/>
        </w:rPr>
        <w:t>高温烫伤风险</w:t>
      </w:r>
    </w:p>
    <w:p w14:paraId="17FCD580">
      <w:pPr>
        <w:numPr>
          <w:ilvl w:val="0"/>
          <w:numId w:val="38"/>
        </w:numPr>
        <w:ind w:left="0" w:leftChars="0" w:firstLine="560" w:firstLineChars="200"/>
        <w:rPr>
          <w:rFonts w:hint="default" w:ascii="Times New Roman" w:hAnsi="Times New Roman" w:eastAsia="宋体" w:cs="宋体"/>
          <w:color w:val="auto"/>
          <w:sz w:val="28"/>
          <w:szCs w:val="28"/>
        </w:rPr>
      </w:pPr>
      <w:r>
        <w:rPr>
          <w:rFonts w:hint="default" w:ascii="Times New Roman" w:hAnsi="Times New Roman" w:eastAsia="宋体" w:cs="宋体"/>
          <w:color w:val="auto"/>
          <w:sz w:val="28"/>
          <w:szCs w:val="28"/>
        </w:rPr>
        <w:t>风险场景：饱和蒸汽管道（192℃，1.2MPa）因保温层破损、阀门泄漏导致高温蒸汽直接接触人体。</w:t>
      </w:r>
    </w:p>
    <w:p w14:paraId="56CD268F">
      <w:pPr>
        <w:numPr>
          <w:ilvl w:val="0"/>
          <w:numId w:val="38"/>
        </w:numPr>
        <w:ind w:left="0" w:leftChars="0" w:firstLine="560" w:firstLineChars="200"/>
        <w:rPr>
          <w:rFonts w:hint="default" w:ascii="Times New Roman" w:hAnsi="Times New Roman" w:eastAsia="宋体" w:cs="宋体"/>
          <w:color w:val="auto"/>
          <w:sz w:val="28"/>
          <w:szCs w:val="28"/>
        </w:rPr>
      </w:pPr>
      <w:r>
        <w:rPr>
          <w:rFonts w:hint="default" w:ascii="Times New Roman" w:hAnsi="Times New Roman" w:eastAsia="宋体" w:cs="宋体"/>
          <w:color w:val="auto"/>
          <w:sz w:val="28"/>
          <w:szCs w:val="28"/>
        </w:rPr>
        <w:t>影响对象：巡检人员、维修人员。</w:t>
      </w:r>
    </w:p>
    <w:p w14:paraId="5F938AF8">
      <w:pPr>
        <w:numPr>
          <w:ilvl w:val="0"/>
          <w:numId w:val="38"/>
        </w:numPr>
        <w:ind w:left="0" w:leftChars="0" w:firstLine="560" w:firstLineChars="200"/>
        <w:rPr>
          <w:rFonts w:hint="default" w:ascii="Times New Roman" w:hAnsi="Times New Roman" w:eastAsia="宋体" w:cs="宋体"/>
          <w:color w:val="auto"/>
          <w:sz w:val="28"/>
          <w:szCs w:val="28"/>
        </w:rPr>
      </w:pPr>
      <w:r>
        <w:rPr>
          <w:rFonts w:hint="default" w:ascii="Times New Roman" w:hAnsi="Times New Roman" w:eastAsia="宋体" w:cs="宋体"/>
          <w:color w:val="auto"/>
          <w:sz w:val="28"/>
          <w:szCs w:val="28"/>
        </w:rPr>
        <w:t>风险程度：蒸汽直接接触可造成 Ⅱ-Ⅲ 度烫伤，接触时间超过 3 秒可能导致组织坏死。</w:t>
      </w:r>
    </w:p>
    <w:p w14:paraId="7EEE9662">
      <w:pPr>
        <w:numPr>
          <w:ilvl w:val="0"/>
          <w:numId w:val="38"/>
        </w:numPr>
        <w:ind w:left="0" w:leftChars="0" w:firstLine="560" w:firstLineChars="200"/>
        <w:rPr>
          <w:rFonts w:hint="default" w:ascii="Times New Roman" w:hAnsi="Times New Roman" w:eastAsia="宋体" w:cs="宋体"/>
          <w:color w:val="auto"/>
          <w:sz w:val="28"/>
          <w:szCs w:val="28"/>
        </w:rPr>
      </w:pPr>
      <w:r>
        <w:rPr>
          <w:rFonts w:hint="default" w:ascii="Times New Roman" w:hAnsi="Times New Roman" w:eastAsia="宋体" w:cs="宋体"/>
          <w:color w:val="auto"/>
          <w:sz w:val="28"/>
          <w:szCs w:val="28"/>
        </w:rPr>
        <w:t>防控措施：</w:t>
      </w:r>
    </w:p>
    <w:p w14:paraId="5C9D2197">
      <w:pPr>
        <w:ind w:firstLine="560" w:firstLineChars="200"/>
        <w:rPr>
          <w:rFonts w:hint="default" w:ascii="Times New Roman" w:hAnsi="Times New Roman" w:eastAsia="宋体" w:cs="宋体"/>
          <w:color w:val="auto"/>
          <w:sz w:val="28"/>
          <w:szCs w:val="28"/>
        </w:rPr>
      </w:pPr>
      <w:r>
        <w:rPr>
          <w:rFonts w:hint="default" w:ascii="Times New Roman" w:hAnsi="Times New Roman" w:eastAsia="宋体" w:cs="宋体"/>
          <w:color w:val="auto"/>
          <w:sz w:val="28"/>
          <w:szCs w:val="28"/>
        </w:rPr>
        <w:t>蒸汽管道保温层采用复合硅酸岩（厚度≥80mm），外覆铝皮保护；</w:t>
      </w:r>
    </w:p>
    <w:p w14:paraId="7ABD5925">
      <w:pPr>
        <w:ind w:firstLine="560" w:firstLineChars="200"/>
        <w:rPr>
          <w:rFonts w:hint="default" w:ascii="Times New Roman" w:hAnsi="Times New Roman" w:eastAsia="宋体" w:cs="宋体"/>
          <w:color w:val="auto"/>
          <w:sz w:val="28"/>
          <w:szCs w:val="28"/>
        </w:rPr>
      </w:pPr>
      <w:r>
        <w:rPr>
          <w:rFonts w:hint="default" w:ascii="Times New Roman" w:hAnsi="Times New Roman" w:eastAsia="宋体" w:cs="宋体"/>
          <w:color w:val="auto"/>
          <w:sz w:val="28"/>
          <w:szCs w:val="28"/>
        </w:rPr>
        <w:t>管道显眼处设置 “当心烫伤” 警示标识，定期（每季度）检查保温层完整性。</w:t>
      </w:r>
    </w:p>
    <w:p w14:paraId="27BFF5A2">
      <w:pPr>
        <w:ind w:firstLine="560" w:firstLineChars="200"/>
        <w:rPr>
          <w:rFonts w:hint="default" w:ascii="Times New Roman" w:hAnsi="Times New Roman" w:eastAsia="宋体" w:cs="宋体"/>
          <w:color w:val="auto"/>
          <w:sz w:val="28"/>
          <w:szCs w:val="28"/>
        </w:rPr>
      </w:pPr>
      <w:r>
        <w:rPr>
          <w:rFonts w:hint="eastAsia" w:ascii="Times New Roman" w:hAnsi="Times New Roman" w:eastAsia="宋体" w:cs="宋体"/>
          <w:color w:val="auto"/>
          <w:sz w:val="28"/>
          <w:szCs w:val="28"/>
          <w:lang w:val="en-US" w:eastAsia="zh-CN"/>
        </w:rPr>
        <w:t>3、</w:t>
      </w:r>
      <w:r>
        <w:rPr>
          <w:rFonts w:hint="default" w:ascii="Times New Roman" w:hAnsi="Times New Roman" w:eastAsia="宋体" w:cs="宋体"/>
          <w:color w:val="auto"/>
          <w:sz w:val="28"/>
          <w:szCs w:val="28"/>
        </w:rPr>
        <w:t>机械伤害与高处坠落风险</w:t>
      </w:r>
    </w:p>
    <w:p w14:paraId="2F03E0AC">
      <w:pPr>
        <w:numPr>
          <w:ilvl w:val="0"/>
          <w:numId w:val="39"/>
        </w:numPr>
        <w:ind w:left="0" w:leftChars="0" w:firstLine="560" w:firstLineChars="200"/>
        <w:rPr>
          <w:rFonts w:hint="default" w:ascii="Times New Roman" w:hAnsi="Times New Roman" w:eastAsia="宋体" w:cs="宋体"/>
          <w:color w:val="auto"/>
          <w:sz w:val="28"/>
          <w:szCs w:val="28"/>
        </w:rPr>
      </w:pPr>
      <w:r>
        <w:rPr>
          <w:rFonts w:hint="default" w:ascii="Times New Roman" w:hAnsi="Times New Roman" w:eastAsia="宋体" w:cs="宋体"/>
          <w:color w:val="auto"/>
          <w:sz w:val="28"/>
          <w:szCs w:val="28"/>
        </w:rPr>
        <w:t>风险场景：输送泵转动部件防护罩缺失或损坏导致机械伤害；管廊巡检时防护栏失效引发高处坠落（管廊二层高度 7.8m）。</w:t>
      </w:r>
    </w:p>
    <w:p w14:paraId="46D61176">
      <w:pPr>
        <w:numPr>
          <w:ilvl w:val="0"/>
          <w:numId w:val="39"/>
        </w:numPr>
        <w:ind w:left="0" w:leftChars="0" w:firstLine="560" w:firstLineChars="200"/>
        <w:rPr>
          <w:rFonts w:hint="default" w:ascii="Times New Roman" w:hAnsi="Times New Roman" w:eastAsia="宋体" w:cs="宋体"/>
          <w:color w:val="auto"/>
          <w:sz w:val="28"/>
          <w:szCs w:val="28"/>
        </w:rPr>
      </w:pPr>
      <w:r>
        <w:rPr>
          <w:rFonts w:hint="default" w:ascii="Times New Roman" w:hAnsi="Times New Roman" w:eastAsia="宋体" w:cs="宋体"/>
          <w:color w:val="auto"/>
          <w:sz w:val="28"/>
          <w:szCs w:val="28"/>
        </w:rPr>
        <w:t>影响对象：泵操作工人、管廊巡检人员。</w:t>
      </w:r>
    </w:p>
    <w:p w14:paraId="679CBD25">
      <w:pPr>
        <w:numPr>
          <w:ilvl w:val="0"/>
          <w:numId w:val="39"/>
        </w:numPr>
        <w:ind w:left="0" w:leftChars="0" w:firstLine="560" w:firstLineChars="200"/>
        <w:rPr>
          <w:rFonts w:hint="default" w:ascii="Times New Roman" w:hAnsi="Times New Roman" w:eastAsia="宋体" w:cs="宋体"/>
          <w:color w:val="auto"/>
          <w:sz w:val="28"/>
          <w:szCs w:val="28"/>
        </w:rPr>
      </w:pPr>
      <w:r>
        <w:rPr>
          <w:rFonts w:hint="default" w:ascii="Times New Roman" w:hAnsi="Times New Roman" w:eastAsia="宋体" w:cs="宋体"/>
          <w:color w:val="auto"/>
          <w:sz w:val="28"/>
          <w:szCs w:val="28"/>
        </w:rPr>
        <w:t>风险程度：机械伤害可能造成肢体碾压、切割伤；高处坠落可能导致骨折、颅内损伤，致死率约 15%。</w:t>
      </w:r>
    </w:p>
    <w:p w14:paraId="61CC807F">
      <w:pPr>
        <w:numPr>
          <w:ilvl w:val="0"/>
          <w:numId w:val="39"/>
        </w:numPr>
        <w:ind w:left="0" w:leftChars="0" w:firstLine="560" w:firstLineChars="200"/>
        <w:rPr>
          <w:rFonts w:hint="default" w:ascii="Times New Roman" w:hAnsi="Times New Roman" w:eastAsia="宋体" w:cs="宋体"/>
          <w:color w:val="auto"/>
          <w:sz w:val="28"/>
          <w:szCs w:val="28"/>
        </w:rPr>
      </w:pPr>
      <w:r>
        <w:rPr>
          <w:rFonts w:hint="default" w:ascii="Times New Roman" w:hAnsi="Times New Roman" w:eastAsia="宋体" w:cs="宋体"/>
          <w:color w:val="auto"/>
          <w:sz w:val="28"/>
          <w:szCs w:val="28"/>
        </w:rPr>
        <w:t>防控措施：</w:t>
      </w:r>
    </w:p>
    <w:p w14:paraId="3F325770">
      <w:pPr>
        <w:ind w:firstLine="560" w:firstLineChars="200"/>
        <w:rPr>
          <w:rFonts w:hint="default" w:ascii="Times New Roman" w:hAnsi="Times New Roman" w:eastAsia="宋体" w:cs="宋体"/>
          <w:color w:val="auto"/>
          <w:sz w:val="28"/>
          <w:szCs w:val="28"/>
        </w:rPr>
      </w:pPr>
      <w:r>
        <w:rPr>
          <w:rFonts w:hint="default" w:ascii="Times New Roman" w:hAnsi="Times New Roman" w:eastAsia="宋体" w:cs="宋体"/>
          <w:color w:val="auto"/>
          <w:sz w:val="28"/>
          <w:szCs w:val="28"/>
        </w:rPr>
        <w:t>泵轴、联轴器等转动部件加装固定式防护罩（材质 Q235，厚度≥3mm）；</w:t>
      </w:r>
    </w:p>
    <w:p w14:paraId="0B8EC27E">
      <w:pPr>
        <w:ind w:firstLine="560" w:firstLineChars="200"/>
        <w:rPr>
          <w:rFonts w:hint="default" w:ascii="Times New Roman" w:hAnsi="Times New Roman" w:eastAsia="宋体" w:cs="宋体"/>
          <w:color w:val="auto"/>
          <w:sz w:val="28"/>
          <w:szCs w:val="28"/>
        </w:rPr>
      </w:pPr>
      <w:r>
        <w:rPr>
          <w:rFonts w:hint="default" w:ascii="Times New Roman" w:hAnsi="Times New Roman" w:eastAsia="宋体" w:cs="宋体"/>
          <w:color w:val="auto"/>
          <w:sz w:val="28"/>
          <w:szCs w:val="28"/>
        </w:rPr>
        <w:t>管廊防护栏高度≥1.2m，横杆间距≤30cm，定期（每月）检查焊接节点强度。</w:t>
      </w:r>
    </w:p>
    <w:p w14:paraId="63935258">
      <w:pPr>
        <w:ind w:firstLine="560" w:firstLineChars="200"/>
        <w:rPr>
          <w:rFonts w:hint="default" w:ascii="Times New Roman" w:hAnsi="Times New Roman" w:eastAsia="宋体" w:cs="宋体"/>
          <w:color w:val="auto"/>
          <w:sz w:val="28"/>
          <w:szCs w:val="28"/>
        </w:rPr>
      </w:pPr>
      <w:r>
        <w:rPr>
          <w:rFonts w:hint="eastAsia" w:ascii="Times New Roman" w:hAnsi="Times New Roman" w:eastAsia="宋体" w:cs="宋体"/>
          <w:color w:val="auto"/>
          <w:sz w:val="28"/>
          <w:szCs w:val="28"/>
          <w:lang w:eastAsia="zh-CN"/>
        </w:rPr>
        <w:t>（</w:t>
      </w:r>
      <w:r>
        <w:rPr>
          <w:rFonts w:hint="eastAsia" w:ascii="Times New Roman" w:hAnsi="Times New Roman" w:eastAsia="宋体" w:cs="宋体"/>
          <w:color w:val="auto"/>
          <w:sz w:val="28"/>
          <w:szCs w:val="28"/>
          <w:lang w:val="en-US" w:eastAsia="zh-CN"/>
        </w:rPr>
        <w:t>2）</w:t>
      </w:r>
      <w:r>
        <w:rPr>
          <w:rFonts w:hint="default" w:ascii="Times New Roman" w:hAnsi="Times New Roman" w:eastAsia="宋体" w:cs="宋体"/>
          <w:color w:val="auto"/>
          <w:sz w:val="28"/>
          <w:szCs w:val="28"/>
        </w:rPr>
        <w:t>社会风险分析</w:t>
      </w:r>
    </w:p>
    <w:p w14:paraId="12DEACC7">
      <w:pPr>
        <w:ind w:firstLine="560" w:firstLineChars="200"/>
        <w:rPr>
          <w:rFonts w:hint="default" w:ascii="Times New Roman" w:hAnsi="Times New Roman" w:eastAsia="宋体" w:cs="宋体"/>
          <w:color w:val="auto"/>
          <w:sz w:val="28"/>
          <w:szCs w:val="28"/>
        </w:rPr>
      </w:pPr>
      <w:r>
        <w:rPr>
          <w:rFonts w:hint="default" w:ascii="Times New Roman" w:hAnsi="Times New Roman" w:eastAsia="宋体" w:cs="宋体"/>
          <w:color w:val="auto"/>
          <w:sz w:val="28"/>
          <w:szCs w:val="28"/>
          <w:lang w:val="en-US" w:eastAsia="zh-CN"/>
        </w:rPr>
        <w:t>社会风险主要指项目事故对周边企业、环境及公共安全造成的群体性影响，具体如下：</w:t>
      </w:r>
    </w:p>
    <w:p w14:paraId="2494EC4B">
      <w:pPr>
        <w:ind w:firstLine="560" w:firstLineChars="200"/>
        <w:rPr>
          <w:rFonts w:hint="default" w:ascii="Times New Roman" w:hAnsi="Times New Roman" w:eastAsia="宋体" w:cs="宋体"/>
          <w:color w:val="auto"/>
          <w:sz w:val="28"/>
          <w:szCs w:val="28"/>
        </w:rPr>
      </w:pPr>
      <w:r>
        <w:rPr>
          <w:rFonts w:hint="default" w:ascii="Times New Roman" w:hAnsi="Times New Roman" w:eastAsia="宋体" w:cs="宋体"/>
          <w:color w:val="auto"/>
          <w:sz w:val="28"/>
          <w:szCs w:val="28"/>
        </w:rPr>
        <w:t>1. 周边企业连锁事故风险</w:t>
      </w:r>
    </w:p>
    <w:p w14:paraId="4B78FA97">
      <w:pPr>
        <w:numPr>
          <w:ilvl w:val="0"/>
          <w:numId w:val="40"/>
        </w:numPr>
        <w:ind w:left="0" w:leftChars="0" w:firstLine="560" w:firstLineChars="200"/>
        <w:rPr>
          <w:rFonts w:hint="default" w:ascii="Times New Roman" w:hAnsi="Times New Roman" w:eastAsia="宋体" w:cs="宋体"/>
          <w:color w:val="auto"/>
          <w:sz w:val="28"/>
          <w:szCs w:val="28"/>
        </w:rPr>
      </w:pPr>
      <w:r>
        <w:rPr>
          <w:rFonts w:hint="default" w:ascii="Times New Roman" w:hAnsi="Times New Roman" w:eastAsia="宋体" w:cs="宋体"/>
          <w:color w:val="auto"/>
          <w:sz w:val="28"/>
          <w:szCs w:val="28"/>
        </w:rPr>
        <w:t>风险场景：项目</w:t>
      </w:r>
      <w:r>
        <w:rPr>
          <w:rFonts w:hint="eastAsia" w:ascii="Times New Roman" w:hAnsi="Times New Roman" w:eastAsia="宋体" w:cs="宋体"/>
          <w:color w:val="auto"/>
          <w:sz w:val="28"/>
          <w:szCs w:val="28"/>
          <w:lang w:val="en-US" w:eastAsia="zh-CN"/>
        </w:rPr>
        <w:t>管架</w:t>
      </w:r>
      <w:r>
        <w:rPr>
          <w:rFonts w:hint="default" w:ascii="Times New Roman" w:hAnsi="Times New Roman" w:eastAsia="宋体" w:cs="宋体"/>
          <w:color w:val="auto"/>
          <w:sz w:val="28"/>
          <w:szCs w:val="28"/>
        </w:rPr>
        <w:t xml:space="preserve"> </w:t>
      </w:r>
      <w:r>
        <w:rPr>
          <w:rFonts w:hint="eastAsia" w:ascii="Times New Roman" w:hAnsi="Times New Roman" w:eastAsia="宋体" w:cs="宋体"/>
          <w:color w:val="auto"/>
          <w:sz w:val="28"/>
          <w:szCs w:val="28"/>
          <w:lang w:eastAsia="zh-CN"/>
        </w:rPr>
        <w:t>E74-E93</w:t>
      </w:r>
      <w:r>
        <w:rPr>
          <w:rFonts w:hint="default" w:ascii="Times New Roman" w:hAnsi="Times New Roman" w:eastAsia="宋体" w:cs="宋体"/>
          <w:color w:val="auto"/>
          <w:sz w:val="28"/>
          <w:szCs w:val="28"/>
        </w:rPr>
        <w:t xml:space="preserve"> 段距云南祥丰石化液氨球罐仅 62m（在其爆炸多米诺半径 120m 内），若液氨球罐爆炸，冲击波可能导致管廊管道破裂，引发氟硅酸、浓硫酸泄漏，进而影响祥丰金麦磷酸装置及周边厂区。</w:t>
      </w:r>
    </w:p>
    <w:p w14:paraId="37E32757">
      <w:pPr>
        <w:numPr>
          <w:ilvl w:val="0"/>
          <w:numId w:val="40"/>
        </w:numPr>
        <w:ind w:left="0" w:leftChars="0" w:firstLine="560" w:firstLineChars="200"/>
        <w:rPr>
          <w:rFonts w:hint="default" w:ascii="Times New Roman" w:hAnsi="Times New Roman" w:eastAsia="宋体" w:cs="宋体"/>
          <w:color w:val="auto"/>
          <w:sz w:val="28"/>
          <w:szCs w:val="28"/>
        </w:rPr>
      </w:pPr>
      <w:r>
        <w:rPr>
          <w:rFonts w:hint="default" w:ascii="Times New Roman" w:hAnsi="Times New Roman" w:eastAsia="宋体" w:cs="宋体"/>
          <w:color w:val="auto"/>
          <w:sz w:val="28"/>
          <w:szCs w:val="28"/>
        </w:rPr>
        <w:t>影响范围：周边500m内企业（云南祥丰石化、祥丰金麦化工），涉及作业人员约200人。</w:t>
      </w:r>
    </w:p>
    <w:p w14:paraId="2E75DE51">
      <w:pPr>
        <w:numPr>
          <w:ilvl w:val="0"/>
          <w:numId w:val="40"/>
        </w:numPr>
        <w:ind w:left="0" w:leftChars="0" w:firstLine="560" w:firstLineChars="200"/>
        <w:rPr>
          <w:rFonts w:hint="default" w:ascii="Times New Roman" w:hAnsi="Times New Roman" w:eastAsia="宋体" w:cs="宋体"/>
          <w:color w:val="auto"/>
          <w:sz w:val="28"/>
          <w:szCs w:val="28"/>
        </w:rPr>
      </w:pPr>
      <w:r>
        <w:rPr>
          <w:rFonts w:hint="default" w:ascii="Times New Roman" w:hAnsi="Times New Roman" w:eastAsia="宋体" w:cs="宋体"/>
          <w:color w:val="auto"/>
          <w:sz w:val="28"/>
          <w:szCs w:val="28"/>
        </w:rPr>
        <w:t>风险后果：</w:t>
      </w:r>
    </w:p>
    <w:p w14:paraId="441127E4">
      <w:pPr>
        <w:ind w:firstLine="560" w:firstLineChars="200"/>
        <w:rPr>
          <w:rFonts w:hint="default" w:ascii="Times New Roman" w:hAnsi="Times New Roman" w:eastAsia="宋体" w:cs="宋体"/>
          <w:color w:val="auto"/>
          <w:sz w:val="28"/>
          <w:szCs w:val="28"/>
        </w:rPr>
      </w:pPr>
      <w:r>
        <w:rPr>
          <w:rFonts w:hint="default" w:ascii="Times New Roman" w:hAnsi="Times New Roman" w:eastAsia="宋体" w:cs="宋体"/>
          <w:color w:val="auto"/>
          <w:sz w:val="28"/>
          <w:szCs w:val="28"/>
        </w:rPr>
        <w:t>泄漏的浓硫酸与氨（液氨球罐泄漏物）反应生成刺激性气体（NH₄HSO₄），可能引发群体性呼吸道损伤；</w:t>
      </w:r>
    </w:p>
    <w:p w14:paraId="35C93FA1">
      <w:pPr>
        <w:ind w:firstLine="560" w:firstLineChars="200"/>
        <w:rPr>
          <w:rFonts w:hint="default" w:ascii="Times New Roman" w:hAnsi="Times New Roman" w:eastAsia="宋体" w:cs="宋体"/>
          <w:color w:val="auto"/>
          <w:sz w:val="28"/>
          <w:szCs w:val="28"/>
        </w:rPr>
      </w:pPr>
      <w:r>
        <w:rPr>
          <w:rFonts w:hint="default" w:ascii="Times New Roman" w:hAnsi="Times New Roman" w:eastAsia="宋体" w:cs="宋体"/>
          <w:color w:val="auto"/>
          <w:sz w:val="28"/>
          <w:szCs w:val="28"/>
        </w:rPr>
        <w:t>氟硅酸泄漏污染土壤，影响周边地下水（渗透系数约 1.5×10⁻⁶cm/s），修复周期≥6 个月。</w:t>
      </w:r>
    </w:p>
    <w:p w14:paraId="1A37D674">
      <w:pPr>
        <w:ind w:firstLine="560" w:firstLineChars="200"/>
        <w:rPr>
          <w:rFonts w:hint="default" w:ascii="Times New Roman" w:hAnsi="Times New Roman" w:eastAsia="宋体" w:cs="宋体"/>
          <w:color w:val="auto"/>
          <w:sz w:val="28"/>
          <w:szCs w:val="28"/>
        </w:rPr>
      </w:pPr>
      <w:r>
        <w:rPr>
          <w:rFonts w:hint="default" w:ascii="Times New Roman" w:hAnsi="Times New Roman" w:eastAsia="宋体" w:cs="宋体"/>
          <w:color w:val="auto"/>
          <w:sz w:val="28"/>
          <w:szCs w:val="28"/>
        </w:rPr>
        <w:t>2. 环境生态风险</w:t>
      </w:r>
    </w:p>
    <w:p w14:paraId="04D4DE15">
      <w:pPr>
        <w:numPr>
          <w:ilvl w:val="0"/>
          <w:numId w:val="41"/>
        </w:numPr>
        <w:ind w:left="0" w:leftChars="0" w:firstLine="560" w:firstLineChars="200"/>
        <w:rPr>
          <w:rFonts w:hint="default" w:ascii="Times New Roman" w:hAnsi="Times New Roman" w:eastAsia="宋体" w:cs="宋体"/>
          <w:color w:val="auto"/>
          <w:sz w:val="28"/>
          <w:szCs w:val="28"/>
        </w:rPr>
      </w:pPr>
      <w:r>
        <w:rPr>
          <w:rFonts w:hint="default" w:ascii="Times New Roman" w:hAnsi="Times New Roman" w:eastAsia="宋体" w:cs="宋体"/>
          <w:color w:val="auto"/>
          <w:sz w:val="28"/>
          <w:szCs w:val="28"/>
        </w:rPr>
        <w:t>风险场景：大量稀硫酸（70-75%）、渣浆水泄漏后未经处理进入市政排水系统，污染周边水体（距最近小河约 1.2km）。</w:t>
      </w:r>
    </w:p>
    <w:p w14:paraId="4D74F09A">
      <w:pPr>
        <w:numPr>
          <w:ilvl w:val="0"/>
          <w:numId w:val="41"/>
        </w:numPr>
        <w:ind w:left="0" w:leftChars="0" w:firstLine="560" w:firstLineChars="200"/>
        <w:rPr>
          <w:rFonts w:hint="default" w:ascii="Times New Roman" w:hAnsi="Times New Roman" w:eastAsia="宋体" w:cs="宋体"/>
          <w:color w:val="auto"/>
          <w:sz w:val="28"/>
          <w:szCs w:val="28"/>
        </w:rPr>
      </w:pPr>
      <w:r>
        <w:rPr>
          <w:rFonts w:hint="default" w:ascii="Times New Roman" w:hAnsi="Times New Roman" w:eastAsia="宋体" w:cs="宋体"/>
          <w:color w:val="auto"/>
          <w:sz w:val="28"/>
          <w:szCs w:val="28"/>
        </w:rPr>
        <w:t>影响对象：周边农田（约 300 亩）、水生生物。</w:t>
      </w:r>
    </w:p>
    <w:p w14:paraId="5CFE0FBD">
      <w:pPr>
        <w:numPr>
          <w:ilvl w:val="0"/>
          <w:numId w:val="41"/>
        </w:numPr>
        <w:ind w:left="0" w:leftChars="0" w:firstLine="560" w:firstLineChars="200"/>
        <w:rPr>
          <w:rFonts w:hint="default" w:ascii="Times New Roman" w:hAnsi="Times New Roman" w:eastAsia="宋体" w:cs="宋体"/>
          <w:color w:val="auto"/>
          <w:sz w:val="28"/>
          <w:szCs w:val="28"/>
        </w:rPr>
      </w:pPr>
      <w:r>
        <w:rPr>
          <w:rFonts w:hint="default" w:ascii="Times New Roman" w:hAnsi="Times New Roman" w:eastAsia="宋体" w:cs="宋体"/>
          <w:color w:val="auto"/>
          <w:sz w:val="28"/>
          <w:szCs w:val="28"/>
        </w:rPr>
        <w:t>风险后果：</w:t>
      </w:r>
    </w:p>
    <w:p w14:paraId="6DA47757">
      <w:pPr>
        <w:ind w:firstLine="560" w:firstLineChars="200"/>
        <w:rPr>
          <w:rFonts w:hint="default" w:ascii="Times New Roman" w:hAnsi="Times New Roman" w:eastAsia="宋体" w:cs="宋体"/>
          <w:color w:val="auto"/>
          <w:sz w:val="28"/>
          <w:szCs w:val="28"/>
        </w:rPr>
      </w:pPr>
      <w:r>
        <w:rPr>
          <w:rFonts w:hint="default" w:ascii="Times New Roman" w:hAnsi="Times New Roman" w:eastAsia="宋体" w:cs="宋体"/>
          <w:color w:val="auto"/>
          <w:sz w:val="28"/>
          <w:szCs w:val="28"/>
        </w:rPr>
        <w:t>水体pH值降至4以下，导致鱼类死亡，农田土壤酸化（pH≤5.5），农作物减产；</w:t>
      </w:r>
    </w:p>
    <w:p w14:paraId="72827B73">
      <w:pPr>
        <w:ind w:firstLine="560" w:firstLineChars="200"/>
        <w:rPr>
          <w:rFonts w:hint="default" w:ascii="Times New Roman" w:hAnsi="Times New Roman" w:eastAsia="宋体" w:cs="宋体"/>
          <w:color w:val="auto"/>
          <w:sz w:val="28"/>
          <w:szCs w:val="28"/>
        </w:rPr>
      </w:pPr>
      <w:r>
        <w:rPr>
          <w:rFonts w:hint="default" w:ascii="Times New Roman" w:hAnsi="Times New Roman" w:eastAsia="宋体" w:cs="宋体"/>
          <w:color w:val="auto"/>
          <w:sz w:val="28"/>
          <w:szCs w:val="28"/>
        </w:rPr>
        <w:t>氟硅酸泄漏后分解产生氟离子（F⁻），若进入饮用水源，可能导致周边居民氟中毒（长期摄入氟含量≥1.5mg/L 的水）。</w:t>
      </w:r>
    </w:p>
    <w:p w14:paraId="24762BB8">
      <w:pPr>
        <w:ind w:firstLine="560" w:firstLineChars="200"/>
        <w:rPr>
          <w:rFonts w:hint="default" w:ascii="Times New Roman" w:hAnsi="Times New Roman" w:eastAsia="宋体" w:cs="宋体"/>
          <w:color w:val="auto"/>
          <w:sz w:val="28"/>
          <w:szCs w:val="28"/>
        </w:rPr>
      </w:pPr>
      <w:r>
        <w:rPr>
          <w:rFonts w:hint="default" w:ascii="Times New Roman" w:hAnsi="Times New Roman" w:eastAsia="宋体" w:cs="宋体"/>
          <w:color w:val="auto"/>
          <w:sz w:val="28"/>
          <w:szCs w:val="28"/>
        </w:rPr>
        <w:t>3. 公共交通影响风险</w:t>
      </w:r>
    </w:p>
    <w:p w14:paraId="64B7D588">
      <w:pPr>
        <w:numPr>
          <w:ilvl w:val="0"/>
          <w:numId w:val="42"/>
        </w:numPr>
        <w:ind w:left="0" w:leftChars="0" w:firstLine="560" w:firstLineChars="200"/>
        <w:rPr>
          <w:rFonts w:hint="default" w:ascii="Times New Roman" w:hAnsi="Times New Roman" w:eastAsia="宋体" w:cs="宋体"/>
          <w:color w:val="auto"/>
          <w:sz w:val="28"/>
          <w:szCs w:val="28"/>
        </w:rPr>
      </w:pPr>
      <w:r>
        <w:rPr>
          <w:rFonts w:hint="default" w:ascii="Times New Roman" w:hAnsi="Times New Roman" w:eastAsia="宋体" w:cs="宋体"/>
          <w:color w:val="auto"/>
          <w:sz w:val="28"/>
          <w:szCs w:val="28"/>
        </w:rPr>
        <w:t>风险场景：管廊跨越安丰营片区 1 号次干道东延长线（净空高度 5.6m），若管架坍塌（如钢结构腐蚀、基础沉降），可能阻断交通并砸击过往车辆。</w:t>
      </w:r>
    </w:p>
    <w:p w14:paraId="5CCCC701">
      <w:pPr>
        <w:numPr>
          <w:ilvl w:val="0"/>
          <w:numId w:val="42"/>
        </w:numPr>
        <w:ind w:left="0" w:leftChars="0" w:firstLine="560" w:firstLineChars="200"/>
        <w:rPr>
          <w:rFonts w:hint="default" w:ascii="Times New Roman" w:hAnsi="Times New Roman" w:eastAsia="宋体" w:cs="宋体"/>
          <w:color w:val="auto"/>
          <w:sz w:val="28"/>
          <w:szCs w:val="28"/>
        </w:rPr>
      </w:pPr>
      <w:r>
        <w:rPr>
          <w:rFonts w:hint="default" w:ascii="Times New Roman" w:hAnsi="Times New Roman" w:eastAsia="宋体" w:cs="宋体"/>
          <w:color w:val="auto"/>
          <w:sz w:val="28"/>
          <w:szCs w:val="28"/>
        </w:rPr>
        <w:t>风险后果：交通中断≥4 小时，可能引发区域性拥堵；车辆被砸击可能导致人员伤亡（致死率约 30%）。</w:t>
      </w:r>
    </w:p>
    <w:p w14:paraId="19622CD4">
      <w:pPr>
        <w:ind w:firstLine="560" w:firstLineChars="200"/>
        <w:rPr>
          <w:rFonts w:hint="default" w:ascii="Times New Roman" w:hAnsi="Times New Roman" w:eastAsia="宋体" w:cs="宋体"/>
          <w:color w:val="auto"/>
          <w:sz w:val="28"/>
          <w:szCs w:val="28"/>
          <w:lang w:eastAsia="zh-CN"/>
        </w:rPr>
      </w:pPr>
      <w:r>
        <w:rPr>
          <w:rFonts w:hint="eastAsia" w:ascii="Times New Roman" w:hAnsi="Times New Roman" w:eastAsia="宋体" w:cs="宋体"/>
          <w:color w:val="auto"/>
          <w:sz w:val="28"/>
          <w:szCs w:val="28"/>
          <w:lang w:eastAsia="zh-CN"/>
        </w:rPr>
        <w:t>（</w:t>
      </w:r>
      <w:r>
        <w:rPr>
          <w:rFonts w:hint="eastAsia" w:ascii="Times New Roman" w:hAnsi="Times New Roman" w:eastAsia="宋体" w:cs="宋体"/>
          <w:color w:val="auto"/>
          <w:sz w:val="28"/>
          <w:szCs w:val="28"/>
          <w:lang w:val="en-US" w:eastAsia="zh-CN"/>
        </w:rPr>
        <w:t>3）</w:t>
      </w:r>
      <w:r>
        <w:rPr>
          <w:rFonts w:hint="default" w:ascii="Times New Roman" w:hAnsi="Times New Roman" w:eastAsia="宋体" w:cs="宋体"/>
          <w:color w:val="auto"/>
          <w:sz w:val="28"/>
          <w:szCs w:val="28"/>
          <w:lang w:eastAsia="zh-CN"/>
        </w:rPr>
        <w:t>风险控制效果</w:t>
      </w:r>
    </w:p>
    <w:p w14:paraId="58E5C5C2">
      <w:pPr>
        <w:ind w:firstLine="560" w:firstLineChars="200"/>
        <w:rPr>
          <w:rFonts w:hint="default" w:ascii="Times New Roman" w:hAnsi="Times New Roman" w:eastAsia="宋体" w:cs="宋体"/>
          <w:color w:val="auto"/>
          <w:sz w:val="28"/>
          <w:szCs w:val="28"/>
          <w:lang w:eastAsia="zh-CN"/>
        </w:rPr>
      </w:pPr>
      <w:r>
        <w:rPr>
          <w:rFonts w:hint="default" w:ascii="Times New Roman" w:hAnsi="Times New Roman" w:eastAsia="宋体" w:cs="宋体"/>
          <w:color w:val="auto"/>
          <w:sz w:val="28"/>
          <w:szCs w:val="28"/>
          <w:lang w:eastAsia="zh-CN"/>
        </w:rPr>
        <w:t>通过设备定期检测（压力管道</w:t>
      </w:r>
      <w:r>
        <w:rPr>
          <w:rFonts w:hint="eastAsia" w:ascii="Times New Roman" w:hAnsi="Times New Roman" w:eastAsia="宋体" w:cs="宋体"/>
          <w:color w:val="auto"/>
          <w:sz w:val="28"/>
          <w:szCs w:val="28"/>
          <w:lang w:val="en-US" w:eastAsia="zh-CN"/>
        </w:rPr>
        <w:t>定期</w:t>
      </w:r>
      <w:r>
        <w:rPr>
          <w:rFonts w:hint="default" w:ascii="Times New Roman" w:hAnsi="Times New Roman" w:eastAsia="宋体" w:cs="宋体"/>
          <w:color w:val="auto"/>
          <w:sz w:val="28"/>
          <w:szCs w:val="28"/>
          <w:lang w:eastAsia="zh-CN"/>
        </w:rPr>
        <w:t>全面检验）、个体防护装备强制佩戴、应急演练（每季度 1 次）。</w:t>
      </w:r>
    </w:p>
    <w:p w14:paraId="3C6F7D81">
      <w:pPr>
        <w:ind w:firstLine="560" w:firstLineChars="200"/>
        <w:rPr>
          <w:rFonts w:hint="default" w:ascii="Times New Roman" w:hAnsi="Times New Roman" w:eastAsia="宋体" w:cs="宋体"/>
          <w:color w:val="auto"/>
          <w:sz w:val="28"/>
          <w:szCs w:val="28"/>
          <w:lang w:eastAsia="zh-CN"/>
        </w:rPr>
      </w:pPr>
      <w:r>
        <w:rPr>
          <w:rFonts w:hint="default" w:ascii="Times New Roman" w:hAnsi="Times New Roman" w:eastAsia="宋体" w:cs="宋体"/>
          <w:color w:val="auto"/>
          <w:sz w:val="28"/>
          <w:szCs w:val="28"/>
          <w:lang w:eastAsia="zh-CN"/>
        </w:rPr>
        <w:t>社会风险：</w:t>
      </w:r>
      <w:r>
        <w:rPr>
          <w:rFonts w:hint="eastAsia" w:ascii="Times New Roman" w:hAnsi="Times New Roman" w:eastAsia="宋体" w:cs="宋体"/>
          <w:color w:val="auto"/>
          <w:sz w:val="28"/>
          <w:szCs w:val="28"/>
          <w:lang w:val="en-US" w:eastAsia="zh-CN"/>
        </w:rPr>
        <w:t>依托</w:t>
      </w:r>
      <w:r>
        <w:rPr>
          <w:rFonts w:hint="eastAsia" w:ascii="Times New Roman" w:hAnsi="Times New Roman" w:eastAsia="宋体" w:cs="宋体"/>
          <w:color w:val="auto"/>
          <w:sz w:val="28"/>
          <w:szCs w:val="28"/>
          <w:lang w:eastAsia="zh-CN"/>
        </w:rPr>
        <w:t>祥丰实业集团的消防队</w:t>
      </w:r>
      <w:r>
        <w:rPr>
          <w:rFonts w:hint="default" w:ascii="Times New Roman" w:hAnsi="Times New Roman" w:eastAsia="宋体" w:cs="宋体"/>
          <w:color w:val="auto"/>
          <w:sz w:val="28"/>
          <w:szCs w:val="28"/>
          <w:lang w:eastAsia="zh-CN"/>
        </w:rPr>
        <w:t>、设置泄漏拦截系统（应急池）、管廊结构抗震验算（Ⅷ度设防）。</w:t>
      </w:r>
    </w:p>
    <w:p w14:paraId="7C54E78C">
      <w:pPr>
        <w:ind w:firstLine="560" w:firstLineChars="200"/>
        <w:rPr>
          <w:rFonts w:hint="default" w:ascii="Times New Roman" w:hAnsi="Times New Roman" w:eastAsia="宋体" w:cs="宋体"/>
          <w:color w:val="auto"/>
          <w:sz w:val="28"/>
          <w:szCs w:val="28"/>
          <w:lang w:eastAsia="zh-CN"/>
        </w:rPr>
      </w:pPr>
      <w:r>
        <w:rPr>
          <w:rFonts w:hint="default" w:ascii="Times New Roman" w:hAnsi="Times New Roman" w:eastAsia="宋体" w:cs="宋体"/>
          <w:color w:val="auto"/>
          <w:sz w:val="28"/>
          <w:szCs w:val="28"/>
          <w:lang w:eastAsia="zh-CN"/>
        </w:rPr>
        <w:t>因此本项目的个人风险和社会风险在可接受范围内。</w:t>
      </w:r>
    </w:p>
    <w:p w14:paraId="6FBDE393">
      <w:pPr>
        <w:pStyle w:val="6"/>
        <w:keepNext/>
        <w:keepLines/>
        <w:pageBreakBefore w:val="0"/>
        <w:widowControl w:val="0"/>
        <w:numPr>
          <w:ilvl w:val="2"/>
          <w:numId w:val="0"/>
        </w:numPr>
        <w:tabs>
          <w:tab w:val="left" w:pos="931"/>
        </w:tabs>
        <w:kinsoku/>
        <w:wordWrap/>
        <w:overflowPunct/>
        <w:topLinePunct w:val="0"/>
        <w:autoSpaceDE/>
        <w:autoSpaceDN/>
        <w:bidi w:val="0"/>
        <w:adjustRightInd/>
        <w:snapToGrid w:val="0"/>
        <w:spacing w:line="360" w:lineRule="auto"/>
        <w:ind w:leftChars="100"/>
        <w:textAlignment w:val="auto"/>
        <w:outlineLvl w:val="3"/>
        <w:rPr>
          <w:rFonts w:hint="eastAsia" w:ascii="Times New Roman" w:hAnsi="Times New Roman" w:cs="Times New Roman"/>
          <w:snapToGrid w:val="0"/>
          <w:color w:val="000000"/>
          <w:kern w:val="0"/>
          <w:sz w:val="28"/>
          <w:szCs w:val="28"/>
          <w:lang w:val="en-US" w:eastAsia="zh-CN"/>
        </w:rPr>
      </w:pPr>
      <w:r>
        <w:rPr>
          <w:rFonts w:hint="eastAsia" w:ascii="Times New Roman" w:hAnsi="Times New Roman" w:cs="Times New Roman"/>
          <w:snapToGrid w:val="0"/>
          <w:color w:val="000000"/>
          <w:kern w:val="0"/>
          <w:sz w:val="28"/>
          <w:szCs w:val="28"/>
          <w:lang w:val="en-US" w:eastAsia="zh-CN"/>
        </w:rPr>
        <w:t>3.2.1.</w:t>
      </w:r>
      <w:r>
        <w:rPr>
          <w:rFonts w:hint="eastAsia" w:ascii="Times New Roman" w:cs="Times New Roman"/>
          <w:snapToGrid w:val="0"/>
          <w:color w:val="000000"/>
          <w:kern w:val="0"/>
          <w:sz w:val="28"/>
          <w:szCs w:val="28"/>
          <w:lang w:val="en-US" w:eastAsia="zh-CN"/>
        </w:rPr>
        <w:t>7</w:t>
      </w:r>
      <w:r>
        <w:rPr>
          <w:rFonts w:hint="eastAsia" w:ascii="Times New Roman" w:hAnsi="Times New Roman" w:cs="Times New Roman"/>
          <w:snapToGrid w:val="0"/>
          <w:color w:val="000000"/>
          <w:kern w:val="0"/>
          <w:sz w:val="28"/>
          <w:szCs w:val="28"/>
          <w:lang w:val="en-US" w:eastAsia="zh-CN"/>
        </w:rPr>
        <w:t>外部安全防护距离</w:t>
      </w:r>
      <w:bookmarkEnd w:id="1095"/>
    </w:p>
    <w:p w14:paraId="4A9609D4">
      <w:pPr>
        <w:ind w:firstLine="560" w:firstLineChars="200"/>
        <w:rPr>
          <w:rFonts w:hint="eastAsia" w:ascii="Times New Roman" w:hAnsi="Times New Roman" w:eastAsia="宋体"/>
          <w:color w:val="auto"/>
          <w:sz w:val="28"/>
          <w:szCs w:val="28"/>
        </w:rPr>
      </w:pPr>
      <w:r>
        <w:rPr>
          <w:rFonts w:hint="eastAsia" w:ascii="Times New Roman" w:hAnsi="Times New Roman" w:eastAsia="宋体"/>
          <w:color w:val="auto"/>
          <w:sz w:val="28"/>
          <w:szCs w:val="28"/>
        </w:rPr>
        <w:t>本项目</w:t>
      </w:r>
      <w:r>
        <w:rPr>
          <w:rFonts w:hint="eastAsia" w:ascii="Times New Roman" w:hAnsi="Times New Roman" w:eastAsia="宋体"/>
          <w:color w:val="auto"/>
          <w:sz w:val="28"/>
          <w:szCs w:val="28"/>
          <w:lang w:val="en-US" w:eastAsia="zh-CN"/>
        </w:rPr>
        <w:t>物料输送</w:t>
      </w:r>
      <w:r>
        <w:rPr>
          <w:rFonts w:hint="eastAsia" w:ascii="Times New Roman" w:hAnsi="Times New Roman" w:eastAsia="宋体"/>
          <w:color w:val="auto"/>
          <w:sz w:val="28"/>
          <w:szCs w:val="28"/>
        </w:rPr>
        <w:t>过程不涉及列入《危险化学品目录》及《危险化学品分类信息表》中的爆炸物，以及毒性气体、易燃气体且构成危险化学品重大危险源</w:t>
      </w:r>
      <w:r>
        <w:rPr>
          <w:rFonts w:hint="eastAsia" w:ascii="Times New Roman" w:hAnsi="Times New Roman" w:eastAsia="宋体"/>
          <w:color w:val="auto"/>
          <w:sz w:val="28"/>
          <w:szCs w:val="28"/>
          <w:lang w:val="en-US" w:eastAsia="zh-CN"/>
        </w:rPr>
        <w:t>的情况</w:t>
      </w:r>
      <w:r>
        <w:rPr>
          <w:rFonts w:hint="eastAsia" w:ascii="Times New Roman" w:hAnsi="Times New Roman" w:eastAsia="宋体"/>
          <w:color w:val="auto"/>
          <w:sz w:val="28"/>
          <w:szCs w:val="28"/>
        </w:rPr>
        <w:t>。不须采用事故后果法、定量风险评价方法确定外部安全防护距离，外部安全防护距离应满足相关标准规范的距离要求；</w:t>
      </w:r>
      <w:r>
        <w:rPr>
          <w:rFonts w:hint="eastAsia" w:ascii="Times New Roman" w:hAnsi="Times New Roman" w:eastAsia="宋体"/>
          <w:color w:val="auto"/>
          <w:sz w:val="28"/>
          <w:szCs w:val="28"/>
          <w:lang w:val="en-US" w:eastAsia="zh-CN"/>
        </w:rPr>
        <w:t>本项目管廊</w:t>
      </w:r>
      <w:r>
        <w:rPr>
          <w:rFonts w:hint="eastAsia" w:ascii="Times New Roman" w:hAnsi="Times New Roman" w:eastAsia="宋体"/>
          <w:color w:val="auto"/>
          <w:sz w:val="28"/>
          <w:szCs w:val="28"/>
        </w:rPr>
        <w:t>的外部安全防护距离应满足相关标准规范的距离要求，执行《化工园区公共管廊管理规程》（GB/T 36762-2018）、《工业企业总平面设计规范》（GB50187-2012）</w:t>
      </w:r>
      <w:r>
        <w:rPr>
          <w:rFonts w:hint="eastAsia" w:ascii="Times New Roman" w:hAnsi="Times New Roman" w:eastAsia="宋体"/>
          <w:color w:val="auto"/>
          <w:sz w:val="28"/>
          <w:szCs w:val="28"/>
          <w:lang w:eastAsia="zh-CN"/>
        </w:rPr>
        <w:t>、</w:t>
      </w:r>
      <w:r>
        <w:rPr>
          <w:rFonts w:hint="eastAsia" w:ascii="Times New Roman" w:hAnsi="Times New Roman" w:eastAsia="宋体"/>
          <w:color w:val="auto"/>
          <w:sz w:val="28"/>
          <w:szCs w:val="28"/>
        </w:rPr>
        <w:t>《石油化工企业设计防火标准》（GB50160-2008,2018年版）等标准规范的距离要求。</w:t>
      </w:r>
    </w:p>
    <w:p w14:paraId="61CBECA6">
      <w:pPr>
        <w:ind w:firstLine="560" w:firstLineChars="200"/>
        <w:rPr>
          <w:rFonts w:hint="eastAsia" w:ascii="Times New Roman" w:hAnsi="Times New Roman" w:eastAsia="宋体"/>
          <w:color w:val="auto"/>
          <w:sz w:val="28"/>
          <w:szCs w:val="28"/>
        </w:rPr>
      </w:pPr>
      <w:r>
        <w:rPr>
          <w:rFonts w:hint="eastAsia" w:ascii="Times New Roman" w:hAnsi="Times New Roman" w:eastAsia="宋体"/>
          <w:color w:val="auto"/>
          <w:sz w:val="28"/>
          <w:szCs w:val="28"/>
        </w:rPr>
        <w:t>本项目与相邻工厂或设施的防火间距、总平面布置防火间距符合《化工园区公共管廊管理规程》（GB/T 36762-2018）、《工业企业总平面设计规范》（GB50187-2012）</w:t>
      </w:r>
      <w:r>
        <w:rPr>
          <w:rFonts w:hint="eastAsia" w:ascii="Times New Roman" w:hAnsi="Times New Roman" w:eastAsia="宋体"/>
          <w:color w:val="auto"/>
          <w:sz w:val="28"/>
          <w:szCs w:val="28"/>
          <w:lang w:eastAsia="zh-CN"/>
        </w:rPr>
        <w:t>、</w:t>
      </w:r>
      <w:r>
        <w:rPr>
          <w:rFonts w:hint="eastAsia" w:ascii="Times New Roman" w:hAnsi="Times New Roman" w:eastAsia="宋体"/>
          <w:color w:val="auto"/>
          <w:sz w:val="28"/>
          <w:szCs w:val="28"/>
        </w:rPr>
        <w:t>《石油化工企业设计防火标准》（GB50160-2008,2018年版）的规定，外部安全防护距离满足相关标准规范的距离要求</w:t>
      </w:r>
      <w:r>
        <w:rPr>
          <w:rFonts w:hint="eastAsia" w:ascii="Times New Roman" w:hAnsi="Times New Roman" w:eastAsia="宋体"/>
          <w:color w:val="auto"/>
          <w:sz w:val="28"/>
          <w:szCs w:val="28"/>
          <w:lang w:eastAsia="zh-CN"/>
        </w:rPr>
        <w:t>。</w:t>
      </w:r>
    </w:p>
    <w:p w14:paraId="15BEE81E">
      <w:pPr>
        <w:pStyle w:val="5"/>
        <w:keepNext/>
        <w:keepLines/>
        <w:pageBreakBefore w:val="0"/>
        <w:widowControl w:val="0"/>
        <w:numPr>
          <w:ilvl w:val="2"/>
          <w:numId w:val="0"/>
        </w:numPr>
        <w:kinsoku/>
        <w:wordWrap/>
        <w:overflowPunct/>
        <w:topLinePunct w:val="0"/>
        <w:autoSpaceDE/>
        <w:autoSpaceDN/>
        <w:bidi w:val="0"/>
        <w:adjustRightInd/>
        <w:snapToGrid w:val="0"/>
        <w:spacing w:line="360" w:lineRule="auto"/>
        <w:ind w:leftChars="100"/>
        <w:textAlignment w:val="auto"/>
        <w:rPr>
          <w:rFonts w:hint="eastAsia" w:ascii="Times New Roman" w:hAnsi="Times New Roman" w:cs="Times New Roman"/>
          <w:snapToGrid w:val="0"/>
          <w:color w:val="000000"/>
          <w:kern w:val="0"/>
          <w:sz w:val="32"/>
          <w:lang w:val="en-US" w:eastAsia="zh-CN"/>
        </w:rPr>
      </w:pPr>
      <w:bookmarkStart w:id="1096" w:name="_Toc27221"/>
      <w:bookmarkStart w:id="1097" w:name="_Toc7236"/>
      <w:r>
        <w:rPr>
          <w:rFonts w:hint="eastAsia" w:ascii="Times New Roman" w:hAnsi="Times New Roman" w:cs="Times New Roman"/>
          <w:snapToGrid w:val="0"/>
          <w:color w:val="000000"/>
          <w:kern w:val="0"/>
          <w:sz w:val="32"/>
          <w:lang w:val="en-US" w:eastAsia="zh-CN"/>
        </w:rPr>
        <w:t>3.2.2选址及总平面布置评价单元分析评价</w:t>
      </w:r>
      <w:bookmarkEnd w:id="1096"/>
      <w:bookmarkEnd w:id="1097"/>
    </w:p>
    <w:p w14:paraId="7A006F94">
      <w:pPr>
        <w:adjustRightInd w:val="0"/>
        <w:ind w:firstLine="560" w:firstLineChars="200"/>
        <w:rPr>
          <w:rFonts w:ascii="Times New Roman" w:cs="Times New Roman"/>
          <w:bCs/>
          <w:color w:val="auto"/>
          <w:sz w:val="28"/>
          <w:szCs w:val="28"/>
        </w:rPr>
      </w:pPr>
      <w:r>
        <w:rPr>
          <w:rFonts w:hint="eastAsia" w:ascii="Times New Roman" w:cs="Times New Roman"/>
          <w:bCs/>
          <w:color w:val="auto"/>
          <w:sz w:val="28"/>
          <w:szCs w:val="28"/>
        </w:rPr>
        <w:t>1、管廊</w:t>
      </w:r>
      <w:r>
        <w:rPr>
          <w:rFonts w:hint="eastAsia" w:ascii="Times New Roman" w:cs="Times New Roman"/>
          <w:bCs/>
          <w:color w:val="auto"/>
          <w:sz w:val="28"/>
          <w:szCs w:val="28"/>
          <w:lang w:val="en-US" w:eastAsia="zh-CN"/>
        </w:rPr>
        <w:t>选址</w:t>
      </w:r>
      <w:r>
        <w:rPr>
          <w:rFonts w:hint="eastAsia" w:ascii="Times New Roman" w:cs="Times New Roman"/>
          <w:bCs/>
          <w:color w:val="auto"/>
          <w:sz w:val="28"/>
          <w:szCs w:val="28"/>
        </w:rPr>
        <w:t>、总平面布置</w:t>
      </w:r>
    </w:p>
    <w:p w14:paraId="03BB57AD">
      <w:pPr>
        <w:adjustRightInd w:val="0"/>
        <w:ind w:firstLine="560" w:firstLineChars="200"/>
        <w:rPr>
          <w:rFonts w:hint="eastAsia" w:ascii="Times New Roman" w:cs="Times New Roman"/>
          <w:bCs/>
          <w:color w:val="auto"/>
          <w:sz w:val="28"/>
          <w:szCs w:val="28"/>
        </w:rPr>
      </w:pPr>
      <w:r>
        <w:rPr>
          <w:rFonts w:hint="eastAsia" w:ascii="Times New Roman" w:cs="Times New Roman"/>
          <w:bCs/>
          <w:color w:val="auto"/>
          <w:sz w:val="28"/>
          <w:szCs w:val="28"/>
        </w:rPr>
        <w:t>根据</w:t>
      </w:r>
      <w:r>
        <w:rPr>
          <w:rFonts w:hint="eastAsia" w:ascii="Times New Roman" w:cs="Times New Roman"/>
          <w:bCs/>
          <w:color w:val="auto"/>
          <w:sz w:val="28"/>
          <w:szCs w:val="28"/>
          <w:lang w:eastAsia="zh-CN"/>
        </w:rPr>
        <w:t>《</w:t>
      </w:r>
      <w:r>
        <w:rPr>
          <w:rFonts w:hint="eastAsia" w:ascii="Times New Roman" w:cs="Times New Roman"/>
          <w:bCs/>
          <w:color w:val="auto"/>
          <w:sz w:val="28"/>
          <w:szCs w:val="28"/>
          <w:lang w:val="en-US" w:eastAsia="zh-CN"/>
        </w:rPr>
        <w:t>化工园区公共管廊管理规程</w:t>
      </w:r>
      <w:r>
        <w:rPr>
          <w:rFonts w:hint="eastAsia" w:ascii="Times New Roman" w:cs="Times New Roman"/>
          <w:bCs/>
          <w:color w:val="auto"/>
          <w:sz w:val="28"/>
          <w:szCs w:val="28"/>
          <w:lang w:eastAsia="zh-CN"/>
        </w:rPr>
        <w:t>》（GB/T 36762-2018）、</w:t>
      </w:r>
      <w:r>
        <w:rPr>
          <w:rFonts w:hint="eastAsia" w:ascii="Times New Roman" w:cs="Times New Roman"/>
          <w:bCs/>
          <w:color w:val="auto"/>
          <w:sz w:val="28"/>
          <w:szCs w:val="28"/>
        </w:rPr>
        <w:t>《工业企业总平面设计规范》（GB50187－2012）</w:t>
      </w:r>
      <w:r>
        <w:rPr>
          <w:rFonts w:hint="eastAsia" w:ascii="Times New Roman" w:cs="Times New Roman"/>
          <w:bCs/>
          <w:color w:val="auto"/>
          <w:sz w:val="28"/>
          <w:szCs w:val="28"/>
          <w:lang w:eastAsia="zh-CN"/>
        </w:rPr>
        <w:t>、</w:t>
      </w:r>
      <w:r>
        <w:rPr>
          <w:rFonts w:hint="eastAsia" w:ascii="Times New Roman" w:cs="Times New Roman"/>
          <w:bCs/>
          <w:color w:val="auto"/>
          <w:sz w:val="28"/>
          <w:szCs w:val="28"/>
        </w:rPr>
        <w:t>《化工企业总图运输设计规范》（GB50489-2009）</w:t>
      </w:r>
      <w:r>
        <w:rPr>
          <w:rFonts w:hint="eastAsia" w:ascii="Times New Roman" w:cs="Times New Roman"/>
          <w:bCs/>
          <w:color w:val="auto"/>
          <w:sz w:val="28"/>
          <w:szCs w:val="28"/>
          <w:lang w:eastAsia="zh-CN"/>
        </w:rPr>
        <w:t>、</w:t>
      </w:r>
      <w:r>
        <w:rPr>
          <w:rFonts w:hint="eastAsia" w:ascii="Times New Roman" w:cs="Times New Roman"/>
          <w:bCs/>
          <w:color w:val="auto"/>
          <w:sz w:val="28"/>
          <w:szCs w:val="28"/>
          <w:lang w:val="en-US" w:eastAsia="zh-CN"/>
        </w:rPr>
        <w:t>《石油化工厂际管道工程技术标准》（GB/T 51359-2019）</w:t>
      </w:r>
      <w:r>
        <w:rPr>
          <w:rFonts w:hint="eastAsia" w:ascii="Times New Roman" w:cs="Times New Roman"/>
          <w:bCs/>
          <w:color w:val="auto"/>
          <w:sz w:val="28"/>
          <w:szCs w:val="28"/>
        </w:rPr>
        <w:t>等相关内容，从管廊选择、总平面布置方面进行检查，检查表如下：</w:t>
      </w:r>
    </w:p>
    <w:p w14:paraId="10AADC8A">
      <w:pPr>
        <w:keepNext w:val="0"/>
        <w:keepLines w:val="0"/>
        <w:pageBreakBefore w:val="0"/>
        <w:widowControl w:val="0"/>
        <w:kinsoku/>
        <w:wordWrap/>
        <w:overflowPunct/>
        <w:topLinePunct w:val="0"/>
        <w:autoSpaceDE/>
        <w:autoSpaceDN/>
        <w:bidi w:val="0"/>
        <w:adjustRightInd w:val="0"/>
        <w:snapToGrid/>
        <w:ind w:firstLine="482" w:firstLineChars="200"/>
        <w:jc w:val="center"/>
        <w:textAlignment w:val="auto"/>
        <w:rPr>
          <w:rFonts w:ascii="Times New Roman" w:hAnsi="Times New Roman"/>
          <w:b/>
          <w:bCs/>
          <w:color w:val="auto"/>
          <w:sz w:val="24"/>
          <w:szCs w:val="24"/>
        </w:rPr>
      </w:pPr>
      <w:r>
        <w:rPr>
          <w:rFonts w:hint="eastAsia" w:ascii="Times New Roman" w:hAnsi="Times New Roman"/>
          <w:b/>
          <w:bCs/>
          <w:color w:val="auto"/>
          <w:sz w:val="24"/>
          <w:szCs w:val="24"/>
          <w:lang w:val="en-US" w:eastAsia="zh-CN"/>
        </w:rPr>
        <w:t>附</w:t>
      </w:r>
      <w:r>
        <w:rPr>
          <w:rFonts w:hint="eastAsia" w:ascii="Times New Roman" w:hAnsi="Times New Roman"/>
          <w:b/>
          <w:bCs/>
          <w:color w:val="auto"/>
          <w:sz w:val="24"/>
          <w:szCs w:val="24"/>
        </w:rPr>
        <w:t>表</w:t>
      </w:r>
      <w:r>
        <w:rPr>
          <w:rFonts w:ascii="Times New Roman" w:hAnsi="Times New Roman"/>
          <w:b/>
          <w:bCs/>
          <w:color w:val="auto"/>
          <w:sz w:val="24"/>
          <w:szCs w:val="24"/>
        </w:rPr>
        <w:t>3</w:t>
      </w:r>
      <w:r>
        <w:rPr>
          <w:rFonts w:hint="eastAsia" w:ascii="Times New Roman" w:hAnsi="Times New Roman"/>
          <w:b/>
          <w:bCs/>
          <w:color w:val="auto"/>
          <w:sz w:val="24"/>
          <w:szCs w:val="24"/>
          <w:lang w:val="en-US" w:eastAsia="zh-CN"/>
        </w:rPr>
        <w:t>.2</w:t>
      </w:r>
      <w:r>
        <w:rPr>
          <w:rFonts w:hint="eastAsia" w:ascii="Times New Roman" w:hAnsi="Times New Roman"/>
          <w:b/>
          <w:bCs/>
          <w:color w:val="auto"/>
          <w:sz w:val="24"/>
          <w:szCs w:val="24"/>
        </w:rPr>
        <w:t>-</w:t>
      </w:r>
      <w:r>
        <w:rPr>
          <w:rFonts w:hint="eastAsia" w:ascii="Times New Roman" w:hAnsi="Times New Roman"/>
          <w:b/>
          <w:bCs/>
          <w:color w:val="auto"/>
          <w:sz w:val="24"/>
          <w:szCs w:val="24"/>
          <w:lang w:val="en-US" w:eastAsia="zh-CN"/>
        </w:rPr>
        <w:t>2</w:t>
      </w:r>
      <w:r>
        <w:rPr>
          <w:rFonts w:hint="eastAsia" w:ascii="Times New Roman" w:hAnsi="Times New Roman"/>
          <w:b/>
          <w:bCs/>
          <w:color w:val="auto"/>
          <w:sz w:val="24"/>
          <w:szCs w:val="24"/>
        </w:rPr>
        <w:t xml:space="preserve"> 管廊选择、总平面布置安全检查表</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3991"/>
        <w:gridCol w:w="2022"/>
        <w:gridCol w:w="1977"/>
        <w:gridCol w:w="758"/>
      </w:tblGrid>
      <w:tr w14:paraId="65027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48" w:type="dxa"/>
            <w:tcBorders>
              <w:top w:val="single" w:color="auto" w:sz="4" w:space="0"/>
              <w:left w:val="single" w:color="auto" w:sz="4" w:space="0"/>
              <w:bottom w:val="single" w:color="auto" w:sz="4" w:space="0"/>
              <w:right w:val="single" w:color="auto" w:sz="4" w:space="0"/>
            </w:tcBorders>
            <w:vAlign w:val="center"/>
          </w:tcPr>
          <w:p w14:paraId="20ABBDD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序号</w:t>
            </w:r>
          </w:p>
        </w:tc>
        <w:tc>
          <w:tcPr>
            <w:tcW w:w="3961" w:type="dxa"/>
            <w:tcBorders>
              <w:top w:val="single" w:color="auto" w:sz="4" w:space="0"/>
              <w:left w:val="nil"/>
              <w:bottom w:val="single" w:color="auto" w:sz="4" w:space="0"/>
              <w:right w:val="single" w:color="auto" w:sz="4" w:space="0"/>
            </w:tcBorders>
            <w:vAlign w:val="center"/>
          </w:tcPr>
          <w:p w14:paraId="7A3285E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检查内容</w:t>
            </w:r>
          </w:p>
        </w:tc>
        <w:tc>
          <w:tcPr>
            <w:tcW w:w="2007" w:type="dxa"/>
            <w:tcBorders>
              <w:top w:val="single" w:color="auto" w:sz="4" w:space="0"/>
              <w:left w:val="nil"/>
              <w:bottom w:val="single" w:color="auto" w:sz="4" w:space="0"/>
              <w:right w:val="single" w:color="auto" w:sz="4" w:space="0"/>
            </w:tcBorders>
            <w:vAlign w:val="center"/>
          </w:tcPr>
          <w:p w14:paraId="4B4F4F7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检查依据</w:t>
            </w:r>
          </w:p>
        </w:tc>
        <w:tc>
          <w:tcPr>
            <w:tcW w:w="1962" w:type="dxa"/>
            <w:tcBorders>
              <w:top w:val="single" w:color="auto" w:sz="4" w:space="0"/>
              <w:left w:val="nil"/>
              <w:bottom w:val="single" w:color="auto" w:sz="4" w:space="0"/>
              <w:right w:val="single" w:color="auto" w:sz="4" w:space="0"/>
            </w:tcBorders>
            <w:vAlign w:val="center"/>
          </w:tcPr>
          <w:p w14:paraId="5B1887B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检查情况</w:t>
            </w:r>
          </w:p>
        </w:tc>
        <w:tc>
          <w:tcPr>
            <w:tcW w:w="752" w:type="dxa"/>
            <w:tcBorders>
              <w:top w:val="single" w:color="auto" w:sz="4" w:space="0"/>
              <w:left w:val="nil"/>
              <w:bottom w:val="single" w:color="auto" w:sz="4" w:space="0"/>
              <w:right w:val="single" w:color="auto" w:sz="4" w:space="0"/>
            </w:tcBorders>
            <w:vAlign w:val="center"/>
          </w:tcPr>
          <w:p w14:paraId="30CCF42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结论</w:t>
            </w:r>
          </w:p>
        </w:tc>
      </w:tr>
      <w:tr w14:paraId="309D4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0FF7A97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3961" w:type="dxa"/>
            <w:tcBorders>
              <w:top w:val="single" w:color="auto" w:sz="4" w:space="0"/>
              <w:left w:val="nil"/>
              <w:bottom w:val="single" w:color="auto" w:sz="4" w:space="0"/>
              <w:right w:val="single" w:color="auto" w:sz="4" w:space="0"/>
            </w:tcBorders>
            <w:vAlign w:val="center"/>
          </w:tcPr>
          <w:p w14:paraId="4FAD24F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化工园区公共管廊宜采用地上建设。</w:t>
            </w:r>
          </w:p>
        </w:tc>
        <w:tc>
          <w:tcPr>
            <w:tcW w:w="2007" w:type="dxa"/>
            <w:tcBorders>
              <w:top w:val="single" w:color="auto" w:sz="4" w:space="0"/>
              <w:left w:val="nil"/>
              <w:bottom w:val="single" w:color="auto" w:sz="4" w:space="0"/>
              <w:right w:val="single" w:color="auto" w:sz="4" w:space="0"/>
            </w:tcBorders>
            <w:vAlign w:val="center"/>
          </w:tcPr>
          <w:p w14:paraId="7447B7C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《化工园区公共管廊管理规程》（GB/T 36762-2018）第5.2条</w:t>
            </w:r>
          </w:p>
        </w:tc>
        <w:tc>
          <w:tcPr>
            <w:tcW w:w="1962" w:type="dxa"/>
            <w:tcBorders>
              <w:top w:val="single" w:color="auto" w:sz="4" w:space="0"/>
              <w:left w:val="nil"/>
              <w:bottom w:val="single" w:color="auto" w:sz="4" w:space="0"/>
              <w:right w:val="single" w:color="auto" w:sz="4" w:space="0"/>
            </w:tcBorders>
            <w:vAlign w:val="center"/>
          </w:tcPr>
          <w:p w14:paraId="620430D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本项目管廊采用地上建设。</w:t>
            </w:r>
          </w:p>
        </w:tc>
        <w:tc>
          <w:tcPr>
            <w:tcW w:w="752" w:type="dxa"/>
            <w:tcBorders>
              <w:top w:val="single" w:color="auto" w:sz="4" w:space="0"/>
              <w:left w:val="nil"/>
              <w:bottom w:val="single" w:color="auto" w:sz="4" w:space="0"/>
              <w:right w:val="single" w:color="auto" w:sz="4" w:space="0"/>
            </w:tcBorders>
            <w:vAlign w:val="center"/>
          </w:tcPr>
          <w:p w14:paraId="3A09217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14:paraId="5AC16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3F865C8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3961" w:type="dxa"/>
            <w:tcBorders>
              <w:top w:val="single" w:color="auto" w:sz="4" w:space="0"/>
              <w:left w:val="nil"/>
              <w:bottom w:val="single" w:color="auto" w:sz="4" w:space="0"/>
              <w:right w:val="single" w:color="auto" w:sz="4" w:space="0"/>
            </w:tcBorders>
            <w:vAlign w:val="center"/>
          </w:tcPr>
          <w:p w14:paraId="5ED4495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公共管廊规划时应在靠近道路侧设置照明设施、消防应急设施、防撞设施等，与公共管廊同步建成。</w:t>
            </w:r>
          </w:p>
        </w:tc>
        <w:tc>
          <w:tcPr>
            <w:tcW w:w="2007" w:type="dxa"/>
            <w:tcBorders>
              <w:top w:val="single" w:color="auto" w:sz="4" w:space="0"/>
              <w:left w:val="nil"/>
              <w:bottom w:val="single" w:color="auto" w:sz="4" w:space="0"/>
              <w:right w:val="single" w:color="auto" w:sz="4" w:space="0"/>
            </w:tcBorders>
            <w:vAlign w:val="center"/>
          </w:tcPr>
          <w:p w14:paraId="2F02F2C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《化工园区公共管廊管理规程》（GB/T 36762-2018）第5.4条</w:t>
            </w:r>
          </w:p>
        </w:tc>
        <w:tc>
          <w:tcPr>
            <w:tcW w:w="1962" w:type="dxa"/>
            <w:tcBorders>
              <w:top w:val="single" w:color="auto" w:sz="4" w:space="0"/>
              <w:left w:val="nil"/>
              <w:bottom w:val="single" w:color="auto" w:sz="4" w:space="0"/>
              <w:right w:val="single" w:color="auto" w:sz="4" w:space="0"/>
            </w:tcBorders>
            <w:vAlign w:val="center"/>
          </w:tcPr>
          <w:p w14:paraId="137BA15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跨越道路的管廊设置限高标志，管廊立柱设置防撞设施或防撞安全警示标志。</w:t>
            </w:r>
          </w:p>
        </w:tc>
        <w:tc>
          <w:tcPr>
            <w:tcW w:w="752" w:type="dxa"/>
            <w:tcBorders>
              <w:top w:val="single" w:color="auto" w:sz="4" w:space="0"/>
              <w:left w:val="nil"/>
              <w:bottom w:val="single" w:color="auto" w:sz="4" w:space="0"/>
              <w:right w:val="single" w:color="auto" w:sz="4" w:space="0"/>
            </w:tcBorders>
            <w:vAlign w:val="center"/>
          </w:tcPr>
          <w:p w14:paraId="5BA9557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14:paraId="1C422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3C0C031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3961" w:type="dxa"/>
            <w:tcBorders>
              <w:top w:val="single" w:color="auto" w:sz="4" w:space="0"/>
              <w:left w:val="nil"/>
              <w:bottom w:val="single" w:color="auto" w:sz="4" w:space="0"/>
              <w:right w:val="single" w:color="auto" w:sz="4" w:space="0"/>
            </w:tcBorders>
            <w:vAlign w:val="center"/>
          </w:tcPr>
          <w:p w14:paraId="3BBEA26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公共管廊在规划时宜评估输送介质对周边的影响，并对规划路线进行安全预评价。</w:t>
            </w:r>
          </w:p>
        </w:tc>
        <w:tc>
          <w:tcPr>
            <w:tcW w:w="2007" w:type="dxa"/>
            <w:tcBorders>
              <w:top w:val="single" w:color="auto" w:sz="4" w:space="0"/>
              <w:left w:val="nil"/>
              <w:bottom w:val="single" w:color="auto" w:sz="4" w:space="0"/>
              <w:right w:val="single" w:color="auto" w:sz="4" w:space="0"/>
            </w:tcBorders>
            <w:vAlign w:val="center"/>
          </w:tcPr>
          <w:p w14:paraId="0FB7909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《化工园区公共管廊管理规程》（GB/T 36762-2018）第5.5条</w:t>
            </w:r>
          </w:p>
        </w:tc>
        <w:tc>
          <w:tcPr>
            <w:tcW w:w="1962" w:type="dxa"/>
            <w:tcBorders>
              <w:top w:val="single" w:color="auto" w:sz="4" w:space="0"/>
              <w:left w:val="nil"/>
              <w:bottom w:val="single" w:color="auto" w:sz="4" w:space="0"/>
              <w:right w:val="single" w:color="auto" w:sz="4" w:space="0"/>
            </w:tcBorders>
            <w:vAlign w:val="center"/>
          </w:tcPr>
          <w:p w14:paraId="0AF6F9F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本项目已经开展安全预评价</w:t>
            </w:r>
            <w:r>
              <w:rPr>
                <w:rFonts w:hint="eastAsia" w:ascii="Times New Roman" w:hAnsi="Times New Roman" w:eastAsia="宋体" w:cs="Times New Roman"/>
                <w:sz w:val="21"/>
                <w:szCs w:val="21"/>
                <w:highlight w:val="none"/>
                <w:lang w:eastAsia="zh-CN"/>
              </w:rPr>
              <w:t>、</w:t>
            </w:r>
            <w:r>
              <w:rPr>
                <w:rFonts w:hint="eastAsia" w:ascii="Times New Roman" w:hAnsi="Times New Roman" w:eastAsia="宋体" w:cs="Times New Roman"/>
                <w:sz w:val="21"/>
                <w:szCs w:val="21"/>
                <w:highlight w:val="none"/>
                <w:lang w:val="en-US" w:eastAsia="zh-CN"/>
              </w:rPr>
              <w:t>安全设施设计</w:t>
            </w:r>
            <w:r>
              <w:rPr>
                <w:rFonts w:hint="default" w:ascii="Times New Roman" w:hAnsi="Times New Roman" w:eastAsia="宋体" w:cs="Times New Roman"/>
                <w:sz w:val="21"/>
                <w:szCs w:val="21"/>
                <w:highlight w:val="none"/>
              </w:rPr>
              <w:t>工作，</w:t>
            </w:r>
            <w:r>
              <w:rPr>
                <w:rFonts w:hint="eastAsia" w:ascii="Times New Roman" w:hAnsi="Times New Roman" w:eastAsia="宋体" w:cs="Times New Roman"/>
                <w:sz w:val="21"/>
                <w:szCs w:val="21"/>
                <w:highlight w:val="none"/>
                <w:lang w:val="en-US" w:eastAsia="zh-CN"/>
              </w:rPr>
              <w:t>并</w:t>
            </w:r>
            <w:r>
              <w:rPr>
                <w:rFonts w:hint="default" w:ascii="Times New Roman" w:hAnsi="Times New Roman" w:eastAsia="宋体" w:cs="Times New Roman"/>
                <w:sz w:val="21"/>
                <w:szCs w:val="21"/>
                <w:highlight w:val="none"/>
              </w:rPr>
              <w:t>通过专家组审查。</w:t>
            </w:r>
          </w:p>
        </w:tc>
        <w:tc>
          <w:tcPr>
            <w:tcW w:w="752" w:type="dxa"/>
            <w:tcBorders>
              <w:top w:val="single" w:color="auto" w:sz="4" w:space="0"/>
              <w:left w:val="nil"/>
              <w:bottom w:val="single" w:color="auto" w:sz="4" w:space="0"/>
              <w:right w:val="single" w:color="auto" w:sz="4" w:space="0"/>
            </w:tcBorders>
            <w:vAlign w:val="center"/>
          </w:tcPr>
          <w:p w14:paraId="027EE2A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14:paraId="67ACD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451E380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w:t>
            </w:r>
          </w:p>
        </w:tc>
        <w:tc>
          <w:tcPr>
            <w:tcW w:w="3961" w:type="dxa"/>
            <w:tcBorders>
              <w:top w:val="single" w:color="auto" w:sz="4" w:space="0"/>
              <w:left w:val="nil"/>
              <w:bottom w:val="single" w:color="auto" w:sz="4" w:space="0"/>
              <w:right w:val="single" w:color="auto" w:sz="4" w:space="0"/>
            </w:tcBorders>
            <w:vAlign w:val="center"/>
          </w:tcPr>
          <w:p w14:paraId="13D6BB65">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公共管廊宜与铁路、道路等中心线平行，减少与铁路、道路的交叉，必须交叉时，交叉角应符合GB50489的要求。交叉处应采用跨越方式，管廊跨越铁路、道路时，跨越高度和跨度应符合GB50160、GB50187和GB50316的要求。</w:t>
            </w:r>
          </w:p>
        </w:tc>
        <w:tc>
          <w:tcPr>
            <w:tcW w:w="2007" w:type="dxa"/>
            <w:tcBorders>
              <w:top w:val="single" w:color="auto" w:sz="4" w:space="0"/>
              <w:left w:val="nil"/>
              <w:bottom w:val="single" w:color="auto" w:sz="4" w:space="0"/>
              <w:right w:val="single" w:color="auto" w:sz="4" w:space="0"/>
            </w:tcBorders>
            <w:vAlign w:val="center"/>
          </w:tcPr>
          <w:p w14:paraId="6272980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《化工园区公共管廊管理规程》（GB/T 36762-2018）第5.6条</w:t>
            </w:r>
          </w:p>
        </w:tc>
        <w:tc>
          <w:tcPr>
            <w:tcW w:w="1962" w:type="dxa"/>
            <w:tcBorders>
              <w:top w:val="single" w:color="auto" w:sz="4" w:space="0"/>
              <w:left w:val="nil"/>
              <w:bottom w:val="single" w:color="auto" w:sz="4" w:space="0"/>
              <w:right w:val="single" w:color="auto" w:sz="4" w:space="0"/>
            </w:tcBorders>
            <w:vAlign w:val="center"/>
          </w:tcPr>
          <w:p w14:paraId="7D9ABC0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本项目管廊与道路交叉采用跨越方式，跨越道路的净空高度为5.6m，符合GB50160、GB50187和GB50316的要求。</w:t>
            </w:r>
          </w:p>
        </w:tc>
        <w:tc>
          <w:tcPr>
            <w:tcW w:w="752" w:type="dxa"/>
            <w:tcBorders>
              <w:top w:val="single" w:color="auto" w:sz="4" w:space="0"/>
              <w:left w:val="nil"/>
              <w:bottom w:val="single" w:color="auto" w:sz="4" w:space="0"/>
              <w:right w:val="single" w:color="auto" w:sz="4" w:space="0"/>
            </w:tcBorders>
            <w:vAlign w:val="center"/>
          </w:tcPr>
          <w:p w14:paraId="2431C255">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14:paraId="5AC81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2A0D9F5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w:t>
            </w:r>
          </w:p>
        </w:tc>
        <w:tc>
          <w:tcPr>
            <w:tcW w:w="3961" w:type="dxa"/>
            <w:tcBorders>
              <w:top w:val="single" w:color="auto" w:sz="4" w:space="0"/>
              <w:left w:val="nil"/>
              <w:bottom w:val="single" w:color="auto" w:sz="4" w:space="0"/>
              <w:right w:val="single" w:color="auto" w:sz="4" w:space="0"/>
            </w:tcBorders>
            <w:vAlign w:val="center"/>
          </w:tcPr>
          <w:p w14:paraId="6FEFC7F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公共管廊与架空高压线交叉时应在下方通过，两者垂直间距应符合GB50061和GB50545的要求。</w:t>
            </w:r>
          </w:p>
        </w:tc>
        <w:tc>
          <w:tcPr>
            <w:tcW w:w="2007" w:type="dxa"/>
            <w:tcBorders>
              <w:top w:val="single" w:color="auto" w:sz="4" w:space="0"/>
              <w:left w:val="nil"/>
              <w:bottom w:val="single" w:color="auto" w:sz="4" w:space="0"/>
              <w:right w:val="single" w:color="auto" w:sz="4" w:space="0"/>
            </w:tcBorders>
            <w:vAlign w:val="center"/>
          </w:tcPr>
          <w:p w14:paraId="451DC4B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《化工园区公共管廊管理规程》（GB/T 36762-2018）第5.7条</w:t>
            </w:r>
          </w:p>
        </w:tc>
        <w:tc>
          <w:tcPr>
            <w:tcW w:w="1962" w:type="dxa"/>
            <w:tcBorders>
              <w:top w:val="single" w:color="auto" w:sz="4" w:space="0"/>
              <w:left w:val="nil"/>
              <w:bottom w:val="single" w:color="auto" w:sz="4" w:space="0"/>
              <w:right w:val="single" w:color="auto" w:sz="4" w:space="0"/>
            </w:tcBorders>
            <w:vAlign w:val="center"/>
          </w:tcPr>
          <w:p w14:paraId="7ED859B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本项目管廊与高压线交叉时在下方通过，两者垂直距离大于5m。</w:t>
            </w:r>
          </w:p>
        </w:tc>
        <w:tc>
          <w:tcPr>
            <w:tcW w:w="752" w:type="dxa"/>
            <w:tcBorders>
              <w:top w:val="single" w:color="auto" w:sz="4" w:space="0"/>
              <w:left w:val="nil"/>
              <w:bottom w:val="single" w:color="auto" w:sz="4" w:space="0"/>
              <w:right w:val="single" w:color="auto" w:sz="4" w:space="0"/>
            </w:tcBorders>
            <w:vAlign w:val="center"/>
          </w:tcPr>
          <w:p w14:paraId="22A2FF9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14:paraId="551F5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442EC30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w:t>
            </w:r>
          </w:p>
        </w:tc>
        <w:tc>
          <w:tcPr>
            <w:tcW w:w="3961" w:type="dxa"/>
            <w:tcBorders>
              <w:top w:val="single" w:color="auto" w:sz="4" w:space="0"/>
              <w:left w:val="nil"/>
              <w:bottom w:val="single" w:color="auto" w:sz="4" w:space="0"/>
              <w:right w:val="single" w:color="auto" w:sz="4" w:space="0"/>
            </w:tcBorders>
            <w:vAlign w:val="center"/>
          </w:tcPr>
          <w:p w14:paraId="320A093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公共管廊与居民区、学校等公共场所及建（构）筑物、铁路、公路、航道等的距离，应符合GB50316的要求。</w:t>
            </w:r>
          </w:p>
        </w:tc>
        <w:tc>
          <w:tcPr>
            <w:tcW w:w="2007" w:type="dxa"/>
            <w:tcBorders>
              <w:top w:val="single" w:color="auto" w:sz="4" w:space="0"/>
              <w:left w:val="nil"/>
              <w:bottom w:val="single" w:color="auto" w:sz="4" w:space="0"/>
              <w:right w:val="single" w:color="auto" w:sz="4" w:space="0"/>
            </w:tcBorders>
            <w:vAlign w:val="center"/>
          </w:tcPr>
          <w:p w14:paraId="571E84C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《化工园区公共管廊管理规程》（GB/T 36762-2018）第5.8条</w:t>
            </w:r>
          </w:p>
        </w:tc>
        <w:tc>
          <w:tcPr>
            <w:tcW w:w="1962" w:type="dxa"/>
            <w:tcBorders>
              <w:top w:val="single" w:color="auto" w:sz="4" w:space="0"/>
              <w:left w:val="nil"/>
              <w:bottom w:val="single" w:color="auto" w:sz="4" w:space="0"/>
              <w:right w:val="single" w:color="auto" w:sz="4" w:space="0"/>
            </w:tcBorders>
            <w:vAlign w:val="center"/>
          </w:tcPr>
          <w:p w14:paraId="77906F6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本项目管廊未经过居民区。与周边环境距离满足GB50316的要求，</w:t>
            </w:r>
          </w:p>
        </w:tc>
        <w:tc>
          <w:tcPr>
            <w:tcW w:w="752" w:type="dxa"/>
            <w:tcBorders>
              <w:top w:val="single" w:color="auto" w:sz="4" w:space="0"/>
              <w:left w:val="nil"/>
              <w:bottom w:val="single" w:color="auto" w:sz="4" w:space="0"/>
              <w:right w:val="single" w:color="auto" w:sz="4" w:space="0"/>
            </w:tcBorders>
            <w:vAlign w:val="center"/>
          </w:tcPr>
          <w:p w14:paraId="75F041E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14:paraId="3A54C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7706A01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w:t>
            </w:r>
          </w:p>
        </w:tc>
        <w:tc>
          <w:tcPr>
            <w:tcW w:w="3961" w:type="dxa"/>
            <w:tcBorders>
              <w:top w:val="single" w:color="auto" w:sz="4" w:space="0"/>
              <w:left w:val="nil"/>
              <w:bottom w:val="single" w:color="auto" w:sz="4" w:space="0"/>
              <w:right w:val="single" w:color="auto" w:sz="4" w:space="0"/>
            </w:tcBorders>
            <w:vAlign w:val="center"/>
          </w:tcPr>
          <w:p w14:paraId="3154837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公共管廊设计时应预留厂区出入及管道进出的空间。</w:t>
            </w:r>
          </w:p>
        </w:tc>
        <w:tc>
          <w:tcPr>
            <w:tcW w:w="2007" w:type="dxa"/>
            <w:tcBorders>
              <w:top w:val="single" w:color="auto" w:sz="4" w:space="0"/>
              <w:left w:val="nil"/>
              <w:bottom w:val="single" w:color="auto" w:sz="4" w:space="0"/>
              <w:right w:val="single" w:color="auto" w:sz="4" w:space="0"/>
            </w:tcBorders>
            <w:vAlign w:val="center"/>
          </w:tcPr>
          <w:p w14:paraId="0832028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《化工园区公共管廊管理规程》（GB/T 36762-2018）第5.9条</w:t>
            </w:r>
          </w:p>
        </w:tc>
        <w:tc>
          <w:tcPr>
            <w:tcW w:w="1962" w:type="dxa"/>
            <w:tcBorders>
              <w:top w:val="single" w:color="auto" w:sz="4" w:space="0"/>
              <w:left w:val="nil"/>
              <w:bottom w:val="single" w:color="auto" w:sz="4" w:space="0"/>
              <w:right w:val="single" w:color="auto" w:sz="4" w:space="0"/>
            </w:tcBorders>
            <w:vAlign w:val="center"/>
          </w:tcPr>
          <w:p w14:paraId="17A249B5">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本项目管廊预留了厂区出入及管道进出的空间。</w:t>
            </w:r>
          </w:p>
        </w:tc>
        <w:tc>
          <w:tcPr>
            <w:tcW w:w="752" w:type="dxa"/>
            <w:tcBorders>
              <w:top w:val="single" w:color="auto" w:sz="4" w:space="0"/>
              <w:left w:val="nil"/>
              <w:bottom w:val="single" w:color="auto" w:sz="4" w:space="0"/>
              <w:right w:val="single" w:color="auto" w:sz="4" w:space="0"/>
            </w:tcBorders>
            <w:vAlign w:val="center"/>
          </w:tcPr>
          <w:p w14:paraId="235260A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14:paraId="1A074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42C8BA2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8</w:t>
            </w:r>
          </w:p>
        </w:tc>
        <w:tc>
          <w:tcPr>
            <w:tcW w:w="3961" w:type="dxa"/>
            <w:tcBorders>
              <w:top w:val="single" w:color="auto" w:sz="4" w:space="0"/>
              <w:left w:val="nil"/>
              <w:bottom w:val="single" w:color="auto" w:sz="4" w:space="0"/>
              <w:right w:val="single" w:color="auto" w:sz="4" w:space="0"/>
            </w:tcBorders>
            <w:vAlign w:val="center"/>
          </w:tcPr>
          <w:p w14:paraId="241781C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应采取可靠的工程处理措施，确保管廊不受地质和自然灾害的影响。</w:t>
            </w:r>
          </w:p>
        </w:tc>
        <w:tc>
          <w:tcPr>
            <w:tcW w:w="2007" w:type="dxa"/>
            <w:tcBorders>
              <w:top w:val="single" w:color="auto" w:sz="4" w:space="0"/>
              <w:left w:val="nil"/>
              <w:bottom w:val="single" w:color="auto" w:sz="4" w:space="0"/>
              <w:right w:val="single" w:color="auto" w:sz="4" w:space="0"/>
            </w:tcBorders>
            <w:vAlign w:val="center"/>
          </w:tcPr>
          <w:p w14:paraId="718BDC1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《化工园区公共管廊管理规程》（GB/T 36762-2018）第5.10条</w:t>
            </w:r>
          </w:p>
        </w:tc>
        <w:tc>
          <w:tcPr>
            <w:tcW w:w="1962" w:type="dxa"/>
            <w:tcBorders>
              <w:top w:val="single" w:color="auto" w:sz="4" w:space="0"/>
              <w:left w:val="nil"/>
              <w:bottom w:val="single" w:color="auto" w:sz="4" w:space="0"/>
              <w:right w:val="single" w:color="auto" w:sz="4" w:space="0"/>
            </w:tcBorders>
            <w:vAlign w:val="center"/>
          </w:tcPr>
          <w:p w14:paraId="3BAAB12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本项目场地已进行地质勘察，项目建设将根据地质勘察结果采取相应的工程处理措施。</w:t>
            </w:r>
          </w:p>
        </w:tc>
        <w:tc>
          <w:tcPr>
            <w:tcW w:w="752" w:type="dxa"/>
            <w:tcBorders>
              <w:top w:val="single" w:color="auto" w:sz="4" w:space="0"/>
              <w:left w:val="nil"/>
              <w:bottom w:val="single" w:color="auto" w:sz="4" w:space="0"/>
              <w:right w:val="single" w:color="auto" w:sz="4" w:space="0"/>
            </w:tcBorders>
            <w:vAlign w:val="center"/>
          </w:tcPr>
          <w:p w14:paraId="25C67BE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14:paraId="220B7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089863A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9</w:t>
            </w:r>
          </w:p>
        </w:tc>
        <w:tc>
          <w:tcPr>
            <w:tcW w:w="3961" w:type="dxa"/>
            <w:tcBorders>
              <w:top w:val="single" w:color="auto" w:sz="4" w:space="0"/>
              <w:left w:val="nil"/>
              <w:bottom w:val="single" w:color="auto" w:sz="4" w:space="0"/>
              <w:right w:val="single" w:color="auto" w:sz="4" w:space="0"/>
            </w:tcBorders>
            <w:vAlign w:val="center"/>
          </w:tcPr>
          <w:p w14:paraId="6598296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管线综合布置应与工业企业总平面布置、竖向设计和绿化布置相结合，统一规划。管线之间、管线与建筑物、构筑物、道路、铁路等之间在平面及竖向上，应相互协调、紧凑合理、节约集约用地，有利厂容 。</w:t>
            </w:r>
          </w:p>
        </w:tc>
        <w:tc>
          <w:tcPr>
            <w:tcW w:w="2007" w:type="dxa"/>
            <w:tcBorders>
              <w:top w:val="single" w:color="auto" w:sz="4" w:space="0"/>
              <w:left w:val="nil"/>
              <w:bottom w:val="single" w:color="auto" w:sz="4" w:space="0"/>
              <w:right w:val="single" w:color="auto" w:sz="4" w:space="0"/>
            </w:tcBorders>
            <w:vAlign w:val="center"/>
          </w:tcPr>
          <w:p w14:paraId="6768F84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《工业企业总平面设计规范》（GB50187-2012）</w:t>
            </w:r>
          </w:p>
          <w:p w14:paraId="7D9B5A3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第8.1.1条</w:t>
            </w:r>
          </w:p>
        </w:tc>
        <w:tc>
          <w:tcPr>
            <w:tcW w:w="1962" w:type="dxa"/>
            <w:tcBorders>
              <w:top w:val="single" w:color="auto" w:sz="4" w:space="0"/>
              <w:left w:val="nil"/>
              <w:bottom w:val="single" w:color="auto" w:sz="4" w:space="0"/>
              <w:right w:val="single" w:color="auto" w:sz="4" w:space="0"/>
            </w:tcBorders>
            <w:vAlign w:val="center"/>
          </w:tcPr>
          <w:p w14:paraId="4B72755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本项目管线布置相互协调，紧凑合理。</w:t>
            </w:r>
          </w:p>
        </w:tc>
        <w:tc>
          <w:tcPr>
            <w:tcW w:w="752" w:type="dxa"/>
            <w:tcBorders>
              <w:top w:val="single" w:color="auto" w:sz="4" w:space="0"/>
              <w:left w:val="nil"/>
              <w:bottom w:val="single" w:color="auto" w:sz="4" w:space="0"/>
              <w:right w:val="single" w:color="auto" w:sz="4" w:space="0"/>
            </w:tcBorders>
            <w:vAlign w:val="center"/>
          </w:tcPr>
          <w:p w14:paraId="41D5847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14:paraId="790CE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4734D1F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10</w:t>
            </w:r>
          </w:p>
        </w:tc>
        <w:tc>
          <w:tcPr>
            <w:tcW w:w="3961" w:type="dxa"/>
            <w:tcBorders>
              <w:top w:val="single" w:color="auto" w:sz="4" w:space="0"/>
              <w:left w:val="nil"/>
              <w:bottom w:val="single" w:color="auto" w:sz="4" w:space="0"/>
              <w:right w:val="single" w:color="auto" w:sz="4" w:space="0"/>
            </w:tcBorders>
            <w:vAlign w:val="center"/>
          </w:tcPr>
          <w:p w14:paraId="1C2B070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管线敷设方式，应根据管线内介质的性质、工艺和材质要求、生产安全、交通运输、施工检修和厂区条件等因素，结合工程的具体情况，经技术经济比较后综合确定，并应符合下列规定：</w:t>
            </w:r>
          </w:p>
          <w:p w14:paraId="4CF6A08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1、有可燃性、爆炸危险性、毒性及腐蚀性介质的管道，应采用地上敷设；</w:t>
            </w:r>
          </w:p>
          <w:p w14:paraId="7A7C3655">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2、在散发比空气重的可燃、有毒性气体的场所，不应采用管沟敷设；必须采用管</w:t>
            </w:r>
          </w:p>
          <w:p w14:paraId="389C95F5">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沟敷设时，应采取防止可燃气体在管沟内积聚的措施。</w:t>
            </w:r>
          </w:p>
        </w:tc>
        <w:tc>
          <w:tcPr>
            <w:tcW w:w="2007" w:type="dxa"/>
            <w:tcBorders>
              <w:top w:val="single" w:color="auto" w:sz="4" w:space="0"/>
              <w:left w:val="nil"/>
              <w:bottom w:val="single" w:color="auto" w:sz="4" w:space="0"/>
              <w:right w:val="single" w:color="auto" w:sz="4" w:space="0"/>
            </w:tcBorders>
            <w:vAlign w:val="center"/>
          </w:tcPr>
          <w:p w14:paraId="3F2E409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《工业企业总平面设计规范》（GB50187-2012）</w:t>
            </w:r>
          </w:p>
          <w:p w14:paraId="04C681F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第8.1.2条</w:t>
            </w:r>
          </w:p>
        </w:tc>
        <w:tc>
          <w:tcPr>
            <w:tcW w:w="1962" w:type="dxa"/>
            <w:tcBorders>
              <w:top w:val="single" w:color="auto" w:sz="4" w:space="0"/>
              <w:left w:val="nil"/>
              <w:bottom w:val="single" w:color="auto" w:sz="4" w:space="0"/>
              <w:right w:val="single" w:color="auto" w:sz="4" w:space="0"/>
            </w:tcBorders>
            <w:vAlign w:val="center"/>
          </w:tcPr>
          <w:p w14:paraId="10808EF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本项目管线敷设方式经技术经济比较后综合确定，项目涉及硫酸、氟硅酸等腐蚀性介质，采用地上敷设。</w:t>
            </w:r>
          </w:p>
        </w:tc>
        <w:tc>
          <w:tcPr>
            <w:tcW w:w="752" w:type="dxa"/>
            <w:tcBorders>
              <w:top w:val="single" w:color="auto" w:sz="4" w:space="0"/>
              <w:left w:val="nil"/>
              <w:bottom w:val="single" w:color="auto" w:sz="4" w:space="0"/>
              <w:right w:val="single" w:color="auto" w:sz="4" w:space="0"/>
            </w:tcBorders>
            <w:vAlign w:val="center"/>
          </w:tcPr>
          <w:p w14:paraId="75784E1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14:paraId="01C68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1205CE3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11</w:t>
            </w:r>
          </w:p>
        </w:tc>
        <w:tc>
          <w:tcPr>
            <w:tcW w:w="3961" w:type="dxa"/>
            <w:tcBorders>
              <w:top w:val="single" w:color="auto" w:sz="4" w:space="0"/>
              <w:left w:val="nil"/>
              <w:bottom w:val="single" w:color="auto" w:sz="4" w:space="0"/>
              <w:right w:val="single" w:color="auto" w:sz="4" w:space="0"/>
            </w:tcBorders>
            <w:vAlign w:val="center"/>
          </w:tcPr>
          <w:p w14:paraId="555E232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管线综合布置，应减少管线与铁路、道路交叉。当管线与铁路、道路交叉时，应力求正交，在困难条件下，其交叉角不宜小于45</w:t>
            </w:r>
            <w:r>
              <w:rPr>
                <w:rFonts w:hint="default" w:ascii="Times New Roman" w:hAnsi="Times New Roman" w:eastAsia="宋体" w:cs="Times New Roman"/>
                <w:sz w:val="21"/>
                <w:szCs w:val="21"/>
                <w:highlight w:val="none"/>
                <w:vertAlign w:val="superscript"/>
              </w:rPr>
              <w:t>0</w:t>
            </w:r>
            <w:r>
              <w:rPr>
                <w:rFonts w:hint="default" w:ascii="Times New Roman" w:hAnsi="Times New Roman" w:eastAsia="宋体" w:cs="Times New Roman"/>
                <w:sz w:val="21"/>
                <w:szCs w:val="21"/>
                <w:highlight w:val="none"/>
              </w:rPr>
              <w:t xml:space="preserve">。 </w:t>
            </w:r>
          </w:p>
          <w:p w14:paraId="6CE5F7E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p>
        </w:tc>
        <w:tc>
          <w:tcPr>
            <w:tcW w:w="2007" w:type="dxa"/>
            <w:tcBorders>
              <w:top w:val="single" w:color="auto" w:sz="4" w:space="0"/>
              <w:left w:val="nil"/>
              <w:bottom w:val="single" w:color="auto" w:sz="4" w:space="0"/>
              <w:right w:val="single" w:color="auto" w:sz="4" w:space="0"/>
            </w:tcBorders>
            <w:vAlign w:val="center"/>
          </w:tcPr>
          <w:p w14:paraId="59FD601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《工业企业总平面设计规范》（GB50187-2012）</w:t>
            </w:r>
          </w:p>
          <w:p w14:paraId="18EF26C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第8.1.5条</w:t>
            </w:r>
          </w:p>
        </w:tc>
        <w:tc>
          <w:tcPr>
            <w:tcW w:w="1962" w:type="dxa"/>
            <w:tcBorders>
              <w:top w:val="single" w:color="auto" w:sz="4" w:space="0"/>
              <w:left w:val="nil"/>
              <w:bottom w:val="single" w:color="auto" w:sz="4" w:space="0"/>
              <w:right w:val="single" w:color="auto" w:sz="4" w:space="0"/>
            </w:tcBorders>
            <w:vAlign w:val="center"/>
          </w:tcPr>
          <w:p w14:paraId="6D8DF5D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本项目管廊管线与道路交叉角大于45</w:t>
            </w:r>
            <w:r>
              <w:rPr>
                <w:rFonts w:hint="default" w:ascii="Times New Roman" w:hAnsi="Times New Roman" w:eastAsia="宋体" w:cs="Times New Roman"/>
                <w:sz w:val="21"/>
                <w:szCs w:val="21"/>
                <w:highlight w:val="none"/>
                <w:vertAlign w:val="superscript"/>
              </w:rPr>
              <w:t>0</w:t>
            </w:r>
            <w:r>
              <w:rPr>
                <w:rFonts w:hint="default" w:ascii="Times New Roman" w:hAnsi="Times New Roman" w:eastAsia="宋体" w:cs="Times New Roman"/>
                <w:sz w:val="21"/>
                <w:szCs w:val="21"/>
                <w:highlight w:val="none"/>
              </w:rPr>
              <w:t>。</w:t>
            </w:r>
          </w:p>
        </w:tc>
        <w:tc>
          <w:tcPr>
            <w:tcW w:w="752" w:type="dxa"/>
            <w:tcBorders>
              <w:top w:val="single" w:color="auto" w:sz="4" w:space="0"/>
              <w:left w:val="nil"/>
              <w:bottom w:val="single" w:color="auto" w:sz="4" w:space="0"/>
              <w:right w:val="single" w:color="auto" w:sz="4" w:space="0"/>
            </w:tcBorders>
            <w:vAlign w:val="center"/>
          </w:tcPr>
          <w:p w14:paraId="2FD68E8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14:paraId="14989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6E94D37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12</w:t>
            </w:r>
          </w:p>
        </w:tc>
        <w:tc>
          <w:tcPr>
            <w:tcW w:w="3961" w:type="dxa"/>
            <w:tcBorders>
              <w:top w:val="single" w:color="auto" w:sz="4" w:space="0"/>
              <w:left w:val="nil"/>
              <w:bottom w:val="single" w:color="auto" w:sz="4" w:space="0"/>
              <w:right w:val="single" w:color="auto" w:sz="4" w:space="0"/>
            </w:tcBorders>
            <w:vAlign w:val="center"/>
          </w:tcPr>
          <w:p w14:paraId="29A5543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山区建厂，管线敷设应充分利用地形。应避免山洪、泥石流及其他不良地质的危害。</w:t>
            </w:r>
          </w:p>
        </w:tc>
        <w:tc>
          <w:tcPr>
            <w:tcW w:w="2007" w:type="dxa"/>
            <w:tcBorders>
              <w:top w:val="single" w:color="auto" w:sz="4" w:space="0"/>
              <w:left w:val="nil"/>
              <w:bottom w:val="single" w:color="auto" w:sz="4" w:space="0"/>
              <w:right w:val="single" w:color="auto" w:sz="4" w:space="0"/>
            </w:tcBorders>
            <w:vAlign w:val="center"/>
          </w:tcPr>
          <w:p w14:paraId="00F4772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《工业企业总平面设计规范》（GB50187-2012）</w:t>
            </w:r>
          </w:p>
          <w:p w14:paraId="78FEEC0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第8.1.6条、《化工企业总图运输设计规范》（GB50489-2009）7.1.6</w:t>
            </w:r>
          </w:p>
        </w:tc>
        <w:tc>
          <w:tcPr>
            <w:tcW w:w="1962" w:type="dxa"/>
            <w:tcBorders>
              <w:top w:val="single" w:color="auto" w:sz="4" w:space="0"/>
              <w:left w:val="nil"/>
              <w:bottom w:val="single" w:color="auto" w:sz="4" w:space="0"/>
              <w:right w:val="single" w:color="auto" w:sz="4" w:space="0"/>
            </w:tcBorders>
            <w:vAlign w:val="center"/>
          </w:tcPr>
          <w:p w14:paraId="5F3D463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本项目管线敷设充分利用地形，场地经地质勘察未发现不良地质危害。</w:t>
            </w:r>
          </w:p>
        </w:tc>
        <w:tc>
          <w:tcPr>
            <w:tcW w:w="752" w:type="dxa"/>
            <w:tcBorders>
              <w:top w:val="single" w:color="auto" w:sz="4" w:space="0"/>
              <w:left w:val="nil"/>
              <w:bottom w:val="single" w:color="auto" w:sz="4" w:space="0"/>
              <w:right w:val="single" w:color="auto" w:sz="4" w:space="0"/>
            </w:tcBorders>
            <w:vAlign w:val="center"/>
          </w:tcPr>
          <w:p w14:paraId="06364FA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14:paraId="72139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1E5A869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14</w:t>
            </w:r>
          </w:p>
        </w:tc>
        <w:tc>
          <w:tcPr>
            <w:tcW w:w="3961" w:type="dxa"/>
            <w:tcBorders>
              <w:top w:val="single" w:color="auto" w:sz="4" w:space="0"/>
              <w:left w:val="nil"/>
              <w:bottom w:val="single" w:color="auto" w:sz="4" w:space="0"/>
              <w:right w:val="single" w:color="auto" w:sz="4" w:space="0"/>
            </w:tcBorders>
            <w:vAlign w:val="center"/>
          </w:tcPr>
          <w:p w14:paraId="0755BED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drawing>
                <wp:anchor distT="0" distB="0" distL="114300" distR="114300" simplePos="0" relativeHeight="251662336" behindDoc="0" locked="0" layoutInCell="1" allowOverlap="1">
                  <wp:simplePos x="0" y="0"/>
                  <wp:positionH relativeFrom="column">
                    <wp:posOffset>0</wp:posOffset>
                  </wp:positionH>
                  <wp:positionV relativeFrom="paragraph">
                    <wp:posOffset>417830</wp:posOffset>
                  </wp:positionV>
                  <wp:extent cx="2370455" cy="1213485"/>
                  <wp:effectExtent l="0" t="0" r="6985" b="5715"/>
                  <wp:wrapSquare wrapText="bothSides"/>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36"/>
                          <a:stretch>
                            <a:fillRect/>
                          </a:stretch>
                        </pic:blipFill>
                        <pic:spPr>
                          <a:xfrm>
                            <a:off x="0" y="0"/>
                            <a:ext cx="2370455" cy="1213485"/>
                          </a:xfrm>
                          <a:prstGeom prst="rect">
                            <a:avLst/>
                          </a:prstGeom>
                          <a:noFill/>
                          <a:ln>
                            <a:noFill/>
                          </a:ln>
                        </pic:spPr>
                      </pic:pic>
                    </a:graphicData>
                  </a:graphic>
                </wp:anchor>
              </w:drawing>
            </w:r>
            <w:r>
              <w:rPr>
                <w:rFonts w:hint="default" w:ascii="Times New Roman" w:hAnsi="Times New Roman" w:eastAsia="宋体" w:cs="Times New Roman"/>
                <w:sz w:val="21"/>
                <w:szCs w:val="21"/>
                <w:highlight w:val="none"/>
              </w:rPr>
              <w:t>管架与建筑物、构筑物之间的最小水平间距，应符合表 8.3.9 的规定。</w:t>
            </w:r>
          </w:p>
        </w:tc>
        <w:tc>
          <w:tcPr>
            <w:tcW w:w="2007" w:type="dxa"/>
            <w:tcBorders>
              <w:top w:val="single" w:color="auto" w:sz="4" w:space="0"/>
              <w:left w:val="nil"/>
              <w:bottom w:val="single" w:color="auto" w:sz="4" w:space="0"/>
              <w:right w:val="single" w:color="auto" w:sz="4" w:space="0"/>
            </w:tcBorders>
            <w:vAlign w:val="center"/>
          </w:tcPr>
          <w:p w14:paraId="4B58356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《工业企业总平面设计规范》（GB50187-2012）</w:t>
            </w:r>
          </w:p>
          <w:p w14:paraId="55D4C5A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第8.3.9条</w:t>
            </w:r>
          </w:p>
        </w:tc>
        <w:tc>
          <w:tcPr>
            <w:tcW w:w="1962" w:type="dxa"/>
            <w:tcBorders>
              <w:top w:val="single" w:color="auto" w:sz="4" w:space="0"/>
              <w:left w:val="nil"/>
              <w:bottom w:val="single" w:color="auto" w:sz="4" w:space="0"/>
              <w:right w:val="single" w:color="auto" w:sz="4" w:space="0"/>
            </w:tcBorders>
            <w:vAlign w:val="center"/>
          </w:tcPr>
          <w:p w14:paraId="6DFFDC3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本项目管架与建构筑物的水平间距满足表8.3.9的规定。</w:t>
            </w:r>
          </w:p>
        </w:tc>
        <w:tc>
          <w:tcPr>
            <w:tcW w:w="752" w:type="dxa"/>
            <w:tcBorders>
              <w:top w:val="single" w:color="auto" w:sz="4" w:space="0"/>
              <w:left w:val="nil"/>
              <w:bottom w:val="single" w:color="auto" w:sz="4" w:space="0"/>
              <w:right w:val="single" w:color="auto" w:sz="4" w:space="0"/>
            </w:tcBorders>
            <w:vAlign w:val="center"/>
          </w:tcPr>
          <w:p w14:paraId="315D9B7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14:paraId="2B572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19FD5F8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15</w:t>
            </w:r>
          </w:p>
        </w:tc>
        <w:tc>
          <w:tcPr>
            <w:tcW w:w="3961" w:type="dxa"/>
            <w:tcBorders>
              <w:top w:val="single" w:color="auto" w:sz="4" w:space="0"/>
              <w:left w:val="nil"/>
              <w:bottom w:val="single" w:color="auto" w:sz="4" w:space="0"/>
              <w:right w:val="single" w:color="auto" w:sz="4" w:space="0"/>
            </w:tcBorders>
            <w:vAlign w:val="center"/>
          </w:tcPr>
          <w:p w14:paraId="3F3B0CD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drawing>
                <wp:anchor distT="0" distB="0" distL="114300" distR="114300" simplePos="0" relativeHeight="251663360" behindDoc="0" locked="0" layoutInCell="1" allowOverlap="1">
                  <wp:simplePos x="0" y="0"/>
                  <wp:positionH relativeFrom="column">
                    <wp:posOffset>-3810</wp:posOffset>
                  </wp:positionH>
                  <wp:positionV relativeFrom="paragraph">
                    <wp:posOffset>669290</wp:posOffset>
                  </wp:positionV>
                  <wp:extent cx="2378075" cy="959485"/>
                  <wp:effectExtent l="0" t="0" r="14605" b="635"/>
                  <wp:wrapSquare wrapText="bothSides"/>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37"/>
                          <a:stretch>
                            <a:fillRect/>
                          </a:stretch>
                        </pic:blipFill>
                        <pic:spPr>
                          <a:xfrm>
                            <a:off x="0" y="0"/>
                            <a:ext cx="2378075" cy="959485"/>
                          </a:xfrm>
                          <a:prstGeom prst="rect">
                            <a:avLst/>
                          </a:prstGeom>
                          <a:noFill/>
                          <a:ln>
                            <a:noFill/>
                          </a:ln>
                        </pic:spPr>
                      </pic:pic>
                    </a:graphicData>
                  </a:graphic>
                </wp:anchor>
              </w:drawing>
            </w:r>
            <w:r>
              <w:rPr>
                <w:rFonts w:hint="default" w:ascii="Times New Roman" w:hAnsi="Times New Roman" w:eastAsia="宋体" w:cs="Times New Roman"/>
                <w:sz w:val="21"/>
                <w:szCs w:val="21"/>
                <w:highlight w:val="none"/>
              </w:rPr>
              <w:t>架空管线、管架跨越厂内铁路、厂区道路的最小净空高度，应符合表8.3.10 的规定。</w:t>
            </w:r>
          </w:p>
        </w:tc>
        <w:tc>
          <w:tcPr>
            <w:tcW w:w="2007" w:type="dxa"/>
            <w:tcBorders>
              <w:top w:val="single" w:color="auto" w:sz="4" w:space="0"/>
              <w:left w:val="nil"/>
              <w:bottom w:val="single" w:color="auto" w:sz="4" w:space="0"/>
              <w:right w:val="single" w:color="auto" w:sz="4" w:space="0"/>
            </w:tcBorders>
            <w:vAlign w:val="center"/>
          </w:tcPr>
          <w:p w14:paraId="6B2253D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《工业企业总平面设计规范》（GB50187-2012）</w:t>
            </w:r>
          </w:p>
          <w:p w14:paraId="5C45A48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第8.3.10条</w:t>
            </w:r>
          </w:p>
        </w:tc>
        <w:tc>
          <w:tcPr>
            <w:tcW w:w="1962" w:type="dxa"/>
            <w:tcBorders>
              <w:top w:val="single" w:color="auto" w:sz="4" w:space="0"/>
              <w:left w:val="nil"/>
              <w:bottom w:val="single" w:color="auto" w:sz="4" w:space="0"/>
              <w:right w:val="single" w:color="auto" w:sz="4" w:space="0"/>
            </w:tcBorders>
            <w:vAlign w:val="center"/>
          </w:tcPr>
          <w:p w14:paraId="0937E08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本项目管架跨越厂区道路的最小净空高度大于5.5m，符合表8.3.10的规定。</w:t>
            </w:r>
          </w:p>
        </w:tc>
        <w:tc>
          <w:tcPr>
            <w:tcW w:w="752" w:type="dxa"/>
            <w:tcBorders>
              <w:top w:val="single" w:color="auto" w:sz="4" w:space="0"/>
              <w:left w:val="nil"/>
              <w:bottom w:val="single" w:color="auto" w:sz="4" w:space="0"/>
              <w:right w:val="single" w:color="auto" w:sz="4" w:space="0"/>
            </w:tcBorders>
            <w:vAlign w:val="center"/>
          </w:tcPr>
          <w:p w14:paraId="5CC985D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14:paraId="299A9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4D5B289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16</w:t>
            </w:r>
          </w:p>
        </w:tc>
        <w:tc>
          <w:tcPr>
            <w:tcW w:w="3961" w:type="dxa"/>
            <w:tcBorders>
              <w:top w:val="single" w:color="auto" w:sz="4" w:space="0"/>
              <w:left w:val="nil"/>
              <w:bottom w:val="single" w:color="auto" w:sz="4" w:space="0"/>
              <w:right w:val="single" w:color="auto" w:sz="4" w:space="0"/>
            </w:tcBorders>
            <w:vAlign w:val="center"/>
          </w:tcPr>
          <w:p w14:paraId="484E59C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厂址选择应同时满足交通运输设施、能源和动力设施、防洪设施、环境保护工程及生活等配套建设用地的要求。</w:t>
            </w:r>
          </w:p>
        </w:tc>
        <w:tc>
          <w:tcPr>
            <w:tcW w:w="2007" w:type="dxa"/>
            <w:tcBorders>
              <w:top w:val="single" w:color="auto" w:sz="4" w:space="0"/>
              <w:left w:val="nil"/>
              <w:bottom w:val="single" w:color="auto" w:sz="4" w:space="0"/>
              <w:right w:val="single" w:color="auto" w:sz="4" w:space="0"/>
            </w:tcBorders>
            <w:vAlign w:val="center"/>
          </w:tcPr>
          <w:p w14:paraId="6CC882F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《化工企业总图运输设计规范》（GB50489-2009）3.1.4</w:t>
            </w:r>
          </w:p>
        </w:tc>
        <w:tc>
          <w:tcPr>
            <w:tcW w:w="1962" w:type="dxa"/>
            <w:tcBorders>
              <w:top w:val="single" w:color="auto" w:sz="4" w:space="0"/>
              <w:left w:val="nil"/>
              <w:bottom w:val="single" w:color="auto" w:sz="4" w:space="0"/>
              <w:right w:val="single" w:color="auto" w:sz="4" w:space="0"/>
            </w:tcBorders>
            <w:vAlign w:val="center"/>
          </w:tcPr>
          <w:p w14:paraId="03A4E79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管廊选择同时满足交通运输设施、动力设施、防洪设施、环境保护工程等配套建设用地的要求。</w:t>
            </w:r>
          </w:p>
        </w:tc>
        <w:tc>
          <w:tcPr>
            <w:tcW w:w="752" w:type="dxa"/>
            <w:tcBorders>
              <w:top w:val="single" w:color="auto" w:sz="4" w:space="0"/>
              <w:left w:val="nil"/>
              <w:bottom w:val="single" w:color="auto" w:sz="4" w:space="0"/>
              <w:right w:val="single" w:color="auto" w:sz="4" w:space="0"/>
            </w:tcBorders>
            <w:vAlign w:val="center"/>
          </w:tcPr>
          <w:p w14:paraId="1D6EB5E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14:paraId="2F10C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6E79077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17</w:t>
            </w:r>
          </w:p>
        </w:tc>
        <w:tc>
          <w:tcPr>
            <w:tcW w:w="3961" w:type="dxa"/>
            <w:tcBorders>
              <w:top w:val="single" w:color="auto" w:sz="4" w:space="0"/>
              <w:left w:val="nil"/>
              <w:bottom w:val="single" w:color="auto" w:sz="4" w:space="0"/>
              <w:right w:val="single" w:color="auto" w:sz="4" w:space="0"/>
            </w:tcBorders>
            <w:vAlign w:val="center"/>
          </w:tcPr>
          <w:p w14:paraId="4CF94B9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厂址宜靠近主要原料和能源供应地、产品主要销售地及协作条件好的地区。</w:t>
            </w:r>
          </w:p>
        </w:tc>
        <w:tc>
          <w:tcPr>
            <w:tcW w:w="2007" w:type="dxa"/>
            <w:tcBorders>
              <w:top w:val="single" w:color="auto" w:sz="4" w:space="0"/>
              <w:left w:val="nil"/>
              <w:bottom w:val="single" w:color="auto" w:sz="4" w:space="0"/>
              <w:right w:val="single" w:color="auto" w:sz="4" w:space="0"/>
            </w:tcBorders>
            <w:vAlign w:val="center"/>
          </w:tcPr>
          <w:p w14:paraId="2F72E8B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《化工企业总图运输设计规范》（GB50489-2009）3.1.5</w:t>
            </w:r>
          </w:p>
        </w:tc>
        <w:tc>
          <w:tcPr>
            <w:tcW w:w="1962" w:type="dxa"/>
            <w:tcBorders>
              <w:top w:val="single" w:color="auto" w:sz="4" w:space="0"/>
              <w:left w:val="nil"/>
              <w:bottom w:val="single" w:color="auto" w:sz="4" w:space="0"/>
              <w:right w:val="single" w:color="auto" w:sz="4" w:space="0"/>
            </w:tcBorders>
            <w:vAlign w:val="center"/>
          </w:tcPr>
          <w:p w14:paraId="26D8496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本项目管廊主要输送工厂之间的工艺物料，协作条件好。</w:t>
            </w:r>
          </w:p>
        </w:tc>
        <w:tc>
          <w:tcPr>
            <w:tcW w:w="752" w:type="dxa"/>
            <w:tcBorders>
              <w:top w:val="single" w:color="auto" w:sz="4" w:space="0"/>
              <w:left w:val="nil"/>
              <w:bottom w:val="single" w:color="auto" w:sz="4" w:space="0"/>
              <w:right w:val="single" w:color="auto" w:sz="4" w:space="0"/>
            </w:tcBorders>
            <w:vAlign w:val="center"/>
          </w:tcPr>
          <w:p w14:paraId="46782FF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14:paraId="3830C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35805A0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18</w:t>
            </w:r>
          </w:p>
        </w:tc>
        <w:tc>
          <w:tcPr>
            <w:tcW w:w="3961" w:type="dxa"/>
            <w:tcBorders>
              <w:top w:val="single" w:color="auto" w:sz="4" w:space="0"/>
              <w:left w:val="nil"/>
              <w:bottom w:val="single" w:color="auto" w:sz="4" w:space="0"/>
              <w:right w:val="single" w:color="auto" w:sz="4" w:space="0"/>
            </w:tcBorders>
            <w:vAlign w:val="center"/>
          </w:tcPr>
          <w:p w14:paraId="6CD41DF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厂址应具有方便和经济的交通运输条件。临江、河、湖、海的厂址，通航条件能满足工厂运输要求时，应充分利用水路运输，且厂址宜靠近适于建设码头的地段。</w:t>
            </w:r>
          </w:p>
        </w:tc>
        <w:tc>
          <w:tcPr>
            <w:tcW w:w="2007" w:type="dxa"/>
            <w:tcBorders>
              <w:top w:val="single" w:color="auto" w:sz="4" w:space="0"/>
              <w:left w:val="nil"/>
              <w:bottom w:val="single" w:color="auto" w:sz="4" w:space="0"/>
              <w:right w:val="single" w:color="auto" w:sz="4" w:space="0"/>
            </w:tcBorders>
            <w:vAlign w:val="center"/>
          </w:tcPr>
          <w:p w14:paraId="0759895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《化工企业总图运输设计规范》（GB50489-2009）3.1.6</w:t>
            </w:r>
          </w:p>
        </w:tc>
        <w:tc>
          <w:tcPr>
            <w:tcW w:w="1962" w:type="dxa"/>
            <w:tcBorders>
              <w:top w:val="single" w:color="auto" w:sz="4" w:space="0"/>
              <w:left w:val="nil"/>
              <w:bottom w:val="single" w:color="auto" w:sz="4" w:space="0"/>
              <w:right w:val="single" w:color="auto" w:sz="4" w:space="0"/>
            </w:tcBorders>
            <w:vAlign w:val="center"/>
          </w:tcPr>
          <w:p w14:paraId="7B19AB95">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本项目利用管道输送。</w:t>
            </w:r>
          </w:p>
        </w:tc>
        <w:tc>
          <w:tcPr>
            <w:tcW w:w="752" w:type="dxa"/>
            <w:tcBorders>
              <w:top w:val="single" w:color="auto" w:sz="4" w:space="0"/>
              <w:left w:val="nil"/>
              <w:bottom w:val="single" w:color="auto" w:sz="4" w:space="0"/>
              <w:right w:val="single" w:color="auto" w:sz="4" w:space="0"/>
            </w:tcBorders>
            <w:vAlign w:val="center"/>
          </w:tcPr>
          <w:p w14:paraId="236AF63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14:paraId="580D3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2911075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19</w:t>
            </w:r>
          </w:p>
        </w:tc>
        <w:tc>
          <w:tcPr>
            <w:tcW w:w="3961" w:type="dxa"/>
            <w:tcBorders>
              <w:top w:val="single" w:color="auto" w:sz="4" w:space="0"/>
              <w:left w:val="nil"/>
              <w:bottom w:val="single" w:color="auto" w:sz="4" w:space="0"/>
              <w:right w:val="single" w:color="auto" w:sz="4" w:space="0"/>
            </w:tcBorders>
            <w:vAlign w:val="center"/>
          </w:tcPr>
          <w:p w14:paraId="7F647D2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厂址应有充足、可靠的水源和电源，且应满足企业发展需要。</w:t>
            </w:r>
          </w:p>
        </w:tc>
        <w:tc>
          <w:tcPr>
            <w:tcW w:w="2007" w:type="dxa"/>
            <w:tcBorders>
              <w:top w:val="single" w:color="auto" w:sz="4" w:space="0"/>
              <w:left w:val="nil"/>
              <w:bottom w:val="single" w:color="auto" w:sz="4" w:space="0"/>
              <w:right w:val="single" w:color="auto" w:sz="4" w:space="0"/>
            </w:tcBorders>
            <w:vAlign w:val="center"/>
          </w:tcPr>
          <w:p w14:paraId="077E667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《化工企业总图运输设计规范》（GB50489-2009）3.1.7</w:t>
            </w:r>
          </w:p>
        </w:tc>
        <w:tc>
          <w:tcPr>
            <w:tcW w:w="1962" w:type="dxa"/>
            <w:tcBorders>
              <w:top w:val="single" w:color="auto" w:sz="4" w:space="0"/>
              <w:left w:val="nil"/>
              <w:bottom w:val="single" w:color="auto" w:sz="4" w:space="0"/>
              <w:right w:val="single" w:color="auto" w:sz="4" w:space="0"/>
            </w:tcBorders>
            <w:vAlign w:val="center"/>
          </w:tcPr>
          <w:p w14:paraId="0C46409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本项目有充足、可靠的电源，且满足企业发展需要。</w:t>
            </w:r>
          </w:p>
        </w:tc>
        <w:tc>
          <w:tcPr>
            <w:tcW w:w="752" w:type="dxa"/>
            <w:tcBorders>
              <w:top w:val="single" w:color="auto" w:sz="4" w:space="0"/>
              <w:left w:val="nil"/>
              <w:bottom w:val="single" w:color="auto" w:sz="4" w:space="0"/>
              <w:right w:val="single" w:color="auto" w:sz="4" w:space="0"/>
            </w:tcBorders>
            <w:vAlign w:val="center"/>
          </w:tcPr>
          <w:p w14:paraId="4C5762F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14:paraId="2871C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17BD7F7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20</w:t>
            </w:r>
          </w:p>
        </w:tc>
        <w:tc>
          <w:tcPr>
            <w:tcW w:w="3961" w:type="dxa"/>
            <w:tcBorders>
              <w:top w:val="single" w:color="auto" w:sz="4" w:space="0"/>
              <w:left w:val="nil"/>
              <w:bottom w:val="single" w:color="auto" w:sz="4" w:space="0"/>
              <w:right w:val="single" w:color="auto" w:sz="4" w:space="0"/>
            </w:tcBorders>
            <w:vAlign w:val="center"/>
          </w:tcPr>
          <w:p w14:paraId="7233FFA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厂址应位于城镇或居住区的全年最小频率风向的上风侧。 </w:t>
            </w:r>
          </w:p>
        </w:tc>
        <w:tc>
          <w:tcPr>
            <w:tcW w:w="2007" w:type="dxa"/>
            <w:tcBorders>
              <w:top w:val="single" w:color="auto" w:sz="4" w:space="0"/>
              <w:left w:val="nil"/>
              <w:bottom w:val="single" w:color="auto" w:sz="4" w:space="0"/>
              <w:right w:val="single" w:color="auto" w:sz="4" w:space="0"/>
            </w:tcBorders>
            <w:vAlign w:val="center"/>
          </w:tcPr>
          <w:p w14:paraId="51F2A51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《化工企业总图运输设计规范》（GB50489-2009）3.1.8</w:t>
            </w:r>
          </w:p>
        </w:tc>
        <w:tc>
          <w:tcPr>
            <w:tcW w:w="1962" w:type="dxa"/>
            <w:tcBorders>
              <w:top w:val="single" w:color="auto" w:sz="4" w:space="0"/>
              <w:left w:val="nil"/>
              <w:bottom w:val="single" w:color="auto" w:sz="4" w:space="0"/>
              <w:right w:val="single" w:color="auto" w:sz="4" w:space="0"/>
            </w:tcBorders>
            <w:vAlign w:val="center"/>
          </w:tcPr>
          <w:p w14:paraId="42E7CE25">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本项目管廊位于城镇或居住区的全年最小频率风向的上风侧。</w:t>
            </w:r>
          </w:p>
        </w:tc>
        <w:tc>
          <w:tcPr>
            <w:tcW w:w="752" w:type="dxa"/>
            <w:tcBorders>
              <w:top w:val="single" w:color="auto" w:sz="4" w:space="0"/>
              <w:left w:val="nil"/>
              <w:bottom w:val="single" w:color="auto" w:sz="4" w:space="0"/>
              <w:right w:val="single" w:color="auto" w:sz="4" w:space="0"/>
            </w:tcBorders>
            <w:vAlign w:val="center"/>
          </w:tcPr>
          <w:p w14:paraId="00EFE85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14:paraId="6F2E8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14B5F5B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21</w:t>
            </w:r>
          </w:p>
        </w:tc>
        <w:tc>
          <w:tcPr>
            <w:tcW w:w="3961" w:type="dxa"/>
            <w:tcBorders>
              <w:top w:val="single" w:color="auto" w:sz="4" w:space="0"/>
              <w:left w:val="nil"/>
              <w:bottom w:val="single" w:color="auto" w:sz="4" w:space="0"/>
              <w:right w:val="single" w:color="auto" w:sz="4" w:space="0"/>
            </w:tcBorders>
            <w:vAlign w:val="center"/>
          </w:tcPr>
          <w:p w14:paraId="6A752EB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可能散发有害气体工厂的厂址，应避开易形成逆温层及全年静风频率较高的区域。</w:t>
            </w:r>
          </w:p>
        </w:tc>
        <w:tc>
          <w:tcPr>
            <w:tcW w:w="2007" w:type="dxa"/>
            <w:tcBorders>
              <w:top w:val="single" w:color="auto" w:sz="4" w:space="0"/>
              <w:left w:val="nil"/>
              <w:bottom w:val="single" w:color="auto" w:sz="4" w:space="0"/>
              <w:right w:val="single" w:color="auto" w:sz="4" w:space="0"/>
            </w:tcBorders>
            <w:vAlign w:val="center"/>
          </w:tcPr>
          <w:p w14:paraId="7C0A0DE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《化工企业总图运输设计规范》（GB50489-2009）3.1.9</w:t>
            </w:r>
          </w:p>
        </w:tc>
        <w:tc>
          <w:tcPr>
            <w:tcW w:w="1962" w:type="dxa"/>
            <w:tcBorders>
              <w:top w:val="single" w:color="auto" w:sz="4" w:space="0"/>
              <w:left w:val="nil"/>
              <w:bottom w:val="single" w:color="auto" w:sz="4" w:space="0"/>
              <w:right w:val="single" w:color="auto" w:sz="4" w:space="0"/>
            </w:tcBorders>
            <w:vAlign w:val="center"/>
          </w:tcPr>
          <w:p w14:paraId="797073D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本项目不散发有害物质，管廊位于安宁市工业园区内，管廊四周空旷，不属于窝风地带。</w:t>
            </w:r>
          </w:p>
        </w:tc>
        <w:tc>
          <w:tcPr>
            <w:tcW w:w="752" w:type="dxa"/>
            <w:tcBorders>
              <w:top w:val="single" w:color="auto" w:sz="4" w:space="0"/>
              <w:left w:val="nil"/>
              <w:bottom w:val="single" w:color="auto" w:sz="4" w:space="0"/>
              <w:right w:val="single" w:color="auto" w:sz="4" w:space="0"/>
            </w:tcBorders>
            <w:vAlign w:val="center"/>
          </w:tcPr>
          <w:p w14:paraId="2DD039B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14:paraId="39E25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75A428B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22</w:t>
            </w:r>
          </w:p>
        </w:tc>
        <w:tc>
          <w:tcPr>
            <w:tcW w:w="3961" w:type="dxa"/>
            <w:tcBorders>
              <w:top w:val="single" w:color="auto" w:sz="4" w:space="0"/>
              <w:left w:val="nil"/>
              <w:bottom w:val="single" w:color="auto" w:sz="4" w:space="0"/>
              <w:right w:val="single" w:color="auto" w:sz="4" w:space="0"/>
            </w:tcBorders>
            <w:vAlign w:val="center"/>
          </w:tcPr>
          <w:p w14:paraId="6C1BF05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事故状态泄漏或散发有毒、有害、易燃、易爆气体工厂的厂址，应远离城镇、居住区、公共设施、村庄、国家和省级干道、国家和地方铁路干线、河海港区、仓储区、军事设施、机场等人员密集场所和国家重要设施。</w:t>
            </w:r>
          </w:p>
        </w:tc>
        <w:tc>
          <w:tcPr>
            <w:tcW w:w="2007" w:type="dxa"/>
            <w:tcBorders>
              <w:top w:val="single" w:color="auto" w:sz="4" w:space="0"/>
              <w:left w:val="nil"/>
              <w:bottom w:val="single" w:color="auto" w:sz="4" w:space="0"/>
              <w:right w:val="single" w:color="auto" w:sz="4" w:space="0"/>
            </w:tcBorders>
            <w:vAlign w:val="center"/>
          </w:tcPr>
          <w:p w14:paraId="3524899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《化工企业总图运输设计规范》（GB50489-2009）3.1.10</w:t>
            </w:r>
          </w:p>
        </w:tc>
        <w:tc>
          <w:tcPr>
            <w:tcW w:w="1962" w:type="dxa"/>
            <w:tcBorders>
              <w:top w:val="single" w:color="auto" w:sz="4" w:space="0"/>
              <w:left w:val="nil"/>
              <w:bottom w:val="single" w:color="auto" w:sz="4" w:space="0"/>
              <w:right w:val="single" w:color="auto" w:sz="4" w:space="0"/>
            </w:tcBorders>
            <w:vAlign w:val="center"/>
          </w:tcPr>
          <w:p w14:paraId="7E61484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本项目远离城镇、居住区、公共设施、村庄、国家和省级干道、国家和地方铁路干线、河海港区、仓储区、军事设施、机场等人员密集场所和国家重要设施。</w:t>
            </w:r>
          </w:p>
        </w:tc>
        <w:tc>
          <w:tcPr>
            <w:tcW w:w="752" w:type="dxa"/>
            <w:tcBorders>
              <w:top w:val="single" w:color="auto" w:sz="4" w:space="0"/>
              <w:left w:val="nil"/>
              <w:bottom w:val="single" w:color="auto" w:sz="4" w:space="0"/>
              <w:right w:val="single" w:color="auto" w:sz="4" w:space="0"/>
            </w:tcBorders>
            <w:vAlign w:val="center"/>
          </w:tcPr>
          <w:p w14:paraId="17D0E1E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14:paraId="5B479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003F93A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23</w:t>
            </w:r>
          </w:p>
        </w:tc>
        <w:tc>
          <w:tcPr>
            <w:tcW w:w="3961" w:type="dxa"/>
            <w:tcBorders>
              <w:top w:val="single" w:color="auto" w:sz="4" w:space="0"/>
              <w:left w:val="nil"/>
              <w:bottom w:val="single" w:color="auto" w:sz="4" w:space="0"/>
              <w:right w:val="single" w:color="auto" w:sz="4" w:space="0"/>
            </w:tcBorders>
            <w:vAlign w:val="center"/>
          </w:tcPr>
          <w:p w14:paraId="70B439F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事故状态泄漏有毒、有害、易燃、易爆液体工厂的厂址，应远离江、河、湖、海、供水水源防护区。 </w:t>
            </w:r>
          </w:p>
        </w:tc>
        <w:tc>
          <w:tcPr>
            <w:tcW w:w="2007" w:type="dxa"/>
            <w:tcBorders>
              <w:top w:val="single" w:color="auto" w:sz="4" w:space="0"/>
              <w:left w:val="nil"/>
              <w:bottom w:val="single" w:color="auto" w:sz="4" w:space="0"/>
              <w:right w:val="single" w:color="auto" w:sz="4" w:space="0"/>
            </w:tcBorders>
            <w:vAlign w:val="center"/>
          </w:tcPr>
          <w:p w14:paraId="7B66B54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《化工企业总图运输设计规范》（GB50489-2009）3.1.11</w:t>
            </w:r>
          </w:p>
        </w:tc>
        <w:tc>
          <w:tcPr>
            <w:tcW w:w="1962" w:type="dxa"/>
            <w:tcBorders>
              <w:top w:val="single" w:color="auto" w:sz="4" w:space="0"/>
              <w:left w:val="nil"/>
              <w:bottom w:val="single" w:color="auto" w:sz="4" w:space="0"/>
              <w:right w:val="single" w:color="auto" w:sz="4" w:space="0"/>
            </w:tcBorders>
            <w:vAlign w:val="center"/>
          </w:tcPr>
          <w:p w14:paraId="1817D0A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本项目远离江、河、湖、海、供水水源防护区。</w:t>
            </w:r>
          </w:p>
        </w:tc>
        <w:tc>
          <w:tcPr>
            <w:tcW w:w="752" w:type="dxa"/>
            <w:tcBorders>
              <w:top w:val="single" w:color="auto" w:sz="4" w:space="0"/>
              <w:left w:val="nil"/>
              <w:bottom w:val="single" w:color="auto" w:sz="4" w:space="0"/>
              <w:right w:val="single" w:color="auto" w:sz="4" w:space="0"/>
            </w:tcBorders>
            <w:vAlign w:val="center"/>
          </w:tcPr>
          <w:p w14:paraId="0DB0437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14:paraId="7D044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7C61CEA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24</w:t>
            </w:r>
          </w:p>
        </w:tc>
        <w:tc>
          <w:tcPr>
            <w:tcW w:w="3961" w:type="dxa"/>
            <w:tcBorders>
              <w:top w:val="single" w:color="auto" w:sz="4" w:space="0"/>
              <w:left w:val="nil"/>
              <w:bottom w:val="single" w:color="auto" w:sz="4" w:space="0"/>
              <w:right w:val="single" w:color="auto" w:sz="4" w:space="0"/>
            </w:tcBorders>
            <w:vAlign w:val="center"/>
          </w:tcPr>
          <w:p w14:paraId="5D8107C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管线敷设方式，可根据管道内介质的性质、地形、生产安全、交通运输、施工、检修等因素综合确定，并应符合下列规定：1、有可燃性、爆炸危险性、毒性及腐蚀性介质的管道，应采用地上敷设。2、有条件的管线宜采用共架或共沟敷设。3、在散发比空气重的可燃、有毒性气体的场所，不宜采用管沟敷设，否则应采取防止气体集聚和沿沟扩散的措施。</w:t>
            </w:r>
          </w:p>
        </w:tc>
        <w:tc>
          <w:tcPr>
            <w:tcW w:w="2007" w:type="dxa"/>
            <w:tcBorders>
              <w:top w:val="single" w:color="auto" w:sz="4" w:space="0"/>
              <w:left w:val="nil"/>
              <w:bottom w:val="single" w:color="auto" w:sz="4" w:space="0"/>
              <w:right w:val="single" w:color="auto" w:sz="4" w:space="0"/>
            </w:tcBorders>
            <w:vAlign w:val="center"/>
          </w:tcPr>
          <w:p w14:paraId="509DDD1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《化工企业总图运输设计规范》（GB50489-2009）7.1.2</w:t>
            </w:r>
          </w:p>
        </w:tc>
        <w:tc>
          <w:tcPr>
            <w:tcW w:w="1962" w:type="dxa"/>
            <w:tcBorders>
              <w:top w:val="single" w:color="auto" w:sz="4" w:space="0"/>
              <w:left w:val="nil"/>
              <w:bottom w:val="single" w:color="auto" w:sz="4" w:space="0"/>
              <w:right w:val="single" w:color="auto" w:sz="4" w:space="0"/>
            </w:tcBorders>
            <w:vAlign w:val="center"/>
          </w:tcPr>
          <w:p w14:paraId="1E9C40A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本项目管线敷设根据道内介质的性质、地形、生产安全、交通运输、施工、检修等因素综合确定，管线涉及硫酸、氟硅酸等腐蚀性介质，采用地上敷设。</w:t>
            </w:r>
          </w:p>
        </w:tc>
        <w:tc>
          <w:tcPr>
            <w:tcW w:w="752" w:type="dxa"/>
            <w:tcBorders>
              <w:top w:val="single" w:color="auto" w:sz="4" w:space="0"/>
              <w:left w:val="nil"/>
              <w:bottom w:val="single" w:color="auto" w:sz="4" w:space="0"/>
              <w:right w:val="single" w:color="auto" w:sz="4" w:space="0"/>
            </w:tcBorders>
            <w:vAlign w:val="center"/>
          </w:tcPr>
          <w:p w14:paraId="25F4081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14:paraId="1C329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0E683F3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25</w:t>
            </w:r>
          </w:p>
        </w:tc>
        <w:tc>
          <w:tcPr>
            <w:tcW w:w="3961" w:type="dxa"/>
            <w:tcBorders>
              <w:top w:val="single" w:color="auto" w:sz="4" w:space="0"/>
              <w:left w:val="nil"/>
              <w:bottom w:val="single" w:color="auto" w:sz="4" w:space="0"/>
              <w:right w:val="single" w:color="auto" w:sz="4" w:space="0"/>
            </w:tcBorders>
            <w:vAlign w:val="center"/>
          </w:tcPr>
          <w:p w14:paraId="1F66EBB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管线综合布置应符合下列要求：1、应满足生产、安全、施工和检修要求。2、管线应敷设在规划的管线带内，管线带应平行于相邻的道路布置。3、宜减少管线与铁路、道路交叉。必须交叉时，交叉角不应小于45</w:t>
            </w:r>
            <w:r>
              <w:rPr>
                <w:rFonts w:hint="default" w:ascii="Times New Roman" w:hAnsi="Times New Roman" w:eastAsia="宋体" w:cs="Times New Roman"/>
                <w:sz w:val="21"/>
                <w:szCs w:val="21"/>
                <w:highlight w:val="none"/>
                <w:vertAlign w:val="superscript"/>
              </w:rPr>
              <w:t>0</w:t>
            </w:r>
            <w:r>
              <w:rPr>
                <w:rFonts w:hint="default" w:ascii="Times New Roman" w:hAnsi="Times New Roman" w:eastAsia="宋体" w:cs="Times New Roman"/>
                <w:sz w:val="21"/>
                <w:szCs w:val="21"/>
                <w:highlight w:val="none"/>
              </w:rPr>
              <w:t>。4、地下干管应布置在其用户较多的道路一侧，也可将干管分类布置在道路两侧。5、装置内部管廊及地下管线的布置，应与主管廊及地下干管在平面及竖向上合理连接，并应有效利用装置内管廊下方空间，布置有关设施。</w:t>
            </w:r>
          </w:p>
        </w:tc>
        <w:tc>
          <w:tcPr>
            <w:tcW w:w="2007" w:type="dxa"/>
            <w:tcBorders>
              <w:top w:val="single" w:color="auto" w:sz="4" w:space="0"/>
              <w:left w:val="nil"/>
              <w:bottom w:val="single" w:color="auto" w:sz="4" w:space="0"/>
              <w:right w:val="single" w:color="auto" w:sz="4" w:space="0"/>
            </w:tcBorders>
            <w:vAlign w:val="center"/>
          </w:tcPr>
          <w:p w14:paraId="3ABD9D3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《化工企业总图运输设计规范》（GB50489-2009）7.1.3</w:t>
            </w:r>
          </w:p>
        </w:tc>
        <w:tc>
          <w:tcPr>
            <w:tcW w:w="1962" w:type="dxa"/>
            <w:tcBorders>
              <w:top w:val="single" w:color="auto" w:sz="4" w:space="0"/>
              <w:left w:val="nil"/>
              <w:bottom w:val="single" w:color="auto" w:sz="4" w:space="0"/>
              <w:right w:val="single" w:color="auto" w:sz="4" w:space="0"/>
            </w:tcBorders>
            <w:vAlign w:val="center"/>
          </w:tcPr>
          <w:p w14:paraId="1848EE8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本项目管线综合布置满足生产、安全、施工和检修要求，管线敷设在规划的管线带内，与道路交叉的交叉角大于45</w:t>
            </w:r>
            <w:r>
              <w:rPr>
                <w:rFonts w:hint="default" w:ascii="Times New Roman" w:hAnsi="Times New Roman" w:eastAsia="宋体" w:cs="Times New Roman"/>
                <w:sz w:val="21"/>
                <w:szCs w:val="21"/>
                <w:highlight w:val="none"/>
                <w:vertAlign w:val="superscript"/>
              </w:rPr>
              <w:t>0</w:t>
            </w:r>
            <w:r>
              <w:rPr>
                <w:rFonts w:hint="default" w:ascii="Times New Roman" w:hAnsi="Times New Roman" w:eastAsia="宋体" w:cs="Times New Roman"/>
                <w:sz w:val="21"/>
                <w:szCs w:val="21"/>
                <w:highlight w:val="none"/>
              </w:rPr>
              <w:t>。</w:t>
            </w:r>
          </w:p>
        </w:tc>
        <w:tc>
          <w:tcPr>
            <w:tcW w:w="752" w:type="dxa"/>
            <w:tcBorders>
              <w:top w:val="single" w:color="auto" w:sz="4" w:space="0"/>
              <w:left w:val="nil"/>
              <w:bottom w:val="single" w:color="auto" w:sz="4" w:space="0"/>
              <w:right w:val="single" w:color="auto" w:sz="4" w:space="0"/>
            </w:tcBorders>
            <w:vAlign w:val="center"/>
          </w:tcPr>
          <w:p w14:paraId="4E943AF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14:paraId="688DD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5F3BDA1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w:t>
            </w:r>
          </w:p>
        </w:tc>
        <w:tc>
          <w:tcPr>
            <w:tcW w:w="3961" w:type="dxa"/>
            <w:tcBorders>
              <w:top w:val="single" w:color="auto" w:sz="4" w:space="0"/>
              <w:left w:val="nil"/>
              <w:bottom w:val="single" w:color="auto" w:sz="4" w:space="0"/>
              <w:right w:val="single" w:color="auto" w:sz="4" w:space="0"/>
            </w:tcBorders>
            <w:vAlign w:val="center"/>
          </w:tcPr>
          <w:p w14:paraId="6696FAD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10KV及以下采用绝缘导线的架空电力线路，除导线与地面的距离和重要交叉跨越距离之外，其他最小距离的规定，可结合地区运行经验确定。</w:t>
            </w:r>
          </w:p>
        </w:tc>
        <w:tc>
          <w:tcPr>
            <w:tcW w:w="2007" w:type="dxa"/>
            <w:tcBorders>
              <w:top w:val="single" w:color="auto" w:sz="4" w:space="0"/>
              <w:left w:val="nil"/>
              <w:bottom w:val="single" w:color="auto" w:sz="4" w:space="0"/>
              <w:right w:val="single" w:color="auto" w:sz="4" w:space="0"/>
            </w:tcBorders>
            <w:vAlign w:val="center"/>
          </w:tcPr>
          <w:p w14:paraId="4C6DE78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《66KV及以下架空电力线路设计规范》（GB 50061-2010）12.0.15</w:t>
            </w:r>
          </w:p>
        </w:tc>
        <w:tc>
          <w:tcPr>
            <w:tcW w:w="1962" w:type="dxa"/>
            <w:tcBorders>
              <w:top w:val="single" w:color="auto" w:sz="4" w:space="0"/>
              <w:left w:val="nil"/>
              <w:bottom w:val="single" w:color="auto" w:sz="4" w:space="0"/>
              <w:right w:val="single" w:color="auto" w:sz="4" w:space="0"/>
            </w:tcBorders>
            <w:vAlign w:val="center"/>
          </w:tcPr>
          <w:p w14:paraId="181EA19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本项目管廊穿越10KV环保科技线（带绝缘层）和10KV氨站线（带绝缘层），管线与电力线的最小垂直距离大于3m。</w:t>
            </w:r>
          </w:p>
        </w:tc>
        <w:tc>
          <w:tcPr>
            <w:tcW w:w="752" w:type="dxa"/>
            <w:tcBorders>
              <w:top w:val="single" w:color="auto" w:sz="4" w:space="0"/>
              <w:left w:val="nil"/>
              <w:bottom w:val="single" w:color="auto" w:sz="4" w:space="0"/>
              <w:right w:val="single" w:color="auto" w:sz="4" w:space="0"/>
            </w:tcBorders>
            <w:vAlign w:val="center"/>
          </w:tcPr>
          <w:p w14:paraId="589FEEE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14:paraId="1F187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6B1BEC9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27</w:t>
            </w:r>
          </w:p>
        </w:tc>
        <w:tc>
          <w:tcPr>
            <w:tcW w:w="3961" w:type="dxa"/>
            <w:tcBorders>
              <w:top w:val="single" w:color="auto" w:sz="4" w:space="0"/>
              <w:left w:val="nil"/>
              <w:bottom w:val="single" w:color="auto" w:sz="4" w:space="0"/>
              <w:right w:val="single" w:color="auto" w:sz="4" w:space="0"/>
            </w:tcBorders>
            <w:vAlign w:val="center"/>
          </w:tcPr>
          <w:p w14:paraId="146FA555">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drawing>
                <wp:anchor distT="0" distB="0" distL="114300" distR="114300" simplePos="0" relativeHeight="251664384" behindDoc="0" locked="0" layoutInCell="1" allowOverlap="1">
                  <wp:simplePos x="0" y="0"/>
                  <wp:positionH relativeFrom="column">
                    <wp:posOffset>-60325</wp:posOffset>
                  </wp:positionH>
                  <wp:positionV relativeFrom="paragraph">
                    <wp:posOffset>704215</wp:posOffset>
                  </wp:positionV>
                  <wp:extent cx="2377440" cy="3628390"/>
                  <wp:effectExtent l="0" t="0" r="0" b="13970"/>
                  <wp:wrapTopAndBottom/>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38"/>
                          <a:stretch>
                            <a:fillRect/>
                          </a:stretch>
                        </pic:blipFill>
                        <pic:spPr>
                          <a:xfrm>
                            <a:off x="0" y="0"/>
                            <a:ext cx="2377440" cy="3628390"/>
                          </a:xfrm>
                          <a:prstGeom prst="rect">
                            <a:avLst/>
                          </a:prstGeom>
                          <a:noFill/>
                          <a:ln>
                            <a:noFill/>
                          </a:ln>
                        </pic:spPr>
                      </pic:pic>
                    </a:graphicData>
                  </a:graphic>
                </wp:anchor>
              </w:drawing>
            </w:r>
            <w:r>
              <w:rPr>
                <w:rFonts w:hint="default" w:ascii="Times New Roman" w:hAnsi="Times New Roman" w:eastAsia="宋体" w:cs="Times New Roman"/>
                <w:sz w:val="21"/>
                <w:szCs w:val="21"/>
                <w:highlight w:val="none"/>
              </w:rPr>
              <w:t>架空电力线路与铁路、道路、河流、管道、索道及各种架空线路交叉或接近的要求，应符合表12.0.16的规定。</w:t>
            </w:r>
          </w:p>
          <w:p w14:paraId="12C0836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p>
        </w:tc>
        <w:tc>
          <w:tcPr>
            <w:tcW w:w="2007" w:type="dxa"/>
            <w:tcBorders>
              <w:top w:val="single" w:color="auto" w:sz="4" w:space="0"/>
              <w:left w:val="nil"/>
              <w:bottom w:val="single" w:color="auto" w:sz="4" w:space="0"/>
              <w:right w:val="single" w:color="auto" w:sz="4" w:space="0"/>
            </w:tcBorders>
            <w:vAlign w:val="center"/>
          </w:tcPr>
          <w:p w14:paraId="3EB0507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《66KV及以下架空电力线路设计规范》（GB 50061-2010）12.0.16</w:t>
            </w:r>
          </w:p>
        </w:tc>
        <w:tc>
          <w:tcPr>
            <w:tcW w:w="1962" w:type="dxa"/>
            <w:tcBorders>
              <w:top w:val="single" w:color="auto" w:sz="4" w:space="0"/>
              <w:left w:val="nil"/>
              <w:bottom w:val="single" w:color="auto" w:sz="4" w:space="0"/>
              <w:right w:val="single" w:color="auto" w:sz="4" w:space="0"/>
            </w:tcBorders>
            <w:vAlign w:val="center"/>
          </w:tcPr>
          <w:p w14:paraId="1736E5A5">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本项目管廊穿越10KV环保科技线（带绝缘层）和10KV氨站线（带绝缘层），管线与电力线的最小垂直距离大于3m。</w:t>
            </w:r>
          </w:p>
        </w:tc>
        <w:tc>
          <w:tcPr>
            <w:tcW w:w="752" w:type="dxa"/>
            <w:tcBorders>
              <w:top w:val="single" w:color="auto" w:sz="4" w:space="0"/>
              <w:left w:val="nil"/>
              <w:bottom w:val="single" w:color="auto" w:sz="4" w:space="0"/>
              <w:right w:val="single" w:color="auto" w:sz="4" w:space="0"/>
            </w:tcBorders>
            <w:vAlign w:val="center"/>
          </w:tcPr>
          <w:p w14:paraId="5E4BDD0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14:paraId="2D555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59286D6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28</w:t>
            </w:r>
          </w:p>
        </w:tc>
        <w:tc>
          <w:tcPr>
            <w:tcW w:w="3961" w:type="dxa"/>
            <w:tcBorders>
              <w:top w:val="single" w:color="auto" w:sz="4" w:space="0"/>
              <w:left w:val="nil"/>
              <w:bottom w:val="single" w:color="auto" w:sz="4" w:space="0"/>
              <w:right w:val="single" w:color="auto" w:sz="4" w:space="0"/>
            </w:tcBorders>
            <w:vAlign w:val="center"/>
          </w:tcPr>
          <w:p w14:paraId="2F792B9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drawing>
                <wp:anchor distT="0" distB="0" distL="114300" distR="114300" simplePos="0" relativeHeight="251665408" behindDoc="0" locked="0" layoutInCell="1" allowOverlap="1">
                  <wp:simplePos x="0" y="0"/>
                  <wp:positionH relativeFrom="column">
                    <wp:posOffset>-46355</wp:posOffset>
                  </wp:positionH>
                  <wp:positionV relativeFrom="paragraph">
                    <wp:posOffset>746125</wp:posOffset>
                  </wp:positionV>
                  <wp:extent cx="2378075" cy="3103245"/>
                  <wp:effectExtent l="0" t="0" r="14605" b="5715"/>
                  <wp:wrapTopAndBottom/>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39"/>
                          <a:stretch>
                            <a:fillRect/>
                          </a:stretch>
                        </pic:blipFill>
                        <pic:spPr>
                          <a:xfrm>
                            <a:off x="0" y="0"/>
                            <a:ext cx="2378075" cy="3103245"/>
                          </a:xfrm>
                          <a:prstGeom prst="rect">
                            <a:avLst/>
                          </a:prstGeom>
                          <a:noFill/>
                          <a:ln>
                            <a:noFill/>
                          </a:ln>
                        </pic:spPr>
                      </pic:pic>
                    </a:graphicData>
                  </a:graphic>
                </wp:anchor>
              </w:drawing>
            </w:r>
            <w:r>
              <w:rPr>
                <w:rFonts w:hint="default" w:ascii="Times New Roman" w:hAnsi="Times New Roman" w:eastAsia="宋体" w:cs="Times New Roman"/>
                <w:sz w:val="21"/>
                <w:szCs w:val="21"/>
                <w:highlight w:val="none"/>
              </w:rPr>
              <w:t>输电线路与铁路、道路、河流、管道、索道及各种架空线路交叉或接近的基本要求，应符合表13.0.11的规定。</w:t>
            </w:r>
          </w:p>
        </w:tc>
        <w:tc>
          <w:tcPr>
            <w:tcW w:w="2007" w:type="dxa"/>
            <w:tcBorders>
              <w:top w:val="single" w:color="auto" w:sz="4" w:space="0"/>
              <w:left w:val="nil"/>
              <w:bottom w:val="single" w:color="auto" w:sz="4" w:space="0"/>
              <w:right w:val="single" w:color="auto" w:sz="4" w:space="0"/>
            </w:tcBorders>
            <w:vAlign w:val="center"/>
          </w:tcPr>
          <w:p w14:paraId="19EDA88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《110KV～750KV架空输电线路设计规范》（GB 50545-2010）13.0.11</w:t>
            </w:r>
          </w:p>
        </w:tc>
        <w:tc>
          <w:tcPr>
            <w:tcW w:w="1962" w:type="dxa"/>
            <w:tcBorders>
              <w:top w:val="single" w:color="auto" w:sz="4" w:space="0"/>
              <w:left w:val="nil"/>
              <w:bottom w:val="single" w:color="auto" w:sz="4" w:space="0"/>
              <w:right w:val="single" w:color="auto" w:sz="4" w:space="0"/>
            </w:tcBorders>
            <w:vAlign w:val="center"/>
          </w:tcPr>
          <w:p w14:paraId="74E4469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本项目管廊穿越110KV权祥弘线和220KV双狮肥线，管线与电力线的最小垂直距离大于5m。</w:t>
            </w:r>
          </w:p>
        </w:tc>
        <w:tc>
          <w:tcPr>
            <w:tcW w:w="752" w:type="dxa"/>
            <w:tcBorders>
              <w:top w:val="single" w:color="auto" w:sz="4" w:space="0"/>
              <w:left w:val="nil"/>
              <w:bottom w:val="single" w:color="auto" w:sz="4" w:space="0"/>
              <w:right w:val="single" w:color="auto" w:sz="4" w:space="0"/>
            </w:tcBorders>
            <w:vAlign w:val="center"/>
          </w:tcPr>
          <w:p w14:paraId="7FF539D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14:paraId="449AC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625F225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29</w:t>
            </w:r>
          </w:p>
        </w:tc>
        <w:tc>
          <w:tcPr>
            <w:tcW w:w="3961" w:type="dxa"/>
            <w:tcBorders>
              <w:top w:val="single" w:color="auto" w:sz="4" w:space="0"/>
              <w:left w:val="nil"/>
              <w:bottom w:val="single" w:color="auto" w:sz="4" w:space="0"/>
              <w:right w:val="single" w:color="auto" w:sz="4" w:space="0"/>
            </w:tcBorders>
            <w:vAlign w:val="center"/>
          </w:tcPr>
          <w:p w14:paraId="331FD61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厂际管道跨越公路时，管架立柱的外缘距路面边缘的距离小于10m时，应设防撞设施。</w:t>
            </w:r>
          </w:p>
        </w:tc>
        <w:tc>
          <w:tcPr>
            <w:tcW w:w="2007" w:type="dxa"/>
            <w:tcBorders>
              <w:top w:val="single" w:color="auto" w:sz="4" w:space="0"/>
              <w:left w:val="nil"/>
              <w:bottom w:val="single" w:color="auto" w:sz="4" w:space="0"/>
              <w:right w:val="single" w:color="auto" w:sz="4" w:space="0"/>
            </w:tcBorders>
            <w:vAlign w:val="center"/>
          </w:tcPr>
          <w:p w14:paraId="65378CC5">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《石油化工厂际管道工程技术标准》（GB/T 51359-2019）5.3.1</w:t>
            </w:r>
          </w:p>
        </w:tc>
        <w:tc>
          <w:tcPr>
            <w:tcW w:w="1962" w:type="dxa"/>
            <w:tcBorders>
              <w:top w:val="single" w:color="auto" w:sz="4" w:space="0"/>
              <w:left w:val="nil"/>
              <w:bottom w:val="single" w:color="auto" w:sz="4" w:space="0"/>
              <w:right w:val="single" w:color="auto" w:sz="4" w:space="0"/>
            </w:tcBorders>
            <w:vAlign w:val="center"/>
          </w:tcPr>
          <w:p w14:paraId="10E99C7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本项目管廊跨越道路的管架立柱设防撞设施。</w:t>
            </w:r>
          </w:p>
        </w:tc>
        <w:tc>
          <w:tcPr>
            <w:tcW w:w="752" w:type="dxa"/>
            <w:tcBorders>
              <w:top w:val="single" w:color="auto" w:sz="4" w:space="0"/>
              <w:left w:val="nil"/>
              <w:bottom w:val="single" w:color="auto" w:sz="4" w:space="0"/>
              <w:right w:val="single" w:color="auto" w:sz="4" w:space="0"/>
            </w:tcBorders>
            <w:vAlign w:val="center"/>
          </w:tcPr>
          <w:p w14:paraId="277FB50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14:paraId="08021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1837D2A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30</w:t>
            </w:r>
          </w:p>
        </w:tc>
        <w:tc>
          <w:tcPr>
            <w:tcW w:w="3961" w:type="dxa"/>
            <w:tcBorders>
              <w:top w:val="single" w:color="auto" w:sz="4" w:space="0"/>
              <w:left w:val="nil"/>
              <w:bottom w:val="single" w:color="auto" w:sz="4" w:space="0"/>
              <w:right w:val="single" w:color="auto" w:sz="4" w:space="0"/>
            </w:tcBorders>
            <w:vAlign w:val="center"/>
          </w:tcPr>
          <w:p w14:paraId="78F561E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管架的基础及净空高度不应影响交通运输、消防和检修。</w:t>
            </w:r>
          </w:p>
        </w:tc>
        <w:tc>
          <w:tcPr>
            <w:tcW w:w="2007" w:type="dxa"/>
            <w:tcBorders>
              <w:top w:val="single" w:color="auto" w:sz="4" w:space="0"/>
              <w:left w:val="nil"/>
              <w:bottom w:val="single" w:color="auto" w:sz="4" w:space="0"/>
              <w:right w:val="single" w:color="auto" w:sz="4" w:space="0"/>
            </w:tcBorders>
            <w:vAlign w:val="center"/>
          </w:tcPr>
          <w:p w14:paraId="3220379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《石油化工厂际管道工程技术标准》（GB/T 51359-2019）5.3.2</w:t>
            </w:r>
          </w:p>
        </w:tc>
        <w:tc>
          <w:tcPr>
            <w:tcW w:w="1962" w:type="dxa"/>
            <w:tcBorders>
              <w:top w:val="single" w:color="auto" w:sz="4" w:space="0"/>
              <w:left w:val="nil"/>
              <w:bottom w:val="single" w:color="auto" w:sz="4" w:space="0"/>
              <w:right w:val="single" w:color="auto" w:sz="4" w:space="0"/>
            </w:tcBorders>
            <w:vAlign w:val="center"/>
          </w:tcPr>
          <w:p w14:paraId="3450ACC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本项目管架的基础及净空高度不影响交通运输、消防和检修。</w:t>
            </w:r>
          </w:p>
        </w:tc>
        <w:tc>
          <w:tcPr>
            <w:tcW w:w="752" w:type="dxa"/>
            <w:tcBorders>
              <w:top w:val="single" w:color="auto" w:sz="4" w:space="0"/>
              <w:left w:val="nil"/>
              <w:bottom w:val="single" w:color="auto" w:sz="4" w:space="0"/>
              <w:right w:val="single" w:color="auto" w:sz="4" w:space="0"/>
            </w:tcBorders>
            <w:vAlign w:val="center"/>
          </w:tcPr>
          <w:p w14:paraId="43BF899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14:paraId="773FA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5C28C2F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31</w:t>
            </w:r>
          </w:p>
        </w:tc>
        <w:tc>
          <w:tcPr>
            <w:tcW w:w="3961" w:type="dxa"/>
            <w:tcBorders>
              <w:top w:val="single" w:color="auto" w:sz="4" w:space="0"/>
              <w:left w:val="nil"/>
              <w:bottom w:val="single" w:color="auto" w:sz="4" w:space="0"/>
              <w:right w:val="single" w:color="auto" w:sz="4" w:space="0"/>
            </w:tcBorders>
            <w:vAlign w:val="center"/>
          </w:tcPr>
          <w:p w14:paraId="3C134DB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drawing>
                <wp:anchor distT="0" distB="0" distL="114300" distR="114300" simplePos="0" relativeHeight="251666432" behindDoc="0" locked="0" layoutInCell="1" allowOverlap="1">
                  <wp:simplePos x="0" y="0"/>
                  <wp:positionH relativeFrom="column">
                    <wp:posOffset>-29845</wp:posOffset>
                  </wp:positionH>
                  <wp:positionV relativeFrom="paragraph">
                    <wp:posOffset>487045</wp:posOffset>
                  </wp:positionV>
                  <wp:extent cx="2377440" cy="548005"/>
                  <wp:effectExtent l="0" t="0" r="0" b="635"/>
                  <wp:wrapTopAndBottom/>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40"/>
                          <a:stretch>
                            <a:fillRect/>
                          </a:stretch>
                        </pic:blipFill>
                        <pic:spPr>
                          <a:xfrm>
                            <a:off x="0" y="0"/>
                            <a:ext cx="2377440" cy="548005"/>
                          </a:xfrm>
                          <a:prstGeom prst="rect">
                            <a:avLst/>
                          </a:prstGeom>
                          <a:noFill/>
                          <a:ln>
                            <a:noFill/>
                          </a:ln>
                        </pic:spPr>
                      </pic:pic>
                    </a:graphicData>
                  </a:graphic>
                </wp:anchor>
              </w:drawing>
            </w:r>
            <w:r>
              <w:rPr>
                <w:rFonts w:hint="default" w:ascii="Times New Roman" w:hAnsi="Times New Roman" w:eastAsia="宋体" w:cs="Times New Roman"/>
                <w:sz w:val="21"/>
                <w:szCs w:val="21"/>
                <w:highlight w:val="none"/>
              </w:rPr>
              <w:t>厂际管道跨越公路时，跨越结构的净空高度不应小于表5.3.3的规定。</w:t>
            </w:r>
          </w:p>
        </w:tc>
        <w:tc>
          <w:tcPr>
            <w:tcW w:w="2007" w:type="dxa"/>
            <w:tcBorders>
              <w:top w:val="single" w:color="auto" w:sz="4" w:space="0"/>
              <w:left w:val="nil"/>
              <w:bottom w:val="single" w:color="auto" w:sz="4" w:space="0"/>
              <w:right w:val="single" w:color="auto" w:sz="4" w:space="0"/>
            </w:tcBorders>
            <w:vAlign w:val="center"/>
          </w:tcPr>
          <w:p w14:paraId="14DDCB6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《石油化工厂际管道工程技术标准》（GB/T 51359-2019）5.3.3</w:t>
            </w:r>
          </w:p>
        </w:tc>
        <w:tc>
          <w:tcPr>
            <w:tcW w:w="1962" w:type="dxa"/>
            <w:tcBorders>
              <w:top w:val="single" w:color="auto" w:sz="4" w:space="0"/>
              <w:left w:val="nil"/>
              <w:bottom w:val="single" w:color="auto" w:sz="4" w:space="0"/>
              <w:right w:val="single" w:color="auto" w:sz="4" w:space="0"/>
            </w:tcBorders>
            <w:vAlign w:val="center"/>
          </w:tcPr>
          <w:p w14:paraId="6B462EF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本项目管架跨越园区道路的最小净空高度大于5.5m，符合表5.3.3的规定。</w:t>
            </w:r>
          </w:p>
        </w:tc>
        <w:tc>
          <w:tcPr>
            <w:tcW w:w="752" w:type="dxa"/>
            <w:tcBorders>
              <w:top w:val="single" w:color="auto" w:sz="4" w:space="0"/>
              <w:left w:val="nil"/>
              <w:bottom w:val="single" w:color="auto" w:sz="4" w:space="0"/>
              <w:right w:val="single" w:color="auto" w:sz="4" w:space="0"/>
            </w:tcBorders>
            <w:vAlign w:val="center"/>
          </w:tcPr>
          <w:p w14:paraId="51153E9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14:paraId="70F99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3CE5C81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32</w:t>
            </w:r>
          </w:p>
        </w:tc>
        <w:tc>
          <w:tcPr>
            <w:tcW w:w="3961" w:type="dxa"/>
            <w:tcBorders>
              <w:top w:val="single" w:color="auto" w:sz="4" w:space="0"/>
              <w:left w:val="nil"/>
              <w:bottom w:val="single" w:color="auto" w:sz="4" w:space="0"/>
              <w:right w:val="single" w:color="auto" w:sz="4" w:space="0"/>
            </w:tcBorders>
            <w:vAlign w:val="center"/>
          </w:tcPr>
          <w:p w14:paraId="0CA24B65">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管架不应设置在与其无关的建筑物或构筑物上。</w:t>
            </w:r>
          </w:p>
        </w:tc>
        <w:tc>
          <w:tcPr>
            <w:tcW w:w="2007" w:type="dxa"/>
            <w:tcBorders>
              <w:top w:val="single" w:color="auto" w:sz="4" w:space="0"/>
              <w:left w:val="nil"/>
              <w:bottom w:val="single" w:color="auto" w:sz="4" w:space="0"/>
              <w:right w:val="single" w:color="auto" w:sz="4" w:space="0"/>
            </w:tcBorders>
            <w:vAlign w:val="center"/>
          </w:tcPr>
          <w:p w14:paraId="6616F61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《石油化工厂际管道工程技术标准》（GB/T 51359-2019）5.3.7</w:t>
            </w:r>
          </w:p>
        </w:tc>
        <w:tc>
          <w:tcPr>
            <w:tcW w:w="1962" w:type="dxa"/>
            <w:tcBorders>
              <w:top w:val="single" w:color="auto" w:sz="4" w:space="0"/>
              <w:left w:val="nil"/>
              <w:bottom w:val="single" w:color="auto" w:sz="4" w:space="0"/>
              <w:right w:val="single" w:color="auto" w:sz="4" w:space="0"/>
            </w:tcBorders>
            <w:vAlign w:val="center"/>
          </w:tcPr>
          <w:p w14:paraId="7073053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根据《石油化工厂际管道工程技术标准》GB/T 51359-2019第2.0.1条的条文解释，2.0.1厂际管道是位于石油化工及煤化工企业、石油库、石油化工码头等围墙或用地边界线之间的管道，原则上以围墙为起算点，无围墻以用地边界线为准。</w:t>
            </w:r>
          </w:p>
        </w:tc>
        <w:tc>
          <w:tcPr>
            <w:tcW w:w="752" w:type="dxa"/>
            <w:tcBorders>
              <w:top w:val="single" w:color="auto" w:sz="4" w:space="0"/>
              <w:left w:val="nil"/>
              <w:bottom w:val="single" w:color="auto" w:sz="4" w:space="0"/>
              <w:right w:val="single" w:color="auto" w:sz="4" w:space="0"/>
            </w:tcBorders>
            <w:vAlign w:val="center"/>
          </w:tcPr>
          <w:p w14:paraId="00280CC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14:paraId="15F88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66628E2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33</w:t>
            </w:r>
          </w:p>
        </w:tc>
        <w:tc>
          <w:tcPr>
            <w:tcW w:w="3961" w:type="dxa"/>
            <w:tcBorders>
              <w:top w:val="single" w:color="auto" w:sz="4" w:space="0"/>
              <w:left w:val="nil"/>
              <w:bottom w:val="single" w:color="auto" w:sz="4" w:space="0"/>
              <w:right w:val="single" w:color="auto" w:sz="4" w:space="0"/>
            </w:tcBorders>
            <w:vAlign w:val="center"/>
          </w:tcPr>
          <w:p w14:paraId="6F03406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跨越结构两侧应设置限高标志，当跨越等级公路、铁路和隧道时应设置限高构筑物。</w:t>
            </w:r>
          </w:p>
        </w:tc>
        <w:tc>
          <w:tcPr>
            <w:tcW w:w="2007" w:type="dxa"/>
            <w:tcBorders>
              <w:top w:val="single" w:color="auto" w:sz="4" w:space="0"/>
              <w:left w:val="nil"/>
              <w:bottom w:val="single" w:color="auto" w:sz="4" w:space="0"/>
              <w:right w:val="single" w:color="auto" w:sz="4" w:space="0"/>
            </w:tcBorders>
            <w:vAlign w:val="center"/>
          </w:tcPr>
          <w:p w14:paraId="7DEBE99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《石油化工厂际管道工程技术标准》（GB/T 51359-2019）5.3.8</w:t>
            </w:r>
          </w:p>
        </w:tc>
        <w:tc>
          <w:tcPr>
            <w:tcW w:w="1962" w:type="dxa"/>
            <w:tcBorders>
              <w:top w:val="single" w:color="auto" w:sz="4" w:space="0"/>
              <w:left w:val="nil"/>
              <w:bottom w:val="single" w:color="auto" w:sz="4" w:space="0"/>
              <w:right w:val="single" w:color="auto" w:sz="4" w:space="0"/>
            </w:tcBorders>
            <w:vAlign w:val="center"/>
          </w:tcPr>
          <w:p w14:paraId="099BCB5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本项目管廊跨越道路处设置限高标志。</w:t>
            </w:r>
          </w:p>
        </w:tc>
        <w:tc>
          <w:tcPr>
            <w:tcW w:w="752" w:type="dxa"/>
            <w:tcBorders>
              <w:top w:val="single" w:color="auto" w:sz="4" w:space="0"/>
              <w:left w:val="nil"/>
              <w:bottom w:val="single" w:color="auto" w:sz="4" w:space="0"/>
              <w:right w:val="single" w:color="auto" w:sz="4" w:space="0"/>
            </w:tcBorders>
            <w:vAlign w:val="center"/>
          </w:tcPr>
          <w:p w14:paraId="7D2C31D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14:paraId="4E3DE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42AAC3D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33</w:t>
            </w:r>
          </w:p>
        </w:tc>
        <w:tc>
          <w:tcPr>
            <w:tcW w:w="3961" w:type="dxa"/>
            <w:tcBorders>
              <w:top w:val="single" w:color="auto" w:sz="4" w:space="0"/>
              <w:left w:val="nil"/>
              <w:bottom w:val="single" w:color="auto" w:sz="4" w:space="0"/>
              <w:right w:val="single" w:color="auto" w:sz="4" w:space="0"/>
            </w:tcBorders>
            <w:vAlign w:val="center"/>
          </w:tcPr>
          <w:p w14:paraId="7BA224F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架空敷设的厂际管道经过人员集中的区域时，应设防止人员侵入的防护栏。</w:t>
            </w:r>
          </w:p>
        </w:tc>
        <w:tc>
          <w:tcPr>
            <w:tcW w:w="2007" w:type="dxa"/>
            <w:tcBorders>
              <w:top w:val="single" w:color="auto" w:sz="4" w:space="0"/>
              <w:left w:val="nil"/>
              <w:bottom w:val="single" w:color="auto" w:sz="4" w:space="0"/>
              <w:right w:val="single" w:color="auto" w:sz="4" w:space="0"/>
            </w:tcBorders>
            <w:vAlign w:val="center"/>
          </w:tcPr>
          <w:p w14:paraId="28280945">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《石油化工企业设计防火标准》（GB50160-2008,2018年版）7.4.4</w:t>
            </w:r>
          </w:p>
        </w:tc>
        <w:tc>
          <w:tcPr>
            <w:tcW w:w="1962" w:type="dxa"/>
            <w:tcBorders>
              <w:top w:val="single" w:color="auto" w:sz="4" w:space="0"/>
              <w:left w:val="nil"/>
              <w:bottom w:val="single" w:color="auto" w:sz="4" w:space="0"/>
              <w:right w:val="single" w:color="auto" w:sz="4" w:space="0"/>
            </w:tcBorders>
            <w:vAlign w:val="center"/>
          </w:tcPr>
          <w:p w14:paraId="7AE008B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本项目管廊未经过人员集中区。</w:t>
            </w:r>
          </w:p>
        </w:tc>
        <w:tc>
          <w:tcPr>
            <w:tcW w:w="752" w:type="dxa"/>
            <w:tcBorders>
              <w:top w:val="single" w:color="auto" w:sz="4" w:space="0"/>
              <w:left w:val="nil"/>
              <w:bottom w:val="single" w:color="auto" w:sz="4" w:space="0"/>
              <w:right w:val="single" w:color="auto" w:sz="4" w:space="0"/>
            </w:tcBorders>
            <w:vAlign w:val="center"/>
          </w:tcPr>
          <w:p w14:paraId="229A347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14:paraId="70D4A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5DFE895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34</w:t>
            </w:r>
          </w:p>
        </w:tc>
        <w:tc>
          <w:tcPr>
            <w:tcW w:w="3961" w:type="dxa"/>
            <w:tcBorders>
              <w:top w:val="single" w:color="auto" w:sz="4" w:space="0"/>
              <w:left w:val="nil"/>
              <w:bottom w:val="single" w:color="auto" w:sz="4" w:space="0"/>
              <w:right w:val="single" w:color="auto" w:sz="4" w:space="0"/>
            </w:tcBorders>
            <w:vAlign w:val="center"/>
          </w:tcPr>
          <w:p w14:paraId="126D078A">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沿厂外公路架空敷设的和跨越厂外公路的厂际管道的管廊柱子，距厂外公路路边</w:t>
            </w:r>
          </w:p>
          <w:p w14:paraId="733869C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的距离小于10m时，宜设防撞设施。</w:t>
            </w:r>
          </w:p>
        </w:tc>
        <w:tc>
          <w:tcPr>
            <w:tcW w:w="2007" w:type="dxa"/>
            <w:tcBorders>
              <w:top w:val="single" w:color="auto" w:sz="4" w:space="0"/>
              <w:left w:val="nil"/>
              <w:bottom w:val="single" w:color="auto" w:sz="4" w:space="0"/>
              <w:right w:val="single" w:color="auto" w:sz="4" w:space="0"/>
            </w:tcBorders>
            <w:vAlign w:val="center"/>
          </w:tcPr>
          <w:p w14:paraId="738F6E3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《石油化工企业设计防火标准》（GB50160-2008,2018年版）7.4.5</w:t>
            </w:r>
          </w:p>
        </w:tc>
        <w:tc>
          <w:tcPr>
            <w:tcW w:w="1962" w:type="dxa"/>
            <w:tcBorders>
              <w:top w:val="single" w:color="auto" w:sz="4" w:space="0"/>
              <w:left w:val="nil"/>
              <w:bottom w:val="single" w:color="auto" w:sz="4" w:space="0"/>
              <w:right w:val="single" w:color="auto" w:sz="4" w:space="0"/>
            </w:tcBorders>
            <w:vAlign w:val="center"/>
          </w:tcPr>
          <w:p w14:paraId="109D4FF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本项目跨越公路的管廊柱子设置防撞设施。</w:t>
            </w:r>
          </w:p>
        </w:tc>
        <w:tc>
          <w:tcPr>
            <w:tcW w:w="752" w:type="dxa"/>
            <w:tcBorders>
              <w:top w:val="single" w:color="auto" w:sz="4" w:space="0"/>
              <w:left w:val="nil"/>
              <w:bottom w:val="single" w:color="auto" w:sz="4" w:space="0"/>
              <w:right w:val="single" w:color="auto" w:sz="4" w:space="0"/>
            </w:tcBorders>
            <w:vAlign w:val="center"/>
          </w:tcPr>
          <w:p w14:paraId="329F35C2">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14:paraId="6816A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54AE5E5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35</w:t>
            </w:r>
          </w:p>
        </w:tc>
        <w:tc>
          <w:tcPr>
            <w:tcW w:w="3961" w:type="dxa"/>
            <w:tcBorders>
              <w:top w:val="single" w:color="auto" w:sz="4" w:space="0"/>
              <w:left w:val="nil"/>
              <w:bottom w:val="single" w:color="auto" w:sz="4" w:space="0"/>
              <w:right w:val="single" w:color="auto" w:sz="4" w:space="0"/>
            </w:tcBorders>
            <w:vAlign w:val="center"/>
          </w:tcPr>
          <w:p w14:paraId="5808614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当厂际管道长度大于5km时，其上、下游企业围墙或用地边界线内的管道上均应设置紧急切断阀、流量和压力监测设施。</w:t>
            </w:r>
          </w:p>
        </w:tc>
        <w:tc>
          <w:tcPr>
            <w:tcW w:w="2007" w:type="dxa"/>
            <w:tcBorders>
              <w:top w:val="single" w:color="auto" w:sz="4" w:space="0"/>
              <w:left w:val="nil"/>
              <w:bottom w:val="single" w:color="auto" w:sz="4" w:space="0"/>
              <w:right w:val="single" w:color="auto" w:sz="4" w:space="0"/>
            </w:tcBorders>
            <w:vAlign w:val="center"/>
          </w:tcPr>
          <w:p w14:paraId="056671B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《石油化工企业设计防火标准》（GB50160-2008,2018年版）7.4.7</w:t>
            </w:r>
          </w:p>
        </w:tc>
        <w:tc>
          <w:tcPr>
            <w:tcW w:w="1962" w:type="dxa"/>
            <w:tcBorders>
              <w:top w:val="single" w:color="auto" w:sz="4" w:space="0"/>
              <w:left w:val="nil"/>
              <w:bottom w:val="single" w:color="auto" w:sz="4" w:space="0"/>
              <w:right w:val="single" w:color="auto" w:sz="4" w:space="0"/>
            </w:tcBorders>
            <w:vAlign w:val="center"/>
          </w:tcPr>
          <w:p w14:paraId="4CA2C3D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本项目管道最大长度约3km，上、下游企业均设置紧急切断阀、流量和压力监测设施。</w:t>
            </w:r>
          </w:p>
        </w:tc>
        <w:tc>
          <w:tcPr>
            <w:tcW w:w="752" w:type="dxa"/>
            <w:tcBorders>
              <w:top w:val="single" w:color="auto" w:sz="4" w:space="0"/>
              <w:left w:val="nil"/>
              <w:bottom w:val="single" w:color="auto" w:sz="4" w:space="0"/>
              <w:right w:val="single" w:color="auto" w:sz="4" w:space="0"/>
            </w:tcBorders>
            <w:vAlign w:val="center"/>
          </w:tcPr>
          <w:p w14:paraId="42E4970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14:paraId="1C639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4079BA4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36</w:t>
            </w:r>
          </w:p>
        </w:tc>
        <w:tc>
          <w:tcPr>
            <w:tcW w:w="3961" w:type="dxa"/>
            <w:tcBorders>
              <w:top w:val="single" w:color="auto" w:sz="4" w:space="0"/>
              <w:left w:val="nil"/>
              <w:bottom w:val="single" w:color="auto" w:sz="4" w:space="0"/>
              <w:right w:val="single" w:color="auto" w:sz="4" w:space="0"/>
            </w:tcBorders>
            <w:vAlign w:val="center"/>
          </w:tcPr>
          <w:p w14:paraId="581799C9">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厂际管道除需要采用法兰连接外，均应采用焊接连接；管道补偿应采用自然补偿。</w:t>
            </w:r>
          </w:p>
        </w:tc>
        <w:tc>
          <w:tcPr>
            <w:tcW w:w="2007" w:type="dxa"/>
            <w:tcBorders>
              <w:top w:val="single" w:color="auto" w:sz="4" w:space="0"/>
              <w:left w:val="nil"/>
              <w:bottom w:val="single" w:color="auto" w:sz="4" w:space="0"/>
              <w:right w:val="single" w:color="auto" w:sz="4" w:space="0"/>
            </w:tcBorders>
            <w:vAlign w:val="center"/>
          </w:tcPr>
          <w:p w14:paraId="770F34D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《石油化工企业设计防火标准》（GB50160-2008,2018年版）7.4.8</w:t>
            </w:r>
          </w:p>
        </w:tc>
        <w:tc>
          <w:tcPr>
            <w:tcW w:w="1962" w:type="dxa"/>
            <w:tcBorders>
              <w:top w:val="single" w:color="auto" w:sz="4" w:space="0"/>
              <w:left w:val="nil"/>
              <w:bottom w:val="single" w:color="auto" w:sz="4" w:space="0"/>
              <w:right w:val="single" w:color="auto" w:sz="4" w:space="0"/>
            </w:tcBorders>
            <w:vAlign w:val="center"/>
          </w:tcPr>
          <w:p w14:paraId="0927E19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本项目管道除需要采用法兰连接外，均采用焊接连接；管道补偿采用自然补偿。</w:t>
            </w:r>
          </w:p>
        </w:tc>
        <w:tc>
          <w:tcPr>
            <w:tcW w:w="752" w:type="dxa"/>
            <w:tcBorders>
              <w:top w:val="single" w:color="auto" w:sz="4" w:space="0"/>
              <w:left w:val="nil"/>
              <w:bottom w:val="single" w:color="auto" w:sz="4" w:space="0"/>
              <w:right w:val="single" w:color="auto" w:sz="4" w:space="0"/>
            </w:tcBorders>
            <w:vAlign w:val="center"/>
          </w:tcPr>
          <w:p w14:paraId="6D58674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14:paraId="124E4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6393B99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37</w:t>
            </w:r>
          </w:p>
        </w:tc>
        <w:tc>
          <w:tcPr>
            <w:tcW w:w="3961" w:type="dxa"/>
            <w:tcBorders>
              <w:top w:val="single" w:color="auto" w:sz="4" w:space="0"/>
              <w:left w:val="nil"/>
              <w:bottom w:val="single" w:color="auto" w:sz="4" w:space="0"/>
              <w:right w:val="single" w:color="auto" w:sz="4" w:space="0"/>
            </w:tcBorders>
            <w:vAlign w:val="center"/>
          </w:tcPr>
          <w:p w14:paraId="69B92455">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厂际管道在其分支管道靠近主管道根部宜设切断阀；除特殊要求外，厂际管道其</w:t>
            </w:r>
          </w:p>
          <w:p w14:paraId="6603725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他位置不应设置切断阀。</w:t>
            </w:r>
          </w:p>
        </w:tc>
        <w:tc>
          <w:tcPr>
            <w:tcW w:w="2007" w:type="dxa"/>
            <w:tcBorders>
              <w:top w:val="single" w:color="auto" w:sz="4" w:space="0"/>
              <w:left w:val="nil"/>
              <w:bottom w:val="single" w:color="auto" w:sz="4" w:space="0"/>
              <w:right w:val="single" w:color="auto" w:sz="4" w:space="0"/>
            </w:tcBorders>
            <w:vAlign w:val="center"/>
          </w:tcPr>
          <w:p w14:paraId="1DC3272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《石油化工企业设计防火标准》（GB50160-2008,2018年版）7.4.9</w:t>
            </w:r>
          </w:p>
        </w:tc>
        <w:tc>
          <w:tcPr>
            <w:tcW w:w="1962" w:type="dxa"/>
            <w:tcBorders>
              <w:top w:val="single" w:color="auto" w:sz="4" w:space="0"/>
              <w:left w:val="nil"/>
              <w:bottom w:val="single" w:color="auto" w:sz="4" w:space="0"/>
              <w:right w:val="single" w:color="auto" w:sz="4" w:space="0"/>
            </w:tcBorders>
            <w:vAlign w:val="center"/>
          </w:tcPr>
          <w:p w14:paraId="6181D5D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本项目分支管道靠近主管道根部设切断阀，其他位置不设置切断阀。</w:t>
            </w:r>
          </w:p>
        </w:tc>
        <w:tc>
          <w:tcPr>
            <w:tcW w:w="752" w:type="dxa"/>
            <w:tcBorders>
              <w:top w:val="single" w:color="auto" w:sz="4" w:space="0"/>
              <w:left w:val="nil"/>
              <w:bottom w:val="single" w:color="auto" w:sz="4" w:space="0"/>
              <w:right w:val="single" w:color="auto" w:sz="4" w:space="0"/>
            </w:tcBorders>
            <w:vAlign w:val="center"/>
          </w:tcPr>
          <w:p w14:paraId="3F4D434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14:paraId="0BBEB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52BC084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38</w:t>
            </w:r>
          </w:p>
        </w:tc>
        <w:tc>
          <w:tcPr>
            <w:tcW w:w="3961" w:type="dxa"/>
            <w:tcBorders>
              <w:top w:val="single" w:color="auto" w:sz="4" w:space="0"/>
              <w:left w:val="nil"/>
              <w:bottom w:val="single" w:color="auto" w:sz="4" w:space="0"/>
              <w:right w:val="single" w:color="auto" w:sz="4" w:space="0"/>
            </w:tcBorders>
            <w:vAlign w:val="center"/>
          </w:tcPr>
          <w:p w14:paraId="09104330">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架空敷设的厂际管道不宜设置永久性排凝或排气措施。</w:t>
            </w:r>
          </w:p>
        </w:tc>
        <w:tc>
          <w:tcPr>
            <w:tcW w:w="2007" w:type="dxa"/>
            <w:tcBorders>
              <w:top w:val="single" w:color="auto" w:sz="4" w:space="0"/>
              <w:left w:val="nil"/>
              <w:bottom w:val="single" w:color="auto" w:sz="4" w:space="0"/>
              <w:right w:val="single" w:color="auto" w:sz="4" w:space="0"/>
            </w:tcBorders>
            <w:vAlign w:val="center"/>
          </w:tcPr>
          <w:p w14:paraId="63E880D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《石油化工企业设计防火标准》（GB50160-2008,2018年版）7.4.10</w:t>
            </w:r>
          </w:p>
        </w:tc>
        <w:tc>
          <w:tcPr>
            <w:tcW w:w="1962" w:type="dxa"/>
            <w:tcBorders>
              <w:top w:val="single" w:color="auto" w:sz="4" w:space="0"/>
              <w:left w:val="nil"/>
              <w:bottom w:val="single" w:color="auto" w:sz="4" w:space="0"/>
              <w:right w:val="single" w:color="auto" w:sz="4" w:space="0"/>
            </w:tcBorders>
            <w:vAlign w:val="center"/>
          </w:tcPr>
          <w:p w14:paraId="5717CDA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本项目管道未设置永久性排凝或排气措施。</w:t>
            </w:r>
          </w:p>
        </w:tc>
        <w:tc>
          <w:tcPr>
            <w:tcW w:w="752" w:type="dxa"/>
            <w:tcBorders>
              <w:top w:val="single" w:color="auto" w:sz="4" w:space="0"/>
              <w:left w:val="nil"/>
              <w:bottom w:val="single" w:color="auto" w:sz="4" w:space="0"/>
              <w:right w:val="single" w:color="auto" w:sz="4" w:space="0"/>
            </w:tcBorders>
            <w:vAlign w:val="center"/>
          </w:tcPr>
          <w:p w14:paraId="328426D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14:paraId="768BB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0825D8B5">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39</w:t>
            </w:r>
          </w:p>
        </w:tc>
        <w:tc>
          <w:tcPr>
            <w:tcW w:w="3961" w:type="dxa"/>
            <w:tcBorders>
              <w:top w:val="single" w:color="auto" w:sz="4" w:space="0"/>
              <w:left w:val="nil"/>
              <w:bottom w:val="single" w:color="auto" w:sz="4" w:space="0"/>
              <w:right w:val="single" w:color="auto" w:sz="4" w:space="0"/>
            </w:tcBorders>
            <w:vAlign w:val="center"/>
          </w:tcPr>
          <w:p w14:paraId="62113C5D">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危险化学品管道建设应当遵循安全第一、节约用地和经济合理的原则，并按照相关国家标准、行业标准和技术规范进行科学规划。</w:t>
            </w:r>
          </w:p>
        </w:tc>
        <w:tc>
          <w:tcPr>
            <w:tcW w:w="2007" w:type="dxa"/>
            <w:tcBorders>
              <w:top w:val="single" w:color="auto" w:sz="4" w:space="0"/>
              <w:left w:val="nil"/>
              <w:bottom w:val="single" w:color="auto" w:sz="4" w:space="0"/>
              <w:right w:val="single" w:color="auto" w:sz="4" w:space="0"/>
            </w:tcBorders>
            <w:vAlign w:val="center"/>
          </w:tcPr>
          <w:p w14:paraId="631EB1F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kern w:val="0"/>
                <w:sz w:val="21"/>
                <w:szCs w:val="21"/>
                <w:highlight w:val="none"/>
              </w:rPr>
              <w:t>《</w:t>
            </w:r>
            <w:r>
              <w:rPr>
                <w:rFonts w:hint="default" w:ascii="Times New Roman" w:hAnsi="Times New Roman" w:eastAsia="宋体" w:cs="Times New Roman"/>
                <w:kern w:val="36"/>
                <w:sz w:val="21"/>
                <w:szCs w:val="21"/>
                <w:highlight w:val="none"/>
              </w:rPr>
              <w:t>危险化学品输送管道安全管理规定</w:t>
            </w:r>
            <w:r>
              <w:rPr>
                <w:rFonts w:hint="default" w:ascii="Times New Roman" w:hAnsi="Times New Roman" w:eastAsia="宋体" w:cs="Times New Roman"/>
                <w:kern w:val="0"/>
                <w:sz w:val="21"/>
                <w:szCs w:val="21"/>
                <w:highlight w:val="none"/>
              </w:rPr>
              <w:t>》（</w:t>
            </w:r>
            <w:r>
              <w:rPr>
                <w:rFonts w:hint="default" w:ascii="Times New Roman" w:hAnsi="Times New Roman" w:eastAsia="宋体" w:cs="Times New Roman"/>
                <w:sz w:val="21"/>
                <w:szCs w:val="21"/>
                <w:highlight w:val="none"/>
              </w:rPr>
              <w:fldChar w:fldCharType="begin"/>
            </w:r>
            <w:r>
              <w:rPr>
                <w:rFonts w:hint="default" w:ascii="Times New Roman" w:hAnsi="Times New Roman" w:eastAsia="宋体" w:cs="Times New Roman"/>
                <w:sz w:val="21"/>
                <w:szCs w:val="21"/>
                <w:highlight w:val="none"/>
              </w:rPr>
              <w:instrText xml:space="preserve"> HYPERLINK "http://www.esafety.cn/Common/ShowAuthor.aspx?authorname=%e5%9b%bd%e5%ae%b6%e5%ae%89%e5%85%a8%e7%94%9f%e4%ba%a7%e7%9b%91%e7%9d%a3%e7%ae%a1%e7%90%86%e6%80%bb%e5%b1%80" </w:instrText>
            </w:r>
            <w:r>
              <w:rPr>
                <w:rFonts w:hint="default" w:ascii="Times New Roman" w:hAnsi="Times New Roman" w:eastAsia="宋体" w:cs="Times New Roman"/>
                <w:sz w:val="21"/>
                <w:szCs w:val="21"/>
                <w:highlight w:val="none"/>
              </w:rPr>
              <w:fldChar w:fldCharType="separate"/>
            </w:r>
            <w:r>
              <w:rPr>
                <w:rStyle w:val="100"/>
                <w:rFonts w:hint="default" w:ascii="Times New Roman" w:hAnsi="Times New Roman" w:eastAsia="宋体" w:cs="Times New Roman"/>
                <w:color w:val="auto"/>
                <w:sz w:val="21"/>
                <w:szCs w:val="21"/>
                <w:highlight w:val="none"/>
              </w:rPr>
              <w:t>国家安全生产监督管理总局</w:t>
            </w:r>
            <w:r>
              <w:rPr>
                <w:rStyle w:val="100"/>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sz w:val="21"/>
                <w:szCs w:val="21"/>
                <w:highlight w:val="none"/>
              </w:rPr>
              <w:t>令</w:t>
            </w:r>
            <w:r>
              <w:rPr>
                <w:rFonts w:hint="default" w:ascii="Times New Roman" w:hAnsi="Times New Roman" w:eastAsia="宋体" w:cs="Times New Roman"/>
                <w:kern w:val="36"/>
                <w:sz w:val="21"/>
                <w:szCs w:val="21"/>
                <w:highlight w:val="none"/>
              </w:rPr>
              <w:t>第79号修正</w:t>
            </w:r>
            <w:r>
              <w:rPr>
                <w:rFonts w:hint="default" w:ascii="Times New Roman" w:hAnsi="Times New Roman" w:eastAsia="宋体" w:cs="Times New Roman"/>
                <w:kern w:val="0"/>
                <w:sz w:val="21"/>
                <w:szCs w:val="21"/>
                <w:highlight w:val="none"/>
              </w:rPr>
              <w:t>）第六条</w:t>
            </w:r>
          </w:p>
        </w:tc>
        <w:tc>
          <w:tcPr>
            <w:tcW w:w="1962" w:type="dxa"/>
            <w:tcBorders>
              <w:top w:val="single" w:color="auto" w:sz="4" w:space="0"/>
              <w:left w:val="nil"/>
              <w:bottom w:val="single" w:color="auto" w:sz="4" w:space="0"/>
              <w:right w:val="single" w:color="auto" w:sz="4" w:space="0"/>
            </w:tcBorders>
            <w:vAlign w:val="center"/>
          </w:tcPr>
          <w:p w14:paraId="6C6E3153">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遵循安全第一、节约用地和经济合理的原则，按照相关国家标准、行业标准和技术规范进行科学规划。</w:t>
            </w:r>
          </w:p>
        </w:tc>
        <w:tc>
          <w:tcPr>
            <w:tcW w:w="752" w:type="dxa"/>
            <w:tcBorders>
              <w:top w:val="single" w:color="auto" w:sz="4" w:space="0"/>
              <w:left w:val="nil"/>
              <w:bottom w:val="single" w:color="auto" w:sz="4" w:space="0"/>
              <w:right w:val="single" w:color="auto" w:sz="4" w:space="0"/>
            </w:tcBorders>
            <w:vAlign w:val="center"/>
          </w:tcPr>
          <w:p w14:paraId="42E5464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14:paraId="05E5D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19DDF2E7">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40</w:t>
            </w:r>
          </w:p>
        </w:tc>
        <w:tc>
          <w:tcPr>
            <w:tcW w:w="3961" w:type="dxa"/>
            <w:tcBorders>
              <w:top w:val="single" w:color="auto" w:sz="4" w:space="0"/>
              <w:left w:val="nil"/>
              <w:bottom w:val="single" w:color="auto" w:sz="4" w:space="0"/>
              <w:right w:val="single" w:color="auto" w:sz="4" w:space="0"/>
            </w:tcBorders>
            <w:vAlign w:val="center"/>
          </w:tcPr>
          <w:p w14:paraId="32B2A94E">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禁止光气、氯气等剧毒气体化学品管道穿(跨)越公共区域。严格控制氨、硫化氢等其他有毒气体的危险化学品管道穿(跨)越公共区域。</w:t>
            </w:r>
          </w:p>
        </w:tc>
        <w:tc>
          <w:tcPr>
            <w:tcW w:w="2007" w:type="dxa"/>
            <w:tcBorders>
              <w:top w:val="single" w:color="auto" w:sz="4" w:space="0"/>
              <w:left w:val="nil"/>
              <w:bottom w:val="single" w:color="auto" w:sz="4" w:space="0"/>
              <w:right w:val="single" w:color="auto" w:sz="4" w:space="0"/>
            </w:tcBorders>
            <w:vAlign w:val="center"/>
          </w:tcPr>
          <w:p w14:paraId="48618456">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kern w:val="0"/>
                <w:sz w:val="21"/>
                <w:szCs w:val="21"/>
                <w:highlight w:val="none"/>
              </w:rPr>
              <w:t>《</w:t>
            </w:r>
            <w:r>
              <w:rPr>
                <w:rFonts w:hint="default" w:ascii="Times New Roman" w:hAnsi="Times New Roman" w:eastAsia="宋体" w:cs="Times New Roman"/>
                <w:kern w:val="36"/>
                <w:sz w:val="21"/>
                <w:szCs w:val="21"/>
                <w:highlight w:val="none"/>
              </w:rPr>
              <w:t>危险化学品输送管道安全管理规定</w:t>
            </w:r>
            <w:r>
              <w:rPr>
                <w:rFonts w:hint="default" w:ascii="Times New Roman" w:hAnsi="Times New Roman" w:eastAsia="宋体" w:cs="Times New Roman"/>
                <w:kern w:val="0"/>
                <w:sz w:val="21"/>
                <w:szCs w:val="21"/>
                <w:highlight w:val="none"/>
              </w:rPr>
              <w:t>》（</w:t>
            </w:r>
            <w:r>
              <w:rPr>
                <w:rFonts w:hint="default" w:ascii="Times New Roman" w:hAnsi="Times New Roman" w:eastAsia="宋体" w:cs="Times New Roman"/>
                <w:sz w:val="21"/>
                <w:szCs w:val="21"/>
                <w:highlight w:val="none"/>
              </w:rPr>
              <w:fldChar w:fldCharType="begin"/>
            </w:r>
            <w:r>
              <w:rPr>
                <w:rFonts w:hint="default" w:ascii="Times New Roman" w:hAnsi="Times New Roman" w:eastAsia="宋体" w:cs="Times New Roman"/>
                <w:sz w:val="21"/>
                <w:szCs w:val="21"/>
                <w:highlight w:val="none"/>
              </w:rPr>
              <w:instrText xml:space="preserve"> HYPERLINK "http://www.esafety.cn/Common/ShowAuthor.aspx?authorname=%e5%9b%bd%e5%ae%b6%e5%ae%89%e5%85%a8%e7%94%9f%e4%ba%a7%e7%9b%91%e7%9d%a3%e7%ae%a1%e7%90%86%e6%80%bb%e5%b1%80" </w:instrText>
            </w:r>
            <w:r>
              <w:rPr>
                <w:rFonts w:hint="default" w:ascii="Times New Roman" w:hAnsi="Times New Roman" w:eastAsia="宋体" w:cs="Times New Roman"/>
                <w:sz w:val="21"/>
                <w:szCs w:val="21"/>
                <w:highlight w:val="none"/>
              </w:rPr>
              <w:fldChar w:fldCharType="separate"/>
            </w:r>
            <w:r>
              <w:rPr>
                <w:rStyle w:val="100"/>
                <w:rFonts w:hint="default" w:ascii="Times New Roman" w:hAnsi="Times New Roman" w:eastAsia="宋体" w:cs="Times New Roman"/>
                <w:color w:val="auto"/>
                <w:sz w:val="21"/>
                <w:szCs w:val="21"/>
                <w:highlight w:val="none"/>
              </w:rPr>
              <w:t>国家安全生产监督管理总局</w:t>
            </w:r>
            <w:r>
              <w:rPr>
                <w:rStyle w:val="100"/>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sz w:val="21"/>
                <w:szCs w:val="21"/>
                <w:highlight w:val="none"/>
              </w:rPr>
              <w:t>令</w:t>
            </w:r>
            <w:r>
              <w:rPr>
                <w:rFonts w:hint="default" w:ascii="Times New Roman" w:hAnsi="Times New Roman" w:eastAsia="宋体" w:cs="Times New Roman"/>
                <w:kern w:val="36"/>
                <w:sz w:val="21"/>
                <w:szCs w:val="21"/>
                <w:highlight w:val="none"/>
              </w:rPr>
              <w:t>第79号修正</w:t>
            </w:r>
            <w:r>
              <w:rPr>
                <w:rFonts w:hint="default" w:ascii="Times New Roman" w:hAnsi="Times New Roman" w:eastAsia="宋体" w:cs="Times New Roman"/>
                <w:kern w:val="0"/>
                <w:sz w:val="21"/>
                <w:szCs w:val="21"/>
                <w:highlight w:val="none"/>
              </w:rPr>
              <w:t>）第七条</w:t>
            </w:r>
          </w:p>
        </w:tc>
        <w:tc>
          <w:tcPr>
            <w:tcW w:w="1962" w:type="dxa"/>
            <w:tcBorders>
              <w:top w:val="single" w:color="auto" w:sz="4" w:space="0"/>
              <w:left w:val="nil"/>
              <w:bottom w:val="single" w:color="auto" w:sz="4" w:space="0"/>
              <w:right w:val="single" w:color="auto" w:sz="4" w:space="0"/>
            </w:tcBorders>
            <w:vAlign w:val="center"/>
          </w:tcPr>
          <w:p w14:paraId="50038491">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本项目管廊没有穿(跨)越公共区域。</w:t>
            </w:r>
          </w:p>
        </w:tc>
        <w:tc>
          <w:tcPr>
            <w:tcW w:w="752" w:type="dxa"/>
            <w:tcBorders>
              <w:top w:val="single" w:color="auto" w:sz="4" w:space="0"/>
              <w:left w:val="nil"/>
              <w:bottom w:val="single" w:color="auto" w:sz="4" w:space="0"/>
              <w:right w:val="single" w:color="auto" w:sz="4" w:space="0"/>
            </w:tcBorders>
            <w:vAlign w:val="center"/>
          </w:tcPr>
          <w:p w14:paraId="36AD13CB">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14:paraId="6D229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4EC7F69F">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41</w:t>
            </w:r>
          </w:p>
        </w:tc>
        <w:tc>
          <w:tcPr>
            <w:tcW w:w="3961" w:type="dxa"/>
            <w:tcBorders>
              <w:top w:val="single" w:color="auto" w:sz="4" w:space="0"/>
              <w:left w:val="nil"/>
              <w:bottom w:val="single" w:color="auto" w:sz="4" w:space="0"/>
              <w:right w:val="single" w:color="auto" w:sz="4" w:space="0"/>
            </w:tcBorders>
            <w:vAlign w:val="center"/>
          </w:tcPr>
          <w:p w14:paraId="34CCF038">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危险化学品管道建设的选线应当避开地震活动断层和容易发生洪灾、地质灾害的区域；确实无法避开的，应当采取可靠的工程处理措施，确保不受地质灾害影响。危险化学品管道与居民区、学校等公共场所以及建筑物、构筑物、铁路、公路、航道、港口、市政设施、通讯设施、军事设施、电力设施的距离，应当符合有关法律、行政法规和国家标准、行业标准的规定。</w:t>
            </w:r>
          </w:p>
        </w:tc>
        <w:tc>
          <w:tcPr>
            <w:tcW w:w="2007" w:type="dxa"/>
            <w:tcBorders>
              <w:top w:val="single" w:color="auto" w:sz="4" w:space="0"/>
              <w:left w:val="nil"/>
              <w:bottom w:val="single" w:color="auto" w:sz="4" w:space="0"/>
              <w:right w:val="single" w:color="auto" w:sz="4" w:space="0"/>
            </w:tcBorders>
            <w:vAlign w:val="center"/>
          </w:tcPr>
          <w:p w14:paraId="62AB160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kern w:val="0"/>
                <w:sz w:val="21"/>
                <w:szCs w:val="21"/>
                <w:highlight w:val="none"/>
              </w:rPr>
              <w:t>《</w:t>
            </w:r>
            <w:r>
              <w:rPr>
                <w:rFonts w:hint="default" w:ascii="Times New Roman" w:hAnsi="Times New Roman" w:eastAsia="宋体" w:cs="Times New Roman"/>
                <w:kern w:val="36"/>
                <w:sz w:val="21"/>
                <w:szCs w:val="21"/>
                <w:highlight w:val="none"/>
              </w:rPr>
              <w:t>危险化学品输送管道安全管理规定</w:t>
            </w:r>
            <w:r>
              <w:rPr>
                <w:rFonts w:hint="default" w:ascii="Times New Roman" w:hAnsi="Times New Roman" w:eastAsia="宋体" w:cs="Times New Roman"/>
                <w:kern w:val="0"/>
                <w:sz w:val="21"/>
                <w:szCs w:val="21"/>
                <w:highlight w:val="none"/>
              </w:rPr>
              <w:t>》（</w:t>
            </w:r>
            <w:r>
              <w:rPr>
                <w:rFonts w:hint="default" w:ascii="Times New Roman" w:hAnsi="Times New Roman" w:eastAsia="宋体" w:cs="Times New Roman"/>
                <w:sz w:val="21"/>
                <w:szCs w:val="21"/>
                <w:highlight w:val="none"/>
              </w:rPr>
              <w:fldChar w:fldCharType="begin"/>
            </w:r>
            <w:r>
              <w:rPr>
                <w:rFonts w:hint="default" w:ascii="Times New Roman" w:hAnsi="Times New Roman" w:eastAsia="宋体" w:cs="Times New Roman"/>
                <w:sz w:val="21"/>
                <w:szCs w:val="21"/>
                <w:highlight w:val="none"/>
              </w:rPr>
              <w:instrText xml:space="preserve"> HYPERLINK "http://www.esafety.cn/Common/ShowAuthor.aspx?authorname=%e5%9b%bd%e5%ae%b6%e5%ae%89%e5%85%a8%e7%94%9f%e4%ba%a7%e7%9b%91%e7%9d%a3%e7%ae%a1%e7%90%86%e6%80%bb%e5%b1%80" </w:instrText>
            </w:r>
            <w:r>
              <w:rPr>
                <w:rFonts w:hint="default" w:ascii="Times New Roman" w:hAnsi="Times New Roman" w:eastAsia="宋体" w:cs="Times New Roman"/>
                <w:sz w:val="21"/>
                <w:szCs w:val="21"/>
                <w:highlight w:val="none"/>
              </w:rPr>
              <w:fldChar w:fldCharType="separate"/>
            </w:r>
            <w:r>
              <w:rPr>
                <w:rStyle w:val="100"/>
                <w:rFonts w:hint="default" w:ascii="Times New Roman" w:hAnsi="Times New Roman" w:eastAsia="宋体" w:cs="Times New Roman"/>
                <w:color w:val="auto"/>
                <w:sz w:val="21"/>
                <w:szCs w:val="21"/>
                <w:highlight w:val="none"/>
              </w:rPr>
              <w:t>国家安全生产监督管理总局</w:t>
            </w:r>
            <w:r>
              <w:rPr>
                <w:rStyle w:val="100"/>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sz w:val="21"/>
                <w:szCs w:val="21"/>
                <w:highlight w:val="none"/>
              </w:rPr>
              <w:t>令</w:t>
            </w:r>
            <w:r>
              <w:rPr>
                <w:rFonts w:hint="default" w:ascii="Times New Roman" w:hAnsi="Times New Roman" w:eastAsia="宋体" w:cs="Times New Roman"/>
                <w:kern w:val="36"/>
                <w:sz w:val="21"/>
                <w:szCs w:val="21"/>
                <w:highlight w:val="none"/>
              </w:rPr>
              <w:t>第79号修正</w:t>
            </w:r>
            <w:r>
              <w:rPr>
                <w:rFonts w:hint="default" w:ascii="Times New Roman" w:hAnsi="Times New Roman" w:eastAsia="宋体" w:cs="Times New Roman"/>
                <w:kern w:val="0"/>
                <w:sz w:val="21"/>
                <w:szCs w:val="21"/>
                <w:highlight w:val="none"/>
              </w:rPr>
              <w:t>）第八条</w:t>
            </w:r>
          </w:p>
        </w:tc>
        <w:tc>
          <w:tcPr>
            <w:tcW w:w="1962" w:type="dxa"/>
            <w:tcBorders>
              <w:top w:val="single" w:color="auto" w:sz="4" w:space="0"/>
              <w:left w:val="nil"/>
              <w:bottom w:val="single" w:color="auto" w:sz="4" w:space="0"/>
              <w:right w:val="single" w:color="auto" w:sz="4" w:space="0"/>
            </w:tcBorders>
            <w:vAlign w:val="center"/>
          </w:tcPr>
          <w:p w14:paraId="738B12FC">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管廊避开地震活动断层和容易发生洪灾、地质灾害的区域。危险化学品管道与居民区、学校等公共场所以及建筑物、构筑物、铁路、公路、航道、港口、市政设施、通讯设施、军事设施、电力设施的距离，符合有关法律、行政法规和国家标准、行业标准的规定。</w:t>
            </w:r>
          </w:p>
        </w:tc>
        <w:tc>
          <w:tcPr>
            <w:tcW w:w="752" w:type="dxa"/>
            <w:tcBorders>
              <w:top w:val="single" w:color="auto" w:sz="4" w:space="0"/>
              <w:left w:val="nil"/>
              <w:bottom w:val="single" w:color="auto" w:sz="4" w:space="0"/>
              <w:right w:val="single" w:color="auto" w:sz="4" w:space="0"/>
            </w:tcBorders>
            <w:vAlign w:val="center"/>
          </w:tcPr>
          <w:p w14:paraId="49C48454">
            <w:pPr>
              <w:pStyle w:val="177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bl>
    <w:p w14:paraId="0D4345E9">
      <w:pPr>
        <w:ind w:firstLine="560"/>
      </w:pPr>
      <w:bookmarkStart w:id="1098" w:name="_Toc23325"/>
      <w:r>
        <w:rPr>
          <w:rFonts w:hint="eastAsia"/>
        </w:rPr>
        <w:t>云南瓮福祥丰氟硅新材料有限公司3万吨/年无水氟化氢和2万吨/年电子级氢氟酸厂外公用工程管架建设项目外管廊与其它建筑物的防火间距符合《化工园区公共管廊管理规程》（GB/T 36762-2018）、《工业企业总平面设计规范》（GB50187-2012）、《化工企业总图运输设计规范》（GB50489-2009）、《石油化工厂际管道工程技术标准》（GB/T 51359-2019）、《石油化工企业设计防火标准》（GB50160-2008,2018年版）、《危险化学品输送管道安全管理规定》（国家安全生产监督管理总局令第79号修正），符合当地政府总体规划。</w:t>
      </w:r>
    </w:p>
    <w:p w14:paraId="3E5960BD">
      <w:pPr>
        <w:ind w:firstLine="560"/>
      </w:pPr>
      <w:r>
        <w:rPr>
          <w:rFonts w:hint="eastAsia"/>
        </w:rPr>
        <w:t>本项目总平面布置符合相关法律、法规、标准和规范要求。布局连续紧凑，顺畅合理，满足生产工艺流程。</w:t>
      </w:r>
    </w:p>
    <w:p w14:paraId="588E13FC">
      <w:pPr>
        <w:ind w:firstLine="560"/>
      </w:pPr>
      <w:r>
        <w:rPr>
          <w:rFonts w:hint="eastAsia"/>
        </w:rPr>
        <w:t>2、建设项目对法律法规予以保护区域的影响</w:t>
      </w:r>
    </w:p>
    <w:p w14:paraId="280A1F10">
      <w:pPr>
        <w:ind w:firstLine="560"/>
      </w:pPr>
      <w:r>
        <w:rPr>
          <w:rFonts w:hint="eastAsia"/>
        </w:rPr>
        <w:t>建设项目位于安宁产业园区草铺化工园区，项目的建设与《化工园区建设标准和认定管理办法(试行)》相关规定不冲突。</w:t>
      </w:r>
    </w:p>
    <w:p w14:paraId="5E9FA02E">
      <w:pPr>
        <w:ind w:firstLine="560"/>
      </w:pPr>
      <w:r>
        <w:rPr>
          <w:rFonts w:hint="eastAsia"/>
        </w:rPr>
        <w:t>项目管廊所在地与《危险化学品安全管理条例》第十九条所规定的八个方面场所、区域的安全距离详见下表：</w:t>
      </w:r>
    </w:p>
    <w:p w14:paraId="44F2C1AB">
      <w:pPr>
        <w:numPr>
          <w:ilvl w:val="0"/>
          <w:numId w:val="0"/>
        </w:numPr>
        <w:spacing w:line="360" w:lineRule="auto"/>
        <w:ind w:left="480" w:leftChars="0"/>
        <w:jc w:val="center"/>
        <w:rPr>
          <w:b/>
          <w:bCs/>
          <w:sz w:val="24"/>
          <w:szCs w:val="24"/>
        </w:rPr>
      </w:pPr>
      <w:r>
        <w:rPr>
          <w:rFonts w:hint="eastAsia"/>
          <w:b/>
          <w:bCs/>
          <w:sz w:val="24"/>
          <w:szCs w:val="24"/>
          <w:lang w:val="en-US" w:eastAsia="zh-CN"/>
        </w:rPr>
        <w:t>附表3.2-3</w:t>
      </w:r>
      <w:r>
        <w:rPr>
          <w:rFonts w:hint="eastAsia"/>
          <w:b/>
          <w:bCs/>
          <w:sz w:val="24"/>
          <w:szCs w:val="24"/>
        </w:rPr>
        <w:t>项目与相关场所、区域的安全距离</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54"/>
        <w:gridCol w:w="4465"/>
        <w:gridCol w:w="881"/>
      </w:tblGrid>
      <w:tr w14:paraId="493D6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913" w:type="dxa"/>
            <w:tcBorders>
              <w:top w:val="single" w:color="auto" w:sz="4" w:space="0"/>
              <w:left w:val="single" w:color="auto" w:sz="4" w:space="0"/>
              <w:bottom w:val="single" w:color="auto" w:sz="4" w:space="0"/>
              <w:right w:val="single" w:color="auto" w:sz="4" w:space="0"/>
            </w:tcBorders>
            <w:vAlign w:val="bottom"/>
          </w:tcPr>
          <w:p w14:paraId="63752421">
            <w:pPr>
              <w:pStyle w:val="1777"/>
            </w:pPr>
            <w:r>
              <w:rPr>
                <w:rFonts w:hint="eastAsia"/>
              </w:rPr>
              <w:t>相关场所、区域</w:t>
            </w:r>
          </w:p>
        </w:tc>
        <w:tc>
          <w:tcPr>
            <w:tcW w:w="4309" w:type="dxa"/>
            <w:tcBorders>
              <w:top w:val="single" w:color="auto" w:sz="4" w:space="0"/>
              <w:left w:val="nil"/>
              <w:bottom w:val="single" w:color="auto" w:sz="4" w:space="0"/>
              <w:right w:val="single" w:color="auto" w:sz="4" w:space="0"/>
            </w:tcBorders>
            <w:vAlign w:val="bottom"/>
          </w:tcPr>
          <w:p w14:paraId="4BD2303C">
            <w:pPr>
              <w:pStyle w:val="1777"/>
            </w:pPr>
            <w:r>
              <w:rPr>
                <w:rFonts w:hint="eastAsia"/>
              </w:rPr>
              <w:t>建设项目与周边距离</w:t>
            </w:r>
          </w:p>
        </w:tc>
        <w:tc>
          <w:tcPr>
            <w:tcW w:w="850" w:type="dxa"/>
            <w:tcBorders>
              <w:top w:val="single" w:color="auto" w:sz="4" w:space="0"/>
              <w:left w:val="nil"/>
              <w:bottom w:val="single" w:color="auto" w:sz="4" w:space="0"/>
              <w:right w:val="single" w:color="auto" w:sz="4" w:space="0"/>
            </w:tcBorders>
            <w:vAlign w:val="center"/>
          </w:tcPr>
          <w:p w14:paraId="5B89874B">
            <w:pPr>
              <w:pStyle w:val="1777"/>
            </w:pPr>
            <w:r>
              <w:rPr>
                <w:rFonts w:hint="eastAsia"/>
              </w:rPr>
              <w:t>结论</w:t>
            </w:r>
          </w:p>
        </w:tc>
      </w:tr>
      <w:tr w14:paraId="7846C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13" w:type="dxa"/>
            <w:tcBorders>
              <w:top w:val="single" w:color="auto" w:sz="4" w:space="0"/>
              <w:left w:val="single" w:color="auto" w:sz="4" w:space="0"/>
              <w:bottom w:val="single" w:color="auto" w:sz="4" w:space="0"/>
              <w:right w:val="single" w:color="auto" w:sz="4" w:space="0"/>
            </w:tcBorders>
            <w:vAlign w:val="center"/>
          </w:tcPr>
          <w:p w14:paraId="79747A17">
            <w:pPr>
              <w:pStyle w:val="1777"/>
            </w:pPr>
            <w:r>
              <w:rPr>
                <w:rFonts w:hint="eastAsia"/>
              </w:rPr>
              <w:t>1、居民区、商业中心、公园等人口密集区域</w:t>
            </w:r>
          </w:p>
        </w:tc>
        <w:tc>
          <w:tcPr>
            <w:tcW w:w="4309" w:type="dxa"/>
            <w:tcBorders>
              <w:top w:val="single" w:color="auto" w:sz="4" w:space="0"/>
              <w:left w:val="nil"/>
              <w:bottom w:val="single" w:color="auto" w:sz="4" w:space="0"/>
              <w:right w:val="single" w:color="auto" w:sz="4" w:space="0"/>
            </w:tcBorders>
            <w:vAlign w:val="center"/>
          </w:tcPr>
          <w:p w14:paraId="61F75334">
            <w:pPr>
              <w:pStyle w:val="1777"/>
            </w:pPr>
            <w:r>
              <w:rPr>
                <w:rFonts w:hint="eastAsia"/>
              </w:rPr>
              <w:t>周边无居民区、商业中心、公园等人口密集区域。</w:t>
            </w:r>
          </w:p>
        </w:tc>
        <w:tc>
          <w:tcPr>
            <w:tcW w:w="850" w:type="dxa"/>
            <w:tcBorders>
              <w:top w:val="single" w:color="auto" w:sz="4" w:space="0"/>
              <w:left w:val="nil"/>
              <w:bottom w:val="single" w:color="auto" w:sz="4" w:space="0"/>
              <w:right w:val="single" w:color="auto" w:sz="4" w:space="0"/>
            </w:tcBorders>
            <w:vAlign w:val="center"/>
          </w:tcPr>
          <w:p w14:paraId="42D042F9">
            <w:pPr>
              <w:pStyle w:val="1777"/>
            </w:pPr>
            <w:r>
              <w:rPr>
                <w:rFonts w:hint="eastAsia"/>
              </w:rPr>
              <w:t>符合</w:t>
            </w:r>
          </w:p>
        </w:tc>
      </w:tr>
      <w:tr w14:paraId="0539B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13" w:type="dxa"/>
            <w:tcBorders>
              <w:top w:val="single" w:color="auto" w:sz="4" w:space="0"/>
              <w:left w:val="single" w:color="auto" w:sz="4" w:space="0"/>
              <w:bottom w:val="single" w:color="auto" w:sz="4" w:space="0"/>
              <w:right w:val="single" w:color="auto" w:sz="4" w:space="0"/>
            </w:tcBorders>
            <w:vAlign w:val="center"/>
          </w:tcPr>
          <w:p w14:paraId="7046FA09">
            <w:pPr>
              <w:pStyle w:val="1777"/>
            </w:pPr>
            <w:r>
              <w:rPr>
                <w:rFonts w:hint="eastAsia"/>
              </w:rPr>
              <w:t>2、学校、医院、影剧院、体育场（馆）等公共设施</w:t>
            </w:r>
          </w:p>
        </w:tc>
        <w:tc>
          <w:tcPr>
            <w:tcW w:w="4309" w:type="dxa"/>
            <w:tcBorders>
              <w:top w:val="single" w:color="auto" w:sz="4" w:space="0"/>
              <w:left w:val="nil"/>
              <w:bottom w:val="single" w:color="auto" w:sz="4" w:space="0"/>
              <w:right w:val="single" w:color="auto" w:sz="4" w:space="0"/>
            </w:tcBorders>
            <w:vAlign w:val="center"/>
          </w:tcPr>
          <w:p w14:paraId="444B7F88">
            <w:pPr>
              <w:pStyle w:val="1777"/>
            </w:pPr>
            <w:r>
              <w:rPr>
                <w:rFonts w:hint="eastAsia"/>
              </w:rPr>
              <w:t>周边无学校、医院、影剧院、体育场（馆）等公共设施。</w:t>
            </w:r>
          </w:p>
        </w:tc>
        <w:tc>
          <w:tcPr>
            <w:tcW w:w="850" w:type="dxa"/>
            <w:tcBorders>
              <w:top w:val="single" w:color="auto" w:sz="4" w:space="0"/>
              <w:left w:val="nil"/>
              <w:bottom w:val="single" w:color="auto" w:sz="4" w:space="0"/>
              <w:right w:val="single" w:color="auto" w:sz="4" w:space="0"/>
            </w:tcBorders>
            <w:vAlign w:val="center"/>
          </w:tcPr>
          <w:p w14:paraId="5127A6BF">
            <w:pPr>
              <w:pStyle w:val="1777"/>
            </w:pPr>
            <w:r>
              <w:rPr>
                <w:rFonts w:hint="eastAsia"/>
              </w:rPr>
              <w:t>符合</w:t>
            </w:r>
          </w:p>
        </w:tc>
      </w:tr>
      <w:tr w14:paraId="5A87D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13" w:type="dxa"/>
            <w:tcBorders>
              <w:top w:val="single" w:color="auto" w:sz="4" w:space="0"/>
              <w:left w:val="single" w:color="auto" w:sz="4" w:space="0"/>
              <w:bottom w:val="single" w:color="auto" w:sz="4" w:space="0"/>
              <w:right w:val="single" w:color="auto" w:sz="4" w:space="0"/>
            </w:tcBorders>
            <w:vAlign w:val="center"/>
          </w:tcPr>
          <w:p w14:paraId="1ABD2E96">
            <w:pPr>
              <w:pStyle w:val="1777"/>
            </w:pPr>
            <w:r>
              <w:rPr>
                <w:rFonts w:hint="eastAsia"/>
              </w:rPr>
              <w:t>3、供水水源、水厂及水源保护区</w:t>
            </w:r>
          </w:p>
        </w:tc>
        <w:tc>
          <w:tcPr>
            <w:tcW w:w="4309" w:type="dxa"/>
            <w:tcBorders>
              <w:top w:val="single" w:color="auto" w:sz="4" w:space="0"/>
              <w:left w:val="nil"/>
              <w:bottom w:val="single" w:color="auto" w:sz="4" w:space="0"/>
              <w:right w:val="single" w:color="auto" w:sz="4" w:space="0"/>
            </w:tcBorders>
            <w:vAlign w:val="center"/>
          </w:tcPr>
          <w:p w14:paraId="2A37B2CB">
            <w:pPr>
              <w:pStyle w:val="1777"/>
            </w:pPr>
            <w:r>
              <w:rPr>
                <w:rFonts w:hint="eastAsia"/>
              </w:rPr>
              <w:t>无供水水源、水厂及水源保护区。</w:t>
            </w:r>
          </w:p>
        </w:tc>
        <w:tc>
          <w:tcPr>
            <w:tcW w:w="850" w:type="dxa"/>
            <w:tcBorders>
              <w:top w:val="single" w:color="auto" w:sz="4" w:space="0"/>
              <w:left w:val="nil"/>
              <w:bottom w:val="single" w:color="auto" w:sz="4" w:space="0"/>
              <w:right w:val="single" w:color="auto" w:sz="4" w:space="0"/>
            </w:tcBorders>
            <w:vAlign w:val="center"/>
          </w:tcPr>
          <w:p w14:paraId="2689A8F7">
            <w:pPr>
              <w:pStyle w:val="1777"/>
            </w:pPr>
            <w:r>
              <w:rPr>
                <w:rFonts w:hint="eastAsia"/>
              </w:rPr>
              <w:t>符合</w:t>
            </w:r>
          </w:p>
        </w:tc>
      </w:tr>
      <w:tr w14:paraId="1E6A2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13" w:type="dxa"/>
            <w:tcBorders>
              <w:top w:val="single" w:color="auto" w:sz="4" w:space="0"/>
              <w:left w:val="single" w:color="auto" w:sz="4" w:space="0"/>
              <w:bottom w:val="single" w:color="auto" w:sz="4" w:space="0"/>
              <w:right w:val="single" w:color="auto" w:sz="4" w:space="0"/>
            </w:tcBorders>
            <w:vAlign w:val="center"/>
          </w:tcPr>
          <w:p w14:paraId="00297187">
            <w:pPr>
              <w:pStyle w:val="1777"/>
            </w:pPr>
            <w:r>
              <w:rPr>
                <w:rFonts w:hint="eastAsia"/>
              </w:rPr>
              <w:t>4、车站、码头、机场以及公路、铁路、水路交通干线、地铁风亭及出入口</w:t>
            </w:r>
          </w:p>
        </w:tc>
        <w:tc>
          <w:tcPr>
            <w:tcW w:w="4309" w:type="dxa"/>
            <w:tcBorders>
              <w:top w:val="single" w:color="auto" w:sz="4" w:space="0"/>
              <w:left w:val="nil"/>
              <w:bottom w:val="single" w:color="auto" w:sz="4" w:space="0"/>
              <w:right w:val="single" w:color="auto" w:sz="4" w:space="0"/>
            </w:tcBorders>
            <w:vAlign w:val="center"/>
          </w:tcPr>
          <w:p w14:paraId="7C03CCB3">
            <w:pPr>
              <w:pStyle w:val="1777"/>
            </w:pPr>
            <w:r>
              <w:rPr>
                <w:rFonts w:hint="eastAsia"/>
              </w:rPr>
              <w:t>无车站、码头、机场以及公路、铁路、水路交通干线、地铁风亭及出入口。</w:t>
            </w:r>
          </w:p>
        </w:tc>
        <w:tc>
          <w:tcPr>
            <w:tcW w:w="850" w:type="dxa"/>
            <w:tcBorders>
              <w:top w:val="single" w:color="auto" w:sz="4" w:space="0"/>
              <w:left w:val="nil"/>
              <w:bottom w:val="single" w:color="auto" w:sz="4" w:space="0"/>
              <w:right w:val="single" w:color="auto" w:sz="4" w:space="0"/>
            </w:tcBorders>
            <w:vAlign w:val="center"/>
          </w:tcPr>
          <w:p w14:paraId="2B891492">
            <w:pPr>
              <w:pStyle w:val="1777"/>
            </w:pPr>
            <w:r>
              <w:rPr>
                <w:rFonts w:hint="eastAsia"/>
              </w:rPr>
              <w:t>符合</w:t>
            </w:r>
          </w:p>
        </w:tc>
      </w:tr>
      <w:tr w14:paraId="26055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13" w:type="dxa"/>
            <w:tcBorders>
              <w:top w:val="single" w:color="auto" w:sz="4" w:space="0"/>
              <w:left w:val="single" w:color="auto" w:sz="4" w:space="0"/>
              <w:bottom w:val="single" w:color="auto" w:sz="4" w:space="0"/>
              <w:right w:val="single" w:color="auto" w:sz="4" w:space="0"/>
            </w:tcBorders>
            <w:vAlign w:val="center"/>
          </w:tcPr>
          <w:p w14:paraId="5BB4A98F">
            <w:pPr>
              <w:pStyle w:val="1777"/>
            </w:pPr>
            <w:r>
              <w:rPr>
                <w:rFonts w:hint="eastAsia"/>
              </w:rPr>
              <w:t>5、基本农田保护区、畜牧区、渔业水域和种子、种畜、水产苗种生产基地</w:t>
            </w:r>
          </w:p>
        </w:tc>
        <w:tc>
          <w:tcPr>
            <w:tcW w:w="4309" w:type="dxa"/>
            <w:tcBorders>
              <w:top w:val="single" w:color="auto" w:sz="4" w:space="0"/>
              <w:left w:val="nil"/>
              <w:bottom w:val="single" w:color="auto" w:sz="4" w:space="0"/>
              <w:right w:val="single" w:color="auto" w:sz="4" w:space="0"/>
            </w:tcBorders>
            <w:vAlign w:val="center"/>
          </w:tcPr>
          <w:p w14:paraId="37509E27">
            <w:pPr>
              <w:pStyle w:val="1777"/>
            </w:pPr>
            <w:r>
              <w:rPr>
                <w:rFonts w:hint="eastAsia"/>
              </w:rPr>
              <w:t>周边不属于基本农田保护区、畜牧区、渔业水域和种子、种畜、水产苗种生产基地。</w:t>
            </w:r>
          </w:p>
        </w:tc>
        <w:tc>
          <w:tcPr>
            <w:tcW w:w="850" w:type="dxa"/>
            <w:tcBorders>
              <w:top w:val="single" w:color="auto" w:sz="4" w:space="0"/>
              <w:left w:val="nil"/>
              <w:bottom w:val="single" w:color="auto" w:sz="4" w:space="0"/>
              <w:right w:val="single" w:color="auto" w:sz="4" w:space="0"/>
            </w:tcBorders>
            <w:vAlign w:val="center"/>
          </w:tcPr>
          <w:p w14:paraId="7314A6A4">
            <w:pPr>
              <w:pStyle w:val="1777"/>
            </w:pPr>
            <w:r>
              <w:rPr>
                <w:rFonts w:hint="eastAsia"/>
              </w:rPr>
              <w:t>符合</w:t>
            </w:r>
          </w:p>
        </w:tc>
      </w:tr>
      <w:tr w14:paraId="682BB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13" w:type="dxa"/>
            <w:tcBorders>
              <w:top w:val="single" w:color="auto" w:sz="4" w:space="0"/>
              <w:left w:val="single" w:color="auto" w:sz="4" w:space="0"/>
              <w:bottom w:val="single" w:color="auto" w:sz="4" w:space="0"/>
              <w:right w:val="single" w:color="auto" w:sz="4" w:space="0"/>
            </w:tcBorders>
            <w:vAlign w:val="center"/>
          </w:tcPr>
          <w:p w14:paraId="521D1891">
            <w:pPr>
              <w:pStyle w:val="1777"/>
            </w:pPr>
            <w:r>
              <w:rPr>
                <w:rFonts w:hint="eastAsia"/>
              </w:rPr>
              <w:t>6、河流、湖泊、风景名胜和自然保护区</w:t>
            </w:r>
          </w:p>
        </w:tc>
        <w:tc>
          <w:tcPr>
            <w:tcW w:w="4309" w:type="dxa"/>
            <w:tcBorders>
              <w:top w:val="single" w:color="auto" w:sz="4" w:space="0"/>
              <w:left w:val="nil"/>
              <w:bottom w:val="single" w:color="auto" w:sz="4" w:space="0"/>
              <w:right w:val="single" w:color="auto" w:sz="4" w:space="0"/>
            </w:tcBorders>
            <w:vAlign w:val="center"/>
          </w:tcPr>
          <w:p w14:paraId="2C8F54B2">
            <w:pPr>
              <w:pStyle w:val="1777"/>
            </w:pPr>
            <w:r>
              <w:rPr>
                <w:rFonts w:hint="eastAsia"/>
              </w:rPr>
              <w:t xml:space="preserve">周边没有湖泊、风景名胜和自然保护区。 </w:t>
            </w:r>
          </w:p>
        </w:tc>
        <w:tc>
          <w:tcPr>
            <w:tcW w:w="850" w:type="dxa"/>
            <w:tcBorders>
              <w:top w:val="single" w:color="auto" w:sz="4" w:space="0"/>
              <w:left w:val="nil"/>
              <w:bottom w:val="single" w:color="auto" w:sz="4" w:space="0"/>
              <w:right w:val="single" w:color="auto" w:sz="4" w:space="0"/>
            </w:tcBorders>
            <w:vAlign w:val="center"/>
          </w:tcPr>
          <w:p w14:paraId="2BA3430E">
            <w:pPr>
              <w:pStyle w:val="1777"/>
            </w:pPr>
            <w:r>
              <w:rPr>
                <w:rFonts w:hint="eastAsia"/>
              </w:rPr>
              <w:t>符合</w:t>
            </w:r>
          </w:p>
        </w:tc>
      </w:tr>
      <w:tr w14:paraId="100C9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13" w:type="dxa"/>
            <w:tcBorders>
              <w:top w:val="single" w:color="auto" w:sz="4" w:space="0"/>
              <w:left w:val="single" w:color="auto" w:sz="4" w:space="0"/>
              <w:bottom w:val="single" w:color="auto" w:sz="4" w:space="0"/>
              <w:right w:val="single" w:color="auto" w:sz="4" w:space="0"/>
            </w:tcBorders>
            <w:vAlign w:val="center"/>
          </w:tcPr>
          <w:p w14:paraId="49105AC8">
            <w:pPr>
              <w:pStyle w:val="1777"/>
            </w:pPr>
            <w:r>
              <w:rPr>
                <w:rFonts w:hint="eastAsia"/>
              </w:rPr>
              <w:t>7、军事禁地、军事管理区</w:t>
            </w:r>
          </w:p>
        </w:tc>
        <w:tc>
          <w:tcPr>
            <w:tcW w:w="4309" w:type="dxa"/>
            <w:tcBorders>
              <w:top w:val="single" w:color="auto" w:sz="4" w:space="0"/>
              <w:left w:val="nil"/>
              <w:bottom w:val="single" w:color="auto" w:sz="4" w:space="0"/>
              <w:right w:val="single" w:color="auto" w:sz="4" w:space="0"/>
            </w:tcBorders>
            <w:vAlign w:val="center"/>
          </w:tcPr>
          <w:p w14:paraId="4ACA765E">
            <w:pPr>
              <w:pStyle w:val="1777"/>
            </w:pPr>
            <w:r>
              <w:rPr>
                <w:rFonts w:hint="eastAsia"/>
              </w:rPr>
              <w:t>周边无军事禁地、军事管理区。</w:t>
            </w:r>
          </w:p>
        </w:tc>
        <w:tc>
          <w:tcPr>
            <w:tcW w:w="850" w:type="dxa"/>
            <w:tcBorders>
              <w:top w:val="single" w:color="auto" w:sz="4" w:space="0"/>
              <w:left w:val="nil"/>
              <w:bottom w:val="single" w:color="auto" w:sz="4" w:space="0"/>
              <w:right w:val="single" w:color="auto" w:sz="4" w:space="0"/>
            </w:tcBorders>
            <w:vAlign w:val="center"/>
          </w:tcPr>
          <w:p w14:paraId="05AE94CE">
            <w:pPr>
              <w:pStyle w:val="1777"/>
            </w:pPr>
            <w:r>
              <w:rPr>
                <w:rFonts w:hint="eastAsia"/>
              </w:rPr>
              <w:t>符合</w:t>
            </w:r>
          </w:p>
        </w:tc>
      </w:tr>
      <w:tr w14:paraId="303C9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13" w:type="dxa"/>
            <w:tcBorders>
              <w:top w:val="single" w:color="auto" w:sz="4" w:space="0"/>
              <w:left w:val="single" w:color="auto" w:sz="4" w:space="0"/>
              <w:bottom w:val="single" w:color="auto" w:sz="4" w:space="0"/>
              <w:right w:val="single" w:color="auto" w:sz="4" w:space="0"/>
            </w:tcBorders>
            <w:vAlign w:val="center"/>
          </w:tcPr>
          <w:p w14:paraId="2E2B9E74">
            <w:pPr>
              <w:pStyle w:val="1777"/>
            </w:pPr>
            <w:r>
              <w:rPr>
                <w:rFonts w:hint="eastAsia"/>
              </w:rPr>
              <w:t>8、法律、行政法规规定予以保护的其他区域。</w:t>
            </w:r>
          </w:p>
        </w:tc>
        <w:tc>
          <w:tcPr>
            <w:tcW w:w="4309" w:type="dxa"/>
            <w:tcBorders>
              <w:top w:val="single" w:color="auto" w:sz="4" w:space="0"/>
              <w:left w:val="nil"/>
              <w:bottom w:val="single" w:color="auto" w:sz="4" w:space="0"/>
              <w:right w:val="single" w:color="auto" w:sz="4" w:space="0"/>
            </w:tcBorders>
            <w:vAlign w:val="center"/>
          </w:tcPr>
          <w:p w14:paraId="3FEEF512">
            <w:pPr>
              <w:pStyle w:val="1777"/>
            </w:pPr>
            <w:r>
              <w:rPr>
                <w:rFonts w:hint="eastAsia"/>
              </w:rPr>
              <w:t>无法律、行政法规规定予以保护的其他区域。</w:t>
            </w:r>
          </w:p>
        </w:tc>
        <w:tc>
          <w:tcPr>
            <w:tcW w:w="850" w:type="dxa"/>
            <w:tcBorders>
              <w:top w:val="single" w:color="auto" w:sz="4" w:space="0"/>
              <w:left w:val="nil"/>
              <w:bottom w:val="single" w:color="auto" w:sz="4" w:space="0"/>
              <w:right w:val="single" w:color="auto" w:sz="4" w:space="0"/>
            </w:tcBorders>
            <w:vAlign w:val="center"/>
          </w:tcPr>
          <w:p w14:paraId="4D6FAE25">
            <w:pPr>
              <w:pStyle w:val="1777"/>
            </w:pPr>
            <w:r>
              <w:rPr>
                <w:rFonts w:hint="eastAsia"/>
              </w:rPr>
              <w:t>符合</w:t>
            </w:r>
          </w:p>
        </w:tc>
      </w:tr>
    </w:tbl>
    <w:p w14:paraId="6C2898AD">
      <w:pPr>
        <w:ind w:firstLine="560" w:firstLineChars="200"/>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综上所述，项目所在地与《危险化学品安全管理条例》所规定的八个方面场所、区域的安全距离符合要求，建设项目符合现行的产业政策、能源政策、土地政策、行业准入制度，符合当地政府工业布局和区域规划要求。</w:t>
      </w:r>
    </w:p>
    <w:p w14:paraId="02429532">
      <w:pPr>
        <w:pStyle w:val="5"/>
        <w:keepNext/>
        <w:keepLines/>
        <w:pageBreakBefore w:val="0"/>
        <w:widowControl w:val="0"/>
        <w:numPr>
          <w:ilvl w:val="2"/>
          <w:numId w:val="0"/>
        </w:numPr>
        <w:kinsoku/>
        <w:wordWrap/>
        <w:overflowPunct/>
        <w:topLinePunct w:val="0"/>
        <w:autoSpaceDE/>
        <w:autoSpaceDN/>
        <w:bidi w:val="0"/>
        <w:adjustRightInd/>
        <w:snapToGrid w:val="0"/>
        <w:spacing w:line="360" w:lineRule="auto"/>
        <w:ind w:leftChars="0" w:firstLine="964" w:firstLineChars="300"/>
        <w:jc w:val="both"/>
        <w:textAlignment w:val="auto"/>
        <w:rPr>
          <w:rFonts w:hint="eastAsia" w:ascii="Times New Roman" w:hAnsi="Times New Roman" w:cs="Times New Roman"/>
          <w:snapToGrid w:val="0"/>
          <w:color w:val="000000"/>
          <w:kern w:val="0"/>
          <w:sz w:val="32"/>
          <w:lang w:val="en-US" w:eastAsia="zh-CN"/>
        </w:rPr>
      </w:pPr>
      <w:bookmarkStart w:id="1099" w:name="_Toc32326"/>
      <w:r>
        <w:rPr>
          <w:rFonts w:hint="eastAsia" w:ascii="Times New Roman" w:hAnsi="Times New Roman" w:cs="Times New Roman"/>
          <w:snapToGrid w:val="0"/>
          <w:color w:val="000000"/>
          <w:kern w:val="0"/>
          <w:sz w:val="32"/>
          <w:lang w:val="en-US" w:eastAsia="zh-CN"/>
        </w:rPr>
        <w:t>3.2.3工艺及装置分析评价</w:t>
      </w:r>
      <w:bookmarkEnd w:id="1098"/>
      <w:bookmarkEnd w:id="1099"/>
    </w:p>
    <w:p w14:paraId="2C00F3A1">
      <w:pPr>
        <w:ind w:firstLine="560" w:firstLineChars="200"/>
        <w:rPr>
          <w:rFonts w:hint="default" w:ascii="Times New Roman" w:hAnsi="Times New Roman" w:eastAsia="宋体"/>
          <w:color w:val="auto"/>
          <w:sz w:val="28"/>
          <w:szCs w:val="28"/>
          <w:lang w:val="en-US" w:eastAsia="zh-CN"/>
        </w:rPr>
      </w:pPr>
      <w:r>
        <w:rPr>
          <w:rFonts w:hint="eastAsia" w:ascii="Times New Roman" w:hAnsi="Times New Roman"/>
          <w:color w:val="auto"/>
          <w:sz w:val="28"/>
          <w:szCs w:val="28"/>
          <w:lang w:val="en-US" w:eastAsia="zh-CN"/>
        </w:rPr>
        <w:t>1、工艺技术风险分析</w:t>
      </w:r>
    </w:p>
    <w:p w14:paraId="633AF602">
      <w:pPr>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根据</w:t>
      </w:r>
      <w:r>
        <w:rPr>
          <w:rFonts w:hint="default" w:ascii="Times New Roman" w:hAnsi="Times New Roman" w:eastAsia="宋体" w:cs="宋体"/>
          <w:color w:val="auto"/>
          <w:sz w:val="28"/>
          <w:szCs w:val="28"/>
        </w:rPr>
        <w:t>《中华人民共和国安全生产法》</w:t>
      </w:r>
      <w:r>
        <w:rPr>
          <w:rFonts w:hint="eastAsia" w:ascii="Times New Roman" w:hAnsi="Times New Roman" w:eastAsia="宋体" w:cs="宋体"/>
          <w:color w:val="auto"/>
          <w:sz w:val="28"/>
          <w:szCs w:val="28"/>
        </w:rPr>
        <w:t>（中华人民共和国主席令第13号，根据中华人民共和国主席令第88号修订，2021年09月01日施行）</w:t>
      </w:r>
      <w:r>
        <w:rPr>
          <w:rFonts w:hint="eastAsia" w:ascii="Times New Roman" w:hAnsi="Times New Roman" w:eastAsia="宋体" w:cs="宋体"/>
          <w:color w:val="auto"/>
          <w:sz w:val="28"/>
          <w:szCs w:val="28"/>
          <w:lang w:eastAsia="zh-CN"/>
        </w:rPr>
        <w:t>、</w:t>
      </w:r>
      <w:r>
        <w:rPr>
          <w:rFonts w:hint="eastAsia" w:ascii="Times New Roman" w:hAnsi="Times New Roman" w:eastAsia="宋体" w:cs="宋体"/>
          <w:color w:val="auto"/>
          <w:sz w:val="28"/>
          <w:szCs w:val="28"/>
        </w:rPr>
        <w:t>《压力管道规范 工业管道 第 2 部分:材料》（GB/T20801.2-2020）</w:t>
      </w:r>
      <w:r>
        <w:rPr>
          <w:rFonts w:hint="eastAsia" w:ascii="Times New Roman" w:hAnsi="Times New Roman" w:eastAsia="宋体" w:cs="宋体"/>
          <w:color w:val="auto"/>
          <w:sz w:val="28"/>
          <w:szCs w:val="28"/>
          <w:lang w:val="en-US" w:eastAsia="zh-CN"/>
        </w:rPr>
        <w:t>、</w:t>
      </w:r>
      <w:r>
        <w:rPr>
          <w:rFonts w:hint="default" w:ascii="Times New Roman" w:hAnsi="Times New Roman" w:eastAsia="宋体" w:cs="宋体"/>
          <w:color w:val="auto"/>
          <w:sz w:val="28"/>
          <w:szCs w:val="28"/>
          <w:lang w:val="zh-CN" w:eastAsia="zh-CN"/>
        </w:rPr>
        <w:t>《淘汰落后危险化学品安全生产工艺技术设备目录（第一批）》（应急厅〔2020〕38号）</w:t>
      </w:r>
      <w:r>
        <w:rPr>
          <w:rFonts w:hint="eastAsia" w:ascii="Times New Roman" w:hAnsi="Times New Roman" w:eastAsia="宋体" w:cs="宋体"/>
          <w:color w:val="auto"/>
          <w:sz w:val="28"/>
          <w:szCs w:val="28"/>
        </w:rPr>
        <w:t>、</w:t>
      </w:r>
      <w:r>
        <w:rPr>
          <w:rFonts w:hint="eastAsia" w:ascii="Times New Roman" w:hAnsi="Times New Roman" w:eastAsia="宋体" w:cs="宋体"/>
          <w:color w:val="auto"/>
          <w:sz w:val="28"/>
          <w:szCs w:val="28"/>
          <w:lang w:val="zh-CN" w:eastAsia="zh-CN"/>
        </w:rPr>
        <w:t>应急管理部办公厅关于印发《淘汰落后危险化学品安全生产工艺技术设备目录（第二批）》的通知（应急厅〔2024〕86号）、</w:t>
      </w:r>
      <w:r>
        <w:rPr>
          <w:rFonts w:hint="eastAsia" w:ascii="Times New Roman" w:hAnsi="Times New Roman" w:eastAsia="宋体" w:cs="宋体"/>
          <w:color w:val="auto"/>
          <w:sz w:val="28"/>
          <w:szCs w:val="28"/>
        </w:rPr>
        <w:t>《淘汰落后安全技术工艺、设备目录（2016年）》、《淘汰落后安全技术装备目录（2015年第一批）》，《危险化学品生产建设项目安全风险防控指南（试行）》、《云南省化工项目安全准入条件（试行）》（云安办〔2022〕1号）等文件对本项目的工艺技术及装备进行风险分析，具体的分析情况如下表所示：</w:t>
      </w:r>
    </w:p>
    <w:p w14:paraId="100905F6">
      <w:pPr>
        <w:keepNext w:val="0"/>
        <w:keepLines w:val="0"/>
        <w:pageBreakBefore w:val="0"/>
        <w:widowControl w:val="0"/>
        <w:kinsoku/>
        <w:wordWrap/>
        <w:overflowPunct/>
        <w:topLinePunct w:val="0"/>
        <w:autoSpaceDE/>
        <w:autoSpaceDN/>
        <w:bidi w:val="0"/>
        <w:adjustRightInd w:val="0"/>
        <w:snapToGrid/>
        <w:ind w:firstLine="562" w:firstLineChars="200"/>
        <w:jc w:val="center"/>
        <w:textAlignment w:val="auto"/>
        <w:rPr>
          <w:rFonts w:ascii="Times New Roman" w:hAnsi="Times New Roman"/>
          <w:b/>
          <w:bCs/>
          <w:color w:val="auto"/>
        </w:rPr>
      </w:pPr>
      <w:r>
        <w:rPr>
          <w:rFonts w:hint="eastAsia" w:ascii="Times New Roman" w:hAnsi="Times New Roman"/>
          <w:b/>
          <w:bCs/>
          <w:color w:val="auto"/>
          <w:lang w:val="en-US" w:eastAsia="zh-CN"/>
        </w:rPr>
        <w:t>附</w:t>
      </w:r>
      <w:r>
        <w:rPr>
          <w:rFonts w:hint="eastAsia" w:ascii="Times New Roman" w:hAnsi="Times New Roman"/>
          <w:b/>
          <w:bCs/>
          <w:color w:val="auto"/>
        </w:rPr>
        <w:t>表</w:t>
      </w:r>
      <w:r>
        <w:rPr>
          <w:rFonts w:ascii="Times New Roman" w:hAnsi="Times New Roman"/>
          <w:b/>
          <w:bCs/>
          <w:color w:val="auto"/>
        </w:rPr>
        <w:t>3</w:t>
      </w:r>
      <w:r>
        <w:rPr>
          <w:rFonts w:hint="eastAsia" w:ascii="Times New Roman"/>
          <w:b/>
          <w:bCs/>
          <w:color w:val="auto"/>
          <w:lang w:val="en-US" w:eastAsia="zh-CN"/>
        </w:rPr>
        <w:t>.2</w:t>
      </w:r>
      <w:r>
        <w:rPr>
          <w:rFonts w:hint="eastAsia" w:ascii="Times New Roman" w:hAnsi="Times New Roman"/>
          <w:b/>
          <w:bCs/>
          <w:color w:val="auto"/>
        </w:rPr>
        <w:t>-</w:t>
      </w:r>
      <w:r>
        <w:rPr>
          <w:rFonts w:hint="eastAsia" w:ascii="Times New Roman" w:hAnsi="Times New Roman"/>
          <w:b/>
          <w:bCs/>
          <w:color w:val="auto"/>
          <w:lang w:val="en-US" w:eastAsia="zh-CN"/>
        </w:rPr>
        <w:t>4</w:t>
      </w:r>
      <w:r>
        <w:rPr>
          <w:rFonts w:hint="eastAsia" w:ascii="Times New Roman" w:hAnsi="Times New Roman"/>
          <w:b/>
          <w:bCs/>
          <w:color w:val="auto"/>
        </w:rPr>
        <w:t xml:space="preserve"> 工艺技术风险分析表</w:t>
      </w:r>
    </w:p>
    <w:tbl>
      <w:tblPr>
        <w:tblStyle w:val="8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3112"/>
        <w:gridCol w:w="2490"/>
        <w:gridCol w:w="2502"/>
        <w:gridCol w:w="638"/>
      </w:tblGrid>
      <w:tr w14:paraId="2B26D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658" w:type="dxa"/>
            <w:tcBorders>
              <w:top w:val="single" w:color="auto" w:sz="4" w:space="0"/>
              <w:left w:val="single" w:color="auto" w:sz="4" w:space="0"/>
              <w:bottom w:val="single" w:color="auto" w:sz="4" w:space="0"/>
              <w:right w:val="single" w:color="auto" w:sz="4" w:space="0"/>
            </w:tcBorders>
            <w:vAlign w:val="center"/>
          </w:tcPr>
          <w:p w14:paraId="56368367">
            <w:pPr>
              <w:spacing w:line="273" w:lineRule="auto"/>
              <w:jc w:val="center"/>
              <w:rPr>
                <w:rFonts w:ascii="Times New Roman" w:hAnsi="Times New Roman"/>
                <w:b/>
                <w:bCs/>
                <w:color w:val="auto"/>
                <w:sz w:val="21"/>
                <w:szCs w:val="21"/>
              </w:rPr>
            </w:pPr>
            <w:r>
              <w:rPr>
                <w:rFonts w:hint="eastAsia" w:ascii="宋体" w:hAnsi="宋体"/>
                <w:b/>
                <w:bCs/>
                <w:color w:val="auto"/>
                <w:sz w:val="21"/>
                <w:szCs w:val="21"/>
              </w:rPr>
              <w:t>序号</w:t>
            </w:r>
          </w:p>
        </w:tc>
        <w:tc>
          <w:tcPr>
            <w:tcW w:w="3112" w:type="dxa"/>
            <w:tcBorders>
              <w:top w:val="single" w:color="auto" w:sz="4" w:space="0"/>
              <w:left w:val="single" w:color="auto" w:sz="4" w:space="0"/>
              <w:bottom w:val="single" w:color="auto" w:sz="4" w:space="0"/>
              <w:right w:val="single" w:color="auto" w:sz="4" w:space="0"/>
            </w:tcBorders>
            <w:vAlign w:val="center"/>
          </w:tcPr>
          <w:p w14:paraId="6F6419FD">
            <w:pPr>
              <w:spacing w:line="273" w:lineRule="auto"/>
              <w:jc w:val="center"/>
              <w:rPr>
                <w:rFonts w:ascii="Times New Roman" w:hAnsi="Times New Roman"/>
                <w:b/>
                <w:bCs/>
                <w:color w:val="auto"/>
                <w:sz w:val="21"/>
                <w:szCs w:val="21"/>
              </w:rPr>
            </w:pPr>
            <w:r>
              <w:rPr>
                <w:rFonts w:hint="eastAsia" w:ascii="宋体" w:hAnsi="宋体"/>
                <w:b/>
                <w:bCs/>
                <w:color w:val="auto"/>
                <w:sz w:val="21"/>
                <w:szCs w:val="21"/>
              </w:rPr>
              <w:t>内容</w:t>
            </w:r>
          </w:p>
        </w:tc>
        <w:tc>
          <w:tcPr>
            <w:tcW w:w="2490" w:type="dxa"/>
            <w:tcBorders>
              <w:top w:val="single" w:color="auto" w:sz="4" w:space="0"/>
              <w:left w:val="single" w:color="auto" w:sz="4" w:space="0"/>
              <w:bottom w:val="single" w:color="auto" w:sz="4" w:space="0"/>
              <w:right w:val="single" w:color="auto" w:sz="4" w:space="0"/>
            </w:tcBorders>
            <w:vAlign w:val="center"/>
          </w:tcPr>
          <w:p w14:paraId="4CE18775">
            <w:pPr>
              <w:spacing w:line="273" w:lineRule="auto"/>
              <w:jc w:val="center"/>
              <w:rPr>
                <w:rFonts w:ascii="Times New Roman" w:hAnsi="Times New Roman"/>
                <w:b/>
                <w:bCs/>
                <w:color w:val="auto"/>
                <w:sz w:val="21"/>
                <w:szCs w:val="21"/>
              </w:rPr>
            </w:pPr>
            <w:r>
              <w:rPr>
                <w:rFonts w:hint="eastAsia" w:ascii="宋体" w:hAnsi="宋体"/>
                <w:b/>
                <w:bCs/>
                <w:color w:val="auto"/>
                <w:sz w:val="21"/>
                <w:szCs w:val="21"/>
              </w:rPr>
              <w:t>依</w:t>
            </w:r>
            <w:r>
              <w:rPr>
                <w:rFonts w:hint="eastAsia" w:ascii="Times New Roman" w:hAnsi="Times New Roman"/>
                <w:b/>
                <w:bCs/>
                <w:color w:val="auto"/>
                <w:sz w:val="21"/>
                <w:szCs w:val="21"/>
              </w:rPr>
              <w:t xml:space="preserve"> </w:t>
            </w:r>
            <w:r>
              <w:rPr>
                <w:rFonts w:hint="eastAsia" w:ascii="宋体" w:hAnsi="宋体"/>
                <w:b/>
                <w:bCs/>
                <w:color w:val="auto"/>
                <w:sz w:val="21"/>
                <w:szCs w:val="21"/>
              </w:rPr>
              <w:t>据</w:t>
            </w:r>
          </w:p>
        </w:tc>
        <w:tc>
          <w:tcPr>
            <w:tcW w:w="2502" w:type="dxa"/>
            <w:tcBorders>
              <w:top w:val="single" w:color="auto" w:sz="4" w:space="0"/>
              <w:left w:val="single" w:color="auto" w:sz="4" w:space="0"/>
              <w:bottom w:val="single" w:color="auto" w:sz="4" w:space="0"/>
              <w:right w:val="single" w:color="auto" w:sz="4" w:space="0"/>
            </w:tcBorders>
            <w:vAlign w:val="center"/>
          </w:tcPr>
          <w:p w14:paraId="3D917ACB">
            <w:pPr>
              <w:spacing w:line="273" w:lineRule="auto"/>
              <w:jc w:val="center"/>
              <w:rPr>
                <w:rFonts w:ascii="Times New Roman" w:hAnsi="Times New Roman"/>
                <w:b/>
                <w:bCs/>
                <w:color w:val="auto"/>
                <w:sz w:val="21"/>
                <w:szCs w:val="21"/>
              </w:rPr>
            </w:pPr>
            <w:r>
              <w:rPr>
                <w:rFonts w:hint="eastAsia" w:ascii="宋体" w:hAnsi="宋体"/>
                <w:b/>
                <w:bCs/>
                <w:color w:val="auto"/>
                <w:sz w:val="21"/>
                <w:szCs w:val="21"/>
              </w:rPr>
              <w:t>项目情况</w:t>
            </w:r>
          </w:p>
        </w:tc>
        <w:tc>
          <w:tcPr>
            <w:tcW w:w="638" w:type="dxa"/>
            <w:tcBorders>
              <w:top w:val="single" w:color="auto" w:sz="4" w:space="0"/>
              <w:left w:val="single" w:color="auto" w:sz="4" w:space="0"/>
              <w:bottom w:val="single" w:color="auto" w:sz="4" w:space="0"/>
              <w:right w:val="single" w:color="auto" w:sz="4" w:space="0"/>
            </w:tcBorders>
            <w:vAlign w:val="center"/>
          </w:tcPr>
          <w:p w14:paraId="0532B22D">
            <w:pPr>
              <w:spacing w:line="273" w:lineRule="auto"/>
              <w:jc w:val="center"/>
              <w:rPr>
                <w:rFonts w:ascii="Times New Roman" w:hAnsi="Times New Roman"/>
                <w:b/>
                <w:bCs/>
                <w:color w:val="auto"/>
                <w:sz w:val="21"/>
                <w:szCs w:val="21"/>
              </w:rPr>
            </w:pPr>
            <w:r>
              <w:rPr>
                <w:rFonts w:hint="eastAsia" w:ascii="宋体" w:hAnsi="宋体"/>
                <w:b/>
                <w:bCs/>
                <w:color w:val="auto"/>
                <w:sz w:val="21"/>
                <w:szCs w:val="21"/>
              </w:rPr>
              <w:t>结论</w:t>
            </w:r>
          </w:p>
        </w:tc>
      </w:tr>
      <w:tr w14:paraId="6E556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8" w:type="dxa"/>
            <w:tcBorders>
              <w:top w:val="single" w:color="auto" w:sz="4" w:space="0"/>
              <w:left w:val="single" w:color="auto" w:sz="4" w:space="0"/>
              <w:bottom w:val="single" w:color="auto" w:sz="4" w:space="0"/>
              <w:right w:val="single" w:color="auto" w:sz="4" w:space="0"/>
            </w:tcBorders>
            <w:vAlign w:val="center"/>
          </w:tcPr>
          <w:p w14:paraId="58D0108B">
            <w:pPr>
              <w:spacing w:line="273" w:lineRule="auto"/>
              <w:jc w:val="center"/>
              <w:rPr>
                <w:rFonts w:ascii="Times New Roman" w:hAnsi="Times New Roman"/>
                <w:color w:val="auto"/>
                <w:sz w:val="21"/>
                <w:szCs w:val="21"/>
              </w:rPr>
            </w:pPr>
            <w:r>
              <w:rPr>
                <w:rFonts w:hint="eastAsia" w:ascii="Times New Roman" w:hAnsi="Times New Roman" w:cs="Times New Roman"/>
                <w:color w:val="auto"/>
                <w:sz w:val="21"/>
                <w:szCs w:val="21"/>
              </w:rPr>
              <w:t>1</w:t>
            </w:r>
          </w:p>
        </w:tc>
        <w:tc>
          <w:tcPr>
            <w:tcW w:w="3112" w:type="dxa"/>
            <w:tcBorders>
              <w:top w:val="single" w:color="auto" w:sz="4" w:space="0"/>
              <w:left w:val="single" w:color="auto" w:sz="4" w:space="0"/>
              <w:bottom w:val="single" w:color="auto" w:sz="4" w:space="0"/>
              <w:right w:val="single" w:color="auto" w:sz="4" w:space="0"/>
            </w:tcBorders>
            <w:vAlign w:val="center"/>
          </w:tcPr>
          <w:p w14:paraId="4E334FED">
            <w:pPr>
              <w:spacing w:line="273" w:lineRule="auto"/>
              <w:rPr>
                <w:rFonts w:ascii="宋体" w:hAnsi="宋体" w:eastAsia="宋体" w:cs="宋体"/>
                <w:color w:val="auto"/>
                <w:sz w:val="21"/>
                <w:szCs w:val="21"/>
              </w:rPr>
            </w:pPr>
            <w:r>
              <w:rPr>
                <w:rFonts w:ascii="宋体" w:hAnsi="宋体" w:eastAsia="宋体" w:cs="宋体"/>
                <w:color w:val="auto"/>
                <w:sz w:val="21"/>
                <w:szCs w:val="21"/>
              </w:rPr>
              <w:t>生产经营单位不得使用应当淘汰的危及生产安全的工艺、设备。</w:t>
            </w:r>
          </w:p>
        </w:tc>
        <w:tc>
          <w:tcPr>
            <w:tcW w:w="2490" w:type="dxa"/>
            <w:tcBorders>
              <w:top w:val="single" w:color="auto" w:sz="4" w:space="0"/>
              <w:left w:val="single" w:color="auto" w:sz="4" w:space="0"/>
              <w:bottom w:val="single" w:color="auto" w:sz="4" w:space="0"/>
              <w:right w:val="single" w:color="auto" w:sz="4" w:space="0"/>
            </w:tcBorders>
            <w:vAlign w:val="center"/>
          </w:tcPr>
          <w:p w14:paraId="303F7B85">
            <w:pPr>
              <w:spacing w:line="273" w:lineRule="auto"/>
              <w:rPr>
                <w:rFonts w:hint="eastAsia" w:ascii="宋体" w:hAnsi="宋体" w:eastAsia="宋体" w:cs="宋体"/>
                <w:color w:val="auto"/>
                <w:sz w:val="21"/>
                <w:szCs w:val="21"/>
              </w:rPr>
            </w:pPr>
            <w:r>
              <w:rPr>
                <w:rFonts w:ascii="宋体" w:hAnsi="宋体" w:eastAsia="宋体" w:cs="宋体"/>
                <w:color w:val="auto"/>
                <w:sz w:val="21"/>
                <w:szCs w:val="21"/>
              </w:rPr>
              <w:t>《中华人民共和国安全生产法》</w:t>
            </w:r>
            <w:r>
              <w:rPr>
                <w:rFonts w:hint="eastAsia" w:ascii="宋体" w:hAnsi="宋体" w:eastAsia="宋体" w:cs="宋体"/>
                <w:color w:val="auto"/>
                <w:sz w:val="21"/>
                <w:szCs w:val="21"/>
              </w:rPr>
              <w:t>（中华人民共和国主席令第13号，根据中华人民共和国主席令第88号修订，2021年09月01日施行）</w:t>
            </w:r>
          </w:p>
          <w:p w14:paraId="7D02AA6D">
            <w:pPr>
              <w:spacing w:line="273" w:lineRule="auto"/>
              <w:rPr>
                <w:rFonts w:ascii="宋体" w:hAnsi="宋体" w:eastAsia="宋体" w:cs="宋体"/>
                <w:color w:val="auto"/>
                <w:sz w:val="21"/>
                <w:szCs w:val="21"/>
              </w:rPr>
            </w:pPr>
            <w:r>
              <w:rPr>
                <w:rFonts w:ascii="宋体" w:hAnsi="宋体" w:eastAsia="宋体" w:cs="宋体"/>
                <w:color w:val="auto"/>
                <w:sz w:val="21"/>
                <w:szCs w:val="21"/>
              </w:rPr>
              <w:t>第三十</w:t>
            </w:r>
            <w:r>
              <w:rPr>
                <w:rFonts w:hint="eastAsia" w:ascii="宋体" w:hAnsi="宋体" w:eastAsia="宋体" w:cs="宋体"/>
                <w:color w:val="auto"/>
                <w:sz w:val="21"/>
                <w:szCs w:val="21"/>
              </w:rPr>
              <w:t>八</w:t>
            </w:r>
            <w:r>
              <w:rPr>
                <w:rFonts w:ascii="宋体" w:hAnsi="宋体" w:eastAsia="宋体" w:cs="宋体"/>
                <w:color w:val="auto"/>
                <w:sz w:val="21"/>
                <w:szCs w:val="21"/>
              </w:rPr>
              <w:t>条</w:t>
            </w:r>
          </w:p>
        </w:tc>
        <w:tc>
          <w:tcPr>
            <w:tcW w:w="2502" w:type="dxa"/>
            <w:tcBorders>
              <w:top w:val="single" w:color="auto" w:sz="4" w:space="0"/>
              <w:left w:val="single" w:color="auto" w:sz="4" w:space="0"/>
              <w:bottom w:val="single" w:color="auto" w:sz="4" w:space="0"/>
              <w:right w:val="single" w:color="auto" w:sz="4" w:space="0"/>
            </w:tcBorders>
            <w:vAlign w:val="center"/>
          </w:tcPr>
          <w:p w14:paraId="74EAAEF3">
            <w:pPr>
              <w:spacing w:line="273" w:lineRule="auto"/>
              <w:rPr>
                <w:rFonts w:ascii="宋体" w:hAnsi="宋体" w:eastAsia="宋体" w:cs="宋体"/>
                <w:color w:val="auto"/>
                <w:sz w:val="21"/>
                <w:szCs w:val="21"/>
              </w:rPr>
            </w:pPr>
            <w:r>
              <w:rPr>
                <w:rFonts w:ascii="宋体" w:hAnsi="宋体" w:eastAsia="宋体" w:cs="宋体"/>
                <w:color w:val="auto"/>
                <w:sz w:val="21"/>
                <w:szCs w:val="21"/>
              </w:rPr>
              <w:t>该项目</w:t>
            </w:r>
            <w:r>
              <w:rPr>
                <w:rFonts w:hint="eastAsia" w:ascii="宋体" w:hAnsi="宋体" w:eastAsia="宋体" w:cs="宋体"/>
                <w:color w:val="auto"/>
                <w:sz w:val="21"/>
                <w:szCs w:val="21"/>
              </w:rPr>
              <w:t>未</w:t>
            </w:r>
            <w:r>
              <w:rPr>
                <w:rFonts w:ascii="宋体" w:hAnsi="宋体" w:eastAsia="宋体" w:cs="宋体"/>
                <w:color w:val="auto"/>
                <w:sz w:val="21"/>
                <w:szCs w:val="21"/>
              </w:rPr>
              <w:t>使用应当淘汰的危及生产安全的工艺、设备。</w:t>
            </w:r>
          </w:p>
        </w:tc>
        <w:tc>
          <w:tcPr>
            <w:tcW w:w="638" w:type="dxa"/>
            <w:tcBorders>
              <w:top w:val="single" w:color="auto" w:sz="4" w:space="0"/>
              <w:left w:val="single" w:color="auto" w:sz="4" w:space="0"/>
              <w:bottom w:val="single" w:color="auto" w:sz="4" w:space="0"/>
              <w:right w:val="single" w:color="auto" w:sz="4" w:space="0"/>
            </w:tcBorders>
            <w:vAlign w:val="center"/>
          </w:tcPr>
          <w:p w14:paraId="2E241406">
            <w:pPr>
              <w:spacing w:line="273" w:lineRule="auto"/>
              <w:rPr>
                <w:rFonts w:ascii="宋体" w:hAnsi="宋体" w:eastAsia="宋体" w:cs="宋体"/>
                <w:color w:val="auto"/>
                <w:sz w:val="21"/>
                <w:szCs w:val="21"/>
              </w:rPr>
            </w:pPr>
            <w:r>
              <w:rPr>
                <w:rFonts w:ascii="宋体" w:hAnsi="宋体" w:eastAsia="宋体" w:cs="宋体"/>
                <w:color w:val="auto"/>
                <w:sz w:val="21"/>
                <w:szCs w:val="21"/>
              </w:rPr>
              <w:t>符合</w:t>
            </w:r>
          </w:p>
        </w:tc>
      </w:tr>
      <w:tr w14:paraId="429DB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8" w:type="dxa"/>
            <w:tcBorders>
              <w:top w:val="single" w:color="auto" w:sz="4" w:space="0"/>
              <w:left w:val="single" w:color="auto" w:sz="4" w:space="0"/>
              <w:bottom w:val="single" w:color="auto" w:sz="4" w:space="0"/>
              <w:right w:val="single" w:color="auto" w:sz="4" w:space="0"/>
            </w:tcBorders>
            <w:vAlign w:val="center"/>
          </w:tcPr>
          <w:p w14:paraId="15779B91">
            <w:pPr>
              <w:spacing w:line="273" w:lineRule="auto"/>
              <w:jc w:val="center"/>
              <w:rPr>
                <w:rFonts w:ascii="Times New Roman" w:hAnsi="Times New Roman"/>
                <w:color w:val="auto"/>
                <w:sz w:val="21"/>
                <w:szCs w:val="21"/>
              </w:rPr>
            </w:pPr>
            <w:r>
              <w:rPr>
                <w:rFonts w:hint="eastAsia" w:ascii="Times New Roman" w:hAnsi="Times New Roman" w:cs="Times New Roman"/>
                <w:color w:val="auto"/>
                <w:sz w:val="21"/>
                <w:szCs w:val="21"/>
              </w:rPr>
              <w:t>2</w:t>
            </w:r>
          </w:p>
        </w:tc>
        <w:tc>
          <w:tcPr>
            <w:tcW w:w="3112" w:type="dxa"/>
            <w:tcBorders>
              <w:top w:val="single" w:color="auto" w:sz="4" w:space="0"/>
              <w:left w:val="single" w:color="auto" w:sz="4" w:space="0"/>
              <w:bottom w:val="single" w:color="auto" w:sz="4" w:space="0"/>
              <w:right w:val="single" w:color="auto" w:sz="4" w:space="0"/>
            </w:tcBorders>
            <w:vAlign w:val="center"/>
          </w:tcPr>
          <w:p w14:paraId="741AD2F2">
            <w:pPr>
              <w:spacing w:line="273" w:lineRule="auto"/>
              <w:rPr>
                <w:rFonts w:ascii="Times New Roman" w:hAnsi="Times New Roman"/>
                <w:color w:val="auto"/>
                <w:kern w:val="0"/>
                <w:sz w:val="21"/>
                <w:szCs w:val="21"/>
              </w:rPr>
            </w:pPr>
            <w:r>
              <w:rPr>
                <w:rFonts w:ascii="宋体" w:hAnsi="宋体"/>
                <w:color w:val="auto"/>
                <w:kern w:val="0"/>
                <w:sz w:val="21"/>
                <w:szCs w:val="21"/>
              </w:rPr>
              <w:t>化工项目采用的生产工艺技术应当成熟可靠，严禁建设采用异地淘汰的化工工艺技术项目。国内首次使用的化工工艺，应当通过省级有关部门组织的安全可靠性论证。</w:t>
            </w:r>
          </w:p>
        </w:tc>
        <w:tc>
          <w:tcPr>
            <w:tcW w:w="2490" w:type="dxa"/>
            <w:tcBorders>
              <w:top w:val="single" w:color="auto" w:sz="4" w:space="0"/>
              <w:left w:val="single" w:color="auto" w:sz="4" w:space="0"/>
              <w:bottom w:val="single" w:color="auto" w:sz="4" w:space="0"/>
              <w:right w:val="single" w:color="auto" w:sz="4" w:space="0"/>
            </w:tcBorders>
            <w:vAlign w:val="center"/>
          </w:tcPr>
          <w:p w14:paraId="53B38623">
            <w:pPr>
              <w:spacing w:line="273" w:lineRule="auto"/>
              <w:rPr>
                <w:rFonts w:ascii="Times New Roman" w:hAnsi="Times New Roman"/>
                <w:color w:val="auto"/>
                <w:kern w:val="0"/>
                <w:sz w:val="21"/>
                <w:szCs w:val="21"/>
              </w:rPr>
            </w:pPr>
            <w:r>
              <w:rPr>
                <w:rFonts w:ascii="宋体" w:hAnsi="宋体"/>
                <w:color w:val="auto"/>
                <w:sz w:val="21"/>
                <w:szCs w:val="21"/>
              </w:rPr>
              <w:t>《云南省化工项目安全准入条件（试行）》</w:t>
            </w:r>
            <w:r>
              <w:rPr>
                <w:rFonts w:hint="eastAsia" w:ascii="宋体" w:hAnsi="宋体"/>
                <w:color w:val="auto"/>
                <w:sz w:val="21"/>
                <w:szCs w:val="21"/>
              </w:rPr>
              <w:t>第</w:t>
            </w:r>
            <w:r>
              <w:rPr>
                <w:rFonts w:ascii="Times New Roman" w:hAnsi="Times New Roman"/>
                <w:color w:val="auto"/>
                <w:sz w:val="21"/>
                <w:szCs w:val="21"/>
              </w:rPr>
              <w:t>4</w:t>
            </w:r>
            <w:r>
              <w:rPr>
                <w:rFonts w:hint="eastAsia" w:ascii="宋体" w:hAnsi="宋体"/>
                <w:color w:val="auto"/>
                <w:sz w:val="21"/>
                <w:szCs w:val="21"/>
              </w:rPr>
              <w:t>条</w:t>
            </w:r>
          </w:p>
        </w:tc>
        <w:tc>
          <w:tcPr>
            <w:tcW w:w="2502" w:type="dxa"/>
            <w:tcBorders>
              <w:top w:val="single" w:color="auto" w:sz="4" w:space="0"/>
              <w:left w:val="single" w:color="auto" w:sz="4" w:space="0"/>
              <w:bottom w:val="single" w:color="auto" w:sz="4" w:space="0"/>
              <w:right w:val="single" w:color="auto" w:sz="4" w:space="0"/>
            </w:tcBorders>
            <w:vAlign w:val="center"/>
          </w:tcPr>
          <w:p w14:paraId="74662A0F">
            <w:pPr>
              <w:spacing w:line="273" w:lineRule="auto"/>
              <w:rPr>
                <w:rFonts w:ascii="Times New Roman" w:hAnsi="Times New Roman"/>
                <w:color w:val="auto"/>
                <w:sz w:val="21"/>
                <w:szCs w:val="21"/>
              </w:rPr>
            </w:pPr>
            <w:r>
              <w:rPr>
                <w:rFonts w:hint="eastAsia" w:ascii="宋体" w:hAnsi="宋体"/>
                <w:color w:val="auto"/>
                <w:sz w:val="21"/>
                <w:szCs w:val="21"/>
              </w:rPr>
              <w:t>本项目工艺不属于首次开发工艺技术，不属于</w:t>
            </w:r>
            <w:r>
              <w:rPr>
                <w:rFonts w:ascii="宋体" w:hAnsi="宋体"/>
                <w:color w:val="auto"/>
                <w:kern w:val="0"/>
                <w:sz w:val="21"/>
                <w:szCs w:val="21"/>
              </w:rPr>
              <w:t>异地淘汰的化工工艺技术项目</w:t>
            </w:r>
            <w:r>
              <w:rPr>
                <w:rFonts w:hint="eastAsia" w:ascii="宋体" w:hAnsi="宋体"/>
                <w:color w:val="auto"/>
                <w:sz w:val="21"/>
                <w:szCs w:val="21"/>
              </w:rPr>
              <w:t>，国内有多家类似的输送装置。</w:t>
            </w:r>
          </w:p>
        </w:tc>
        <w:tc>
          <w:tcPr>
            <w:tcW w:w="638" w:type="dxa"/>
            <w:tcBorders>
              <w:top w:val="single" w:color="auto" w:sz="4" w:space="0"/>
              <w:left w:val="single" w:color="auto" w:sz="4" w:space="0"/>
              <w:bottom w:val="single" w:color="auto" w:sz="4" w:space="0"/>
              <w:right w:val="single" w:color="auto" w:sz="4" w:space="0"/>
            </w:tcBorders>
            <w:vAlign w:val="center"/>
          </w:tcPr>
          <w:p w14:paraId="2A942D26">
            <w:pPr>
              <w:spacing w:line="273" w:lineRule="auto"/>
              <w:jc w:val="center"/>
              <w:rPr>
                <w:rFonts w:ascii="Times New Roman" w:hAnsi="Times New Roman"/>
                <w:color w:val="auto"/>
                <w:sz w:val="21"/>
                <w:szCs w:val="21"/>
              </w:rPr>
            </w:pPr>
            <w:r>
              <w:rPr>
                <w:rFonts w:hint="eastAsia" w:ascii="宋体" w:hAnsi="宋体"/>
                <w:color w:val="auto"/>
                <w:sz w:val="21"/>
                <w:szCs w:val="21"/>
              </w:rPr>
              <w:t>符合</w:t>
            </w:r>
          </w:p>
        </w:tc>
      </w:tr>
      <w:tr w14:paraId="2C6B5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658" w:type="dxa"/>
            <w:tcBorders>
              <w:top w:val="single" w:color="auto" w:sz="4" w:space="0"/>
              <w:left w:val="single" w:color="auto" w:sz="4" w:space="0"/>
              <w:bottom w:val="single" w:color="auto" w:sz="4" w:space="0"/>
              <w:right w:val="single" w:color="auto" w:sz="4" w:space="0"/>
            </w:tcBorders>
            <w:vAlign w:val="center"/>
          </w:tcPr>
          <w:p w14:paraId="2EBC26AE">
            <w:pPr>
              <w:spacing w:line="273" w:lineRule="auto"/>
              <w:jc w:val="center"/>
              <w:rPr>
                <w:rFonts w:ascii="Times New Roman" w:hAnsi="Times New Roman"/>
                <w:color w:val="auto"/>
                <w:sz w:val="21"/>
                <w:szCs w:val="21"/>
              </w:rPr>
            </w:pPr>
            <w:r>
              <w:rPr>
                <w:rFonts w:hint="eastAsia" w:ascii="Times New Roman" w:hAnsi="Times New Roman" w:cs="Times New Roman"/>
                <w:color w:val="auto"/>
                <w:sz w:val="21"/>
                <w:szCs w:val="21"/>
              </w:rPr>
              <w:t>3</w:t>
            </w:r>
          </w:p>
        </w:tc>
        <w:tc>
          <w:tcPr>
            <w:tcW w:w="3112" w:type="dxa"/>
            <w:tcBorders>
              <w:top w:val="single" w:color="auto" w:sz="4" w:space="0"/>
              <w:left w:val="single" w:color="auto" w:sz="4" w:space="0"/>
              <w:bottom w:val="single" w:color="auto" w:sz="4" w:space="0"/>
              <w:right w:val="single" w:color="auto" w:sz="4" w:space="0"/>
            </w:tcBorders>
            <w:vAlign w:val="center"/>
          </w:tcPr>
          <w:p w14:paraId="37BA30C9">
            <w:pPr>
              <w:pStyle w:val="117"/>
              <w:spacing w:line="240" w:lineRule="atLeast"/>
              <w:jc w:val="both"/>
              <w:rPr>
                <w:rFonts w:ascii="Times New Roman" w:hAnsi="Times New Roman"/>
                <w:b w:val="0"/>
                <w:color w:val="auto"/>
                <w:sz w:val="21"/>
                <w:szCs w:val="21"/>
              </w:rPr>
            </w:pPr>
            <w:r>
              <w:rPr>
                <w:rFonts w:ascii="宋体" w:hAnsi="宋体"/>
                <w:b w:val="0"/>
                <w:color w:val="auto"/>
                <w:sz w:val="21"/>
                <w:szCs w:val="21"/>
              </w:rPr>
              <w:t>对涉及</w:t>
            </w:r>
            <w:r>
              <w:rPr>
                <w:rFonts w:ascii="Times New Roman" w:hAnsi="Times New Roman" w:cs="Times New Roman"/>
                <w:b w:val="0"/>
                <w:color w:val="auto"/>
                <w:sz w:val="21"/>
                <w:szCs w:val="21"/>
              </w:rPr>
              <w:t>“</w:t>
            </w:r>
            <w:r>
              <w:rPr>
                <w:rFonts w:ascii="宋体" w:hAnsi="宋体"/>
                <w:b w:val="0"/>
                <w:color w:val="auto"/>
                <w:sz w:val="21"/>
                <w:szCs w:val="21"/>
              </w:rPr>
              <w:t>两重点一重大</w:t>
            </w:r>
            <w:r>
              <w:rPr>
                <w:rFonts w:ascii="Times New Roman" w:hAnsi="Times New Roman" w:cs="Times New Roman"/>
                <w:b w:val="0"/>
                <w:color w:val="auto"/>
                <w:sz w:val="21"/>
                <w:szCs w:val="21"/>
              </w:rPr>
              <w:t>”</w:t>
            </w:r>
            <w:r>
              <w:rPr>
                <w:rFonts w:ascii="宋体" w:hAnsi="宋体"/>
                <w:b w:val="0"/>
                <w:color w:val="auto"/>
                <w:sz w:val="21"/>
                <w:szCs w:val="21"/>
              </w:rPr>
              <w:t>的建设项目，应在设计过程中进行</w:t>
            </w:r>
            <w:r>
              <w:rPr>
                <w:rFonts w:ascii="Times New Roman" w:hAnsi="Times New Roman" w:cs="Times New Roman"/>
                <w:b w:val="0"/>
                <w:color w:val="auto"/>
                <w:sz w:val="21"/>
                <w:szCs w:val="21"/>
              </w:rPr>
              <w:t>HAZOP</w:t>
            </w:r>
            <w:r>
              <w:rPr>
                <w:rFonts w:ascii="宋体" w:hAnsi="宋体"/>
                <w:b w:val="0"/>
                <w:color w:val="auto"/>
                <w:sz w:val="21"/>
                <w:szCs w:val="21"/>
              </w:rPr>
              <w:t xml:space="preserve">分析和 </w:t>
            </w:r>
            <w:r>
              <w:rPr>
                <w:rFonts w:ascii="Times New Roman" w:hAnsi="Times New Roman" w:cs="Times New Roman"/>
                <w:b w:val="0"/>
                <w:color w:val="auto"/>
                <w:sz w:val="21"/>
                <w:szCs w:val="21"/>
              </w:rPr>
              <w:t xml:space="preserve">SIL </w:t>
            </w:r>
            <w:r>
              <w:rPr>
                <w:rFonts w:ascii="宋体" w:hAnsi="宋体"/>
                <w:b w:val="0"/>
                <w:color w:val="auto"/>
                <w:sz w:val="21"/>
                <w:szCs w:val="21"/>
              </w:rPr>
              <w:t>评估，新建生产装置不得利旧。对涉及重点监管危险化工工艺和金属有机物合成反应的间 歇、半间歇反应的精细化工建设项目，应在项目立项前完成反应 安全风险评估，确定反应工艺危险度等级，完善风险管控措施。</w:t>
            </w:r>
          </w:p>
        </w:tc>
        <w:tc>
          <w:tcPr>
            <w:tcW w:w="2490" w:type="dxa"/>
            <w:tcBorders>
              <w:top w:val="single" w:color="auto" w:sz="4" w:space="0"/>
              <w:left w:val="single" w:color="auto" w:sz="4" w:space="0"/>
              <w:bottom w:val="single" w:color="auto" w:sz="4" w:space="0"/>
              <w:right w:val="single" w:color="auto" w:sz="4" w:space="0"/>
            </w:tcBorders>
            <w:vAlign w:val="center"/>
          </w:tcPr>
          <w:p w14:paraId="2FC384D7">
            <w:pPr>
              <w:spacing w:line="273" w:lineRule="auto"/>
              <w:rPr>
                <w:rFonts w:ascii="Times New Roman" w:hAnsi="Times New Roman"/>
                <w:color w:val="auto"/>
                <w:sz w:val="21"/>
                <w:szCs w:val="21"/>
              </w:rPr>
            </w:pPr>
            <w:r>
              <w:rPr>
                <w:rFonts w:ascii="宋体" w:hAnsi="宋体"/>
                <w:color w:val="auto"/>
                <w:sz w:val="21"/>
                <w:szCs w:val="21"/>
              </w:rPr>
              <w:t>《云南省化工项目安全准入条件（试行）》</w:t>
            </w:r>
            <w:r>
              <w:rPr>
                <w:rFonts w:hint="eastAsia" w:ascii="宋体" w:hAnsi="宋体"/>
                <w:color w:val="auto"/>
                <w:sz w:val="21"/>
                <w:szCs w:val="21"/>
              </w:rPr>
              <w:t>第</w:t>
            </w:r>
            <w:r>
              <w:rPr>
                <w:rFonts w:ascii="Times New Roman" w:hAnsi="Times New Roman"/>
                <w:color w:val="auto"/>
                <w:sz w:val="21"/>
                <w:szCs w:val="21"/>
              </w:rPr>
              <w:t>6</w:t>
            </w:r>
            <w:r>
              <w:rPr>
                <w:rFonts w:hint="eastAsia" w:ascii="宋体" w:hAnsi="宋体"/>
                <w:color w:val="auto"/>
                <w:sz w:val="21"/>
                <w:szCs w:val="21"/>
              </w:rPr>
              <w:t>条</w:t>
            </w:r>
          </w:p>
        </w:tc>
        <w:tc>
          <w:tcPr>
            <w:tcW w:w="2502" w:type="dxa"/>
            <w:tcBorders>
              <w:top w:val="single" w:color="auto" w:sz="4" w:space="0"/>
              <w:left w:val="single" w:color="auto" w:sz="4" w:space="0"/>
              <w:bottom w:val="single" w:color="auto" w:sz="4" w:space="0"/>
              <w:right w:val="single" w:color="auto" w:sz="4" w:space="0"/>
            </w:tcBorders>
            <w:vAlign w:val="center"/>
          </w:tcPr>
          <w:p w14:paraId="4474D22E">
            <w:pPr>
              <w:spacing w:line="273" w:lineRule="auto"/>
              <w:rPr>
                <w:rFonts w:ascii="Times New Roman" w:hAnsi="Times New Roman"/>
                <w:color w:val="auto"/>
                <w:sz w:val="21"/>
                <w:szCs w:val="21"/>
              </w:rPr>
            </w:pPr>
            <w:r>
              <w:rPr>
                <w:rFonts w:hint="eastAsia" w:ascii="宋体" w:hAnsi="宋体"/>
                <w:color w:val="auto"/>
                <w:sz w:val="21"/>
                <w:szCs w:val="21"/>
              </w:rPr>
              <w:t>本项目不涉及重点监管危险化学品、不涉及重点监管危险化工工艺、不涉及重大危险源。</w:t>
            </w:r>
          </w:p>
        </w:tc>
        <w:tc>
          <w:tcPr>
            <w:tcW w:w="638" w:type="dxa"/>
            <w:tcBorders>
              <w:top w:val="single" w:color="auto" w:sz="4" w:space="0"/>
              <w:left w:val="single" w:color="auto" w:sz="4" w:space="0"/>
              <w:bottom w:val="single" w:color="auto" w:sz="4" w:space="0"/>
              <w:right w:val="single" w:color="auto" w:sz="4" w:space="0"/>
            </w:tcBorders>
            <w:vAlign w:val="center"/>
          </w:tcPr>
          <w:p w14:paraId="39CA5010">
            <w:pPr>
              <w:spacing w:line="273" w:lineRule="auto"/>
              <w:jc w:val="center"/>
              <w:rPr>
                <w:rFonts w:ascii="Times New Roman" w:hAnsi="Times New Roman"/>
                <w:color w:val="auto"/>
                <w:sz w:val="21"/>
                <w:szCs w:val="21"/>
              </w:rPr>
            </w:pPr>
            <w:r>
              <w:rPr>
                <w:rFonts w:hint="eastAsia" w:ascii="宋体" w:hAnsi="宋体"/>
                <w:color w:val="auto"/>
                <w:sz w:val="21"/>
                <w:szCs w:val="21"/>
              </w:rPr>
              <w:t>符合</w:t>
            </w:r>
          </w:p>
        </w:tc>
      </w:tr>
      <w:tr w14:paraId="24BFD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8" w:type="dxa"/>
            <w:tcBorders>
              <w:top w:val="single" w:color="auto" w:sz="4" w:space="0"/>
              <w:left w:val="single" w:color="auto" w:sz="4" w:space="0"/>
              <w:bottom w:val="single" w:color="auto" w:sz="4" w:space="0"/>
              <w:right w:val="single" w:color="auto" w:sz="4" w:space="0"/>
            </w:tcBorders>
            <w:vAlign w:val="center"/>
          </w:tcPr>
          <w:p w14:paraId="1688A4C4">
            <w:pPr>
              <w:spacing w:line="273" w:lineRule="auto"/>
              <w:jc w:val="center"/>
              <w:rPr>
                <w:rFonts w:ascii="Times New Roman" w:hAnsi="Times New Roman"/>
                <w:color w:val="auto"/>
                <w:sz w:val="21"/>
                <w:szCs w:val="21"/>
              </w:rPr>
            </w:pPr>
            <w:r>
              <w:rPr>
                <w:rFonts w:hint="eastAsia" w:ascii="Times New Roman" w:hAnsi="Times New Roman" w:cs="Times New Roman"/>
                <w:color w:val="auto"/>
                <w:sz w:val="21"/>
                <w:szCs w:val="21"/>
              </w:rPr>
              <w:t>4</w:t>
            </w:r>
          </w:p>
        </w:tc>
        <w:tc>
          <w:tcPr>
            <w:tcW w:w="3112" w:type="dxa"/>
            <w:tcBorders>
              <w:top w:val="single" w:color="auto" w:sz="4" w:space="0"/>
              <w:left w:val="single" w:color="auto" w:sz="4" w:space="0"/>
              <w:bottom w:val="single" w:color="auto" w:sz="4" w:space="0"/>
              <w:right w:val="single" w:color="auto" w:sz="4" w:space="0"/>
            </w:tcBorders>
            <w:vAlign w:val="center"/>
          </w:tcPr>
          <w:p w14:paraId="6F888B7C">
            <w:pPr>
              <w:pStyle w:val="117"/>
              <w:spacing w:line="240" w:lineRule="atLeast"/>
              <w:jc w:val="both"/>
              <w:rPr>
                <w:rFonts w:ascii="Times New Roman" w:hAnsi="Times New Roman"/>
                <w:b w:val="0"/>
                <w:color w:val="auto"/>
                <w:sz w:val="21"/>
                <w:szCs w:val="21"/>
              </w:rPr>
            </w:pPr>
            <w:r>
              <w:rPr>
                <w:rFonts w:hint="eastAsia" w:ascii="宋体" w:hAnsi="宋体"/>
                <w:b w:val="0"/>
                <w:color w:val="auto"/>
                <w:sz w:val="21"/>
                <w:szCs w:val="21"/>
              </w:rPr>
              <w:t>企业中涉及重点监管危险化工工艺和金属有机物合成反应（包括格氏反应）的间歇和半间歇反应，有以下情形之一的，要开展反应安全风险评估：</w:t>
            </w:r>
          </w:p>
          <w:p w14:paraId="23E3ECF0">
            <w:pPr>
              <w:pStyle w:val="117"/>
              <w:spacing w:line="240" w:lineRule="atLeast"/>
              <w:jc w:val="both"/>
              <w:rPr>
                <w:rFonts w:ascii="Times New Roman" w:hAnsi="Times New Roman"/>
                <w:b w:val="0"/>
                <w:color w:val="auto"/>
                <w:sz w:val="21"/>
                <w:szCs w:val="21"/>
              </w:rPr>
            </w:pPr>
            <w:r>
              <w:rPr>
                <w:rFonts w:hint="eastAsia" w:ascii="Times New Roman" w:hAnsi="Times New Roman" w:cs="Times New Roman"/>
                <w:b w:val="0"/>
                <w:color w:val="auto"/>
                <w:sz w:val="21"/>
                <w:szCs w:val="21"/>
              </w:rPr>
              <w:t>1.</w:t>
            </w:r>
            <w:r>
              <w:rPr>
                <w:rFonts w:hint="eastAsia" w:ascii="宋体" w:hAnsi="宋体"/>
                <w:b w:val="0"/>
                <w:color w:val="auto"/>
                <w:sz w:val="21"/>
                <w:szCs w:val="21"/>
              </w:rPr>
              <w:t>国内首次使用的新工艺、新配方投入工业化生产的以及国外首次引进的新工艺且未进行过反应安全风险评估的；</w:t>
            </w:r>
          </w:p>
          <w:p w14:paraId="24973E86">
            <w:pPr>
              <w:pStyle w:val="117"/>
              <w:spacing w:line="240" w:lineRule="atLeast"/>
              <w:jc w:val="both"/>
              <w:rPr>
                <w:rFonts w:ascii="Times New Roman" w:hAnsi="Times New Roman"/>
                <w:b w:val="0"/>
                <w:color w:val="auto"/>
                <w:sz w:val="21"/>
                <w:szCs w:val="21"/>
              </w:rPr>
            </w:pPr>
            <w:r>
              <w:rPr>
                <w:rFonts w:hint="eastAsia" w:ascii="Times New Roman" w:hAnsi="Times New Roman" w:cs="Times New Roman"/>
                <w:b w:val="0"/>
                <w:color w:val="auto"/>
                <w:sz w:val="21"/>
                <w:szCs w:val="21"/>
              </w:rPr>
              <w:t>2.</w:t>
            </w:r>
            <w:r>
              <w:rPr>
                <w:rFonts w:hint="eastAsia" w:ascii="宋体" w:hAnsi="宋体"/>
                <w:b w:val="0"/>
                <w:color w:val="auto"/>
                <w:sz w:val="21"/>
                <w:szCs w:val="21"/>
              </w:rPr>
              <w:t>现有的工艺路线、工艺参数或装置能力发生变更，且没有反应安全风险评估报告的；</w:t>
            </w:r>
          </w:p>
          <w:p w14:paraId="769C0BE8">
            <w:pPr>
              <w:pStyle w:val="117"/>
              <w:spacing w:line="240" w:lineRule="atLeast"/>
              <w:jc w:val="both"/>
              <w:rPr>
                <w:rFonts w:ascii="Times New Roman" w:hAnsi="Times New Roman"/>
                <w:b w:val="0"/>
                <w:color w:val="auto"/>
                <w:sz w:val="21"/>
                <w:szCs w:val="21"/>
              </w:rPr>
            </w:pPr>
            <w:r>
              <w:rPr>
                <w:rFonts w:hint="eastAsia" w:ascii="Times New Roman" w:hAnsi="Times New Roman" w:cs="Times New Roman"/>
                <w:b w:val="0"/>
                <w:color w:val="auto"/>
                <w:sz w:val="21"/>
                <w:szCs w:val="21"/>
              </w:rPr>
              <w:t>3.</w:t>
            </w:r>
            <w:r>
              <w:rPr>
                <w:rFonts w:hint="eastAsia" w:ascii="宋体" w:hAnsi="宋体"/>
                <w:b w:val="0"/>
                <w:color w:val="auto"/>
                <w:sz w:val="21"/>
                <w:szCs w:val="21"/>
              </w:rPr>
              <w:t>因反应工艺问题，发生过生产安全事故的。</w:t>
            </w:r>
          </w:p>
        </w:tc>
        <w:tc>
          <w:tcPr>
            <w:tcW w:w="2490" w:type="dxa"/>
            <w:tcBorders>
              <w:top w:val="single" w:color="auto" w:sz="4" w:space="0"/>
              <w:left w:val="single" w:color="auto" w:sz="4" w:space="0"/>
              <w:bottom w:val="single" w:color="auto" w:sz="4" w:space="0"/>
              <w:right w:val="single" w:color="auto" w:sz="4" w:space="0"/>
            </w:tcBorders>
            <w:vAlign w:val="center"/>
          </w:tcPr>
          <w:p w14:paraId="5BBBA6C6">
            <w:pPr>
              <w:pStyle w:val="117"/>
              <w:spacing w:line="240" w:lineRule="atLeast"/>
              <w:jc w:val="both"/>
              <w:rPr>
                <w:rFonts w:ascii="Times New Roman" w:hAnsi="Times New Roman"/>
                <w:b w:val="0"/>
                <w:color w:val="auto"/>
                <w:sz w:val="21"/>
                <w:szCs w:val="21"/>
              </w:rPr>
            </w:pPr>
            <w:r>
              <w:rPr>
                <w:rFonts w:hint="eastAsia" w:ascii="宋体" w:hAnsi="宋体"/>
                <w:b w:val="0"/>
                <w:color w:val="auto"/>
                <w:sz w:val="21"/>
                <w:szCs w:val="21"/>
              </w:rPr>
              <w:t>《国家安全监管总局关于加强反应安全风险评估工作的指导意见》（安监总管三〔</w:t>
            </w:r>
            <w:r>
              <w:rPr>
                <w:rFonts w:hint="eastAsia" w:ascii="Times New Roman" w:hAnsi="Times New Roman" w:cs="Times New Roman"/>
                <w:b w:val="0"/>
                <w:color w:val="auto"/>
                <w:sz w:val="21"/>
                <w:szCs w:val="21"/>
              </w:rPr>
              <w:t>2017</w:t>
            </w:r>
            <w:r>
              <w:rPr>
                <w:rFonts w:hint="eastAsia" w:ascii="宋体" w:hAnsi="宋体"/>
                <w:b w:val="0"/>
                <w:color w:val="auto"/>
                <w:sz w:val="21"/>
                <w:szCs w:val="21"/>
              </w:rPr>
              <w:t>〕</w:t>
            </w:r>
            <w:r>
              <w:rPr>
                <w:rFonts w:hint="eastAsia" w:ascii="Times New Roman" w:hAnsi="Times New Roman" w:cs="Times New Roman"/>
                <w:b w:val="0"/>
                <w:color w:val="auto"/>
                <w:sz w:val="21"/>
                <w:szCs w:val="21"/>
              </w:rPr>
              <w:t>1</w:t>
            </w:r>
            <w:r>
              <w:rPr>
                <w:rFonts w:hint="eastAsia" w:ascii="宋体" w:hAnsi="宋体"/>
                <w:b w:val="0"/>
                <w:color w:val="auto"/>
                <w:sz w:val="21"/>
                <w:szCs w:val="21"/>
              </w:rPr>
              <w:t>号）</w:t>
            </w:r>
          </w:p>
          <w:p w14:paraId="41480D23">
            <w:pPr>
              <w:spacing w:line="273" w:lineRule="auto"/>
              <w:rPr>
                <w:rFonts w:ascii="Times New Roman" w:hAnsi="Times New Roman"/>
                <w:color w:val="auto"/>
                <w:sz w:val="21"/>
                <w:szCs w:val="21"/>
              </w:rPr>
            </w:pPr>
          </w:p>
        </w:tc>
        <w:tc>
          <w:tcPr>
            <w:tcW w:w="2502" w:type="dxa"/>
            <w:tcBorders>
              <w:top w:val="single" w:color="auto" w:sz="4" w:space="0"/>
              <w:left w:val="single" w:color="auto" w:sz="4" w:space="0"/>
              <w:bottom w:val="single" w:color="auto" w:sz="4" w:space="0"/>
              <w:right w:val="single" w:color="auto" w:sz="4" w:space="0"/>
            </w:tcBorders>
            <w:vAlign w:val="center"/>
          </w:tcPr>
          <w:p w14:paraId="67DAFB9F">
            <w:pPr>
              <w:pStyle w:val="117"/>
              <w:spacing w:line="240" w:lineRule="atLeast"/>
              <w:jc w:val="both"/>
              <w:rPr>
                <w:rFonts w:ascii="Times New Roman" w:hAnsi="Times New Roman"/>
                <w:b w:val="0"/>
                <w:color w:val="auto"/>
                <w:sz w:val="21"/>
                <w:szCs w:val="21"/>
              </w:rPr>
            </w:pPr>
            <w:r>
              <w:rPr>
                <w:rFonts w:hint="eastAsia" w:ascii="宋体" w:hAnsi="宋体"/>
                <w:b w:val="0"/>
                <w:color w:val="auto"/>
                <w:sz w:val="21"/>
                <w:szCs w:val="21"/>
              </w:rPr>
              <w:t>本项目不涉及重点监管危险化工工艺和金属有机物合成反应（包括格氏反应）的间歇和半间歇反应，不需开展反应安全风险评估。</w:t>
            </w:r>
          </w:p>
        </w:tc>
        <w:tc>
          <w:tcPr>
            <w:tcW w:w="638" w:type="dxa"/>
            <w:tcBorders>
              <w:top w:val="single" w:color="auto" w:sz="4" w:space="0"/>
              <w:left w:val="single" w:color="auto" w:sz="4" w:space="0"/>
              <w:bottom w:val="single" w:color="auto" w:sz="4" w:space="0"/>
              <w:right w:val="single" w:color="auto" w:sz="4" w:space="0"/>
            </w:tcBorders>
            <w:vAlign w:val="center"/>
          </w:tcPr>
          <w:p w14:paraId="2B03EB62">
            <w:pPr>
              <w:pStyle w:val="117"/>
              <w:spacing w:line="240" w:lineRule="atLeast"/>
              <w:jc w:val="both"/>
              <w:rPr>
                <w:rFonts w:ascii="Times New Roman" w:hAnsi="Times New Roman"/>
                <w:b w:val="0"/>
                <w:color w:val="auto"/>
                <w:sz w:val="21"/>
                <w:szCs w:val="21"/>
              </w:rPr>
            </w:pPr>
            <w:r>
              <w:rPr>
                <w:rFonts w:hint="eastAsia" w:ascii="宋体" w:hAnsi="宋体"/>
                <w:b w:val="0"/>
                <w:color w:val="auto"/>
                <w:sz w:val="21"/>
                <w:szCs w:val="21"/>
              </w:rPr>
              <w:t>符合</w:t>
            </w:r>
          </w:p>
        </w:tc>
      </w:tr>
      <w:tr w14:paraId="071E2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8" w:type="dxa"/>
            <w:tcBorders>
              <w:top w:val="single" w:color="auto" w:sz="4" w:space="0"/>
              <w:left w:val="single" w:color="auto" w:sz="4" w:space="0"/>
              <w:bottom w:val="single" w:color="auto" w:sz="4" w:space="0"/>
              <w:right w:val="single" w:color="auto" w:sz="4" w:space="0"/>
            </w:tcBorders>
            <w:vAlign w:val="center"/>
          </w:tcPr>
          <w:p w14:paraId="4281EABE">
            <w:pPr>
              <w:spacing w:line="273" w:lineRule="auto"/>
              <w:jc w:val="center"/>
              <w:rPr>
                <w:rFonts w:ascii="Times New Roman" w:hAnsi="Times New Roman"/>
                <w:color w:val="auto"/>
                <w:sz w:val="21"/>
                <w:szCs w:val="21"/>
              </w:rPr>
            </w:pPr>
            <w:r>
              <w:rPr>
                <w:rFonts w:hint="eastAsia" w:ascii="Times New Roman" w:hAnsi="Times New Roman" w:cs="Times New Roman"/>
                <w:color w:val="auto"/>
                <w:sz w:val="21"/>
                <w:szCs w:val="21"/>
              </w:rPr>
              <w:t>5</w:t>
            </w:r>
          </w:p>
        </w:tc>
        <w:tc>
          <w:tcPr>
            <w:tcW w:w="3112" w:type="dxa"/>
            <w:tcBorders>
              <w:top w:val="single" w:color="auto" w:sz="4" w:space="0"/>
              <w:left w:val="single" w:color="auto" w:sz="4" w:space="0"/>
              <w:bottom w:val="single" w:color="auto" w:sz="4" w:space="0"/>
              <w:right w:val="single" w:color="auto" w:sz="4" w:space="0"/>
            </w:tcBorders>
            <w:vAlign w:val="center"/>
          </w:tcPr>
          <w:p w14:paraId="522848B9">
            <w:pPr>
              <w:pStyle w:val="129"/>
              <w:spacing w:line="360" w:lineRule="auto"/>
              <w:rPr>
                <w:rFonts w:ascii="Times New Roman" w:hAnsi="Times New Roman"/>
                <w:b w:val="0"/>
                <w:bCs w:val="0"/>
                <w:color w:val="auto"/>
                <w:szCs w:val="21"/>
              </w:rPr>
            </w:pPr>
            <w:r>
              <w:rPr>
                <w:rFonts w:hint="eastAsia" w:ascii="宋体" w:hAnsi="宋体"/>
                <w:b w:val="0"/>
                <w:bCs w:val="0"/>
                <w:color w:val="auto"/>
              </w:rPr>
              <w:t>生产企业不得使用淘汰落后技术工艺目录列出的工艺。</w:t>
            </w:r>
          </w:p>
        </w:tc>
        <w:tc>
          <w:tcPr>
            <w:tcW w:w="2490" w:type="dxa"/>
            <w:tcBorders>
              <w:top w:val="single" w:color="auto" w:sz="4" w:space="0"/>
              <w:left w:val="single" w:color="auto" w:sz="4" w:space="0"/>
              <w:bottom w:val="single" w:color="auto" w:sz="4" w:space="0"/>
              <w:right w:val="single" w:color="auto" w:sz="4" w:space="0"/>
            </w:tcBorders>
            <w:vAlign w:val="center"/>
          </w:tcPr>
          <w:p w14:paraId="73DE303D">
            <w:pPr>
              <w:pStyle w:val="128"/>
              <w:spacing w:line="360" w:lineRule="auto"/>
              <w:rPr>
                <w:rFonts w:ascii="Times New Roman" w:hAnsi="Times New Roman"/>
                <w:color w:val="auto"/>
              </w:rPr>
            </w:pPr>
            <w:r>
              <w:rPr>
                <w:rFonts w:hint="eastAsia" w:ascii="宋体" w:hAnsi="宋体"/>
                <w:color w:val="auto"/>
              </w:rPr>
              <w:t>安监总科技〔</w:t>
            </w:r>
            <w:r>
              <w:rPr>
                <w:rFonts w:hint="eastAsia" w:ascii="Times New Roman" w:hAnsi="Times New Roman"/>
                <w:color w:val="auto"/>
              </w:rPr>
              <w:t>2015</w:t>
            </w:r>
            <w:r>
              <w:rPr>
                <w:rFonts w:hint="eastAsia" w:ascii="宋体" w:hAnsi="宋体"/>
                <w:color w:val="auto"/>
              </w:rPr>
              <w:t>〕</w:t>
            </w:r>
            <w:r>
              <w:rPr>
                <w:rFonts w:hint="eastAsia" w:ascii="Times New Roman" w:hAnsi="Times New Roman"/>
                <w:color w:val="auto"/>
              </w:rPr>
              <w:t xml:space="preserve">75 </w:t>
            </w:r>
            <w:r>
              <w:rPr>
                <w:rFonts w:hint="eastAsia" w:ascii="宋体" w:hAnsi="宋体"/>
                <w:color w:val="auto"/>
              </w:rPr>
              <w:t>号</w:t>
            </w:r>
          </w:p>
          <w:p w14:paraId="3AAC342A">
            <w:pPr>
              <w:pStyle w:val="128"/>
              <w:spacing w:line="360" w:lineRule="auto"/>
              <w:rPr>
                <w:rFonts w:ascii="Times New Roman" w:hAnsi="Times New Roman"/>
                <w:color w:val="auto"/>
              </w:rPr>
            </w:pPr>
            <w:r>
              <w:rPr>
                <w:rFonts w:hint="eastAsia" w:ascii="宋体" w:hAnsi="宋体"/>
                <w:color w:val="auto"/>
              </w:rPr>
              <w:t>安监总科技〔</w:t>
            </w:r>
            <w:r>
              <w:rPr>
                <w:rFonts w:hint="eastAsia" w:ascii="Times New Roman" w:hAnsi="Times New Roman"/>
                <w:color w:val="auto"/>
              </w:rPr>
              <w:t>2016</w:t>
            </w:r>
            <w:r>
              <w:rPr>
                <w:rFonts w:hint="eastAsia" w:ascii="宋体" w:hAnsi="宋体"/>
                <w:color w:val="auto"/>
              </w:rPr>
              <w:t>〕</w:t>
            </w:r>
            <w:r>
              <w:rPr>
                <w:rFonts w:hint="eastAsia" w:ascii="Times New Roman" w:hAnsi="Times New Roman"/>
                <w:color w:val="auto"/>
              </w:rPr>
              <w:t>137</w:t>
            </w:r>
            <w:r>
              <w:rPr>
                <w:rFonts w:hint="eastAsia" w:ascii="宋体" w:hAnsi="宋体"/>
                <w:color w:val="auto"/>
              </w:rPr>
              <w:t>号</w:t>
            </w:r>
          </w:p>
        </w:tc>
        <w:tc>
          <w:tcPr>
            <w:tcW w:w="2502" w:type="dxa"/>
            <w:tcBorders>
              <w:top w:val="single" w:color="auto" w:sz="4" w:space="0"/>
              <w:left w:val="single" w:color="auto" w:sz="4" w:space="0"/>
              <w:bottom w:val="single" w:color="auto" w:sz="4" w:space="0"/>
              <w:right w:val="single" w:color="auto" w:sz="4" w:space="0"/>
            </w:tcBorders>
            <w:vAlign w:val="center"/>
          </w:tcPr>
          <w:p w14:paraId="5026F160">
            <w:pPr>
              <w:pStyle w:val="128"/>
              <w:spacing w:line="360" w:lineRule="auto"/>
              <w:rPr>
                <w:rFonts w:ascii="Times New Roman" w:hAnsi="Times New Roman"/>
                <w:color w:val="auto"/>
              </w:rPr>
            </w:pPr>
            <w:r>
              <w:rPr>
                <w:rFonts w:hint="eastAsia" w:ascii="宋体" w:hAnsi="宋体"/>
                <w:color w:val="auto"/>
              </w:rPr>
              <w:t>本项目不涉及使用淘汰落后技术工艺目录列出的工艺</w:t>
            </w:r>
            <w:r>
              <w:rPr>
                <w:rFonts w:ascii="宋体" w:hAnsi="宋体"/>
                <w:color w:val="auto"/>
              </w:rPr>
              <w:t>。</w:t>
            </w:r>
          </w:p>
        </w:tc>
        <w:tc>
          <w:tcPr>
            <w:tcW w:w="638" w:type="dxa"/>
            <w:tcBorders>
              <w:top w:val="single" w:color="auto" w:sz="4" w:space="0"/>
              <w:left w:val="single" w:color="auto" w:sz="4" w:space="0"/>
              <w:bottom w:val="single" w:color="auto" w:sz="4" w:space="0"/>
              <w:right w:val="single" w:color="auto" w:sz="4" w:space="0"/>
            </w:tcBorders>
            <w:vAlign w:val="center"/>
          </w:tcPr>
          <w:p w14:paraId="4D1AB377">
            <w:pPr>
              <w:pStyle w:val="117"/>
              <w:spacing w:line="240" w:lineRule="atLeast"/>
              <w:jc w:val="both"/>
              <w:rPr>
                <w:rFonts w:ascii="Times New Roman" w:hAnsi="Times New Roman"/>
                <w:b w:val="0"/>
                <w:color w:val="auto"/>
                <w:sz w:val="21"/>
                <w:szCs w:val="21"/>
              </w:rPr>
            </w:pPr>
            <w:r>
              <w:rPr>
                <w:rFonts w:hint="eastAsia" w:ascii="宋体" w:hAnsi="宋体"/>
                <w:b w:val="0"/>
                <w:color w:val="auto"/>
                <w:sz w:val="21"/>
                <w:szCs w:val="21"/>
              </w:rPr>
              <w:t>符合</w:t>
            </w:r>
          </w:p>
        </w:tc>
      </w:tr>
      <w:tr w14:paraId="0A6C4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8" w:type="dxa"/>
            <w:tcBorders>
              <w:top w:val="single" w:color="auto" w:sz="4" w:space="0"/>
              <w:left w:val="single" w:color="auto" w:sz="4" w:space="0"/>
              <w:bottom w:val="single" w:color="auto" w:sz="4" w:space="0"/>
              <w:right w:val="single" w:color="auto" w:sz="4" w:space="0"/>
            </w:tcBorders>
            <w:vAlign w:val="center"/>
          </w:tcPr>
          <w:p w14:paraId="4A451F99">
            <w:pPr>
              <w:spacing w:line="273" w:lineRule="auto"/>
              <w:jc w:val="center"/>
              <w:rPr>
                <w:rFonts w:ascii="Times New Roman" w:hAnsi="Times New Roman"/>
                <w:color w:val="auto"/>
                <w:sz w:val="21"/>
                <w:szCs w:val="21"/>
              </w:rPr>
            </w:pPr>
            <w:r>
              <w:rPr>
                <w:rFonts w:hint="eastAsia" w:ascii="Times New Roman" w:hAnsi="Times New Roman" w:cs="Times New Roman"/>
                <w:color w:val="auto"/>
                <w:sz w:val="21"/>
                <w:szCs w:val="21"/>
              </w:rPr>
              <w:t>6</w:t>
            </w:r>
          </w:p>
        </w:tc>
        <w:tc>
          <w:tcPr>
            <w:tcW w:w="3112" w:type="dxa"/>
            <w:tcBorders>
              <w:top w:val="single" w:color="auto" w:sz="4" w:space="0"/>
              <w:left w:val="single" w:color="auto" w:sz="4" w:space="0"/>
              <w:bottom w:val="single" w:color="auto" w:sz="4" w:space="0"/>
              <w:right w:val="single" w:color="auto" w:sz="4" w:space="0"/>
            </w:tcBorders>
            <w:vAlign w:val="center"/>
          </w:tcPr>
          <w:p w14:paraId="04C6D5F7">
            <w:pPr>
              <w:pStyle w:val="129"/>
              <w:spacing w:line="360" w:lineRule="auto"/>
              <w:rPr>
                <w:rFonts w:ascii="Times New Roman" w:hAnsi="Times New Roman"/>
                <w:b w:val="0"/>
                <w:bCs w:val="0"/>
                <w:color w:val="auto"/>
                <w:szCs w:val="21"/>
              </w:rPr>
            </w:pPr>
            <w:r>
              <w:rPr>
                <w:rFonts w:hint="eastAsia" w:ascii="宋体" w:hAnsi="宋体"/>
                <w:b w:val="0"/>
                <w:bCs w:val="0"/>
                <w:color w:val="auto"/>
              </w:rPr>
              <w:t>新开发的危险化学品生产工艺应经小试、中试、工业化试验再进行工业化生产。国内首次采用的化工工艺，要通过省级有关部门组织专家组进行安全论证。</w:t>
            </w:r>
          </w:p>
        </w:tc>
        <w:tc>
          <w:tcPr>
            <w:tcW w:w="2490" w:type="dxa"/>
            <w:tcBorders>
              <w:top w:val="single" w:color="auto" w:sz="4" w:space="0"/>
              <w:left w:val="single" w:color="auto" w:sz="4" w:space="0"/>
              <w:bottom w:val="single" w:color="auto" w:sz="4" w:space="0"/>
              <w:right w:val="single" w:color="auto" w:sz="4" w:space="0"/>
            </w:tcBorders>
            <w:vAlign w:val="center"/>
          </w:tcPr>
          <w:p w14:paraId="3F25A5CB">
            <w:pPr>
              <w:pStyle w:val="128"/>
              <w:spacing w:line="360" w:lineRule="auto"/>
              <w:rPr>
                <w:rFonts w:ascii="Times New Roman" w:hAnsi="Times New Roman"/>
                <w:color w:val="auto"/>
              </w:rPr>
            </w:pPr>
            <w:r>
              <w:rPr>
                <w:rFonts w:hint="eastAsia" w:ascii="宋体" w:hAnsi="宋体"/>
                <w:color w:val="auto"/>
              </w:rPr>
              <w:t>安监总管三〔</w:t>
            </w:r>
            <w:r>
              <w:rPr>
                <w:rFonts w:hint="eastAsia" w:ascii="Times New Roman" w:hAnsi="Times New Roman"/>
                <w:color w:val="auto"/>
              </w:rPr>
              <w:t>2010</w:t>
            </w:r>
            <w:r>
              <w:rPr>
                <w:rFonts w:hint="eastAsia" w:ascii="宋体" w:hAnsi="宋体"/>
                <w:color w:val="auto"/>
              </w:rPr>
              <w:t>〕</w:t>
            </w:r>
            <w:r>
              <w:rPr>
                <w:rFonts w:hint="eastAsia" w:ascii="Times New Roman" w:hAnsi="Times New Roman"/>
                <w:color w:val="auto"/>
              </w:rPr>
              <w:t xml:space="preserve">186 </w:t>
            </w:r>
            <w:r>
              <w:rPr>
                <w:rFonts w:hint="eastAsia" w:ascii="宋体" w:hAnsi="宋体"/>
                <w:color w:val="auto"/>
              </w:rPr>
              <w:t>号</w:t>
            </w:r>
          </w:p>
        </w:tc>
        <w:tc>
          <w:tcPr>
            <w:tcW w:w="2502" w:type="dxa"/>
            <w:tcBorders>
              <w:top w:val="single" w:color="auto" w:sz="4" w:space="0"/>
              <w:left w:val="single" w:color="auto" w:sz="4" w:space="0"/>
              <w:bottom w:val="single" w:color="auto" w:sz="4" w:space="0"/>
              <w:right w:val="single" w:color="auto" w:sz="4" w:space="0"/>
            </w:tcBorders>
            <w:vAlign w:val="center"/>
          </w:tcPr>
          <w:p w14:paraId="13C705A0">
            <w:pPr>
              <w:pStyle w:val="128"/>
              <w:spacing w:line="360" w:lineRule="auto"/>
              <w:rPr>
                <w:rFonts w:ascii="Times New Roman" w:hAnsi="Times New Roman"/>
                <w:color w:val="auto"/>
              </w:rPr>
            </w:pPr>
            <w:r>
              <w:rPr>
                <w:rFonts w:hint="eastAsia" w:ascii="宋体" w:hAnsi="宋体"/>
                <w:color w:val="auto"/>
              </w:rPr>
              <w:t>本项目不是国内首次采用的化工工艺。</w:t>
            </w:r>
          </w:p>
        </w:tc>
        <w:tc>
          <w:tcPr>
            <w:tcW w:w="638" w:type="dxa"/>
            <w:tcBorders>
              <w:top w:val="single" w:color="auto" w:sz="4" w:space="0"/>
              <w:left w:val="single" w:color="auto" w:sz="4" w:space="0"/>
              <w:bottom w:val="single" w:color="auto" w:sz="4" w:space="0"/>
              <w:right w:val="single" w:color="auto" w:sz="4" w:space="0"/>
            </w:tcBorders>
            <w:vAlign w:val="center"/>
          </w:tcPr>
          <w:p w14:paraId="2A7E5D1C">
            <w:pPr>
              <w:pStyle w:val="117"/>
              <w:spacing w:line="240" w:lineRule="atLeast"/>
              <w:jc w:val="both"/>
              <w:rPr>
                <w:rFonts w:ascii="Times New Roman" w:hAnsi="Times New Roman"/>
                <w:b w:val="0"/>
                <w:color w:val="auto"/>
                <w:sz w:val="21"/>
                <w:szCs w:val="21"/>
              </w:rPr>
            </w:pPr>
            <w:r>
              <w:rPr>
                <w:rFonts w:hint="eastAsia" w:ascii="宋体" w:hAnsi="宋体"/>
                <w:b w:val="0"/>
                <w:color w:val="auto"/>
                <w:sz w:val="21"/>
                <w:szCs w:val="21"/>
              </w:rPr>
              <w:t>符合</w:t>
            </w:r>
          </w:p>
        </w:tc>
      </w:tr>
      <w:tr w14:paraId="13738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8" w:type="dxa"/>
            <w:tcBorders>
              <w:top w:val="single" w:color="auto" w:sz="4" w:space="0"/>
              <w:left w:val="single" w:color="auto" w:sz="4" w:space="0"/>
              <w:bottom w:val="single" w:color="auto" w:sz="4" w:space="0"/>
              <w:right w:val="single" w:color="auto" w:sz="4" w:space="0"/>
            </w:tcBorders>
            <w:vAlign w:val="center"/>
          </w:tcPr>
          <w:p w14:paraId="298D6B2A">
            <w:pPr>
              <w:spacing w:line="273"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3112" w:type="dxa"/>
            <w:tcBorders>
              <w:top w:val="single" w:color="auto" w:sz="4" w:space="0"/>
              <w:left w:val="single" w:color="auto" w:sz="4" w:space="0"/>
              <w:bottom w:val="single" w:color="auto" w:sz="4" w:space="0"/>
              <w:right w:val="single" w:color="auto" w:sz="4" w:space="0"/>
            </w:tcBorders>
            <w:vAlign w:val="center"/>
          </w:tcPr>
          <w:p w14:paraId="20586CD2">
            <w:pPr>
              <w:pStyle w:val="128"/>
              <w:spacing w:line="360" w:lineRule="auto"/>
              <w:rPr>
                <w:rFonts w:hint="default" w:ascii="宋体" w:hAnsi="宋体" w:eastAsia="宋体"/>
                <w:color w:val="auto"/>
                <w:lang w:val="en-US" w:eastAsia="zh-CN"/>
              </w:rPr>
            </w:pPr>
            <w:r>
              <w:rPr>
                <w:rFonts w:hint="eastAsia" w:ascii="宋体" w:hAnsi="宋体"/>
                <w:color w:val="auto"/>
                <w:lang w:val="en-US" w:eastAsia="zh-CN"/>
              </w:rPr>
              <w:t>选用的材料应具有足够的稳定性，包括化学性能、物理性能、耐蚀和耐磨性能、抗疲劳性能和组织稳定性等。</w:t>
            </w:r>
          </w:p>
        </w:tc>
        <w:tc>
          <w:tcPr>
            <w:tcW w:w="2490" w:type="dxa"/>
            <w:tcBorders>
              <w:top w:val="single" w:color="auto" w:sz="4" w:space="0"/>
              <w:left w:val="single" w:color="auto" w:sz="4" w:space="0"/>
              <w:bottom w:val="single" w:color="auto" w:sz="4" w:space="0"/>
              <w:right w:val="single" w:color="auto" w:sz="4" w:space="0"/>
            </w:tcBorders>
            <w:vAlign w:val="center"/>
          </w:tcPr>
          <w:p w14:paraId="40B28029">
            <w:pPr>
              <w:pStyle w:val="128"/>
              <w:spacing w:line="360" w:lineRule="auto"/>
              <w:rPr>
                <w:rFonts w:hint="default" w:ascii="宋体" w:hAnsi="宋体" w:eastAsia="宋体"/>
                <w:color w:val="auto"/>
                <w:lang w:val="en-US" w:eastAsia="zh-CN"/>
              </w:rPr>
            </w:pPr>
            <w:r>
              <w:rPr>
                <w:rFonts w:hint="eastAsia" w:ascii="宋体" w:hAnsi="宋体"/>
                <w:color w:val="auto"/>
              </w:rPr>
              <w:t>《压力管道规范 工业管道 第 2 部分:材料》（GB/T20801.2-2020）</w:t>
            </w:r>
            <w:r>
              <w:rPr>
                <w:rFonts w:hint="eastAsia" w:ascii="宋体" w:hAnsi="宋体"/>
                <w:color w:val="auto"/>
                <w:lang w:val="en-US" w:eastAsia="zh-CN"/>
              </w:rPr>
              <w:t>5.2</w:t>
            </w:r>
          </w:p>
        </w:tc>
        <w:tc>
          <w:tcPr>
            <w:tcW w:w="2502" w:type="dxa"/>
            <w:tcBorders>
              <w:top w:val="single" w:color="auto" w:sz="4" w:space="0"/>
              <w:left w:val="single" w:color="auto" w:sz="4" w:space="0"/>
              <w:bottom w:val="single" w:color="auto" w:sz="4" w:space="0"/>
              <w:right w:val="single" w:color="auto" w:sz="4" w:space="0"/>
            </w:tcBorders>
            <w:vAlign w:val="center"/>
          </w:tcPr>
          <w:p w14:paraId="36838912">
            <w:pPr>
              <w:pStyle w:val="128"/>
              <w:spacing w:line="360" w:lineRule="auto"/>
              <w:rPr>
                <w:rFonts w:hint="default" w:ascii="宋体" w:hAnsi="宋体" w:eastAsia="宋体"/>
                <w:color w:val="auto"/>
                <w:lang w:val="en-US" w:eastAsia="zh-CN"/>
              </w:rPr>
            </w:pPr>
            <w:r>
              <w:rPr>
                <w:rFonts w:hint="eastAsia" w:ascii="宋体" w:hAnsi="宋体"/>
                <w:color w:val="auto"/>
                <w:lang w:val="en-US" w:eastAsia="zh-CN"/>
              </w:rPr>
              <w:t>本项目氟硅酸管道采用钢衬超高分子量聚乙烯管道材质；浓硫酸管道、脱盐水管道、生活水管道采用不锈钢（06Cr19Ni10）材质；再浆水管道、稀硫酸管道、过滤机洗水管道、渣浆水管道等采用钢骨架复合PE材质，工艺水管道、消防水管道等采用碳钢（20）材质，管道选材符合要求。</w:t>
            </w:r>
          </w:p>
        </w:tc>
        <w:tc>
          <w:tcPr>
            <w:tcW w:w="638" w:type="dxa"/>
            <w:tcBorders>
              <w:top w:val="single" w:color="auto" w:sz="4" w:space="0"/>
              <w:left w:val="single" w:color="auto" w:sz="4" w:space="0"/>
              <w:bottom w:val="single" w:color="auto" w:sz="4" w:space="0"/>
              <w:right w:val="single" w:color="auto" w:sz="4" w:space="0"/>
            </w:tcBorders>
            <w:vAlign w:val="center"/>
          </w:tcPr>
          <w:p w14:paraId="4E3ACC46">
            <w:pPr>
              <w:pStyle w:val="117"/>
              <w:spacing w:line="240" w:lineRule="atLeast"/>
              <w:jc w:val="both"/>
              <w:rPr>
                <w:rFonts w:hint="eastAsia" w:ascii="宋体" w:hAnsi="宋体" w:eastAsia="宋体"/>
                <w:b w:val="0"/>
                <w:color w:val="auto"/>
                <w:sz w:val="21"/>
                <w:szCs w:val="21"/>
                <w:lang w:val="en-US" w:eastAsia="zh-CN"/>
              </w:rPr>
            </w:pPr>
            <w:r>
              <w:rPr>
                <w:rFonts w:hint="eastAsia" w:ascii="宋体" w:hAnsi="宋体"/>
                <w:b w:val="0"/>
                <w:color w:val="auto"/>
                <w:sz w:val="21"/>
                <w:szCs w:val="21"/>
                <w:lang w:val="en-US" w:eastAsia="zh-CN"/>
              </w:rPr>
              <w:t>符合</w:t>
            </w:r>
          </w:p>
        </w:tc>
      </w:tr>
      <w:tr w14:paraId="65DF5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8" w:type="dxa"/>
            <w:tcBorders>
              <w:top w:val="single" w:color="auto" w:sz="4" w:space="0"/>
              <w:left w:val="single" w:color="auto" w:sz="4" w:space="0"/>
              <w:bottom w:val="single" w:color="auto" w:sz="4" w:space="0"/>
              <w:right w:val="single" w:color="auto" w:sz="4" w:space="0"/>
            </w:tcBorders>
            <w:vAlign w:val="center"/>
          </w:tcPr>
          <w:p w14:paraId="4D58FC0F">
            <w:pPr>
              <w:spacing w:line="273"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w:t>
            </w:r>
          </w:p>
        </w:tc>
        <w:tc>
          <w:tcPr>
            <w:tcW w:w="3112" w:type="dxa"/>
            <w:tcBorders>
              <w:top w:val="single" w:color="auto" w:sz="4" w:space="0"/>
              <w:left w:val="single" w:color="auto" w:sz="4" w:space="0"/>
              <w:bottom w:val="single" w:color="auto" w:sz="4" w:space="0"/>
              <w:right w:val="single" w:color="auto" w:sz="4" w:space="0"/>
            </w:tcBorders>
            <w:vAlign w:val="center"/>
          </w:tcPr>
          <w:p w14:paraId="53788D20">
            <w:pPr>
              <w:pStyle w:val="128"/>
              <w:spacing w:line="360" w:lineRule="auto"/>
              <w:rPr>
                <w:rFonts w:hint="default" w:ascii="宋体" w:hAnsi="宋体"/>
                <w:color w:val="auto"/>
                <w:lang w:val="en-US" w:eastAsia="zh-CN"/>
              </w:rPr>
            </w:pPr>
            <w:r>
              <w:rPr>
                <w:rFonts w:hint="eastAsia" w:ascii="宋体" w:hAnsi="宋体"/>
                <w:color w:val="auto"/>
                <w:lang w:val="en-US" w:eastAsia="zh-CN"/>
              </w:rPr>
              <w:t>选用材料时，应考虑材料在可能发生的明火、火灾和灭火条件下的适用性以及由此而带来材料性能变化和次生危害。</w:t>
            </w:r>
          </w:p>
        </w:tc>
        <w:tc>
          <w:tcPr>
            <w:tcW w:w="2490" w:type="dxa"/>
            <w:tcBorders>
              <w:top w:val="single" w:color="auto" w:sz="4" w:space="0"/>
              <w:left w:val="single" w:color="auto" w:sz="4" w:space="0"/>
              <w:bottom w:val="single" w:color="auto" w:sz="4" w:space="0"/>
              <w:right w:val="single" w:color="auto" w:sz="4" w:space="0"/>
            </w:tcBorders>
            <w:vAlign w:val="center"/>
          </w:tcPr>
          <w:p w14:paraId="7BE2EFCF">
            <w:pPr>
              <w:pStyle w:val="128"/>
              <w:spacing w:line="360" w:lineRule="auto"/>
              <w:rPr>
                <w:rFonts w:hint="eastAsia" w:ascii="宋体" w:hAnsi="宋体"/>
                <w:color w:val="auto"/>
              </w:rPr>
            </w:pPr>
            <w:r>
              <w:rPr>
                <w:rFonts w:hint="eastAsia" w:ascii="宋体" w:hAnsi="宋体"/>
                <w:color w:val="auto"/>
              </w:rPr>
              <w:t>《压力管道规范 工业管道 第 2 部分:材料》（GB/T20801.2-2020）</w:t>
            </w:r>
            <w:r>
              <w:rPr>
                <w:rFonts w:hint="eastAsia" w:ascii="宋体" w:hAnsi="宋体"/>
                <w:color w:val="auto"/>
                <w:lang w:val="en-US" w:eastAsia="zh-CN"/>
              </w:rPr>
              <w:t>5.3</w:t>
            </w:r>
          </w:p>
        </w:tc>
        <w:tc>
          <w:tcPr>
            <w:tcW w:w="2502" w:type="dxa"/>
            <w:tcBorders>
              <w:top w:val="single" w:color="auto" w:sz="4" w:space="0"/>
              <w:left w:val="single" w:color="auto" w:sz="4" w:space="0"/>
              <w:bottom w:val="single" w:color="auto" w:sz="4" w:space="0"/>
              <w:right w:val="single" w:color="auto" w:sz="4" w:space="0"/>
            </w:tcBorders>
            <w:vAlign w:val="center"/>
          </w:tcPr>
          <w:p w14:paraId="3371F015">
            <w:pPr>
              <w:pStyle w:val="128"/>
              <w:spacing w:line="360" w:lineRule="auto"/>
              <w:rPr>
                <w:rFonts w:hint="default" w:ascii="宋体" w:hAnsi="宋体" w:eastAsia="宋体"/>
                <w:color w:val="auto"/>
                <w:lang w:val="en-US" w:eastAsia="zh-CN"/>
              </w:rPr>
            </w:pPr>
            <w:r>
              <w:rPr>
                <w:rFonts w:hint="eastAsia" w:ascii="宋体" w:hAnsi="宋体"/>
                <w:color w:val="auto"/>
                <w:lang w:val="en-US" w:eastAsia="zh-CN"/>
              </w:rPr>
              <w:t>本项目材料选择考虑了明火、火灾和灭火条件下的适用性以及由此而带来材料性能变化和次生危害。</w:t>
            </w:r>
          </w:p>
        </w:tc>
        <w:tc>
          <w:tcPr>
            <w:tcW w:w="638" w:type="dxa"/>
            <w:tcBorders>
              <w:top w:val="single" w:color="auto" w:sz="4" w:space="0"/>
              <w:left w:val="single" w:color="auto" w:sz="4" w:space="0"/>
              <w:bottom w:val="single" w:color="auto" w:sz="4" w:space="0"/>
              <w:right w:val="single" w:color="auto" w:sz="4" w:space="0"/>
            </w:tcBorders>
            <w:vAlign w:val="center"/>
          </w:tcPr>
          <w:p w14:paraId="36175650">
            <w:pPr>
              <w:pStyle w:val="117"/>
              <w:spacing w:line="240" w:lineRule="atLeast"/>
              <w:jc w:val="both"/>
              <w:rPr>
                <w:rFonts w:hint="eastAsia" w:ascii="宋体" w:hAnsi="宋体" w:eastAsia="宋体"/>
                <w:b w:val="0"/>
                <w:color w:val="auto"/>
                <w:sz w:val="21"/>
                <w:szCs w:val="21"/>
                <w:lang w:val="en-US" w:eastAsia="zh-CN"/>
              </w:rPr>
            </w:pPr>
            <w:r>
              <w:rPr>
                <w:rFonts w:hint="eastAsia" w:ascii="宋体" w:hAnsi="宋体"/>
                <w:b w:val="0"/>
                <w:color w:val="auto"/>
                <w:sz w:val="21"/>
                <w:szCs w:val="21"/>
                <w:lang w:val="en-US" w:eastAsia="zh-CN"/>
              </w:rPr>
              <w:t>符合</w:t>
            </w:r>
          </w:p>
        </w:tc>
      </w:tr>
      <w:tr w14:paraId="54F57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8" w:type="dxa"/>
            <w:tcBorders>
              <w:top w:val="single" w:color="auto" w:sz="4" w:space="0"/>
              <w:left w:val="single" w:color="auto" w:sz="4" w:space="0"/>
              <w:bottom w:val="single" w:color="auto" w:sz="4" w:space="0"/>
              <w:right w:val="single" w:color="auto" w:sz="4" w:space="0"/>
            </w:tcBorders>
            <w:vAlign w:val="center"/>
          </w:tcPr>
          <w:p w14:paraId="27DEDC77">
            <w:pPr>
              <w:spacing w:line="273"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3112" w:type="dxa"/>
            <w:tcBorders>
              <w:top w:val="single" w:color="auto" w:sz="4" w:space="0"/>
              <w:left w:val="single" w:color="auto" w:sz="4" w:space="0"/>
              <w:bottom w:val="single" w:color="auto" w:sz="4" w:space="0"/>
              <w:right w:val="single" w:color="auto" w:sz="4" w:space="0"/>
            </w:tcBorders>
            <w:vAlign w:val="center"/>
          </w:tcPr>
          <w:p w14:paraId="7F5B9DB8">
            <w:pPr>
              <w:pStyle w:val="128"/>
              <w:spacing w:line="360" w:lineRule="auto"/>
              <w:rPr>
                <w:rFonts w:hint="default" w:ascii="宋体" w:hAnsi="宋体"/>
                <w:color w:val="auto"/>
                <w:lang w:val="en-US" w:eastAsia="zh-CN"/>
              </w:rPr>
            </w:pPr>
            <w:r>
              <w:rPr>
                <w:rFonts w:hint="eastAsia" w:ascii="宋体" w:hAnsi="宋体"/>
                <w:color w:val="auto"/>
                <w:lang w:val="en-US" w:eastAsia="zh-CN"/>
              </w:rPr>
              <w:t>选用的材料应适合相应的制造、制作和安装，包括焊接、冷热加工及热处理等方面的要求。</w:t>
            </w:r>
          </w:p>
        </w:tc>
        <w:tc>
          <w:tcPr>
            <w:tcW w:w="2490" w:type="dxa"/>
            <w:tcBorders>
              <w:top w:val="single" w:color="auto" w:sz="4" w:space="0"/>
              <w:left w:val="single" w:color="auto" w:sz="4" w:space="0"/>
              <w:bottom w:val="single" w:color="auto" w:sz="4" w:space="0"/>
              <w:right w:val="single" w:color="auto" w:sz="4" w:space="0"/>
            </w:tcBorders>
            <w:vAlign w:val="center"/>
          </w:tcPr>
          <w:p w14:paraId="650F9FF6">
            <w:pPr>
              <w:pStyle w:val="128"/>
              <w:spacing w:line="360" w:lineRule="auto"/>
              <w:rPr>
                <w:rFonts w:hint="eastAsia" w:ascii="宋体" w:hAnsi="宋体"/>
                <w:color w:val="auto"/>
              </w:rPr>
            </w:pPr>
            <w:r>
              <w:rPr>
                <w:rFonts w:hint="eastAsia" w:ascii="宋体" w:hAnsi="宋体"/>
                <w:color w:val="auto"/>
              </w:rPr>
              <w:t>《压力管道规范 工业管道 第 2 部分:材料》（GB/T20801.2-2020）</w:t>
            </w:r>
            <w:r>
              <w:rPr>
                <w:rFonts w:hint="eastAsia" w:ascii="宋体" w:hAnsi="宋体"/>
                <w:color w:val="auto"/>
                <w:lang w:val="en-US" w:eastAsia="zh-CN"/>
              </w:rPr>
              <w:t>5.4</w:t>
            </w:r>
          </w:p>
        </w:tc>
        <w:tc>
          <w:tcPr>
            <w:tcW w:w="2502" w:type="dxa"/>
            <w:tcBorders>
              <w:top w:val="single" w:color="auto" w:sz="4" w:space="0"/>
              <w:left w:val="single" w:color="auto" w:sz="4" w:space="0"/>
              <w:bottom w:val="single" w:color="auto" w:sz="4" w:space="0"/>
              <w:right w:val="single" w:color="auto" w:sz="4" w:space="0"/>
            </w:tcBorders>
            <w:vAlign w:val="center"/>
          </w:tcPr>
          <w:p w14:paraId="7B33EFB1">
            <w:pPr>
              <w:pStyle w:val="128"/>
              <w:spacing w:line="360" w:lineRule="auto"/>
              <w:rPr>
                <w:rFonts w:hint="default" w:ascii="宋体" w:hAnsi="宋体" w:eastAsia="宋体"/>
                <w:color w:val="auto"/>
                <w:lang w:val="en-US" w:eastAsia="zh-CN"/>
              </w:rPr>
            </w:pPr>
            <w:r>
              <w:rPr>
                <w:rFonts w:hint="eastAsia" w:ascii="宋体" w:hAnsi="宋体"/>
                <w:color w:val="auto"/>
                <w:lang w:val="en-US" w:eastAsia="zh-CN"/>
              </w:rPr>
              <w:t>本项目材料的选择适合相应的制造、制作和安装要求。</w:t>
            </w:r>
          </w:p>
        </w:tc>
        <w:tc>
          <w:tcPr>
            <w:tcW w:w="638" w:type="dxa"/>
            <w:tcBorders>
              <w:top w:val="single" w:color="auto" w:sz="4" w:space="0"/>
              <w:left w:val="single" w:color="auto" w:sz="4" w:space="0"/>
              <w:bottom w:val="single" w:color="auto" w:sz="4" w:space="0"/>
              <w:right w:val="single" w:color="auto" w:sz="4" w:space="0"/>
            </w:tcBorders>
            <w:vAlign w:val="center"/>
          </w:tcPr>
          <w:p w14:paraId="39BB6404">
            <w:pPr>
              <w:pStyle w:val="117"/>
              <w:spacing w:line="240" w:lineRule="atLeast"/>
              <w:jc w:val="both"/>
              <w:rPr>
                <w:rFonts w:hint="eastAsia" w:ascii="宋体" w:hAnsi="宋体" w:eastAsia="宋体"/>
                <w:b w:val="0"/>
                <w:color w:val="auto"/>
                <w:sz w:val="21"/>
                <w:szCs w:val="21"/>
                <w:lang w:val="en-US" w:eastAsia="zh-CN"/>
              </w:rPr>
            </w:pPr>
            <w:r>
              <w:rPr>
                <w:rFonts w:hint="eastAsia" w:ascii="宋体" w:hAnsi="宋体"/>
                <w:b w:val="0"/>
                <w:color w:val="auto"/>
                <w:sz w:val="21"/>
                <w:szCs w:val="21"/>
                <w:lang w:val="en-US" w:eastAsia="zh-CN"/>
              </w:rPr>
              <w:t>符合</w:t>
            </w:r>
          </w:p>
        </w:tc>
      </w:tr>
    </w:tbl>
    <w:p w14:paraId="5771407F">
      <w:pPr>
        <w:ind w:firstLine="560" w:firstLineChars="200"/>
        <w:rPr>
          <w:rFonts w:hint="eastAsia" w:ascii="Times New Roman" w:hAnsi="Times New Roman"/>
          <w:color w:val="auto"/>
          <w:sz w:val="28"/>
          <w:szCs w:val="28"/>
        </w:rPr>
      </w:pPr>
      <w:r>
        <w:rPr>
          <w:rFonts w:hint="eastAsia" w:ascii="Times New Roman" w:hAnsi="Times New Roman"/>
          <w:color w:val="auto"/>
          <w:sz w:val="28"/>
          <w:szCs w:val="28"/>
        </w:rPr>
        <w:t>根据检查表可知，项目采用加压方式输送，不属于首次开发工艺技术，本项目不涉及淘汰落后工艺技术及设备，不属于</w:t>
      </w:r>
      <w:r>
        <w:rPr>
          <w:rFonts w:ascii="Times New Roman" w:hAnsi="Times New Roman"/>
          <w:color w:val="auto"/>
          <w:sz w:val="28"/>
          <w:szCs w:val="28"/>
        </w:rPr>
        <w:t>金属有机物合成反应的间歇和半间歇的精细化工反应</w:t>
      </w:r>
      <w:r>
        <w:rPr>
          <w:rFonts w:hint="eastAsia" w:ascii="Times New Roman" w:hAnsi="Times New Roman"/>
          <w:color w:val="auto"/>
          <w:sz w:val="28"/>
          <w:szCs w:val="28"/>
          <w:lang w:eastAsia="zh-CN"/>
        </w:rPr>
        <w:t>，</w:t>
      </w:r>
      <w:r>
        <w:rPr>
          <w:rFonts w:hint="eastAsia" w:ascii="Times New Roman" w:hAnsi="Times New Roman"/>
          <w:color w:val="auto"/>
          <w:sz w:val="28"/>
          <w:szCs w:val="28"/>
          <w:lang w:val="en-US" w:eastAsia="zh-CN"/>
        </w:rPr>
        <w:t>管道材料选择符合《</w:t>
      </w:r>
      <w:r>
        <w:rPr>
          <w:rFonts w:hint="eastAsia" w:ascii="Times New Roman" w:hAnsi="Times New Roman"/>
          <w:color w:val="auto"/>
          <w:sz w:val="28"/>
          <w:szCs w:val="28"/>
        </w:rPr>
        <w:t>压力管道规范 工业管道 第 2 部分:材料》（GB/T20801.2-2020）</w:t>
      </w:r>
      <w:r>
        <w:rPr>
          <w:rFonts w:hint="eastAsia" w:ascii="Times New Roman" w:hAnsi="Times New Roman"/>
          <w:color w:val="auto"/>
          <w:sz w:val="28"/>
          <w:szCs w:val="28"/>
          <w:lang w:val="en-US" w:eastAsia="zh-CN"/>
        </w:rPr>
        <w:t>的相关要求</w:t>
      </w:r>
      <w:r>
        <w:rPr>
          <w:rFonts w:hint="eastAsia" w:ascii="Times New Roman" w:hAnsi="Times New Roman"/>
          <w:color w:val="auto"/>
          <w:sz w:val="28"/>
          <w:szCs w:val="28"/>
        </w:rPr>
        <w:t>。</w:t>
      </w:r>
    </w:p>
    <w:p w14:paraId="03D25249">
      <w:pPr>
        <w:numPr>
          <w:ilvl w:val="0"/>
          <w:numId w:val="43"/>
        </w:numPr>
        <w:ind w:firstLine="560" w:firstLineChars="200"/>
        <w:rPr>
          <w:rFonts w:hint="eastAsia" w:ascii="Times New Roman" w:hAnsi="Times New Roman"/>
          <w:color w:val="auto"/>
          <w:sz w:val="28"/>
          <w:szCs w:val="28"/>
          <w:lang w:val="en-US" w:eastAsia="zh-CN"/>
        </w:rPr>
      </w:pPr>
      <w:r>
        <w:rPr>
          <w:rFonts w:hint="eastAsia" w:ascii="Times New Roman" w:hAnsi="Times New Roman"/>
          <w:color w:val="auto"/>
          <w:sz w:val="28"/>
          <w:szCs w:val="28"/>
          <w:lang w:val="en-US" w:eastAsia="zh-CN"/>
        </w:rPr>
        <w:t>酸灼伤事故树分析</w:t>
      </w:r>
    </w:p>
    <w:p w14:paraId="051C28A0">
      <w:pPr>
        <w:ind w:firstLine="560" w:firstLineChars="200"/>
        <w:rPr>
          <w:rFonts w:hint="eastAsia" w:ascii="Times New Roman" w:hAnsi="Times New Roman"/>
          <w:color w:val="auto"/>
          <w:sz w:val="28"/>
          <w:szCs w:val="28"/>
          <w:lang w:val="en-US" w:eastAsia="zh-CN"/>
        </w:rPr>
      </w:pPr>
      <w:r>
        <w:rPr>
          <w:rFonts w:hint="eastAsia" w:ascii="Times New Roman" w:hAnsi="Times New Roman"/>
          <w:color w:val="auto"/>
          <w:sz w:val="28"/>
          <w:szCs w:val="28"/>
          <w:lang w:val="en-US" w:eastAsia="zh-CN"/>
        </w:rPr>
        <w:t>（1）酸灼伤事故树图</w:t>
      </w:r>
    </w:p>
    <w:p w14:paraId="0ED02E8F">
      <w:pPr>
        <w:ind w:firstLine="560" w:firstLineChars="200"/>
        <w:rPr>
          <w:rFonts w:hint="eastAsia" w:ascii="Times New Roman" w:hAnsi="Times New Roman"/>
          <w:color w:val="auto"/>
          <w:sz w:val="28"/>
          <w:szCs w:val="28"/>
          <w:lang w:val="en-US" w:eastAsia="zh-CN"/>
        </w:rPr>
      </w:pPr>
      <w:r>
        <w:rPr>
          <w:rFonts w:hint="eastAsia" w:ascii="Times New Roman" w:hAnsi="Times New Roman"/>
          <w:color w:val="auto"/>
          <w:sz w:val="28"/>
          <w:szCs w:val="28"/>
          <w:lang w:val="en-US" w:eastAsia="zh-CN"/>
        </w:rPr>
        <w:t>项目外管廊硫酸、氟硅酸等输送管道及输送泵可能发生硫酸、氟硅酸泄漏而造成酸灼伤事故树图如下所示：</w:t>
      </w:r>
    </w:p>
    <w:p w14:paraId="1A8A91B0">
      <w:pPr>
        <w:bidi w:val="0"/>
        <w:jc w:val="center"/>
        <w:rPr>
          <w:rFonts w:hint="eastAsia"/>
          <w:color w:val="auto"/>
          <w:lang w:val="en-US" w:eastAsia="zh-CN"/>
        </w:rPr>
      </w:pPr>
      <w:r>
        <w:rPr>
          <w:color w:val="auto"/>
        </w:rPr>
        <w:drawing>
          <wp:inline distT="0" distB="0" distL="114300" distR="114300">
            <wp:extent cx="4644390" cy="3873500"/>
            <wp:effectExtent l="0" t="0" r="3810"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41"/>
                    <a:stretch>
                      <a:fillRect/>
                    </a:stretch>
                  </pic:blipFill>
                  <pic:spPr>
                    <a:xfrm>
                      <a:off x="0" y="0"/>
                      <a:ext cx="4644390" cy="3873500"/>
                    </a:xfrm>
                    <a:prstGeom prst="rect">
                      <a:avLst/>
                    </a:prstGeom>
                    <a:noFill/>
                    <a:ln>
                      <a:noFill/>
                    </a:ln>
                  </pic:spPr>
                </pic:pic>
              </a:graphicData>
            </a:graphic>
          </wp:inline>
        </w:drawing>
      </w:r>
    </w:p>
    <w:p w14:paraId="4C3D4D8C">
      <w:pPr>
        <w:pStyle w:val="122"/>
        <w:jc w:val="center"/>
        <w:rPr>
          <w:bCs/>
          <w:color w:val="auto"/>
          <w:sz w:val="21"/>
        </w:rPr>
      </w:pPr>
      <w:r>
        <w:rPr>
          <w:rFonts w:hint="eastAsia"/>
          <w:bCs/>
          <w:color w:val="auto"/>
          <w:sz w:val="21"/>
          <w:lang w:val="en-US" w:eastAsia="zh-CN"/>
        </w:rPr>
        <w:t>附</w:t>
      </w:r>
      <w:r>
        <w:rPr>
          <w:rFonts w:hint="eastAsia"/>
          <w:bCs/>
          <w:color w:val="auto"/>
          <w:sz w:val="21"/>
        </w:rPr>
        <w:t>图</w:t>
      </w:r>
      <w:r>
        <w:rPr>
          <w:rFonts w:hint="eastAsia"/>
          <w:bCs/>
          <w:color w:val="auto"/>
          <w:sz w:val="21"/>
          <w:lang w:val="en-US" w:eastAsia="zh-CN"/>
        </w:rPr>
        <w:t>3</w:t>
      </w:r>
      <w:r>
        <w:rPr>
          <w:rFonts w:hint="eastAsia"/>
          <w:bCs/>
          <w:color w:val="auto"/>
          <w:sz w:val="21"/>
        </w:rPr>
        <w:t>-1</w:t>
      </w:r>
      <w:r>
        <w:rPr>
          <w:rFonts w:hint="eastAsia"/>
          <w:bCs/>
          <w:color w:val="auto"/>
          <w:sz w:val="21"/>
          <w:lang w:val="en-US" w:eastAsia="zh-CN"/>
        </w:rPr>
        <w:t>酸灼伤事故树</w:t>
      </w:r>
      <w:r>
        <w:rPr>
          <w:rFonts w:hint="eastAsia"/>
          <w:bCs/>
          <w:color w:val="auto"/>
          <w:sz w:val="21"/>
        </w:rPr>
        <w:t>图</w:t>
      </w:r>
    </w:p>
    <w:p w14:paraId="48319494">
      <w:pPr>
        <w:ind w:firstLine="560" w:firstLineChars="200"/>
        <w:rPr>
          <w:rFonts w:hint="eastAsia" w:ascii="Times New Roman" w:hAnsi="Times New Roman"/>
          <w:color w:val="auto"/>
          <w:sz w:val="28"/>
          <w:szCs w:val="28"/>
        </w:rPr>
      </w:pPr>
      <w:r>
        <w:rPr>
          <w:rFonts w:hint="eastAsia" w:ascii="Times New Roman" w:hAnsi="Times New Roman"/>
          <w:color w:val="auto"/>
          <w:sz w:val="28"/>
          <w:szCs w:val="28"/>
          <w:lang w:val="en-US" w:eastAsia="zh-CN"/>
        </w:rPr>
        <w:t xml:space="preserve">（2）事故树定性分析 </w:t>
      </w:r>
    </w:p>
    <w:p w14:paraId="5FE626AB">
      <w:pPr>
        <w:ind w:firstLine="560" w:firstLineChars="200"/>
        <w:rPr>
          <w:rFonts w:hint="eastAsia" w:ascii="Times New Roman" w:hAnsi="Times New Roman"/>
          <w:color w:val="auto"/>
          <w:sz w:val="28"/>
          <w:szCs w:val="28"/>
        </w:rPr>
      </w:pPr>
      <w:r>
        <w:rPr>
          <w:rFonts w:hint="default" w:ascii="Times New Roman" w:hAnsi="Times New Roman"/>
          <w:color w:val="auto"/>
          <w:sz w:val="28"/>
          <w:szCs w:val="28"/>
          <w:lang w:val="en-US" w:eastAsia="zh-CN"/>
        </w:rPr>
        <w:t>1</w:t>
      </w:r>
      <w:r>
        <w:rPr>
          <w:rFonts w:hint="eastAsia" w:ascii="Times New Roman" w:hAnsi="Times New Roman"/>
          <w:color w:val="auto"/>
          <w:sz w:val="28"/>
          <w:szCs w:val="28"/>
          <w:lang w:val="en-US" w:eastAsia="zh-CN"/>
        </w:rPr>
        <w:t xml:space="preserve">）求其割集 </w:t>
      </w:r>
    </w:p>
    <w:p w14:paraId="4B1F043A">
      <w:pPr>
        <w:ind w:firstLine="560" w:firstLineChars="200"/>
        <w:rPr>
          <w:rFonts w:hint="eastAsia" w:ascii="Times New Roman" w:hAnsi="Times New Roman"/>
          <w:color w:val="auto"/>
          <w:sz w:val="28"/>
          <w:szCs w:val="28"/>
        </w:rPr>
      </w:pPr>
      <w:r>
        <w:rPr>
          <w:rFonts w:hint="default" w:ascii="Times New Roman" w:hAnsi="Times New Roman"/>
          <w:color w:val="auto"/>
          <w:sz w:val="28"/>
          <w:szCs w:val="28"/>
          <w:lang w:val="en-US" w:eastAsia="zh-CN"/>
        </w:rPr>
        <w:t>T=X</w:t>
      </w:r>
      <w:r>
        <w:rPr>
          <w:rFonts w:hint="default" w:ascii="Times New Roman" w:hAnsi="Times New Roman"/>
          <w:color w:val="auto"/>
          <w:sz w:val="28"/>
          <w:szCs w:val="28"/>
          <w:vertAlign w:val="subscript"/>
          <w:lang w:val="en-US" w:eastAsia="zh-CN"/>
        </w:rPr>
        <w:t>1</w:t>
      </w:r>
      <w:r>
        <w:rPr>
          <w:rFonts w:hint="default" w:ascii="Times New Roman" w:hAnsi="Times New Roman"/>
          <w:color w:val="auto"/>
          <w:sz w:val="28"/>
          <w:szCs w:val="28"/>
          <w:lang w:val="en-US" w:eastAsia="zh-CN"/>
        </w:rPr>
        <w:t>A</w:t>
      </w:r>
      <w:r>
        <w:rPr>
          <w:rFonts w:hint="default" w:ascii="Times New Roman" w:hAnsi="Times New Roman"/>
          <w:color w:val="auto"/>
          <w:sz w:val="28"/>
          <w:szCs w:val="28"/>
          <w:vertAlign w:val="subscript"/>
          <w:lang w:val="en-US" w:eastAsia="zh-CN"/>
        </w:rPr>
        <w:t>1</w:t>
      </w:r>
      <w:r>
        <w:rPr>
          <w:rFonts w:hint="default" w:ascii="Times New Roman" w:hAnsi="Times New Roman"/>
          <w:color w:val="auto"/>
          <w:sz w:val="28"/>
          <w:szCs w:val="28"/>
          <w:lang w:val="en-US" w:eastAsia="zh-CN"/>
        </w:rPr>
        <w:t>A</w:t>
      </w:r>
      <w:r>
        <w:rPr>
          <w:rFonts w:hint="default" w:ascii="Times New Roman" w:hAnsi="Times New Roman"/>
          <w:color w:val="auto"/>
          <w:sz w:val="28"/>
          <w:szCs w:val="28"/>
          <w:vertAlign w:val="subscript"/>
          <w:lang w:val="en-US" w:eastAsia="zh-CN"/>
        </w:rPr>
        <w:t>2</w:t>
      </w:r>
      <w:r>
        <w:rPr>
          <w:rFonts w:hint="eastAsia" w:ascii="Times New Roman" w:hAnsi="Times New Roman"/>
          <w:color w:val="auto"/>
          <w:sz w:val="28"/>
          <w:szCs w:val="28"/>
          <w:lang w:val="en-US" w:eastAsia="zh-CN"/>
        </w:rPr>
        <w:t>；</w:t>
      </w:r>
      <w:r>
        <w:rPr>
          <w:rFonts w:hint="default" w:ascii="Times New Roman" w:hAnsi="Times New Roman"/>
          <w:color w:val="auto"/>
          <w:sz w:val="28"/>
          <w:szCs w:val="28"/>
          <w:lang w:val="en-US" w:eastAsia="zh-CN"/>
        </w:rPr>
        <w:t>A</w:t>
      </w:r>
      <w:r>
        <w:rPr>
          <w:rFonts w:hint="default" w:ascii="Times New Roman" w:hAnsi="Times New Roman"/>
          <w:color w:val="auto"/>
          <w:sz w:val="28"/>
          <w:szCs w:val="28"/>
          <w:vertAlign w:val="subscript"/>
          <w:lang w:val="en-US" w:eastAsia="zh-CN"/>
        </w:rPr>
        <w:t>1</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2</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3</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4</w:t>
      </w:r>
      <w:r>
        <w:rPr>
          <w:rFonts w:hint="eastAsia" w:ascii="Times New Roman" w:hAnsi="Times New Roman"/>
          <w:color w:val="auto"/>
          <w:sz w:val="28"/>
          <w:szCs w:val="28"/>
          <w:lang w:val="en-US" w:eastAsia="zh-CN"/>
        </w:rPr>
        <w:t>；</w:t>
      </w:r>
      <w:r>
        <w:rPr>
          <w:rFonts w:hint="default" w:ascii="Times New Roman" w:hAnsi="Times New Roman"/>
          <w:color w:val="auto"/>
          <w:sz w:val="28"/>
          <w:szCs w:val="28"/>
          <w:lang w:val="en-US" w:eastAsia="zh-CN"/>
        </w:rPr>
        <w:t>A</w:t>
      </w:r>
      <w:r>
        <w:rPr>
          <w:rFonts w:hint="default" w:ascii="Times New Roman" w:hAnsi="Times New Roman"/>
          <w:color w:val="auto"/>
          <w:sz w:val="28"/>
          <w:szCs w:val="28"/>
          <w:vertAlign w:val="subscript"/>
          <w:lang w:val="en-US" w:eastAsia="zh-CN"/>
        </w:rPr>
        <w:t>2</w:t>
      </w:r>
      <w:r>
        <w:rPr>
          <w:rFonts w:hint="default" w:ascii="Times New Roman" w:hAnsi="Times New Roman"/>
          <w:color w:val="auto"/>
          <w:sz w:val="28"/>
          <w:szCs w:val="28"/>
          <w:lang w:val="en-US" w:eastAsia="zh-CN"/>
        </w:rPr>
        <w:t>=B</w:t>
      </w:r>
      <w:r>
        <w:rPr>
          <w:rFonts w:hint="default" w:ascii="Times New Roman" w:hAnsi="Times New Roman"/>
          <w:color w:val="auto"/>
          <w:sz w:val="28"/>
          <w:szCs w:val="28"/>
          <w:vertAlign w:val="subscript"/>
          <w:lang w:val="en-US" w:eastAsia="zh-CN"/>
        </w:rPr>
        <w:t>1</w:t>
      </w:r>
      <w:r>
        <w:rPr>
          <w:rFonts w:hint="default" w:ascii="Times New Roman" w:hAnsi="Times New Roman"/>
          <w:color w:val="auto"/>
          <w:sz w:val="28"/>
          <w:szCs w:val="28"/>
          <w:lang w:val="en-US" w:eastAsia="zh-CN"/>
        </w:rPr>
        <w:t>+B</w:t>
      </w:r>
      <w:r>
        <w:rPr>
          <w:rFonts w:hint="default" w:ascii="Times New Roman" w:hAnsi="Times New Roman"/>
          <w:color w:val="auto"/>
          <w:sz w:val="28"/>
          <w:szCs w:val="28"/>
          <w:vertAlign w:val="subscript"/>
          <w:lang w:val="en-US" w:eastAsia="zh-CN"/>
        </w:rPr>
        <w:t>2</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5</w:t>
      </w:r>
      <w:r>
        <w:rPr>
          <w:rFonts w:hint="eastAsia" w:ascii="Times New Roman" w:hAnsi="Times New Roman"/>
          <w:color w:val="auto"/>
          <w:sz w:val="28"/>
          <w:szCs w:val="28"/>
          <w:lang w:val="en-US" w:eastAsia="zh-CN"/>
        </w:rPr>
        <w:t>；</w:t>
      </w:r>
      <w:r>
        <w:rPr>
          <w:rFonts w:hint="default" w:ascii="Times New Roman" w:hAnsi="Times New Roman"/>
          <w:color w:val="auto"/>
          <w:sz w:val="28"/>
          <w:szCs w:val="28"/>
          <w:lang w:val="en-US" w:eastAsia="zh-CN"/>
        </w:rPr>
        <w:t>B</w:t>
      </w:r>
      <w:r>
        <w:rPr>
          <w:rFonts w:hint="default" w:ascii="Times New Roman" w:hAnsi="Times New Roman"/>
          <w:color w:val="auto"/>
          <w:sz w:val="28"/>
          <w:szCs w:val="28"/>
          <w:vertAlign w:val="subscript"/>
          <w:lang w:val="en-US" w:eastAsia="zh-CN"/>
        </w:rPr>
        <w:t>1</w:t>
      </w:r>
      <w:r>
        <w:rPr>
          <w:rFonts w:hint="default" w:ascii="Times New Roman" w:hAnsi="Times New Roman"/>
          <w:color w:val="auto"/>
          <w:sz w:val="28"/>
          <w:szCs w:val="28"/>
          <w:lang w:val="en-US" w:eastAsia="zh-CN"/>
        </w:rPr>
        <w:t>=C</w:t>
      </w:r>
      <w:r>
        <w:rPr>
          <w:rFonts w:hint="default" w:ascii="Times New Roman" w:hAnsi="Times New Roman"/>
          <w:color w:val="auto"/>
          <w:sz w:val="28"/>
          <w:szCs w:val="28"/>
          <w:vertAlign w:val="subscript"/>
          <w:lang w:val="en-US" w:eastAsia="zh-CN"/>
        </w:rPr>
        <w:t>1</w:t>
      </w:r>
      <w:r>
        <w:rPr>
          <w:rFonts w:hint="default" w:ascii="Times New Roman" w:hAnsi="Times New Roman"/>
          <w:color w:val="auto"/>
          <w:sz w:val="28"/>
          <w:szCs w:val="28"/>
          <w:lang w:val="en-US" w:eastAsia="zh-CN"/>
        </w:rPr>
        <w:t>+C</w:t>
      </w:r>
      <w:r>
        <w:rPr>
          <w:rFonts w:hint="default" w:ascii="Times New Roman" w:hAnsi="Times New Roman"/>
          <w:color w:val="auto"/>
          <w:sz w:val="28"/>
          <w:szCs w:val="28"/>
          <w:vertAlign w:val="subscript"/>
          <w:lang w:val="en-US" w:eastAsia="zh-CN"/>
        </w:rPr>
        <w:t>2</w:t>
      </w:r>
      <w:r>
        <w:rPr>
          <w:rFonts w:hint="eastAsia" w:ascii="Times New Roman" w:hAnsi="Times New Roman"/>
          <w:color w:val="auto"/>
          <w:sz w:val="28"/>
          <w:szCs w:val="28"/>
          <w:lang w:val="en-US" w:eastAsia="zh-CN"/>
        </w:rPr>
        <w:t>；</w:t>
      </w:r>
      <w:r>
        <w:rPr>
          <w:rFonts w:hint="default" w:ascii="Times New Roman" w:hAnsi="Times New Roman"/>
          <w:color w:val="auto"/>
          <w:sz w:val="28"/>
          <w:szCs w:val="28"/>
          <w:lang w:val="en-US" w:eastAsia="zh-CN"/>
        </w:rPr>
        <w:t>B</w:t>
      </w:r>
      <w:r>
        <w:rPr>
          <w:rFonts w:hint="default" w:ascii="Times New Roman" w:hAnsi="Times New Roman"/>
          <w:color w:val="auto"/>
          <w:sz w:val="28"/>
          <w:szCs w:val="28"/>
          <w:vertAlign w:val="subscript"/>
          <w:lang w:val="en-US" w:eastAsia="zh-CN"/>
        </w:rPr>
        <w:t>2</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6</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7</w:t>
      </w:r>
      <w:r>
        <w:rPr>
          <w:rFonts w:hint="eastAsia" w:ascii="Times New Roman" w:hAnsi="Times New Roman"/>
          <w:color w:val="auto"/>
          <w:sz w:val="28"/>
          <w:szCs w:val="28"/>
          <w:lang w:val="en-US" w:eastAsia="zh-CN"/>
        </w:rPr>
        <w:t xml:space="preserve">； </w:t>
      </w:r>
    </w:p>
    <w:p w14:paraId="63A5D8EC">
      <w:pPr>
        <w:ind w:firstLine="560" w:firstLineChars="200"/>
        <w:rPr>
          <w:rFonts w:hint="eastAsia" w:ascii="Times New Roman" w:hAnsi="Times New Roman"/>
          <w:color w:val="auto"/>
          <w:sz w:val="28"/>
          <w:szCs w:val="28"/>
        </w:rPr>
      </w:pPr>
      <w:r>
        <w:rPr>
          <w:rFonts w:hint="default" w:ascii="Times New Roman" w:hAnsi="Times New Roman"/>
          <w:color w:val="auto"/>
          <w:sz w:val="28"/>
          <w:szCs w:val="28"/>
          <w:lang w:val="en-US" w:eastAsia="zh-CN"/>
        </w:rPr>
        <w:t>C</w:t>
      </w:r>
      <w:r>
        <w:rPr>
          <w:rFonts w:hint="default" w:ascii="Times New Roman" w:hAnsi="Times New Roman"/>
          <w:color w:val="auto"/>
          <w:sz w:val="28"/>
          <w:szCs w:val="28"/>
          <w:vertAlign w:val="subscript"/>
          <w:lang w:val="en-US" w:eastAsia="zh-CN"/>
        </w:rPr>
        <w:t>1</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11</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8</w:t>
      </w:r>
      <w:r>
        <w:rPr>
          <w:rFonts w:hint="eastAsia" w:ascii="Times New Roman" w:hAnsi="Times New Roman"/>
          <w:color w:val="auto"/>
          <w:sz w:val="28"/>
          <w:szCs w:val="28"/>
          <w:lang w:val="en-US" w:eastAsia="zh-CN"/>
        </w:rPr>
        <w:t>；</w:t>
      </w:r>
      <w:r>
        <w:rPr>
          <w:rFonts w:hint="default" w:ascii="Times New Roman" w:hAnsi="Times New Roman"/>
          <w:color w:val="auto"/>
          <w:sz w:val="28"/>
          <w:szCs w:val="28"/>
          <w:lang w:val="en-US" w:eastAsia="zh-CN"/>
        </w:rPr>
        <w:t>C</w:t>
      </w:r>
      <w:r>
        <w:rPr>
          <w:rFonts w:hint="default" w:ascii="Times New Roman" w:hAnsi="Times New Roman"/>
          <w:color w:val="auto"/>
          <w:sz w:val="28"/>
          <w:szCs w:val="28"/>
          <w:vertAlign w:val="subscript"/>
          <w:lang w:val="en-US" w:eastAsia="zh-CN"/>
        </w:rPr>
        <w:t>2</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9</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10</w:t>
      </w:r>
      <w:r>
        <w:rPr>
          <w:rFonts w:hint="eastAsia" w:ascii="Times New Roman" w:hAnsi="Times New Roman"/>
          <w:color w:val="auto"/>
          <w:sz w:val="28"/>
          <w:szCs w:val="28"/>
          <w:lang w:val="en-US" w:eastAsia="zh-CN"/>
        </w:rPr>
        <w:t xml:space="preserve">。 </w:t>
      </w:r>
    </w:p>
    <w:p w14:paraId="459F5AB6">
      <w:pPr>
        <w:ind w:firstLine="560" w:firstLineChars="200"/>
        <w:rPr>
          <w:rFonts w:hint="eastAsia" w:ascii="Times New Roman" w:hAnsi="Times New Roman"/>
          <w:color w:val="auto"/>
          <w:sz w:val="28"/>
          <w:szCs w:val="28"/>
        </w:rPr>
      </w:pPr>
      <w:r>
        <w:rPr>
          <w:rFonts w:hint="default" w:ascii="Times New Roman" w:hAnsi="Times New Roman"/>
          <w:color w:val="auto"/>
          <w:sz w:val="28"/>
          <w:szCs w:val="28"/>
          <w:lang w:val="en-US" w:eastAsia="zh-CN"/>
        </w:rPr>
        <w:t>T=X</w:t>
      </w:r>
      <w:r>
        <w:rPr>
          <w:rFonts w:hint="default" w:ascii="Times New Roman" w:hAnsi="Times New Roman"/>
          <w:color w:val="auto"/>
          <w:sz w:val="28"/>
          <w:szCs w:val="28"/>
          <w:vertAlign w:val="subscript"/>
          <w:lang w:val="en-US" w:eastAsia="zh-CN"/>
        </w:rPr>
        <w:t>1</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2</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3</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4</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5</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6</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7</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8</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9</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10</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11</w:t>
      </w:r>
      <w:r>
        <w:rPr>
          <w:rFonts w:hint="default" w:ascii="Times New Roman" w:hAnsi="Times New Roman"/>
          <w:color w:val="auto"/>
          <w:sz w:val="28"/>
          <w:szCs w:val="28"/>
          <w:lang w:val="en-US" w:eastAsia="zh-CN"/>
        </w:rPr>
        <w:t xml:space="preserve">) </w:t>
      </w:r>
    </w:p>
    <w:p w14:paraId="2025E796">
      <w:pPr>
        <w:ind w:firstLine="560" w:firstLineChars="200"/>
        <w:rPr>
          <w:rFonts w:hint="eastAsia" w:ascii="Times New Roman" w:hAnsi="Times New Roman"/>
          <w:color w:val="auto"/>
          <w:sz w:val="28"/>
          <w:szCs w:val="28"/>
        </w:rPr>
      </w:pPr>
      <w:r>
        <w:rPr>
          <w:rFonts w:hint="eastAsia" w:ascii="Times New Roman" w:hAnsi="Times New Roman"/>
          <w:color w:val="auto"/>
          <w:sz w:val="28"/>
          <w:szCs w:val="28"/>
          <w:lang w:val="en-US" w:eastAsia="zh-CN"/>
        </w:rPr>
        <w:t xml:space="preserve">根据上述求得最小割集如下： </w:t>
      </w:r>
    </w:p>
    <w:p w14:paraId="1A1218F3">
      <w:pPr>
        <w:ind w:firstLine="560" w:firstLineChars="200"/>
        <w:rPr>
          <w:rFonts w:hint="eastAsia" w:ascii="Times New Roman" w:hAnsi="Times New Roman"/>
          <w:color w:val="auto"/>
          <w:sz w:val="28"/>
          <w:szCs w:val="28"/>
        </w:rPr>
      </w:pP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1</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2</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5</w:t>
      </w:r>
      <w:r>
        <w:rPr>
          <w:rFonts w:hint="default" w:ascii="Times New Roman" w:hAnsi="Times New Roman"/>
          <w:color w:val="auto"/>
          <w:sz w:val="28"/>
          <w:szCs w:val="28"/>
          <w:lang w:val="en-US" w:eastAsia="zh-CN"/>
        </w:rPr>
        <w:t>}</w:t>
      </w:r>
      <w:r>
        <w:rPr>
          <w:rFonts w:hint="eastAsia" w:ascii="Times New Roman" w:hAnsi="Times New Roman"/>
          <w:color w:val="auto"/>
          <w:sz w:val="28"/>
          <w:szCs w:val="28"/>
          <w:lang w:val="en-US" w:eastAsia="zh-CN"/>
        </w:rPr>
        <w:t>；</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1</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2</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6</w:t>
      </w:r>
      <w:r>
        <w:rPr>
          <w:rFonts w:hint="default" w:ascii="Times New Roman" w:hAnsi="Times New Roman"/>
          <w:color w:val="auto"/>
          <w:sz w:val="28"/>
          <w:szCs w:val="28"/>
          <w:lang w:val="en-US" w:eastAsia="zh-CN"/>
        </w:rPr>
        <w:t>}</w:t>
      </w:r>
      <w:r>
        <w:rPr>
          <w:rFonts w:hint="eastAsia" w:ascii="Times New Roman" w:hAnsi="Times New Roman"/>
          <w:color w:val="auto"/>
          <w:sz w:val="28"/>
          <w:szCs w:val="28"/>
          <w:lang w:val="en-US" w:eastAsia="zh-CN"/>
        </w:rPr>
        <w:t>；</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1</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2</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7</w:t>
      </w:r>
      <w:r>
        <w:rPr>
          <w:rFonts w:hint="default" w:ascii="Times New Roman" w:hAnsi="Times New Roman"/>
          <w:color w:val="auto"/>
          <w:sz w:val="28"/>
          <w:szCs w:val="28"/>
          <w:lang w:val="en-US" w:eastAsia="zh-CN"/>
        </w:rPr>
        <w:t>}</w:t>
      </w:r>
      <w:r>
        <w:rPr>
          <w:rFonts w:hint="eastAsia" w:ascii="Times New Roman" w:hAnsi="Times New Roman"/>
          <w:color w:val="auto"/>
          <w:sz w:val="28"/>
          <w:szCs w:val="28"/>
          <w:lang w:val="en-US" w:eastAsia="zh-CN"/>
        </w:rPr>
        <w:t>；</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1</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2</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8</w:t>
      </w:r>
      <w:r>
        <w:rPr>
          <w:rFonts w:hint="default" w:ascii="Times New Roman" w:hAnsi="Times New Roman"/>
          <w:color w:val="auto"/>
          <w:sz w:val="28"/>
          <w:szCs w:val="28"/>
          <w:lang w:val="en-US" w:eastAsia="zh-CN"/>
        </w:rPr>
        <w:t>}</w:t>
      </w:r>
      <w:r>
        <w:rPr>
          <w:rFonts w:hint="eastAsia" w:ascii="Times New Roman" w:hAnsi="Times New Roman"/>
          <w:color w:val="auto"/>
          <w:sz w:val="28"/>
          <w:szCs w:val="28"/>
          <w:lang w:val="en-US" w:eastAsia="zh-CN"/>
        </w:rPr>
        <w:t>；</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1</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2</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9</w:t>
      </w:r>
      <w:r>
        <w:rPr>
          <w:rFonts w:hint="default" w:ascii="Times New Roman" w:hAnsi="Times New Roman"/>
          <w:color w:val="auto"/>
          <w:sz w:val="28"/>
          <w:szCs w:val="28"/>
          <w:lang w:val="en-US" w:eastAsia="zh-CN"/>
        </w:rPr>
        <w:t>}</w:t>
      </w:r>
      <w:r>
        <w:rPr>
          <w:rFonts w:hint="eastAsia" w:ascii="Times New Roman" w:hAnsi="Times New Roman"/>
          <w:color w:val="auto"/>
          <w:sz w:val="28"/>
          <w:szCs w:val="28"/>
          <w:lang w:val="en-US" w:eastAsia="zh-CN"/>
        </w:rPr>
        <w:t>；</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1</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2</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10</w:t>
      </w:r>
      <w:r>
        <w:rPr>
          <w:rFonts w:hint="default" w:ascii="Times New Roman" w:hAnsi="Times New Roman"/>
          <w:color w:val="auto"/>
          <w:sz w:val="28"/>
          <w:szCs w:val="28"/>
          <w:lang w:val="en-US" w:eastAsia="zh-CN"/>
        </w:rPr>
        <w:t>}</w:t>
      </w:r>
      <w:r>
        <w:rPr>
          <w:rFonts w:hint="eastAsia" w:ascii="Times New Roman" w:hAnsi="Times New Roman"/>
          <w:color w:val="auto"/>
          <w:sz w:val="28"/>
          <w:szCs w:val="28"/>
          <w:lang w:val="en-US" w:eastAsia="zh-CN"/>
        </w:rPr>
        <w:t xml:space="preserve">； </w:t>
      </w:r>
    </w:p>
    <w:p w14:paraId="3ED01FD2">
      <w:pPr>
        <w:ind w:firstLine="560" w:firstLineChars="200"/>
        <w:rPr>
          <w:rFonts w:hint="eastAsia" w:ascii="Times New Roman" w:hAnsi="Times New Roman"/>
          <w:color w:val="auto"/>
          <w:sz w:val="28"/>
          <w:szCs w:val="28"/>
        </w:rPr>
      </w:pP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1</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2</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11</w:t>
      </w:r>
      <w:r>
        <w:rPr>
          <w:rFonts w:hint="default" w:ascii="Times New Roman" w:hAnsi="Times New Roman"/>
          <w:color w:val="auto"/>
          <w:sz w:val="28"/>
          <w:szCs w:val="28"/>
          <w:lang w:val="en-US" w:eastAsia="zh-CN"/>
        </w:rPr>
        <w:t>}</w:t>
      </w:r>
      <w:r>
        <w:rPr>
          <w:rFonts w:hint="eastAsia" w:ascii="Times New Roman" w:hAnsi="Times New Roman"/>
          <w:color w:val="auto"/>
          <w:sz w:val="28"/>
          <w:szCs w:val="28"/>
          <w:lang w:val="en-US" w:eastAsia="zh-CN"/>
        </w:rPr>
        <w:t>；</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1</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3</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5</w:t>
      </w:r>
      <w:r>
        <w:rPr>
          <w:rFonts w:hint="default" w:ascii="Times New Roman" w:hAnsi="Times New Roman"/>
          <w:color w:val="auto"/>
          <w:sz w:val="28"/>
          <w:szCs w:val="28"/>
          <w:lang w:val="en-US" w:eastAsia="zh-CN"/>
        </w:rPr>
        <w:t>}</w:t>
      </w:r>
      <w:r>
        <w:rPr>
          <w:rFonts w:hint="eastAsia" w:ascii="Times New Roman" w:hAnsi="Times New Roman"/>
          <w:color w:val="auto"/>
          <w:sz w:val="28"/>
          <w:szCs w:val="28"/>
          <w:lang w:val="en-US" w:eastAsia="zh-CN"/>
        </w:rPr>
        <w:t>；</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1</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3</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6</w:t>
      </w:r>
      <w:r>
        <w:rPr>
          <w:rFonts w:hint="default" w:ascii="Times New Roman" w:hAnsi="Times New Roman"/>
          <w:color w:val="auto"/>
          <w:sz w:val="28"/>
          <w:szCs w:val="28"/>
          <w:lang w:val="en-US" w:eastAsia="zh-CN"/>
        </w:rPr>
        <w:t>}</w:t>
      </w:r>
      <w:r>
        <w:rPr>
          <w:rFonts w:hint="eastAsia" w:ascii="Times New Roman" w:hAnsi="Times New Roman"/>
          <w:color w:val="auto"/>
          <w:sz w:val="28"/>
          <w:szCs w:val="28"/>
          <w:lang w:val="en-US" w:eastAsia="zh-CN"/>
        </w:rPr>
        <w:t>；</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1</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3</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7</w:t>
      </w:r>
      <w:r>
        <w:rPr>
          <w:rFonts w:hint="default" w:ascii="Times New Roman" w:hAnsi="Times New Roman"/>
          <w:color w:val="auto"/>
          <w:sz w:val="28"/>
          <w:szCs w:val="28"/>
          <w:lang w:val="en-US" w:eastAsia="zh-CN"/>
        </w:rPr>
        <w:t>}</w:t>
      </w:r>
      <w:r>
        <w:rPr>
          <w:rFonts w:hint="eastAsia" w:ascii="Times New Roman" w:hAnsi="Times New Roman"/>
          <w:color w:val="auto"/>
          <w:sz w:val="28"/>
          <w:szCs w:val="28"/>
          <w:lang w:val="en-US" w:eastAsia="zh-CN"/>
        </w:rPr>
        <w:t>；</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1</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3</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8</w:t>
      </w:r>
      <w:r>
        <w:rPr>
          <w:rFonts w:hint="default" w:ascii="Times New Roman" w:hAnsi="Times New Roman"/>
          <w:color w:val="auto"/>
          <w:sz w:val="28"/>
          <w:szCs w:val="28"/>
          <w:lang w:val="en-US" w:eastAsia="zh-CN"/>
        </w:rPr>
        <w:t>}</w:t>
      </w:r>
      <w:r>
        <w:rPr>
          <w:rFonts w:hint="eastAsia" w:ascii="Times New Roman" w:hAnsi="Times New Roman"/>
          <w:color w:val="auto"/>
          <w:sz w:val="28"/>
          <w:szCs w:val="28"/>
          <w:lang w:val="en-US" w:eastAsia="zh-CN"/>
        </w:rPr>
        <w:t>；</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1</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3</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9</w:t>
      </w:r>
      <w:r>
        <w:rPr>
          <w:rFonts w:hint="default" w:ascii="Times New Roman" w:hAnsi="Times New Roman"/>
          <w:color w:val="auto"/>
          <w:sz w:val="28"/>
          <w:szCs w:val="28"/>
          <w:lang w:val="en-US" w:eastAsia="zh-CN"/>
        </w:rPr>
        <w:t>}</w:t>
      </w:r>
      <w:r>
        <w:rPr>
          <w:rFonts w:hint="eastAsia" w:ascii="Times New Roman" w:hAnsi="Times New Roman"/>
          <w:color w:val="auto"/>
          <w:sz w:val="28"/>
          <w:szCs w:val="28"/>
          <w:lang w:val="en-US" w:eastAsia="zh-CN"/>
        </w:rPr>
        <w:t xml:space="preserve">； </w:t>
      </w:r>
    </w:p>
    <w:p w14:paraId="18673489">
      <w:pPr>
        <w:ind w:firstLine="560" w:firstLineChars="200"/>
        <w:rPr>
          <w:rFonts w:hint="eastAsia" w:ascii="Times New Roman" w:hAnsi="Times New Roman"/>
          <w:color w:val="auto"/>
          <w:sz w:val="28"/>
          <w:szCs w:val="28"/>
        </w:rPr>
      </w:pP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1</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3</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10</w:t>
      </w:r>
      <w:r>
        <w:rPr>
          <w:rFonts w:hint="default" w:ascii="Times New Roman" w:hAnsi="Times New Roman"/>
          <w:color w:val="auto"/>
          <w:sz w:val="28"/>
          <w:szCs w:val="28"/>
          <w:lang w:val="en-US" w:eastAsia="zh-CN"/>
        </w:rPr>
        <w:t>}</w:t>
      </w:r>
      <w:r>
        <w:rPr>
          <w:rFonts w:hint="eastAsia" w:ascii="Times New Roman" w:hAnsi="Times New Roman"/>
          <w:color w:val="auto"/>
          <w:sz w:val="28"/>
          <w:szCs w:val="28"/>
          <w:lang w:val="en-US" w:eastAsia="zh-CN"/>
        </w:rPr>
        <w:t>；</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1</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3</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11</w:t>
      </w:r>
      <w:r>
        <w:rPr>
          <w:rFonts w:hint="default" w:ascii="Times New Roman" w:hAnsi="Times New Roman"/>
          <w:color w:val="auto"/>
          <w:sz w:val="28"/>
          <w:szCs w:val="28"/>
          <w:lang w:val="en-US" w:eastAsia="zh-CN"/>
        </w:rPr>
        <w:t>}</w:t>
      </w:r>
      <w:r>
        <w:rPr>
          <w:rFonts w:hint="eastAsia" w:ascii="Times New Roman" w:hAnsi="Times New Roman"/>
          <w:color w:val="auto"/>
          <w:sz w:val="28"/>
          <w:szCs w:val="28"/>
          <w:lang w:val="en-US" w:eastAsia="zh-CN"/>
        </w:rPr>
        <w:t>；</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1</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4</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5</w:t>
      </w:r>
      <w:r>
        <w:rPr>
          <w:rFonts w:hint="default" w:ascii="Times New Roman" w:hAnsi="Times New Roman"/>
          <w:color w:val="auto"/>
          <w:sz w:val="28"/>
          <w:szCs w:val="28"/>
          <w:lang w:val="en-US" w:eastAsia="zh-CN"/>
        </w:rPr>
        <w:t>}</w:t>
      </w:r>
      <w:r>
        <w:rPr>
          <w:rFonts w:hint="eastAsia" w:ascii="Times New Roman" w:hAnsi="Times New Roman"/>
          <w:color w:val="auto"/>
          <w:sz w:val="28"/>
          <w:szCs w:val="28"/>
          <w:lang w:val="en-US" w:eastAsia="zh-CN"/>
        </w:rPr>
        <w:t>；</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1</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4</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6</w:t>
      </w:r>
      <w:r>
        <w:rPr>
          <w:rFonts w:hint="default" w:ascii="Times New Roman" w:hAnsi="Times New Roman"/>
          <w:color w:val="auto"/>
          <w:sz w:val="28"/>
          <w:szCs w:val="28"/>
          <w:lang w:val="en-US" w:eastAsia="zh-CN"/>
        </w:rPr>
        <w:t>}</w:t>
      </w:r>
      <w:r>
        <w:rPr>
          <w:rFonts w:hint="eastAsia" w:ascii="Times New Roman" w:hAnsi="Times New Roman"/>
          <w:color w:val="auto"/>
          <w:sz w:val="28"/>
          <w:szCs w:val="28"/>
          <w:lang w:val="en-US" w:eastAsia="zh-CN"/>
        </w:rPr>
        <w:t>；</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1</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4</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7</w:t>
      </w:r>
      <w:r>
        <w:rPr>
          <w:rFonts w:hint="default" w:ascii="Times New Roman" w:hAnsi="Times New Roman"/>
          <w:color w:val="auto"/>
          <w:sz w:val="28"/>
          <w:szCs w:val="28"/>
          <w:lang w:val="en-US" w:eastAsia="zh-CN"/>
        </w:rPr>
        <w:t>}</w:t>
      </w:r>
      <w:r>
        <w:rPr>
          <w:rFonts w:hint="eastAsia" w:ascii="Times New Roman" w:hAnsi="Times New Roman"/>
          <w:color w:val="auto"/>
          <w:sz w:val="28"/>
          <w:szCs w:val="28"/>
          <w:lang w:val="en-US" w:eastAsia="zh-CN"/>
        </w:rPr>
        <w:t>；</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1</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4</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8</w:t>
      </w:r>
      <w:r>
        <w:rPr>
          <w:rFonts w:hint="default" w:ascii="Times New Roman" w:hAnsi="Times New Roman"/>
          <w:color w:val="auto"/>
          <w:sz w:val="28"/>
          <w:szCs w:val="28"/>
          <w:lang w:val="en-US" w:eastAsia="zh-CN"/>
        </w:rPr>
        <w:t>}</w:t>
      </w:r>
      <w:r>
        <w:rPr>
          <w:rFonts w:hint="eastAsia" w:ascii="Times New Roman" w:hAnsi="Times New Roman"/>
          <w:color w:val="auto"/>
          <w:sz w:val="28"/>
          <w:szCs w:val="28"/>
          <w:lang w:val="en-US" w:eastAsia="zh-CN"/>
        </w:rPr>
        <w:t xml:space="preserve">； </w:t>
      </w:r>
    </w:p>
    <w:p w14:paraId="13577FA6">
      <w:pPr>
        <w:ind w:firstLine="560" w:firstLineChars="200"/>
        <w:rPr>
          <w:rFonts w:hint="eastAsia" w:ascii="Times New Roman" w:hAnsi="Times New Roman"/>
          <w:color w:val="auto"/>
          <w:sz w:val="28"/>
          <w:szCs w:val="28"/>
        </w:rPr>
      </w:pP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1</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4</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9</w:t>
      </w:r>
      <w:r>
        <w:rPr>
          <w:rFonts w:hint="default" w:ascii="Times New Roman" w:hAnsi="Times New Roman"/>
          <w:color w:val="auto"/>
          <w:sz w:val="28"/>
          <w:szCs w:val="28"/>
          <w:lang w:val="en-US" w:eastAsia="zh-CN"/>
        </w:rPr>
        <w:t>}</w:t>
      </w:r>
      <w:r>
        <w:rPr>
          <w:rFonts w:hint="eastAsia" w:ascii="Times New Roman" w:hAnsi="Times New Roman"/>
          <w:color w:val="auto"/>
          <w:sz w:val="28"/>
          <w:szCs w:val="28"/>
          <w:lang w:val="en-US" w:eastAsia="zh-CN"/>
        </w:rPr>
        <w:t>；</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1</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4</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10</w:t>
      </w:r>
      <w:r>
        <w:rPr>
          <w:rFonts w:hint="default" w:ascii="Times New Roman" w:hAnsi="Times New Roman"/>
          <w:color w:val="auto"/>
          <w:sz w:val="28"/>
          <w:szCs w:val="28"/>
          <w:lang w:val="en-US" w:eastAsia="zh-CN"/>
        </w:rPr>
        <w:t>}</w:t>
      </w:r>
      <w:r>
        <w:rPr>
          <w:rFonts w:hint="eastAsia" w:ascii="Times New Roman" w:hAnsi="Times New Roman"/>
          <w:color w:val="auto"/>
          <w:sz w:val="28"/>
          <w:szCs w:val="28"/>
          <w:lang w:val="en-US" w:eastAsia="zh-CN"/>
        </w:rPr>
        <w:t>；</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1</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4</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11</w:t>
      </w:r>
      <w:r>
        <w:rPr>
          <w:rFonts w:hint="default" w:ascii="Times New Roman" w:hAnsi="Times New Roman"/>
          <w:color w:val="auto"/>
          <w:sz w:val="28"/>
          <w:szCs w:val="28"/>
          <w:lang w:val="en-US" w:eastAsia="zh-CN"/>
        </w:rPr>
        <w:t>}</w:t>
      </w:r>
      <w:r>
        <w:rPr>
          <w:rFonts w:hint="eastAsia" w:ascii="Times New Roman" w:hAnsi="Times New Roman"/>
          <w:color w:val="auto"/>
          <w:sz w:val="28"/>
          <w:szCs w:val="28"/>
          <w:lang w:val="en-US" w:eastAsia="zh-CN"/>
        </w:rPr>
        <w:t xml:space="preserve">。 </w:t>
      </w:r>
    </w:p>
    <w:p w14:paraId="531BA9EF">
      <w:pPr>
        <w:ind w:firstLine="560" w:firstLineChars="200"/>
        <w:rPr>
          <w:rFonts w:hint="eastAsia" w:ascii="Times New Roman" w:hAnsi="Times New Roman"/>
          <w:color w:val="auto"/>
          <w:sz w:val="28"/>
          <w:szCs w:val="28"/>
        </w:rPr>
      </w:pPr>
      <w:r>
        <w:rPr>
          <w:rFonts w:hint="default" w:ascii="Times New Roman" w:hAnsi="Times New Roman"/>
          <w:color w:val="auto"/>
          <w:sz w:val="28"/>
          <w:szCs w:val="28"/>
          <w:lang w:val="en-US" w:eastAsia="zh-CN"/>
        </w:rPr>
        <w:t>2</w:t>
      </w:r>
      <w:r>
        <w:rPr>
          <w:rFonts w:hint="eastAsia" w:ascii="Times New Roman" w:hAnsi="Times New Roman"/>
          <w:color w:val="auto"/>
          <w:sz w:val="28"/>
          <w:szCs w:val="28"/>
          <w:lang w:val="en-US" w:eastAsia="zh-CN"/>
        </w:rPr>
        <w:t xml:space="preserve">）求其径集 </w:t>
      </w:r>
    </w:p>
    <w:p w14:paraId="0F1FE675">
      <w:pPr>
        <w:ind w:firstLine="560" w:firstLineChars="200"/>
        <w:rPr>
          <w:rFonts w:hint="eastAsia" w:ascii="Times New Roman" w:hAnsi="Times New Roman"/>
          <w:color w:val="auto"/>
          <w:sz w:val="28"/>
          <w:szCs w:val="28"/>
        </w:rPr>
      </w:pPr>
      <w:r>
        <w:rPr>
          <w:rFonts w:hint="eastAsia" w:ascii="Times New Roman" w:hAnsi="Times New Roman"/>
          <w:color w:val="auto"/>
          <w:sz w:val="28"/>
          <w:szCs w:val="28"/>
          <w:lang w:val="en-US" w:eastAsia="zh-CN"/>
        </w:rPr>
        <w:t>T′</w:t>
      </w:r>
      <w:r>
        <w:rPr>
          <w:rFonts w:hint="default" w:ascii="Times New Roman" w:hAnsi="Times New Roman"/>
          <w:color w:val="auto"/>
          <w:sz w:val="28"/>
          <w:szCs w:val="28"/>
          <w:lang w:val="en-US" w:eastAsia="zh-CN"/>
        </w:rPr>
        <w:t>=X1</w:t>
      </w:r>
      <w:r>
        <w:rPr>
          <w:rFonts w:hint="eastAsia" w:ascii="Times New Roman" w:hAnsi="Times New Roman"/>
          <w:color w:val="auto"/>
          <w:sz w:val="28"/>
          <w:szCs w:val="28"/>
          <w:lang w:val="en-US" w:eastAsia="zh-CN"/>
        </w:rPr>
        <w:t>′</w:t>
      </w:r>
      <w:r>
        <w:rPr>
          <w:rFonts w:hint="default" w:ascii="Times New Roman" w:hAnsi="Times New Roman"/>
          <w:color w:val="auto"/>
          <w:sz w:val="28"/>
          <w:szCs w:val="28"/>
          <w:lang w:val="en-US" w:eastAsia="zh-CN"/>
        </w:rPr>
        <w:t>+X2</w:t>
      </w:r>
      <w:r>
        <w:rPr>
          <w:rFonts w:hint="eastAsia" w:ascii="Times New Roman" w:hAnsi="Times New Roman"/>
          <w:color w:val="auto"/>
          <w:sz w:val="28"/>
          <w:szCs w:val="28"/>
          <w:lang w:val="en-US" w:eastAsia="zh-CN"/>
        </w:rPr>
        <w:t>′</w:t>
      </w:r>
      <w:r>
        <w:rPr>
          <w:rFonts w:hint="default" w:ascii="Times New Roman" w:hAnsi="Times New Roman"/>
          <w:color w:val="auto"/>
          <w:sz w:val="28"/>
          <w:szCs w:val="28"/>
          <w:lang w:val="en-US" w:eastAsia="zh-CN"/>
        </w:rPr>
        <w:t>X3</w:t>
      </w:r>
      <w:r>
        <w:rPr>
          <w:rFonts w:hint="eastAsia" w:ascii="Times New Roman" w:hAnsi="Times New Roman"/>
          <w:color w:val="auto"/>
          <w:sz w:val="28"/>
          <w:szCs w:val="28"/>
          <w:lang w:val="en-US" w:eastAsia="zh-CN"/>
        </w:rPr>
        <w:t>′</w:t>
      </w:r>
      <w:r>
        <w:rPr>
          <w:rFonts w:hint="default" w:ascii="Times New Roman" w:hAnsi="Times New Roman"/>
          <w:color w:val="auto"/>
          <w:sz w:val="28"/>
          <w:szCs w:val="28"/>
          <w:lang w:val="en-US" w:eastAsia="zh-CN"/>
        </w:rPr>
        <w:t>X4</w:t>
      </w:r>
      <w:r>
        <w:rPr>
          <w:rFonts w:hint="eastAsia" w:ascii="Times New Roman" w:hAnsi="Times New Roman"/>
          <w:color w:val="auto"/>
          <w:sz w:val="28"/>
          <w:szCs w:val="28"/>
          <w:lang w:val="en-US" w:eastAsia="zh-CN"/>
        </w:rPr>
        <w:t>′</w:t>
      </w:r>
      <w:r>
        <w:rPr>
          <w:rFonts w:hint="default" w:ascii="Times New Roman" w:hAnsi="Times New Roman"/>
          <w:color w:val="auto"/>
          <w:sz w:val="28"/>
          <w:szCs w:val="28"/>
          <w:lang w:val="en-US" w:eastAsia="zh-CN"/>
        </w:rPr>
        <w:t>+X5</w:t>
      </w:r>
      <w:r>
        <w:rPr>
          <w:rFonts w:hint="eastAsia" w:ascii="Times New Roman" w:hAnsi="Times New Roman"/>
          <w:color w:val="auto"/>
          <w:sz w:val="28"/>
          <w:szCs w:val="28"/>
          <w:lang w:val="en-US" w:eastAsia="zh-CN"/>
        </w:rPr>
        <w:t>′</w:t>
      </w:r>
      <w:r>
        <w:rPr>
          <w:rFonts w:hint="default" w:ascii="Times New Roman" w:hAnsi="Times New Roman"/>
          <w:color w:val="auto"/>
          <w:sz w:val="28"/>
          <w:szCs w:val="28"/>
          <w:lang w:val="en-US" w:eastAsia="zh-CN"/>
        </w:rPr>
        <w:t>X6</w:t>
      </w:r>
      <w:r>
        <w:rPr>
          <w:rFonts w:hint="eastAsia" w:ascii="Times New Roman" w:hAnsi="Times New Roman"/>
          <w:color w:val="auto"/>
          <w:sz w:val="28"/>
          <w:szCs w:val="28"/>
          <w:lang w:val="en-US" w:eastAsia="zh-CN"/>
        </w:rPr>
        <w:t>′</w:t>
      </w:r>
      <w:r>
        <w:rPr>
          <w:rFonts w:hint="default" w:ascii="Times New Roman" w:hAnsi="Times New Roman"/>
          <w:color w:val="auto"/>
          <w:sz w:val="28"/>
          <w:szCs w:val="28"/>
          <w:lang w:val="en-US" w:eastAsia="zh-CN"/>
        </w:rPr>
        <w:t>X7</w:t>
      </w:r>
      <w:r>
        <w:rPr>
          <w:rFonts w:hint="eastAsia" w:ascii="Times New Roman" w:hAnsi="Times New Roman"/>
          <w:color w:val="auto"/>
          <w:sz w:val="28"/>
          <w:szCs w:val="28"/>
          <w:lang w:val="en-US" w:eastAsia="zh-CN"/>
        </w:rPr>
        <w:t>′</w:t>
      </w:r>
      <w:r>
        <w:rPr>
          <w:rFonts w:hint="default" w:ascii="Times New Roman" w:hAnsi="Times New Roman"/>
          <w:color w:val="auto"/>
          <w:sz w:val="28"/>
          <w:szCs w:val="28"/>
          <w:lang w:val="en-US" w:eastAsia="zh-CN"/>
        </w:rPr>
        <w:t>X8</w:t>
      </w:r>
      <w:r>
        <w:rPr>
          <w:rFonts w:hint="eastAsia" w:ascii="Times New Roman" w:hAnsi="Times New Roman"/>
          <w:color w:val="auto"/>
          <w:sz w:val="28"/>
          <w:szCs w:val="28"/>
          <w:lang w:val="en-US" w:eastAsia="zh-CN"/>
        </w:rPr>
        <w:t>′</w:t>
      </w:r>
      <w:r>
        <w:rPr>
          <w:rFonts w:hint="default" w:ascii="Times New Roman" w:hAnsi="Times New Roman"/>
          <w:color w:val="auto"/>
          <w:sz w:val="28"/>
          <w:szCs w:val="28"/>
          <w:lang w:val="en-US" w:eastAsia="zh-CN"/>
        </w:rPr>
        <w:t>X9</w:t>
      </w:r>
      <w:r>
        <w:rPr>
          <w:rFonts w:hint="eastAsia" w:ascii="Times New Roman" w:hAnsi="Times New Roman"/>
          <w:color w:val="auto"/>
          <w:sz w:val="28"/>
          <w:szCs w:val="28"/>
          <w:lang w:val="en-US" w:eastAsia="zh-CN"/>
        </w:rPr>
        <w:t>′</w:t>
      </w:r>
      <w:r>
        <w:rPr>
          <w:rFonts w:hint="default" w:ascii="Times New Roman" w:hAnsi="Times New Roman"/>
          <w:color w:val="auto"/>
          <w:sz w:val="28"/>
          <w:szCs w:val="28"/>
          <w:lang w:val="en-US" w:eastAsia="zh-CN"/>
        </w:rPr>
        <w:t>X10</w:t>
      </w:r>
      <w:r>
        <w:rPr>
          <w:rFonts w:hint="eastAsia" w:ascii="Times New Roman" w:hAnsi="Times New Roman"/>
          <w:color w:val="auto"/>
          <w:sz w:val="28"/>
          <w:szCs w:val="28"/>
          <w:lang w:val="en-US" w:eastAsia="zh-CN"/>
        </w:rPr>
        <w:t>′</w:t>
      </w:r>
      <w:r>
        <w:rPr>
          <w:rFonts w:hint="default" w:ascii="Times New Roman" w:hAnsi="Times New Roman"/>
          <w:color w:val="auto"/>
          <w:sz w:val="28"/>
          <w:szCs w:val="28"/>
          <w:lang w:val="en-US" w:eastAsia="zh-CN"/>
        </w:rPr>
        <w:t>X11</w:t>
      </w:r>
      <w:r>
        <w:rPr>
          <w:rFonts w:hint="eastAsia" w:ascii="Times New Roman" w:hAnsi="Times New Roman"/>
          <w:color w:val="auto"/>
          <w:sz w:val="28"/>
          <w:szCs w:val="28"/>
          <w:lang w:val="en-US" w:eastAsia="zh-CN"/>
        </w:rPr>
        <w:t xml:space="preserve">′ </w:t>
      </w:r>
    </w:p>
    <w:p w14:paraId="50962017">
      <w:pPr>
        <w:ind w:firstLine="560" w:firstLineChars="200"/>
        <w:rPr>
          <w:rFonts w:hint="eastAsia" w:ascii="Times New Roman" w:hAnsi="Times New Roman"/>
          <w:color w:val="auto"/>
          <w:sz w:val="28"/>
          <w:szCs w:val="28"/>
        </w:rPr>
      </w:pPr>
      <w:r>
        <w:rPr>
          <w:rFonts w:hint="eastAsia" w:ascii="Times New Roman" w:hAnsi="Times New Roman"/>
          <w:color w:val="auto"/>
          <w:sz w:val="28"/>
          <w:szCs w:val="28"/>
          <w:lang w:val="en-US" w:eastAsia="zh-CN"/>
        </w:rPr>
        <w:t xml:space="preserve">求得最小径集为： </w:t>
      </w:r>
    </w:p>
    <w:p w14:paraId="0995C5FC">
      <w:pPr>
        <w:ind w:firstLine="560" w:firstLineChars="200"/>
        <w:rPr>
          <w:color w:val="auto"/>
        </w:rPr>
      </w:pP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1</w:t>
      </w:r>
      <w:r>
        <w:rPr>
          <w:rFonts w:hint="default" w:ascii="Times New Roman" w:hAnsi="Times New Roman"/>
          <w:color w:val="auto"/>
          <w:sz w:val="28"/>
          <w:szCs w:val="28"/>
          <w:lang w:val="en-US" w:eastAsia="zh-CN"/>
        </w:rPr>
        <w:t>}</w:t>
      </w:r>
      <w:r>
        <w:rPr>
          <w:rFonts w:hint="eastAsia" w:ascii="Times New Roman" w:hAnsi="Times New Roman"/>
          <w:color w:val="auto"/>
          <w:sz w:val="28"/>
          <w:szCs w:val="28"/>
          <w:lang w:val="en-US" w:eastAsia="zh-CN"/>
        </w:rPr>
        <w:t>；</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2</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3</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4</w:t>
      </w:r>
      <w:r>
        <w:rPr>
          <w:rFonts w:hint="default" w:ascii="Times New Roman" w:hAnsi="Times New Roman"/>
          <w:color w:val="auto"/>
          <w:sz w:val="28"/>
          <w:szCs w:val="28"/>
          <w:lang w:val="en-US" w:eastAsia="zh-CN"/>
        </w:rPr>
        <w:t>}</w:t>
      </w:r>
      <w:r>
        <w:rPr>
          <w:rFonts w:hint="eastAsia" w:ascii="Times New Roman" w:hAnsi="Times New Roman"/>
          <w:color w:val="auto"/>
          <w:sz w:val="28"/>
          <w:szCs w:val="28"/>
          <w:lang w:val="en-US" w:eastAsia="zh-CN"/>
        </w:rPr>
        <w:t>；</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5</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6</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7</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8</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9</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10</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11</w:t>
      </w:r>
      <w:r>
        <w:rPr>
          <w:rFonts w:hint="default" w:ascii="Times New Roman" w:hAnsi="Times New Roman"/>
          <w:color w:val="auto"/>
          <w:sz w:val="28"/>
          <w:szCs w:val="28"/>
          <w:lang w:val="en-US" w:eastAsia="zh-CN"/>
        </w:rPr>
        <w:t>}</w:t>
      </w:r>
      <w:r>
        <w:rPr>
          <w:rFonts w:hint="eastAsia" w:ascii="Times New Roman" w:hAnsi="Times New Roman"/>
          <w:color w:val="auto"/>
          <w:sz w:val="28"/>
          <w:szCs w:val="28"/>
          <w:lang w:val="en-US" w:eastAsia="zh-CN"/>
        </w:rPr>
        <w:t>。</w:t>
      </w:r>
    </w:p>
    <w:p w14:paraId="51D237ED">
      <w:pPr>
        <w:ind w:firstLine="560" w:firstLineChars="200"/>
        <w:rPr>
          <w:rFonts w:hint="eastAsia" w:ascii="Times New Roman" w:hAnsi="Times New Roman"/>
          <w:color w:val="auto"/>
          <w:sz w:val="28"/>
          <w:szCs w:val="28"/>
        </w:rPr>
      </w:pPr>
      <w:r>
        <w:rPr>
          <w:rFonts w:hint="default" w:ascii="Times New Roman" w:hAnsi="Times New Roman"/>
          <w:color w:val="auto"/>
          <w:sz w:val="28"/>
          <w:szCs w:val="28"/>
          <w:lang w:val="en-US" w:eastAsia="zh-CN"/>
        </w:rPr>
        <w:t>3</w:t>
      </w:r>
      <w:r>
        <w:rPr>
          <w:rFonts w:hint="eastAsia" w:ascii="Times New Roman" w:hAnsi="Times New Roman"/>
          <w:color w:val="auto"/>
          <w:sz w:val="28"/>
          <w:szCs w:val="28"/>
          <w:lang w:val="en-US" w:eastAsia="zh-CN"/>
        </w:rPr>
        <w:t xml:space="preserve">）根据最小径集求其基本事件结构要度 </w:t>
      </w:r>
    </w:p>
    <w:p w14:paraId="0AC67E29">
      <w:pPr>
        <w:ind w:firstLine="560" w:firstLineChars="200"/>
        <w:rPr>
          <w:rFonts w:hint="eastAsia" w:ascii="Times New Roman" w:hAnsi="Times New Roman"/>
          <w:color w:val="auto"/>
          <w:sz w:val="28"/>
          <w:szCs w:val="28"/>
        </w:rPr>
      </w:pPr>
      <w:r>
        <w:rPr>
          <w:rFonts w:hint="default" w:ascii="Times New Roman" w:hAnsi="Times New Roman"/>
          <w:color w:val="auto"/>
          <w:sz w:val="28"/>
          <w:szCs w:val="28"/>
          <w:lang w:val="en-US" w:eastAsia="zh-CN"/>
        </w:rPr>
        <w:t>I</w:t>
      </w:r>
      <w:r>
        <w:rPr>
          <w:rFonts w:hint="eastAsia" w:ascii="Times New Roman" w:hAnsi="Times New Roman"/>
          <w:color w:val="auto"/>
          <w:sz w:val="28"/>
          <w:szCs w:val="28"/>
          <w:vertAlign w:val="subscript"/>
          <w:lang w:val="en-US" w:eastAsia="zh-CN"/>
        </w:rPr>
        <w:t>Ф</w:t>
      </w:r>
      <w:r>
        <w:rPr>
          <w:rFonts w:hint="default" w:ascii="Times New Roman" w:hAnsi="Times New Roman"/>
          <w:color w:val="auto"/>
          <w:sz w:val="28"/>
          <w:szCs w:val="28"/>
          <w:lang w:val="en-US" w:eastAsia="zh-CN"/>
        </w:rPr>
        <w:t>(1)</w:t>
      </w:r>
      <w:r>
        <w:rPr>
          <w:rFonts w:hint="eastAsia" w:ascii="Times New Roman" w:hAnsi="Times New Roman"/>
          <w:color w:val="auto"/>
          <w:sz w:val="28"/>
          <w:szCs w:val="28"/>
          <w:lang w:val="en-US" w:eastAsia="zh-CN"/>
        </w:rPr>
        <w:t>＞</w:t>
      </w:r>
      <w:r>
        <w:rPr>
          <w:rFonts w:hint="default" w:ascii="Times New Roman" w:hAnsi="Times New Roman"/>
          <w:color w:val="auto"/>
          <w:sz w:val="28"/>
          <w:szCs w:val="28"/>
          <w:lang w:val="en-US" w:eastAsia="zh-CN"/>
        </w:rPr>
        <w:t>I</w:t>
      </w:r>
      <w:r>
        <w:rPr>
          <w:rFonts w:hint="eastAsia" w:ascii="Times New Roman" w:hAnsi="Times New Roman"/>
          <w:color w:val="auto"/>
          <w:sz w:val="28"/>
          <w:szCs w:val="28"/>
          <w:vertAlign w:val="subscript"/>
          <w:lang w:val="en-US" w:eastAsia="zh-CN"/>
        </w:rPr>
        <w:t>Ф</w:t>
      </w:r>
      <w:r>
        <w:rPr>
          <w:rFonts w:hint="default" w:ascii="Times New Roman" w:hAnsi="Times New Roman"/>
          <w:color w:val="auto"/>
          <w:sz w:val="28"/>
          <w:szCs w:val="28"/>
          <w:lang w:val="en-US" w:eastAsia="zh-CN"/>
        </w:rPr>
        <w:t>(2)=I</w:t>
      </w:r>
      <w:r>
        <w:rPr>
          <w:rFonts w:hint="eastAsia" w:ascii="Times New Roman" w:hAnsi="Times New Roman"/>
          <w:color w:val="auto"/>
          <w:sz w:val="28"/>
          <w:szCs w:val="28"/>
          <w:vertAlign w:val="subscript"/>
          <w:lang w:val="en-US" w:eastAsia="zh-CN"/>
        </w:rPr>
        <w:t>Ф</w:t>
      </w:r>
      <w:r>
        <w:rPr>
          <w:rFonts w:hint="default" w:ascii="Times New Roman" w:hAnsi="Times New Roman"/>
          <w:color w:val="auto"/>
          <w:sz w:val="28"/>
          <w:szCs w:val="28"/>
          <w:lang w:val="en-US" w:eastAsia="zh-CN"/>
        </w:rPr>
        <w:t>(3)=I</w:t>
      </w:r>
      <w:r>
        <w:rPr>
          <w:rFonts w:hint="eastAsia" w:ascii="Times New Roman" w:hAnsi="Times New Roman"/>
          <w:color w:val="auto"/>
          <w:sz w:val="28"/>
          <w:szCs w:val="28"/>
          <w:vertAlign w:val="subscript"/>
          <w:lang w:val="en-US" w:eastAsia="zh-CN"/>
        </w:rPr>
        <w:t>Ф</w:t>
      </w:r>
      <w:r>
        <w:rPr>
          <w:rFonts w:hint="default" w:ascii="Times New Roman" w:hAnsi="Times New Roman"/>
          <w:color w:val="auto"/>
          <w:sz w:val="28"/>
          <w:szCs w:val="28"/>
          <w:lang w:val="en-US" w:eastAsia="zh-CN"/>
        </w:rPr>
        <w:t>(4)</w:t>
      </w:r>
      <w:r>
        <w:rPr>
          <w:rFonts w:hint="eastAsia" w:ascii="Times New Roman" w:hAnsi="Times New Roman"/>
          <w:color w:val="auto"/>
          <w:sz w:val="28"/>
          <w:szCs w:val="28"/>
          <w:lang w:val="en-US" w:eastAsia="zh-CN"/>
        </w:rPr>
        <w:t>＞</w:t>
      </w:r>
      <w:r>
        <w:rPr>
          <w:rFonts w:hint="default" w:ascii="Times New Roman" w:hAnsi="Times New Roman"/>
          <w:color w:val="auto"/>
          <w:sz w:val="28"/>
          <w:szCs w:val="28"/>
          <w:lang w:val="en-US" w:eastAsia="zh-CN"/>
        </w:rPr>
        <w:t>I</w:t>
      </w:r>
      <w:r>
        <w:rPr>
          <w:rFonts w:hint="eastAsia" w:ascii="Times New Roman" w:hAnsi="Times New Roman"/>
          <w:color w:val="auto"/>
          <w:sz w:val="28"/>
          <w:szCs w:val="28"/>
          <w:vertAlign w:val="subscript"/>
          <w:lang w:val="en-US" w:eastAsia="zh-CN"/>
        </w:rPr>
        <w:t>Ф</w:t>
      </w:r>
      <w:r>
        <w:rPr>
          <w:rFonts w:hint="default" w:ascii="Times New Roman" w:hAnsi="Times New Roman"/>
          <w:color w:val="auto"/>
          <w:sz w:val="28"/>
          <w:szCs w:val="28"/>
          <w:lang w:val="en-US" w:eastAsia="zh-CN"/>
        </w:rPr>
        <w:t>(5)=I</w:t>
      </w:r>
      <w:r>
        <w:rPr>
          <w:rFonts w:hint="eastAsia" w:ascii="Times New Roman" w:hAnsi="Times New Roman"/>
          <w:color w:val="auto"/>
          <w:sz w:val="28"/>
          <w:szCs w:val="28"/>
          <w:vertAlign w:val="subscript"/>
          <w:lang w:val="en-US" w:eastAsia="zh-CN"/>
        </w:rPr>
        <w:t>Ф</w:t>
      </w:r>
      <w:r>
        <w:rPr>
          <w:rFonts w:hint="default" w:ascii="Times New Roman" w:hAnsi="Times New Roman"/>
          <w:color w:val="auto"/>
          <w:sz w:val="28"/>
          <w:szCs w:val="28"/>
          <w:lang w:val="en-US" w:eastAsia="zh-CN"/>
        </w:rPr>
        <w:t>(6)=I</w:t>
      </w:r>
      <w:r>
        <w:rPr>
          <w:rFonts w:hint="eastAsia" w:ascii="Times New Roman" w:hAnsi="Times New Roman"/>
          <w:color w:val="auto"/>
          <w:sz w:val="28"/>
          <w:szCs w:val="28"/>
          <w:vertAlign w:val="subscript"/>
          <w:lang w:val="en-US" w:eastAsia="zh-CN"/>
        </w:rPr>
        <w:t>Ф</w:t>
      </w:r>
      <w:r>
        <w:rPr>
          <w:rFonts w:hint="default" w:ascii="Times New Roman" w:hAnsi="Times New Roman"/>
          <w:color w:val="auto"/>
          <w:sz w:val="28"/>
          <w:szCs w:val="28"/>
          <w:lang w:val="en-US" w:eastAsia="zh-CN"/>
        </w:rPr>
        <w:t>(7)=I</w:t>
      </w:r>
      <w:r>
        <w:rPr>
          <w:rFonts w:hint="eastAsia" w:ascii="Times New Roman" w:hAnsi="Times New Roman"/>
          <w:color w:val="auto"/>
          <w:sz w:val="28"/>
          <w:szCs w:val="28"/>
          <w:vertAlign w:val="subscript"/>
          <w:lang w:val="en-US" w:eastAsia="zh-CN"/>
        </w:rPr>
        <w:t>Ф</w:t>
      </w:r>
      <w:r>
        <w:rPr>
          <w:rFonts w:hint="default" w:ascii="Times New Roman" w:hAnsi="Times New Roman"/>
          <w:color w:val="auto"/>
          <w:sz w:val="28"/>
          <w:szCs w:val="28"/>
          <w:lang w:val="en-US" w:eastAsia="zh-CN"/>
        </w:rPr>
        <w:t>(8)=I</w:t>
      </w:r>
      <w:r>
        <w:rPr>
          <w:rFonts w:hint="eastAsia" w:ascii="Times New Roman" w:hAnsi="Times New Roman"/>
          <w:color w:val="auto"/>
          <w:sz w:val="28"/>
          <w:szCs w:val="28"/>
          <w:vertAlign w:val="subscript"/>
          <w:lang w:val="en-US" w:eastAsia="zh-CN"/>
        </w:rPr>
        <w:t>Ф</w:t>
      </w:r>
      <w:r>
        <w:rPr>
          <w:rFonts w:hint="default" w:ascii="Times New Roman" w:hAnsi="Times New Roman"/>
          <w:color w:val="auto"/>
          <w:sz w:val="28"/>
          <w:szCs w:val="28"/>
          <w:lang w:val="en-US" w:eastAsia="zh-CN"/>
        </w:rPr>
        <w:t>(9)=I</w:t>
      </w:r>
      <w:r>
        <w:rPr>
          <w:rFonts w:hint="eastAsia" w:ascii="Times New Roman" w:hAnsi="Times New Roman"/>
          <w:color w:val="auto"/>
          <w:sz w:val="28"/>
          <w:szCs w:val="28"/>
          <w:vertAlign w:val="subscript"/>
          <w:lang w:val="en-US" w:eastAsia="zh-CN"/>
        </w:rPr>
        <w:t>Ф</w:t>
      </w:r>
      <w:r>
        <w:rPr>
          <w:rFonts w:hint="default" w:ascii="Times New Roman" w:hAnsi="Times New Roman"/>
          <w:color w:val="auto"/>
          <w:sz w:val="28"/>
          <w:szCs w:val="28"/>
          <w:lang w:val="en-US" w:eastAsia="zh-CN"/>
        </w:rPr>
        <w:t>(10)=I</w:t>
      </w:r>
      <w:r>
        <w:rPr>
          <w:rFonts w:hint="eastAsia" w:ascii="Times New Roman" w:hAnsi="Times New Roman"/>
          <w:color w:val="auto"/>
          <w:sz w:val="28"/>
          <w:szCs w:val="28"/>
          <w:vertAlign w:val="subscript"/>
          <w:lang w:val="en-US" w:eastAsia="zh-CN"/>
        </w:rPr>
        <w:t>Ф</w:t>
      </w:r>
      <w:r>
        <w:rPr>
          <w:rFonts w:hint="default" w:ascii="Times New Roman" w:hAnsi="Times New Roman"/>
          <w:color w:val="auto"/>
          <w:sz w:val="28"/>
          <w:szCs w:val="28"/>
          <w:lang w:val="en-US" w:eastAsia="zh-CN"/>
        </w:rPr>
        <w:t xml:space="preserve">(11) </w:t>
      </w:r>
    </w:p>
    <w:p w14:paraId="7A52484F">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rFonts w:hint="eastAsia" w:ascii="Times New Roman" w:hAnsi="Times New Roman"/>
          <w:color w:val="auto"/>
          <w:sz w:val="28"/>
          <w:szCs w:val="28"/>
          <w:lang w:val="en-US" w:eastAsia="zh-CN"/>
        </w:rPr>
      </w:pPr>
      <w:r>
        <w:rPr>
          <w:rFonts w:hint="eastAsia" w:ascii="Times New Roman" w:hAnsi="Times New Roman"/>
          <w:color w:val="auto"/>
          <w:sz w:val="28"/>
          <w:szCs w:val="28"/>
          <w:lang w:val="en-US" w:eastAsia="zh-CN"/>
        </w:rPr>
        <w:t>从酸灼伤事故树定性分析可知，酸灼伤事故共有</w:t>
      </w:r>
      <w:r>
        <w:rPr>
          <w:rFonts w:hint="default" w:ascii="Times New Roman" w:hAnsi="Times New Roman"/>
          <w:color w:val="auto"/>
          <w:sz w:val="28"/>
          <w:szCs w:val="28"/>
          <w:lang w:val="en-US" w:eastAsia="zh-CN"/>
        </w:rPr>
        <w:t>21</w:t>
      </w:r>
      <w:r>
        <w:rPr>
          <w:rFonts w:hint="eastAsia" w:ascii="Times New Roman" w:hAnsi="Times New Roman"/>
          <w:color w:val="auto"/>
          <w:sz w:val="28"/>
          <w:szCs w:val="28"/>
          <w:lang w:val="en-US" w:eastAsia="zh-CN"/>
        </w:rPr>
        <w:t>组最小割集，即发生酸灼伤事故共有</w:t>
      </w:r>
      <w:r>
        <w:rPr>
          <w:rFonts w:hint="default" w:ascii="Times New Roman" w:hAnsi="Times New Roman"/>
          <w:color w:val="auto"/>
          <w:sz w:val="28"/>
          <w:szCs w:val="28"/>
          <w:lang w:val="en-US" w:eastAsia="zh-CN"/>
        </w:rPr>
        <w:t>21</w:t>
      </w:r>
      <w:r>
        <w:rPr>
          <w:rFonts w:hint="eastAsia" w:ascii="Times New Roman" w:hAnsi="Times New Roman"/>
          <w:color w:val="auto"/>
          <w:sz w:val="28"/>
          <w:szCs w:val="28"/>
          <w:lang w:val="en-US" w:eastAsia="zh-CN"/>
        </w:rPr>
        <w:t>种途径，只要最小割集中的原因事件都发生时便可导致事故的发生。另外，</w:t>
      </w:r>
      <w:r>
        <w:rPr>
          <w:rFonts w:hint="default" w:ascii="Times New Roman" w:hAnsi="Times New Roman"/>
          <w:color w:val="auto"/>
          <w:sz w:val="28"/>
          <w:szCs w:val="28"/>
          <w:lang w:val="en-US" w:eastAsia="zh-CN"/>
        </w:rPr>
        <w:t>X</w:t>
      </w:r>
      <w:r>
        <w:rPr>
          <w:rFonts w:hint="default" w:ascii="Times New Roman" w:hAnsi="Times New Roman"/>
          <w:color w:val="auto"/>
          <w:sz w:val="28"/>
          <w:szCs w:val="28"/>
          <w:vertAlign w:val="subscript"/>
          <w:lang w:val="en-US" w:eastAsia="zh-CN"/>
        </w:rPr>
        <w:t>1</w:t>
      </w:r>
      <w:r>
        <w:rPr>
          <w:rFonts w:hint="eastAsia" w:ascii="Times New Roman" w:hAnsi="Times New Roman"/>
          <w:color w:val="auto"/>
          <w:sz w:val="28"/>
          <w:szCs w:val="28"/>
          <w:lang w:val="en-US" w:eastAsia="zh-CN"/>
        </w:rPr>
        <w:t>在各原因事件发生概率相同的情况下，对顶上事件即酸灼伤事故的影响程度最大，即若要控制灼伤事故发生，必须防止酸泄漏，而且还应设置有效的</w:t>
      </w:r>
      <w:r>
        <w:rPr>
          <w:rFonts w:hint="eastAsia"/>
          <w:lang w:val="en-US" w:eastAsia="zh-CN"/>
        </w:rPr>
        <w:t>洗眼器以及冲淋设施，且不能缺水。</w:t>
      </w:r>
      <w:r>
        <w:rPr>
          <w:rFonts w:hint="eastAsia"/>
        </w:rPr>
        <w:t>浓硫酸、稀硫酸、氟硅酸在泵区配备喷淋洗眼装置。如果有泄漏发生，通过外管廊低点排放至吨桶中，回收后送回装置。</w:t>
      </w:r>
    </w:p>
    <w:p w14:paraId="0898CC0D">
      <w:pPr>
        <w:keepNext w:val="0"/>
        <w:keepLines w:val="0"/>
        <w:pageBreakBefore w:val="0"/>
        <w:widowControl w:val="0"/>
        <w:numPr>
          <w:ilvl w:val="0"/>
          <w:numId w:val="43"/>
        </w:numPr>
        <w:kinsoku/>
        <w:wordWrap/>
        <w:overflowPunct/>
        <w:topLinePunct w:val="0"/>
        <w:autoSpaceDE/>
        <w:autoSpaceDN/>
        <w:bidi w:val="0"/>
        <w:snapToGrid w:val="0"/>
        <w:spacing w:line="360" w:lineRule="auto"/>
        <w:ind w:left="0" w:leftChars="0" w:firstLine="560" w:firstLineChars="200"/>
        <w:textAlignment w:val="auto"/>
        <w:rPr>
          <w:rFonts w:hint="eastAsia" w:ascii="Times New Roman"/>
          <w:color w:val="auto"/>
          <w:sz w:val="28"/>
          <w:szCs w:val="28"/>
          <w:lang w:val="en-US" w:eastAsia="zh-CN"/>
        </w:rPr>
      </w:pPr>
      <w:r>
        <w:rPr>
          <w:rFonts w:hint="eastAsia" w:ascii="Times New Roman"/>
          <w:color w:val="auto"/>
          <w:sz w:val="28"/>
          <w:szCs w:val="28"/>
          <w:lang w:val="en-US" w:eastAsia="zh-CN"/>
        </w:rPr>
        <w:t>特种设备评价分析</w:t>
      </w:r>
    </w:p>
    <w:p w14:paraId="4FAB805C">
      <w:pPr>
        <w:pStyle w:val="4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560" w:firstLineChars="200"/>
        <w:textAlignment w:val="auto"/>
        <w:rPr>
          <w:rFonts w:hint="eastAsia" w:ascii="Times New Roman" w:hAnsi="Times New Roman" w:eastAsia="宋体" w:cs="宋体"/>
          <w:color w:val="auto"/>
          <w:sz w:val="28"/>
          <w:szCs w:val="28"/>
          <w:lang w:val="en-US" w:eastAsia="zh-CN" w:bidi="ar-SA"/>
        </w:rPr>
      </w:pPr>
      <w:r>
        <w:rPr>
          <w:rFonts w:hint="eastAsia" w:ascii="Times New Roman" w:hAnsi="Times New Roman" w:eastAsia="宋体" w:cs="宋体"/>
          <w:color w:val="auto"/>
          <w:sz w:val="28"/>
          <w:szCs w:val="28"/>
          <w:lang w:val="en-US" w:eastAsia="zh-CN" w:bidi="ar-SA"/>
        </w:rPr>
        <w:t>根据《中华人民共和国特种设备安全法》（中华人民共和国主席令第4号）、《特种设备安全监察条例》（国务院令第549号修订）等法律、法规、部门规章、规程的要求，对该项目的特种设备及强检设备情况进行安全评价，具体情况见下表所示。</w:t>
      </w:r>
    </w:p>
    <w:p w14:paraId="46C58E50">
      <w:pPr>
        <w:spacing w:line="500" w:lineRule="exact"/>
        <w:jc w:val="center"/>
        <w:rPr>
          <w:rFonts w:hint="eastAsia"/>
          <w:b/>
          <w:color w:val="000000"/>
          <w:sz w:val="24"/>
        </w:rPr>
      </w:pPr>
      <w:r>
        <w:rPr>
          <w:rFonts w:hint="eastAsia"/>
          <w:b/>
          <w:color w:val="000000"/>
          <w:sz w:val="24"/>
        </w:rPr>
        <w:t>附</w:t>
      </w:r>
      <w:r>
        <w:rPr>
          <w:b/>
          <w:color w:val="000000"/>
          <w:sz w:val="24"/>
        </w:rPr>
        <w:t>表</w:t>
      </w:r>
      <w:r>
        <w:rPr>
          <w:rFonts w:hint="eastAsia"/>
          <w:b/>
          <w:color w:val="000000"/>
          <w:sz w:val="24"/>
        </w:rPr>
        <w:t>3</w:t>
      </w:r>
      <w:r>
        <w:rPr>
          <w:rFonts w:hint="eastAsia"/>
          <w:b/>
          <w:color w:val="000000"/>
          <w:sz w:val="24"/>
          <w:lang w:val="en-US" w:eastAsia="zh-CN"/>
        </w:rPr>
        <w:t>.2</w:t>
      </w:r>
      <w:r>
        <w:rPr>
          <w:rFonts w:hint="eastAsia"/>
          <w:b/>
          <w:color w:val="000000"/>
          <w:sz w:val="24"/>
        </w:rPr>
        <w:t>-</w:t>
      </w:r>
      <w:r>
        <w:rPr>
          <w:rFonts w:hint="eastAsia"/>
          <w:b/>
          <w:color w:val="000000"/>
          <w:sz w:val="24"/>
          <w:lang w:val="en-US" w:eastAsia="zh-CN"/>
        </w:rPr>
        <w:t>5</w:t>
      </w:r>
      <w:r>
        <w:rPr>
          <w:rFonts w:hint="eastAsia"/>
          <w:b/>
          <w:color w:val="000000"/>
          <w:sz w:val="24"/>
        </w:rPr>
        <w:t xml:space="preserve"> 特种设备安全</w:t>
      </w:r>
      <w:r>
        <w:rPr>
          <w:b/>
          <w:color w:val="000000"/>
          <w:sz w:val="24"/>
        </w:rPr>
        <w:t>检查表</w:t>
      </w:r>
    </w:p>
    <w:tbl>
      <w:tblPr>
        <w:tblStyle w:val="8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0"/>
        <w:gridCol w:w="2625"/>
        <w:gridCol w:w="2536"/>
        <w:gridCol w:w="2493"/>
        <w:gridCol w:w="709"/>
      </w:tblGrid>
      <w:tr w14:paraId="793EA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50" w:type="dxa"/>
            <w:noWrap w:val="0"/>
            <w:vAlign w:val="center"/>
          </w:tcPr>
          <w:p w14:paraId="6974C163">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b/>
                <w:color w:val="000000"/>
                <w:sz w:val="21"/>
                <w:szCs w:val="21"/>
              </w:rPr>
            </w:pPr>
            <w:r>
              <w:rPr>
                <w:rFonts w:hint="eastAsia"/>
                <w:b/>
                <w:color w:val="000000"/>
                <w:sz w:val="21"/>
                <w:szCs w:val="21"/>
              </w:rPr>
              <w:t>序号</w:t>
            </w:r>
          </w:p>
        </w:tc>
        <w:tc>
          <w:tcPr>
            <w:tcW w:w="2625" w:type="dxa"/>
            <w:noWrap w:val="0"/>
            <w:vAlign w:val="center"/>
          </w:tcPr>
          <w:p w14:paraId="20A51249">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b/>
                <w:color w:val="000000"/>
                <w:sz w:val="21"/>
                <w:szCs w:val="21"/>
              </w:rPr>
            </w:pPr>
            <w:r>
              <w:rPr>
                <w:rFonts w:hint="eastAsia"/>
                <w:b/>
                <w:color w:val="000000"/>
                <w:sz w:val="21"/>
                <w:szCs w:val="21"/>
              </w:rPr>
              <w:t>检查内容</w:t>
            </w:r>
          </w:p>
        </w:tc>
        <w:tc>
          <w:tcPr>
            <w:tcW w:w="2536" w:type="dxa"/>
            <w:noWrap w:val="0"/>
            <w:vAlign w:val="center"/>
          </w:tcPr>
          <w:p w14:paraId="21934CFF">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b/>
                <w:color w:val="000000"/>
                <w:sz w:val="21"/>
                <w:szCs w:val="21"/>
              </w:rPr>
            </w:pPr>
            <w:r>
              <w:rPr>
                <w:rFonts w:hint="eastAsia"/>
                <w:b/>
                <w:color w:val="000000"/>
                <w:sz w:val="21"/>
                <w:szCs w:val="21"/>
              </w:rPr>
              <w:t>检查依据</w:t>
            </w:r>
          </w:p>
        </w:tc>
        <w:tc>
          <w:tcPr>
            <w:tcW w:w="2493" w:type="dxa"/>
            <w:noWrap w:val="0"/>
            <w:vAlign w:val="center"/>
          </w:tcPr>
          <w:p w14:paraId="2AEA5ECD">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b/>
                <w:color w:val="000000"/>
                <w:sz w:val="21"/>
                <w:szCs w:val="21"/>
              </w:rPr>
            </w:pPr>
            <w:r>
              <w:rPr>
                <w:rFonts w:hint="eastAsia"/>
                <w:b/>
                <w:color w:val="000000"/>
                <w:sz w:val="21"/>
                <w:szCs w:val="21"/>
              </w:rPr>
              <w:t>检查记录</w:t>
            </w:r>
          </w:p>
        </w:tc>
        <w:tc>
          <w:tcPr>
            <w:tcW w:w="709" w:type="dxa"/>
            <w:noWrap w:val="0"/>
            <w:vAlign w:val="center"/>
          </w:tcPr>
          <w:p w14:paraId="2784A7EF">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b/>
                <w:color w:val="000000"/>
                <w:sz w:val="21"/>
                <w:szCs w:val="21"/>
              </w:rPr>
            </w:pPr>
            <w:r>
              <w:rPr>
                <w:b/>
                <w:color w:val="000000"/>
                <w:sz w:val="21"/>
                <w:szCs w:val="21"/>
              </w:rPr>
              <w:t>检查结果</w:t>
            </w:r>
          </w:p>
        </w:tc>
      </w:tr>
      <w:tr w14:paraId="52B5D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350" w:type="dxa"/>
            <w:noWrap w:val="0"/>
            <w:vAlign w:val="center"/>
          </w:tcPr>
          <w:p w14:paraId="159C2359">
            <w:pPr>
              <w:keepNext w:val="0"/>
              <w:keepLines w:val="0"/>
              <w:pageBreakBefore w:val="0"/>
              <w:widowControl w:val="0"/>
              <w:numPr>
                <w:ilvl w:val="0"/>
                <w:numId w:val="44"/>
              </w:numPr>
              <w:tabs>
                <w:tab w:val="left" w:pos="189"/>
              </w:tabs>
              <w:kinsoku/>
              <w:wordWrap/>
              <w:overflowPunct/>
              <w:topLinePunct w:val="0"/>
              <w:autoSpaceDE/>
              <w:autoSpaceDN/>
              <w:bidi w:val="0"/>
              <w:adjustRightInd/>
              <w:snapToGrid w:val="0"/>
              <w:spacing w:line="240" w:lineRule="auto"/>
              <w:ind w:left="0" w:firstLine="0" w:firstLineChars="0"/>
              <w:jc w:val="center"/>
              <w:textAlignment w:val="auto"/>
              <w:rPr>
                <w:rFonts w:hint="eastAsia"/>
                <w:color w:val="000000"/>
                <w:sz w:val="21"/>
                <w:szCs w:val="21"/>
              </w:rPr>
            </w:pPr>
          </w:p>
        </w:tc>
        <w:tc>
          <w:tcPr>
            <w:tcW w:w="2625" w:type="dxa"/>
            <w:noWrap w:val="0"/>
            <w:vAlign w:val="center"/>
          </w:tcPr>
          <w:p w14:paraId="10C35C20">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textAlignment w:val="auto"/>
              <w:rPr>
                <w:rFonts w:hint="eastAsia"/>
                <w:color w:val="000000"/>
                <w:sz w:val="21"/>
                <w:szCs w:val="21"/>
              </w:rPr>
            </w:pPr>
            <w:r>
              <w:rPr>
                <w:color w:val="000000"/>
                <w:sz w:val="21"/>
                <w:szCs w:val="21"/>
              </w:rPr>
              <w:t>特种设备生产、经营、使用单位的主要负责人对其生产、经营、使用的特种设备安全负责。特种设备生产、经营、使用单位应当按照国家有关规定配备特种设备安全管理人员、检测人员和作业人员，并对其进行必要的安全教育和技能培训。</w:t>
            </w:r>
          </w:p>
        </w:tc>
        <w:tc>
          <w:tcPr>
            <w:tcW w:w="2536" w:type="dxa"/>
            <w:noWrap w:val="0"/>
            <w:vAlign w:val="center"/>
          </w:tcPr>
          <w:p w14:paraId="0FCD7D35">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color w:val="000000"/>
                <w:sz w:val="21"/>
                <w:szCs w:val="21"/>
              </w:rPr>
            </w:pPr>
            <w:r>
              <w:rPr>
                <w:color w:val="000000"/>
                <w:sz w:val="21"/>
                <w:szCs w:val="21"/>
              </w:rPr>
              <w:t>《中华人民共和国特种设备安全法》（中华人民共和国主席令第</w:t>
            </w:r>
            <w:r>
              <w:rPr>
                <w:rFonts w:hint="eastAsia"/>
                <w:color w:val="000000"/>
                <w:sz w:val="21"/>
                <w:szCs w:val="21"/>
              </w:rPr>
              <w:t>4</w:t>
            </w:r>
            <w:r>
              <w:rPr>
                <w:color w:val="000000"/>
                <w:sz w:val="21"/>
                <w:szCs w:val="21"/>
              </w:rPr>
              <w:t>号）</w:t>
            </w:r>
          </w:p>
          <w:p w14:paraId="300F6A8E">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color w:val="000000"/>
                <w:sz w:val="21"/>
                <w:szCs w:val="21"/>
              </w:rPr>
            </w:pPr>
            <w:r>
              <w:rPr>
                <w:color w:val="000000"/>
                <w:sz w:val="21"/>
                <w:szCs w:val="21"/>
              </w:rPr>
              <w:t>第十三条</w:t>
            </w:r>
          </w:p>
        </w:tc>
        <w:tc>
          <w:tcPr>
            <w:tcW w:w="2493" w:type="dxa"/>
            <w:noWrap w:val="0"/>
            <w:vAlign w:val="center"/>
          </w:tcPr>
          <w:p w14:paraId="47057F06">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textAlignment w:val="auto"/>
              <w:rPr>
                <w:rFonts w:hint="eastAsia"/>
                <w:color w:val="000000"/>
                <w:sz w:val="21"/>
                <w:szCs w:val="21"/>
              </w:rPr>
            </w:pPr>
            <w:r>
              <w:rPr>
                <w:color w:val="000000"/>
                <w:sz w:val="21"/>
                <w:szCs w:val="21"/>
              </w:rPr>
              <w:t>该公司主要负责人对厂内特种设备的安全负责，配备了安全管理人员</w:t>
            </w:r>
            <w:r>
              <w:rPr>
                <w:rFonts w:hint="eastAsia"/>
                <w:color w:val="000000"/>
                <w:sz w:val="21"/>
                <w:szCs w:val="21"/>
              </w:rPr>
              <w:t>和作业人员，该公司</w:t>
            </w:r>
            <w:r>
              <w:rPr>
                <w:color w:val="000000"/>
                <w:sz w:val="21"/>
                <w:szCs w:val="21"/>
              </w:rPr>
              <w:t>对其进行</w:t>
            </w:r>
            <w:r>
              <w:rPr>
                <w:rFonts w:hint="eastAsia"/>
                <w:color w:val="000000"/>
                <w:sz w:val="21"/>
                <w:szCs w:val="21"/>
              </w:rPr>
              <w:t>了</w:t>
            </w:r>
            <w:r>
              <w:rPr>
                <w:color w:val="000000"/>
                <w:sz w:val="21"/>
                <w:szCs w:val="21"/>
              </w:rPr>
              <w:t>必要的安全教育和技能培训。</w:t>
            </w:r>
          </w:p>
        </w:tc>
        <w:tc>
          <w:tcPr>
            <w:tcW w:w="709" w:type="dxa"/>
            <w:noWrap w:val="0"/>
            <w:vAlign w:val="center"/>
          </w:tcPr>
          <w:p w14:paraId="1E62C7BB">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color w:val="000000"/>
                <w:sz w:val="21"/>
                <w:szCs w:val="21"/>
              </w:rPr>
            </w:pPr>
            <w:r>
              <w:rPr>
                <w:color w:val="000000"/>
                <w:sz w:val="21"/>
                <w:szCs w:val="21"/>
              </w:rPr>
              <w:t>符合</w:t>
            </w:r>
          </w:p>
        </w:tc>
      </w:tr>
      <w:tr w14:paraId="7D2C5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350" w:type="dxa"/>
            <w:noWrap w:val="0"/>
            <w:vAlign w:val="center"/>
          </w:tcPr>
          <w:p w14:paraId="32A2DB0F">
            <w:pPr>
              <w:keepNext w:val="0"/>
              <w:keepLines w:val="0"/>
              <w:pageBreakBefore w:val="0"/>
              <w:widowControl w:val="0"/>
              <w:numPr>
                <w:ilvl w:val="0"/>
                <w:numId w:val="44"/>
              </w:numPr>
              <w:tabs>
                <w:tab w:val="left" w:pos="189"/>
              </w:tabs>
              <w:kinsoku/>
              <w:wordWrap/>
              <w:overflowPunct/>
              <w:topLinePunct w:val="0"/>
              <w:autoSpaceDE/>
              <w:autoSpaceDN/>
              <w:bidi w:val="0"/>
              <w:adjustRightInd/>
              <w:snapToGrid w:val="0"/>
              <w:spacing w:line="240" w:lineRule="auto"/>
              <w:ind w:left="0" w:firstLine="0" w:firstLineChars="0"/>
              <w:jc w:val="center"/>
              <w:textAlignment w:val="auto"/>
              <w:rPr>
                <w:rFonts w:hint="eastAsia"/>
                <w:color w:val="000000"/>
                <w:sz w:val="21"/>
                <w:szCs w:val="21"/>
              </w:rPr>
            </w:pPr>
          </w:p>
        </w:tc>
        <w:tc>
          <w:tcPr>
            <w:tcW w:w="2625" w:type="dxa"/>
            <w:noWrap w:val="0"/>
            <w:vAlign w:val="center"/>
          </w:tcPr>
          <w:p w14:paraId="707E835E">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textAlignment w:val="auto"/>
              <w:rPr>
                <w:rFonts w:hint="eastAsia"/>
                <w:color w:val="000000"/>
                <w:sz w:val="21"/>
                <w:szCs w:val="21"/>
              </w:rPr>
            </w:pPr>
            <w:r>
              <w:rPr>
                <w:color w:val="000000"/>
                <w:sz w:val="21"/>
                <w:szCs w:val="21"/>
              </w:rPr>
              <w:t>特种设备安全管理人员、检测人员和作业人员应当按照国家有关规定取得相应资格，方可从事相关工作。特种设备安全管理人员、检测人员和作业人员应当严格执行安全技术规范和管理制度，保证特种设备安全。</w:t>
            </w:r>
          </w:p>
        </w:tc>
        <w:tc>
          <w:tcPr>
            <w:tcW w:w="2536" w:type="dxa"/>
            <w:noWrap w:val="0"/>
            <w:vAlign w:val="center"/>
          </w:tcPr>
          <w:p w14:paraId="7252FAB2">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color w:val="000000"/>
                <w:sz w:val="21"/>
                <w:szCs w:val="21"/>
              </w:rPr>
            </w:pPr>
            <w:r>
              <w:rPr>
                <w:color w:val="000000"/>
                <w:sz w:val="21"/>
                <w:szCs w:val="21"/>
              </w:rPr>
              <w:t>《中华人民共和国特种设备安全法》（中华人民共和国主席令第4号）</w:t>
            </w:r>
          </w:p>
          <w:p w14:paraId="18FA7C2B">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color w:val="000000"/>
                <w:sz w:val="21"/>
                <w:szCs w:val="21"/>
              </w:rPr>
            </w:pPr>
            <w:r>
              <w:rPr>
                <w:color w:val="000000"/>
                <w:sz w:val="21"/>
                <w:szCs w:val="21"/>
              </w:rPr>
              <w:t>第十四条</w:t>
            </w:r>
          </w:p>
        </w:tc>
        <w:tc>
          <w:tcPr>
            <w:tcW w:w="2493" w:type="dxa"/>
            <w:noWrap w:val="0"/>
            <w:vAlign w:val="center"/>
          </w:tcPr>
          <w:p w14:paraId="64F7999F">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textAlignment w:val="auto"/>
              <w:rPr>
                <w:color w:val="000000"/>
                <w:sz w:val="21"/>
                <w:szCs w:val="21"/>
              </w:rPr>
            </w:pPr>
            <w:r>
              <w:rPr>
                <w:color w:val="000000"/>
                <w:sz w:val="21"/>
                <w:szCs w:val="21"/>
              </w:rPr>
              <w:t>该项目相关特种设备安全管理人员</w:t>
            </w:r>
            <w:r>
              <w:rPr>
                <w:rFonts w:hint="eastAsia"/>
                <w:color w:val="000000"/>
                <w:sz w:val="21"/>
                <w:szCs w:val="21"/>
              </w:rPr>
              <w:t>、</w:t>
            </w:r>
            <w:r>
              <w:rPr>
                <w:color w:val="000000"/>
                <w:sz w:val="21"/>
                <w:szCs w:val="21"/>
              </w:rPr>
              <w:t>特种设备作业人员均已取得特种设备作业资质</w:t>
            </w:r>
            <w:r>
              <w:rPr>
                <w:rFonts w:hint="eastAsia"/>
                <w:color w:val="000000"/>
                <w:sz w:val="21"/>
                <w:szCs w:val="21"/>
              </w:rPr>
              <w:t>。相关人员严格执行公司相关管理制度要求</w:t>
            </w:r>
            <w:r>
              <w:rPr>
                <w:color w:val="000000"/>
                <w:sz w:val="21"/>
                <w:szCs w:val="21"/>
              </w:rPr>
              <w:t>，保证特种设备安全。</w:t>
            </w:r>
          </w:p>
        </w:tc>
        <w:tc>
          <w:tcPr>
            <w:tcW w:w="709" w:type="dxa"/>
            <w:noWrap w:val="0"/>
            <w:vAlign w:val="center"/>
          </w:tcPr>
          <w:p w14:paraId="757F0FE3">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color w:val="000000"/>
                <w:sz w:val="21"/>
                <w:szCs w:val="21"/>
              </w:rPr>
            </w:pPr>
            <w:r>
              <w:rPr>
                <w:rFonts w:hint="eastAsia"/>
                <w:color w:val="000000"/>
                <w:sz w:val="21"/>
                <w:szCs w:val="21"/>
              </w:rPr>
              <w:t>符合</w:t>
            </w:r>
          </w:p>
        </w:tc>
      </w:tr>
      <w:tr w14:paraId="03079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70" w:hRule="atLeast"/>
          <w:jc w:val="center"/>
        </w:trPr>
        <w:tc>
          <w:tcPr>
            <w:tcW w:w="350" w:type="dxa"/>
            <w:noWrap w:val="0"/>
            <w:vAlign w:val="center"/>
          </w:tcPr>
          <w:p w14:paraId="7ADA79C2">
            <w:pPr>
              <w:keepNext w:val="0"/>
              <w:keepLines w:val="0"/>
              <w:pageBreakBefore w:val="0"/>
              <w:widowControl w:val="0"/>
              <w:numPr>
                <w:ilvl w:val="0"/>
                <w:numId w:val="44"/>
              </w:numPr>
              <w:tabs>
                <w:tab w:val="left" w:pos="189"/>
              </w:tabs>
              <w:kinsoku/>
              <w:wordWrap/>
              <w:overflowPunct/>
              <w:topLinePunct w:val="0"/>
              <w:autoSpaceDE/>
              <w:autoSpaceDN/>
              <w:bidi w:val="0"/>
              <w:adjustRightInd/>
              <w:snapToGrid w:val="0"/>
              <w:spacing w:line="240" w:lineRule="auto"/>
              <w:ind w:left="0" w:firstLine="0" w:firstLineChars="0"/>
              <w:jc w:val="center"/>
              <w:textAlignment w:val="auto"/>
              <w:rPr>
                <w:rFonts w:hint="eastAsia"/>
                <w:color w:val="000000"/>
                <w:sz w:val="21"/>
                <w:szCs w:val="21"/>
              </w:rPr>
            </w:pPr>
          </w:p>
        </w:tc>
        <w:tc>
          <w:tcPr>
            <w:tcW w:w="2625" w:type="dxa"/>
            <w:noWrap w:val="0"/>
            <w:vAlign w:val="center"/>
          </w:tcPr>
          <w:p w14:paraId="7036D985">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textAlignment w:val="auto"/>
              <w:rPr>
                <w:rFonts w:hint="eastAsia"/>
                <w:color w:val="000000"/>
                <w:sz w:val="21"/>
                <w:szCs w:val="21"/>
              </w:rPr>
            </w:pPr>
            <w:r>
              <w:rPr>
                <w:color w:val="000000"/>
                <w:sz w:val="21"/>
                <w:szCs w:val="21"/>
              </w:rPr>
              <w:t>特种设备生产、经营、使用单位对其生产、经营、使用的特种设备应当进行自行检测和维护保养，对国家规定实行检验的特种设备应当及时申报并接受检验。</w:t>
            </w:r>
          </w:p>
        </w:tc>
        <w:tc>
          <w:tcPr>
            <w:tcW w:w="2536" w:type="dxa"/>
            <w:noWrap w:val="0"/>
            <w:vAlign w:val="center"/>
          </w:tcPr>
          <w:p w14:paraId="7419FA2F">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color w:val="000000"/>
                <w:sz w:val="21"/>
                <w:szCs w:val="21"/>
              </w:rPr>
            </w:pPr>
            <w:r>
              <w:rPr>
                <w:color w:val="000000"/>
                <w:sz w:val="21"/>
                <w:szCs w:val="21"/>
              </w:rPr>
              <w:t>《中华人民共和国特种设备安全法》（中华人民共和国主席令第4号）</w:t>
            </w:r>
          </w:p>
          <w:p w14:paraId="0A15B75D">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color w:val="000000"/>
                <w:sz w:val="21"/>
                <w:szCs w:val="21"/>
              </w:rPr>
            </w:pPr>
            <w:r>
              <w:rPr>
                <w:color w:val="000000"/>
                <w:sz w:val="21"/>
                <w:szCs w:val="21"/>
              </w:rPr>
              <w:t>第十五条</w:t>
            </w:r>
          </w:p>
        </w:tc>
        <w:tc>
          <w:tcPr>
            <w:tcW w:w="2493" w:type="dxa"/>
            <w:noWrap w:val="0"/>
            <w:vAlign w:val="center"/>
          </w:tcPr>
          <w:p w14:paraId="3CA22739">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textAlignment w:val="auto"/>
              <w:rPr>
                <w:rFonts w:hint="eastAsia"/>
                <w:color w:val="000000"/>
                <w:sz w:val="21"/>
                <w:szCs w:val="21"/>
              </w:rPr>
            </w:pPr>
            <w:r>
              <w:rPr>
                <w:color w:val="000000"/>
                <w:sz w:val="21"/>
                <w:szCs w:val="21"/>
              </w:rPr>
              <w:t>该</w:t>
            </w:r>
            <w:r>
              <w:rPr>
                <w:rFonts w:hint="eastAsia"/>
                <w:color w:val="000000"/>
                <w:sz w:val="21"/>
                <w:szCs w:val="21"/>
              </w:rPr>
              <w:t>公司对使用的</w:t>
            </w:r>
            <w:r>
              <w:rPr>
                <w:color w:val="000000"/>
                <w:sz w:val="21"/>
                <w:szCs w:val="21"/>
              </w:rPr>
              <w:t>特种设备进行</w:t>
            </w:r>
            <w:r>
              <w:rPr>
                <w:rFonts w:hint="eastAsia"/>
                <w:color w:val="000000"/>
                <w:sz w:val="21"/>
                <w:szCs w:val="21"/>
              </w:rPr>
              <w:t>定期检查</w:t>
            </w:r>
            <w:r>
              <w:rPr>
                <w:color w:val="000000"/>
                <w:sz w:val="21"/>
                <w:szCs w:val="21"/>
              </w:rPr>
              <w:t>和维护保养</w:t>
            </w:r>
            <w:r>
              <w:rPr>
                <w:rFonts w:hint="eastAsia"/>
                <w:color w:val="000000"/>
                <w:sz w:val="21"/>
                <w:szCs w:val="21"/>
              </w:rPr>
              <w:t>，在有效期内将定期</w:t>
            </w:r>
            <w:r>
              <w:rPr>
                <w:color w:val="000000"/>
                <w:sz w:val="21"/>
                <w:szCs w:val="21"/>
              </w:rPr>
              <w:t>对国家规定实行检验的特种设备</w:t>
            </w:r>
            <w:r>
              <w:rPr>
                <w:rFonts w:hint="eastAsia"/>
                <w:color w:val="000000"/>
                <w:sz w:val="21"/>
                <w:szCs w:val="21"/>
              </w:rPr>
              <w:t>及时申报并接受</w:t>
            </w:r>
            <w:r>
              <w:rPr>
                <w:color w:val="000000"/>
                <w:sz w:val="21"/>
                <w:szCs w:val="21"/>
              </w:rPr>
              <w:t>检验。</w:t>
            </w:r>
          </w:p>
        </w:tc>
        <w:tc>
          <w:tcPr>
            <w:tcW w:w="709" w:type="dxa"/>
            <w:noWrap w:val="0"/>
            <w:vAlign w:val="center"/>
          </w:tcPr>
          <w:p w14:paraId="4CFE14F3">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color w:val="000000"/>
                <w:sz w:val="21"/>
                <w:szCs w:val="21"/>
              </w:rPr>
            </w:pPr>
            <w:r>
              <w:rPr>
                <w:color w:val="000000"/>
                <w:sz w:val="21"/>
                <w:szCs w:val="21"/>
              </w:rPr>
              <w:t>符合</w:t>
            </w:r>
          </w:p>
        </w:tc>
      </w:tr>
      <w:tr w14:paraId="55B56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350" w:type="dxa"/>
            <w:noWrap w:val="0"/>
            <w:vAlign w:val="center"/>
          </w:tcPr>
          <w:p w14:paraId="0CE2CED1">
            <w:pPr>
              <w:keepNext w:val="0"/>
              <w:keepLines w:val="0"/>
              <w:pageBreakBefore w:val="0"/>
              <w:widowControl w:val="0"/>
              <w:numPr>
                <w:ilvl w:val="0"/>
                <w:numId w:val="44"/>
              </w:numPr>
              <w:tabs>
                <w:tab w:val="left" w:pos="189"/>
              </w:tabs>
              <w:kinsoku/>
              <w:wordWrap/>
              <w:overflowPunct/>
              <w:topLinePunct w:val="0"/>
              <w:autoSpaceDE/>
              <w:autoSpaceDN/>
              <w:bidi w:val="0"/>
              <w:adjustRightInd/>
              <w:snapToGrid w:val="0"/>
              <w:spacing w:line="240" w:lineRule="auto"/>
              <w:ind w:left="0" w:firstLine="0" w:firstLineChars="0"/>
              <w:jc w:val="center"/>
              <w:textAlignment w:val="auto"/>
              <w:rPr>
                <w:rFonts w:hint="eastAsia"/>
                <w:color w:val="000000"/>
                <w:sz w:val="21"/>
                <w:szCs w:val="21"/>
              </w:rPr>
            </w:pPr>
          </w:p>
        </w:tc>
        <w:tc>
          <w:tcPr>
            <w:tcW w:w="2625" w:type="dxa"/>
            <w:noWrap w:val="0"/>
            <w:vAlign w:val="center"/>
          </w:tcPr>
          <w:p w14:paraId="3756979B">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textAlignment w:val="auto"/>
              <w:rPr>
                <w:color w:val="000000"/>
                <w:sz w:val="21"/>
                <w:szCs w:val="21"/>
              </w:rPr>
            </w:pPr>
            <w:r>
              <w:rPr>
                <w:color w:val="000000"/>
                <w:sz w:val="21"/>
                <w:szCs w:val="21"/>
              </w:rPr>
              <w:t>锅炉、压力容器、压力管道元件等特种设备的制造过程和锅炉、压力容器、压力管道、电梯、起重机械、客运索道、大型游乐设施的安装、改造、重大修理过程，应当经特种设备检验机构按照安全技术规范的要求进行监督检验；未经监督检验或者监督检验不合格的，不得出厂或者交付使用。</w:t>
            </w:r>
          </w:p>
        </w:tc>
        <w:tc>
          <w:tcPr>
            <w:tcW w:w="2536" w:type="dxa"/>
            <w:noWrap w:val="0"/>
            <w:vAlign w:val="center"/>
          </w:tcPr>
          <w:p w14:paraId="75CF4F91">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color w:val="000000"/>
                <w:sz w:val="21"/>
                <w:szCs w:val="21"/>
              </w:rPr>
            </w:pPr>
            <w:r>
              <w:rPr>
                <w:color w:val="000000"/>
                <w:sz w:val="21"/>
                <w:szCs w:val="21"/>
              </w:rPr>
              <w:t>《中华人民共和国特种设备安全法》（中华人民共和国主席令第4号）</w:t>
            </w:r>
          </w:p>
          <w:p w14:paraId="4BBCC049">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color w:val="000000"/>
                <w:sz w:val="21"/>
                <w:szCs w:val="21"/>
              </w:rPr>
            </w:pPr>
            <w:r>
              <w:rPr>
                <w:color w:val="000000"/>
                <w:sz w:val="21"/>
                <w:szCs w:val="21"/>
              </w:rPr>
              <w:t>第</w:t>
            </w:r>
            <w:r>
              <w:rPr>
                <w:rFonts w:hint="eastAsia"/>
                <w:color w:val="000000"/>
                <w:sz w:val="21"/>
                <w:szCs w:val="21"/>
              </w:rPr>
              <w:t>二</w:t>
            </w:r>
            <w:r>
              <w:rPr>
                <w:color w:val="000000"/>
                <w:sz w:val="21"/>
                <w:szCs w:val="21"/>
              </w:rPr>
              <w:t>十五条</w:t>
            </w:r>
          </w:p>
        </w:tc>
        <w:tc>
          <w:tcPr>
            <w:tcW w:w="2493" w:type="dxa"/>
            <w:noWrap w:val="0"/>
            <w:vAlign w:val="center"/>
          </w:tcPr>
          <w:p w14:paraId="0ABB3B11">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textAlignment w:val="auto"/>
              <w:rPr>
                <w:rFonts w:hint="eastAsia"/>
                <w:color w:val="000000"/>
                <w:sz w:val="21"/>
                <w:szCs w:val="21"/>
              </w:rPr>
            </w:pPr>
            <w:r>
              <w:rPr>
                <w:color w:val="000000"/>
                <w:sz w:val="21"/>
                <w:szCs w:val="21"/>
              </w:rPr>
              <w:t>压力管道</w:t>
            </w:r>
            <w:r>
              <w:rPr>
                <w:rFonts w:hint="eastAsia"/>
                <w:color w:val="000000"/>
                <w:sz w:val="21"/>
                <w:szCs w:val="21"/>
              </w:rPr>
              <w:t>安装过程</w:t>
            </w:r>
            <w:r>
              <w:rPr>
                <w:color w:val="000000"/>
                <w:sz w:val="21"/>
                <w:szCs w:val="21"/>
              </w:rPr>
              <w:t>经特种设备检验机构进行</w:t>
            </w:r>
            <w:r>
              <w:rPr>
                <w:rFonts w:hint="eastAsia"/>
                <w:color w:val="000000"/>
                <w:sz w:val="21"/>
                <w:szCs w:val="21"/>
              </w:rPr>
              <w:t>安装</w:t>
            </w:r>
            <w:r>
              <w:rPr>
                <w:color w:val="000000"/>
                <w:sz w:val="21"/>
                <w:szCs w:val="21"/>
              </w:rPr>
              <w:t>监督检验</w:t>
            </w:r>
            <w:r>
              <w:rPr>
                <w:rFonts w:hint="eastAsia"/>
                <w:color w:val="000000"/>
                <w:sz w:val="21"/>
                <w:szCs w:val="21"/>
              </w:rPr>
              <w:t>合格。</w:t>
            </w:r>
          </w:p>
        </w:tc>
        <w:tc>
          <w:tcPr>
            <w:tcW w:w="709" w:type="dxa"/>
            <w:noWrap w:val="0"/>
            <w:vAlign w:val="center"/>
          </w:tcPr>
          <w:p w14:paraId="73BDE4A7">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color w:val="000000"/>
                <w:sz w:val="21"/>
                <w:szCs w:val="21"/>
              </w:rPr>
            </w:pPr>
            <w:r>
              <w:rPr>
                <w:rFonts w:hint="eastAsia"/>
                <w:color w:val="000000"/>
                <w:sz w:val="21"/>
                <w:szCs w:val="21"/>
              </w:rPr>
              <w:t>符合</w:t>
            </w:r>
          </w:p>
        </w:tc>
      </w:tr>
      <w:tr w14:paraId="5ADF8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350" w:type="dxa"/>
            <w:noWrap w:val="0"/>
            <w:vAlign w:val="center"/>
          </w:tcPr>
          <w:p w14:paraId="7EE26572">
            <w:pPr>
              <w:keepNext w:val="0"/>
              <w:keepLines w:val="0"/>
              <w:pageBreakBefore w:val="0"/>
              <w:widowControl w:val="0"/>
              <w:numPr>
                <w:ilvl w:val="0"/>
                <w:numId w:val="44"/>
              </w:numPr>
              <w:tabs>
                <w:tab w:val="left" w:pos="189"/>
              </w:tabs>
              <w:kinsoku/>
              <w:wordWrap/>
              <w:overflowPunct/>
              <w:topLinePunct w:val="0"/>
              <w:autoSpaceDE/>
              <w:autoSpaceDN/>
              <w:bidi w:val="0"/>
              <w:adjustRightInd/>
              <w:snapToGrid w:val="0"/>
              <w:spacing w:line="240" w:lineRule="auto"/>
              <w:ind w:left="0" w:firstLine="0" w:firstLineChars="0"/>
              <w:jc w:val="center"/>
              <w:textAlignment w:val="auto"/>
              <w:rPr>
                <w:rFonts w:hint="eastAsia"/>
                <w:color w:val="000000"/>
                <w:sz w:val="21"/>
                <w:szCs w:val="21"/>
              </w:rPr>
            </w:pPr>
          </w:p>
        </w:tc>
        <w:tc>
          <w:tcPr>
            <w:tcW w:w="2625" w:type="dxa"/>
            <w:noWrap w:val="0"/>
            <w:vAlign w:val="center"/>
          </w:tcPr>
          <w:p w14:paraId="1F49080D">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textAlignment w:val="auto"/>
              <w:rPr>
                <w:rFonts w:hint="eastAsia"/>
                <w:color w:val="000000"/>
                <w:sz w:val="21"/>
                <w:szCs w:val="21"/>
              </w:rPr>
            </w:pPr>
            <w:r>
              <w:rPr>
                <w:rFonts w:hint="eastAsia"/>
                <w:color w:val="000000"/>
                <w:sz w:val="21"/>
                <w:szCs w:val="21"/>
              </w:rPr>
              <w:t>特种设备使用单位应当使用取得许可生产并经检验合格的特种设备。禁止使用国家明令淘汰和已经报废的特种设备。</w:t>
            </w:r>
          </w:p>
        </w:tc>
        <w:tc>
          <w:tcPr>
            <w:tcW w:w="2536" w:type="dxa"/>
            <w:noWrap w:val="0"/>
            <w:vAlign w:val="center"/>
          </w:tcPr>
          <w:p w14:paraId="6EF37341">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bCs/>
                <w:color w:val="000000"/>
                <w:sz w:val="21"/>
                <w:szCs w:val="21"/>
              </w:rPr>
            </w:pPr>
            <w:r>
              <w:rPr>
                <w:rFonts w:hint="eastAsia"/>
                <w:color w:val="000000"/>
                <w:sz w:val="21"/>
                <w:szCs w:val="21"/>
              </w:rPr>
              <w:t>《</w:t>
            </w:r>
            <w:r>
              <w:rPr>
                <w:rFonts w:hint="eastAsia"/>
                <w:bCs/>
                <w:color w:val="000000"/>
                <w:sz w:val="21"/>
                <w:szCs w:val="21"/>
              </w:rPr>
              <w:t>中华人民共和国特种设备安全法》（中华人民共和国主席令第4号）</w:t>
            </w:r>
          </w:p>
          <w:p w14:paraId="5087CADC">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color w:val="000000"/>
                <w:sz w:val="21"/>
                <w:szCs w:val="21"/>
              </w:rPr>
            </w:pPr>
            <w:r>
              <w:rPr>
                <w:rFonts w:hint="eastAsia"/>
                <w:color w:val="000000"/>
                <w:sz w:val="21"/>
                <w:szCs w:val="21"/>
              </w:rPr>
              <w:t>第三十二条</w:t>
            </w:r>
          </w:p>
        </w:tc>
        <w:tc>
          <w:tcPr>
            <w:tcW w:w="2493" w:type="dxa"/>
            <w:noWrap w:val="0"/>
            <w:vAlign w:val="center"/>
          </w:tcPr>
          <w:p w14:paraId="45141070">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textAlignment w:val="auto"/>
              <w:rPr>
                <w:rFonts w:hint="eastAsia"/>
                <w:color w:val="000000"/>
                <w:sz w:val="21"/>
                <w:szCs w:val="21"/>
              </w:rPr>
            </w:pPr>
            <w:r>
              <w:rPr>
                <w:rFonts w:hint="eastAsia"/>
                <w:color w:val="000000"/>
                <w:sz w:val="21"/>
                <w:szCs w:val="21"/>
              </w:rPr>
              <w:t>该项目涉及的压力管道等特种设备经取得许可的单位生产，压力管道经安装监督检验合格，未使用国家明令淘汰和已经报废的特种设备。</w:t>
            </w:r>
          </w:p>
        </w:tc>
        <w:tc>
          <w:tcPr>
            <w:tcW w:w="709" w:type="dxa"/>
            <w:noWrap w:val="0"/>
            <w:vAlign w:val="center"/>
          </w:tcPr>
          <w:p w14:paraId="684813DC">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color w:val="000000"/>
                <w:sz w:val="21"/>
                <w:szCs w:val="21"/>
              </w:rPr>
            </w:pPr>
            <w:r>
              <w:rPr>
                <w:rFonts w:hint="eastAsia"/>
                <w:color w:val="000000"/>
                <w:sz w:val="21"/>
                <w:szCs w:val="21"/>
              </w:rPr>
              <w:t>符合</w:t>
            </w:r>
          </w:p>
        </w:tc>
      </w:tr>
      <w:tr w14:paraId="7798D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350" w:type="dxa"/>
            <w:noWrap w:val="0"/>
            <w:vAlign w:val="center"/>
          </w:tcPr>
          <w:p w14:paraId="49C2C449">
            <w:pPr>
              <w:keepNext w:val="0"/>
              <w:keepLines w:val="0"/>
              <w:pageBreakBefore w:val="0"/>
              <w:widowControl w:val="0"/>
              <w:numPr>
                <w:ilvl w:val="0"/>
                <w:numId w:val="44"/>
              </w:numPr>
              <w:tabs>
                <w:tab w:val="left" w:pos="189"/>
              </w:tabs>
              <w:kinsoku/>
              <w:wordWrap/>
              <w:overflowPunct/>
              <w:topLinePunct w:val="0"/>
              <w:autoSpaceDE/>
              <w:autoSpaceDN/>
              <w:bidi w:val="0"/>
              <w:adjustRightInd/>
              <w:snapToGrid w:val="0"/>
              <w:spacing w:line="240" w:lineRule="auto"/>
              <w:ind w:left="0" w:firstLine="0" w:firstLineChars="0"/>
              <w:jc w:val="center"/>
              <w:textAlignment w:val="auto"/>
              <w:rPr>
                <w:rFonts w:hint="eastAsia"/>
                <w:color w:val="000000"/>
                <w:sz w:val="21"/>
                <w:szCs w:val="21"/>
              </w:rPr>
            </w:pPr>
          </w:p>
        </w:tc>
        <w:tc>
          <w:tcPr>
            <w:tcW w:w="2625" w:type="dxa"/>
            <w:noWrap w:val="0"/>
            <w:vAlign w:val="center"/>
          </w:tcPr>
          <w:p w14:paraId="24249C8D">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textAlignment w:val="auto"/>
              <w:rPr>
                <w:rFonts w:hint="eastAsia"/>
                <w:color w:val="000000"/>
                <w:sz w:val="21"/>
                <w:szCs w:val="21"/>
              </w:rPr>
            </w:pPr>
            <w:r>
              <w:rPr>
                <w:rFonts w:hint="eastAsia"/>
                <w:color w:val="000000"/>
                <w:sz w:val="21"/>
                <w:szCs w:val="21"/>
              </w:rPr>
              <w:t>特种设备使用单位应当在特种设备投入使用前或者投入使用后三十日内，向负责特种设备安全监督管理的部门办理使用登记，取得使用登记证书。登记标志应当置于该特种设备的显著位置。</w:t>
            </w:r>
          </w:p>
        </w:tc>
        <w:tc>
          <w:tcPr>
            <w:tcW w:w="2536" w:type="dxa"/>
            <w:noWrap w:val="0"/>
            <w:vAlign w:val="center"/>
          </w:tcPr>
          <w:p w14:paraId="5CB61357">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bCs/>
                <w:color w:val="000000"/>
                <w:sz w:val="21"/>
                <w:szCs w:val="21"/>
              </w:rPr>
            </w:pPr>
            <w:r>
              <w:rPr>
                <w:rFonts w:hint="eastAsia"/>
                <w:color w:val="000000"/>
                <w:sz w:val="21"/>
                <w:szCs w:val="21"/>
              </w:rPr>
              <w:t>《</w:t>
            </w:r>
            <w:r>
              <w:rPr>
                <w:rFonts w:hint="eastAsia"/>
                <w:bCs/>
                <w:color w:val="000000"/>
                <w:sz w:val="21"/>
                <w:szCs w:val="21"/>
              </w:rPr>
              <w:t>中华人民共和国特种设备安全法》（中华人民共和国主席令第4号）</w:t>
            </w:r>
          </w:p>
          <w:p w14:paraId="63C4B6B4">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color w:val="000000"/>
                <w:sz w:val="21"/>
                <w:szCs w:val="21"/>
              </w:rPr>
            </w:pPr>
            <w:r>
              <w:rPr>
                <w:rFonts w:hint="eastAsia"/>
                <w:color w:val="000000"/>
                <w:sz w:val="21"/>
                <w:szCs w:val="21"/>
              </w:rPr>
              <w:t>第三十三条</w:t>
            </w:r>
          </w:p>
          <w:p w14:paraId="58E2BD9C">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color w:val="000000"/>
                <w:sz w:val="21"/>
                <w:szCs w:val="21"/>
              </w:rPr>
            </w:pPr>
            <w:r>
              <w:rPr>
                <w:rFonts w:hint="eastAsia"/>
                <w:color w:val="000000"/>
                <w:sz w:val="21"/>
                <w:szCs w:val="21"/>
              </w:rPr>
              <w:t>《特种设备安全监察条例》（国务院令第549号）第二十五条</w:t>
            </w:r>
          </w:p>
        </w:tc>
        <w:tc>
          <w:tcPr>
            <w:tcW w:w="2493" w:type="dxa"/>
            <w:noWrap w:val="0"/>
            <w:vAlign w:val="center"/>
          </w:tcPr>
          <w:p w14:paraId="6AB40782">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textAlignment w:val="auto"/>
              <w:rPr>
                <w:rFonts w:hint="eastAsia"/>
                <w:color w:val="000000"/>
                <w:sz w:val="21"/>
                <w:szCs w:val="21"/>
              </w:rPr>
            </w:pPr>
            <w:r>
              <w:rPr>
                <w:rFonts w:hint="eastAsia"/>
                <w:color w:val="000000"/>
                <w:sz w:val="21"/>
                <w:szCs w:val="21"/>
              </w:rPr>
              <w:t>压力管道已经安装监督检验合格，正在办理使用登记证。</w:t>
            </w:r>
          </w:p>
        </w:tc>
        <w:tc>
          <w:tcPr>
            <w:tcW w:w="709" w:type="dxa"/>
            <w:noWrap w:val="0"/>
            <w:vAlign w:val="center"/>
          </w:tcPr>
          <w:p w14:paraId="4C9E111E">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color w:val="000000"/>
                <w:sz w:val="21"/>
                <w:szCs w:val="21"/>
              </w:rPr>
            </w:pPr>
            <w:r>
              <w:rPr>
                <w:rFonts w:hint="eastAsia"/>
                <w:color w:val="000000"/>
                <w:sz w:val="21"/>
                <w:szCs w:val="21"/>
              </w:rPr>
              <w:t>需完善</w:t>
            </w:r>
          </w:p>
        </w:tc>
      </w:tr>
      <w:tr w14:paraId="245A6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50" w:type="dxa"/>
            <w:noWrap w:val="0"/>
            <w:vAlign w:val="center"/>
          </w:tcPr>
          <w:p w14:paraId="44A700BF">
            <w:pPr>
              <w:keepNext w:val="0"/>
              <w:keepLines w:val="0"/>
              <w:pageBreakBefore w:val="0"/>
              <w:widowControl w:val="0"/>
              <w:numPr>
                <w:ilvl w:val="0"/>
                <w:numId w:val="44"/>
              </w:numPr>
              <w:tabs>
                <w:tab w:val="left" w:pos="189"/>
              </w:tabs>
              <w:kinsoku/>
              <w:wordWrap/>
              <w:overflowPunct/>
              <w:topLinePunct w:val="0"/>
              <w:autoSpaceDE/>
              <w:autoSpaceDN/>
              <w:bidi w:val="0"/>
              <w:adjustRightInd/>
              <w:snapToGrid w:val="0"/>
              <w:spacing w:line="240" w:lineRule="auto"/>
              <w:ind w:left="0" w:firstLine="0" w:firstLineChars="0"/>
              <w:jc w:val="center"/>
              <w:textAlignment w:val="auto"/>
              <w:rPr>
                <w:rFonts w:hint="eastAsia"/>
                <w:color w:val="000000"/>
                <w:sz w:val="21"/>
                <w:szCs w:val="21"/>
              </w:rPr>
            </w:pPr>
          </w:p>
        </w:tc>
        <w:tc>
          <w:tcPr>
            <w:tcW w:w="2625" w:type="dxa"/>
            <w:noWrap w:val="0"/>
            <w:vAlign w:val="center"/>
          </w:tcPr>
          <w:p w14:paraId="4FF843C6">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textAlignment w:val="auto"/>
              <w:rPr>
                <w:rFonts w:hint="eastAsia"/>
                <w:color w:val="000000"/>
                <w:sz w:val="21"/>
                <w:szCs w:val="21"/>
              </w:rPr>
            </w:pPr>
            <w:r>
              <w:rPr>
                <w:rFonts w:hint="eastAsia"/>
                <w:color w:val="000000"/>
                <w:sz w:val="21"/>
                <w:szCs w:val="21"/>
              </w:rPr>
              <w:t>特种设备使用单位应当建立岗位责任、隐患治理、应急救援等安全管理制度，制定操作规程，保证特种设备安全运行。</w:t>
            </w:r>
          </w:p>
        </w:tc>
        <w:tc>
          <w:tcPr>
            <w:tcW w:w="2536" w:type="dxa"/>
            <w:noWrap w:val="0"/>
            <w:vAlign w:val="center"/>
          </w:tcPr>
          <w:p w14:paraId="59A86962">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bCs/>
                <w:color w:val="000000"/>
                <w:sz w:val="21"/>
                <w:szCs w:val="21"/>
              </w:rPr>
            </w:pPr>
            <w:r>
              <w:rPr>
                <w:rFonts w:hint="eastAsia"/>
                <w:color w:val="000000"/>
                <w:sz w:val="21"/>
                <w:szCs w:val="21"/>
              </w:rPr>
              <w:t>《</w:t>
            </w:r>
            <w:r>
              <w:rPr>
                <w:rFonts w:hint="eastAsia"/>
                <w:bCs/>
                <w:color w:val="000000"/>
                <w:sz w:val="21"/>
                <w:szCs w:val="21"/>
              </w:rPr>
              <w:t>中华人民共和国特种设备安全法》（中华人民共和国主席令第4号）</w:t>
            </w:r>
          </w:p>
          <w:p w14:paraId="3DA51EBF">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color w:val="000000"/>
                <w:sz w:val="21"/>
                <w:szCs w:val="21"/>
              </w:rPr>
            </w:pPr>
            <w:r>
              <w:rPr>
                <w:rFonts w:hint="eastAsia"/>
                <w:color w:val="000000"/>
                <w:sz w:val="21"/>
                <w:szCs w:val="21"/>
              </w:rPr>
              <w:t>第三十四条</w:t>
            </w:r>
          </w:p>
        </w:tc>
        <w:tc>
          <w:tcPr>
            <w:tcW w:w="2493" w:type="dxa"/>
            <w:noWrap w:val="0"/>
            <w:vAlign w:val="center"/>
          </w:tcPr>
          <w:p w14:paraId="32EA65A3">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textAlignment w:val="auto"/>
              <w:rPr>
                <w:rFonts w:hint="eastAsia"/>
                <w:color w:val="000000"/>
                <w:sz w:val="21"/>
                <w:szCs w:val="21"/>
              </w:rPr>
            </w:pPr>
            <w:r>
              <w:rPr>
                <w:rFonts w:hint="eastAsia"/>
                <w:color w:val="000000"/>
                <w:sz w:val="21"/>
                <w:szCs w:val="21"/>
              </w:rPr>
              <w:t>该公司已建立了全员安全生产责任制、风险隐患排查治理管理办法，该公司已编制了应急预案，制定了操作规程，特种设备试生产期间运行正常。</w:t>
            </w:r>
          </w:p>
        </w:tc>
        <w:tc>
          <w:tcPr>
            <w:tcW w:w="709" w:type="dxa"/>
            <w:noWrap w:val="0"/>
            <w:vAlign w:val="center"/>
          </w:tcPr>
          <w:p w14:paraId="2E89462F">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color w:val="000000"/>
                <w:sz w:val="21"/>
                <w:szCs w:val="21"/>
              </w:rPr>
            </w:pPr>
            <w:r>
              <w:rPr>
                <w:rFonts w:hint="eastAsia"/>
                <w:color w:val="000000"/>
                <w:sz w:val="21"/>
                <w:szCs w:val="21"/>
              </w:rPr>
              <w:t>符合</w:t>
            </w:r>
          </w:p>
        </w:tc>
      </w:tr>
      <w:tr w14:paraId="28923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350" w:type="dxa"/>
            <w:noWrap w:val="0"/>
            <w:vAlign w:val="center"/>
          </w:tcPr>
          <w:p w14:paraId="667BA476">
            <w:pPr>
              <w:keepNext w:val="0"/>
              <w:keepLines w:val="0"/>
              <w:pageBreakBefore w:val="0"/>
              <w:widowControl w:val="0"/>
              <w:numPr>
                <w:ilvl w:val="0"/>
                <w:numId w:val="44"/>
              </w:numPr>
              <w:tabs>
                <w:tab w:val="left" w:pos="189"/>
              </w:tabs>
              <w:kinsoku/>
              <w:wordWrap/>
              <w:overflowPunct/>
              <w:topLinePunct w:val="0"/>
              <w:autoSpaceDE/>
              <w:autoSpaceDN/>
              <w:bidi w:val="0"/>
              <w:adjustRightInd/>
              <w:snapToGrid w:val="0"/>
              <w:spacing w:line="240" w:lineRule="auto"/>
              <w:ind w:left="0" w:firstLine="0" w:firstLineChars="0"/>
              <w:jc w:val="center"/>
              <w:textAlignment w:val="auto"/>
              <w:rPr>
                <w:rFonts w:hint="eastAsia"/>
                <w:color w:val="000000"/>
                <w:sz w:val="21"/>
                <w:szCs w:val="21"/>
              </w:rPr>
            </w:pPr>
          </w:p>
        </w:tc>
        <w:tc>
          <w:tcPr>
            <w:tcW w:w="2625" w:type="dxa"/>
            <w:noWrap w:val="0"/>
            <w:vAlign w:val="center"/>
          </w:tcPr>
          <w:p w14:paraId="069FE5F9">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textAlignment w:val="auto"/>
              <w:rPr>
                <w:rFonts w:hint="eastAsia"/>
                <w:color w:val="000000"/>
                <w:sz w:val="21"/>
                <w:szCs w:val="21"/>
              </w:rPr>
            </w:pPr>
            <w:r>
              <w:rPr>
                <w:rFonts w:hint="eastAsia"/>
                <w:color w:val="000000"/>
                <w:sz w:val="21"/>
                <w:szCs w:val="21"/>
              </w:rPr>
              <w:t>特种设备使用单位应当建立特种设备安全技术档案。</w:t>
            </w:r>
          </w:p>
        </w:tc>
        <w:tc>
          <w:tcPr>
            <w:tcW w:w="2536" w:type="dxa"/>
            <w:noWrap w:val="0"/>
            <w:vAlign w:val="center"/>
          </w:tcPr>
          <w:p w14:paraId="77B20686">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bCs/>
                <w:color w:val="000000"/>
                <w:sz w:val="21"/>
                <w:szCs w:val="21"/>
              </w:rPr>
            </w:pPr>
            <w:r>
              <w:rPr>
                <w:rFonts w:hint="eastAsia"/>
                <w:color w:val="000000"/>
                <w:sz w:val="21"/>
                <w:szCs w:val="21"/>
              </w:rPr>
              <w:t>《</w:t>
            </w:r>
            <w:r>
              <w:rPr>
                <w:rFonts w:hint="eastAsia"/>
                <w:bCs/>
                <w:color w:val="000000"/>
                <w:sz w:val="21"/>
                <w:szCs w:val="21"/>
              </w:rPr>
              <w:t>中华人民共和国特种设备安全法》（中华人民共和国主席令第4号）</w:t>
            </w:r>
          </w:p>
          <w:p w14:paraId="7DFC8455">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color w:val="000000"/>
                <w:sz w:val="21"/>
                <w:szCs w:val="21"/>
              </w:rPr>
            </w:pPr>
            <w:r>
              <w:rPr>
                <w:rFonts w:hint="eastAsia"/>
                <w:color w:val="000000"/>
                <w:sz w:val="21"/>
                <w:szCs w:val="21"/>
              </w:rPr>
              <w:t>第三十五条</w:t>
            </w:r>
          </w:p>
          <w:p w14:paraId="43AB9303">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color w:val="000000"/>
                <w:sz w:val="21"/>
                <w:szCs w:val="21"/>
              </w:rPr>
            </w:pPr>
            <w:r>
              <w:rPr>
                <w:rFonts w:hint="eastAsia"/>
                <w:color w:val="000000"/>
                <w:sz w:val="21"/>
                <w:szCs w:val="21"/>
              </w:rPr>
              <w:t>《特种设备安全监察条例》（国务院令第549号）第二十六条</w:t>
            </w:r>
          </w:p>
        </w:tc>
        <w:tc>
          <w:tcPr>
            <w:tcW w:w="2493" w:type="dxa"/>
            <w:noWrap w:val="0"/>
            <w:vAlign w:val="center"/>
          </w:tcPr>
          <w:p w14:paraId="3DA9FB05">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textAlignment w:val="auto"/>
              <w:rPr>
                <w:rFonts w:hint="eastAsia"/>
                <w:color w:val="000000"/>
                <w:sz w:val="21"/>
                <w:szCs w:val="21"/>
              </w:rPr>
            </w:pPr>
            <w:r>
              <w:rPr>
                <w:rFonts w:hint="eastAsia"/>
                <w:color w:val="000000"/>
                <w:sz w:val="21"/>
                <w:szCs w:val="21"/>
              </w:rPr>
              <w:t>该公司已建立了特种设备安全技术档案。</w:t>
            </w:r>
          </w:p>
        </w:tc>
        <w:tc>
          <w:tcPr>
            <w:tcW w:w="709" w:type="dxa"/>
            <w:noWrap w:val="0"/>
            <w:vAlign w:val="center"/>
          </w:tcPr>
          <w:p w14:paraId="76918714">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color w:val="000000"/>
                <w:sz w:val="21"/>
                <w:szCs w:val="21"/>
              </w:rPr>
            </w:pPr>
            <w:r>
              <w:rPr>
                <w:rFonts w:hint="eastAsia"/>
                <w:color w:val="000000"/>
                <w:sz w:val="21"/>
                <w:szCs w:val="21"/>
              </w:rPr>
              <w:t>符合</w:t>
            </w:r>
          </w:p>
        </w:tc>
      </w:tr>
      <w:tr w14:paraId="33284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5" w:hRule="atLeast"/>
          <w:jc w:val="center"/>
        </w:trPr>
        <w:tc>
          <w:tcPr>
            <w:tcW w:w="350" w:type="dxa"/>
            <w:noWrap w:val="0"/>
            <w:vAlign w:val="center"/>
          </w:tcPr>
          <w:p w14:paraId="1719938F">
            <w:pPr>
              <w:keepNext w:val="0"/>
              <w:keepLines w:val="0"/>
              <w:pageBreakBefore w:val="0"/>
              <w:widowControl w:val="0"/>
              <w:numPr>
                <w:ilvl w:val="0"/>
                <w:numId w:val="44"/>
              </w:numPr>
              <w:tabs>
                <w:tab w:val="left" w:pos="189"/>
              </w:tabs>
              <w:kinsoku/>
              <w:wordWrap/>
              <w:overflowPunct/>
              <w:topLinePunct w:val="0"/>
              <w:autoSpaceDE/>
              <w:autoSpaceDN/>
              <w:bidi w:val="0"/>
              <w:adjustRightInd/>
              <w:snapToGrid w:val="0"/>
              <w:spacing w:line="240" w:lineRule="auto"/>
              <w:ind w:left="0" w:firstLine="0" w:firstLineChars="0"/>
              <w:jc w:val="center"/>
              <w:textAlignment w:val="auto"/>
              <w:rPr>
                <w:rFonts w:hint="eastAsia"/>
                <w:color w:val="000000"/>
                <w:sz w:val="21"/>
                <w:szCs w:val="21"/>
              </w:rPr>
            </w:pPr>
          </w:p>
        </w:tc>
        <w:tc>
          <w:tcPr>
            <w:tcW w:w="2625" w:type="dxa"/>
            <w:noWrap w:val="0"/>
            <w:vAlign w:val="center"/>
          </w:tcPr>
          <w:p w14:paraId="7180F91F">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textAlignment w:val="auto"/>
              <w:rPr>
                <w:rFonts w:hint="eastAsia"/>
                <w:color w:val="000000"/>
                <w:sz w:val="21"/>
                <w:szCs w:val="21"/>
              </w:rPr>
            </w:pPr>
            <w:r>
              <w:rPr>
                <w:rFonts w:hint="eastAsia"/>
                <w:color w:val="000000"/>
                <w:sz w:val="21"/>
                <w:szCs w:val="21"/>
              </w:rPr>
              <w:t>特种设备使用单位应当对其使用的特种设备进行经常性维护保养和定期自行检查，并作出记录。</w:t>
            </w:r>
          </w:p>
          <w:p w14:paraId="0DA39F28">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textAlignment w:val="auto"/>
              <w:rPr>
                <w:rFonts w:hint="eastAsia"/>
                <w:color w:val="000000"/>
                <w:sz w:val="21"/>
                <w:szCs w:val="21"/>
              </w:rPr>
            </w:pPr>
            <w:r>
              <w:rPr>
                <w:rFonts w:hint="eastAsia"/>
                <w:color w:val="000000"/>
                <w:sz w:val="21"/>
                <w:szCs w:val="21"/>
              </w:rPr>
              <w:t>特种设备使用单位应当对其使用的特种设备的安全附件、安全保护装置进行定期校验、检修，并作出记录。</w:t>
            </w:r>
          </w:p>
        </w:tc>
        <w:tc>
          <w:tcPr>
            <w:tcW w:w="2536" w:type="dxa"/>
            <w:noWrap w:val="0"/>
            <w:vAlign w:val="center"/>
          </w:tcPr>
          <w:p w14:paraId="46C27C84">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bCs/>
                <w:color w:val="000000"/>
                <w:sz w:val="21"/>
                <w:szCs w:val="21"/>
              </w:rPr>
            </w:pPr>
            <w:r>
              <w:rPr>
                <w:rFonts w:hint="eastAsia"/>
                <w:color w:val="000000"/>
                <w:sz w:val="21"/>
                <w:szCs w:val="21"/>
              </w:rPr>
              <w:t>《</w:t>
            </w:r>
            <w:r>
              <w:rPr>
                <w:rFonts w:hint="eastAsia"/>
                <w:bCs/>
                <w:color w:val="000000"/>
                <w:sz w:val="21"/>
                <w:szCs w:val="21"/>
              </w:rPr>
              <w:t>中华人民共和国特种设备安全法》（中华人民共和国主席令第4号）</w:t>
            </w:r>
          </w:p>
          <w:p w14:paraId="0839BC10">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color w:val="000000"/>
                <w:sz w:val="21"/>
                <w:szCs w:val="21"/>
              </w:rPr>
            </w:pPr>
            <w:r>
              <w:rPr>
                <w:rFonts w:hint="eastAsia"/>
                <w:color w:val="000000"/>
                <w:sz w:val="21"/>
                <w:szCs w:val="21"/>
              </w:rPr>
              <w:t>第三十九条</w:t>
            </w:r>
          </w:p>
          <w:p w14:paraId="2AB77B2C">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color w:val="000000"/>
                <w:sz w:val="21"/>
                <w:szCs w:val="21"/>
              </w:rPr>
            </w:pPr>
            <w:r>
              <w:rPr>
                <w:rFonts w:hint="eastAsia"/>
                <w:color w:val="000000"/>
                <w:sz w:val="21"/>
                <w:szCs w:val="21"/>
              </w:rPr>
              <w:t>《特种设备安全监察条例》（国务院令第549号）第二十七条</w:t>
            </w:r>
          </w:p>
        </w:tc>
        <w:tc>
          <w:tcPr>
            <w:tcW w:w="2493" w:type="dxa"/>
            <w:noWrap w:val="0"/>
            <w:vAlign w:val="center"/>
          </w:tcPr>
          <w:p w14:paraId="6BC37314">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textAlignment w:val="auto"/>
              <w:rPr>
                <w:rFonts w:hint="eastAsia"/>
                <w:color w:val="000000"/>
                <w:sz w:val="21"/>
                <w:szCs w:val="21"/>
              </w:rPr>
            </w:pPr>
            <w:r>
              <w:rPr>
                <w:rFonts w:hint="eastAsia"/>
                <w:color w:val="000000"/>
                <w:sz w:val="21"/>
                <w:szCs w:val="21"/>
              </w:rPr>
              <w:t>该公司对其使用的特种设备能进行经常性维护保养和定期自行检查，并作记录；对其使用的特种设备的安全附件、安全保护装置进行定期校验、检修，并作记录。</w:t>
            </w:r>
          </w:p>
        </w:tc>
        <w:tc>
          <w:tcPr>
            <w:tcW w:w="709" w:type="dxa"/>
            <w:noWrap w:val="0"/>
            <w:vAlign w:val="center"/>
          </w:tcPr>
          <w:p w14:paraId="52FD5432">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color w:val="000000"/>
                <w:sz w:val="21"/>
                <w:szCs w:val="21"/>
              </w:rPr>
            </w:pPr>
            <w:r>
              <w:rPr>
                <w:rFonts w:hint="eastAsia"/>
                <w:color w:val="000000"/>
                <w:sz w:val="21"/>
                <w:szCs w:val="21"/>
              </w:rPr>
              <w:t>符合</w:t>
            </w:r>
          </w:p>
        </w:tc>
      </w:tr>
      <w:tr w14:paraId="54CFB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5" w:hRule="atLeast"/>
          <w:jc w:val="center"/>
        </w:trPr>
        <w:tc>
          <w:tcPr>
            <w:tcW w:w="350" w:type="dxa"/>
            <w:noWrap w:val="0"/>
            <w:vAlign w:val="center"/>
          </w:tcPr>
          <w:p w14:paraId="510DEE33">
            <w:pPr>
              <w:keepNext w:val="0"/>
              <w:keepLines w:val="0"/>
              <w:pageBreakBefore w:val="0"/>
              <w:widowControl w:val="0"/>
              <w:numPr>
                <w:ilvl w:val="0"/>
                <w:numId w:val="44"/>
              </w:numPr>
              <w:tabs>
                <w:tab w:val="left" w:pos="189"/>
              </w:tabs>
              <w:kinsoku/>
              <w:wordWrap/>
              <w:overflowPunct/>
              <w:topLinePunct w:val="0"/>
              <w:autoSpaceDE/>
              <w:autoSpaceDN/>
              <w:bidi w:val="0"/>
              <w:adjustRightInd/>
              <w:snapToGrid w:val="0"/>
              <w:spacing w:line="240" w:lineRule="auto"/>
              <w:ind w:left="0" w:firstLine="0" w:firstLineChars="0"/>
              <w:jc w:val="center"/>
              <w:textAlignment w:val="auto"/>
              <w:rPr>
                <w:rFonts w:hint="eastAsia"/>
                <w:color w:val="000000"/>
                <w:sz w:val="21"/>
                <w:szCs w:val="21"/>
              </w:rPr>
            </w:pPr>
          </w:p>
        </w:tc>
        <w:tc>
          <w:tcPr>
            <w:tcW w:w="2625" w:type="dxa"/>
            <w:noWrap w:val="0"/>
            <w:vAlign w:val="center"/>
          </w:tcPr>
          <w:p w14:paraId="05025CAE">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textAlignment w:val="auto"/>
              <w:rPr>
                <w:rFonts w:hint="eastAsia"/>
                <w:color w:val="000000"/>
                <w:sz w:val="21"/>
                <w:szCs w:val="21"/>
              </w:rPr>
            </w:pPr>
            <w:r>
              <w:rPr>
                <w:rFonts w:hint="eastAsia"/>
                <w:color w:val="000000"/>
                <w:sz w:val="21"/>
                <w:szCs w:val="21"/>
              </w:rPr>
              <w:t>特种设备安全管理人员应当对特种设备使用状况进行经常性检查，发现问题应当立即处理；情况紧急时，可以决定停止使用特种设备并及时报告本单位有关负责人。</w:t>
            </w:r>
          </w:p>
        </w:tc>
        <w:tc>
          <w:tcPr>
            <w:tcW w:w="2536" w:type="dxa"/>
            <w:noWrap w:val="0"/>
            <w:vAlign w:val="center"/>
          </w:tcPr>
          <w:p w14:paraId="7281BC8C">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bCs/>
                <w:color w:val="000000"/>
                <w:sz w:val="21"/>
                <w:szCs w:val="21"/>
              </w:rPr>
            </w:pPr>
            <w:r>
              <w:rPr>
                <w:rFonts w:hint="eastAsia"/>
                <w:color w:val="000000"/>
                <w:sz w:val="21"/>
                <w:szCs w:val="21"/>
              </w:rPr>
              <w:t>《</w:t>
            </w:r>
            <w:r>
              <w:rPr>
                <w:rFonts w:hint="eastAsia"/>
                <w:bCs/>
                <w:color w:val="000000"/>
                <w:sz w:val="21"/>
                <w:szCs w:val="21"/>
              </w:rPr>
              <w:t>中华人民共和国特种设备安全法》（中华人民共和国主席令第4号）</w:t>
            </w:r>
          </w:p>
          <w:p w14:paraId="7C04E0BC">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color w:val="000000"/>
                <w:sz w:val="21"/>
                <w:szCs w:val="21"/>
              </w:rPr>
            </w:pPr>
            <w:r>
              <w:rPr>
                <w:rFonts w:hint="eastAsia"/>
                <w:color w:val="000000"/>
                <w:sz w:val="21"/>
                <w:szCs w:val="21"/>
              </w:rPr>
              <w:t>第四十一条第一款</w:t>
            </w:r>
          </w:p>
          <w:p w14:paraId="64FA00F2">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color w:val="000000"/>
                <w:sz w:val="21"/>
                <w:szCs w:val="21"/>
              </w:rPr>
            </w:pPr>
            <w:r>
              <w:rPr>
                <w:rFonts w:hint="eastAsia"/>
                <w:color w:val="000000"/>
                <w:sz w:val="21"/>
                <w:szCs w:val="21"/>
              </w:rPr>
              <w:t>《特种设备安全监察条例》（国务院令第549号）第三十三条第二款</w:t>
            </w:r>
          </w:p>
        </w:tc>
        <w:tc>
          <w:tcPr>
            <w:tcW w:w="2493" w:type="dxa"/>
            <w:noWrap w:val="0"/>
            <w:vAlign w:val="center"/>
          </w:tcPr>
          <w:p w14:paraId="4DDC46C9">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textAlignment w:val="auto"/>
              <w:rPr>
                <w:rFonts w:hint="eastAsia"/>
                <w:color w:val="000000"/>
                <w:sz w:val="21"/>
                <w:szCs w:val="21"/>
              </w:rPr>
            </w:pPr>
            <w:r>
              <w:rPr>
                <w:rFonts w:hint="eastAsia"/>
                <w:color w:val="000000"/>
                <w:sz w:val="21"/>
                <w:szCs w:val="21"/>
              </w:rPr>
              <w:t>该公司特种设备安全管理人员能履行相关岗位职责。</w:t>
            </w:r>
          </w:p>
        </w:tc>
        <w:tc>
          <w:tcPr>
            <w:tcW w:w="709" w:type="dxa"/>
            <w:noWrap w:val="0"/>
            <w:vAlign w:val="center"/>
          </w:tcPr>
          <w:p w14:paraId="3EAE4A4B">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color w:val="000000"/>
                <w:sz w:val="21"/>
                <w:szCs w:val="21"/>
              </w:rPr>
            </w:pPr>
            <w:r>
              <w:rPr>
                <w:rFonts w:hint="eastAsia"/>
                <w:color w:val="000000"/>
                <w:sz w:val="21"/>
                <w:szCs w:val="21"/>
              </w:rPr>
              <w:t>符合</w:t>
            </w:r>
          </w:p>
        </w:tc>
      </w:tr>
      <w:tr w14:paraId="79F0A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50" w:type="dxa"/>
            <w:noWrap w:val="0"/>
            <w:vAlign w:val="center"/>
          </w:tcPr>
          <w:p w14:paraId="71BE8D74">
            <w:pPr>
              <w:keepNext w:val="0"/>
              <w:keepLines w:val="0"/>
              <w:pageBreakBefore w:val="0"/>
              <w:widowControl w:val="0"/>
              <w:numPr>
                <w:ilvl w:val="0"/>
                <w:numId w:val="44"/>
              </w:numPr>
              <w:tabs>
                <w:tab w:val="left" w:pos="189"/>
              </w:tabs>
              <w:kinsoku/>
              <w:wordWrap/>
              <w:overflowPunct/>
              <w:topLinePunct w:val="0"/>
              <w:autoSpaceDE/>
              <w:autoSpaceDN/>
              <w:bidi w:val="0"/>
              <w:adjustRightInd/>
              <w:snapToGrid w:val="0"/>
              <w:spacing w:line="240" w:lineRule="auto"/>
              <w:ind w:left="0" w:firstLine="0" w:firstLineChars="0"/>
              <w:jc w:val="center"/>
              <w:textAlignment w:val="auto"/>
              <w:rPr>
                <w:rFonts w:hint="eastAsia"/>
                <w:color w:val="000000"/>
                <w:sz w:val="21"/>
                <w:szCs w:val="21"/>
              </w:rPr>
            </w:pPr>
          </w:p>
        </w:tc>
        <w:tc>
          <w:tcPr>
            <w:tcW w:w="2625" w:type="dxa"/>
            <w:noWrap w:val="0"/>
            <w:vAlign w:val="center"/>
          </w:tcPr>
          <w:p w14:paraId="2586B970">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textAlignment w:val="auto"/>
              <w:rPr>
                <w:rFonts w:hint="eastAsia"/>
                <w:color w:val="000000"/>
                <w:sz w:val="21"/>
                <w:szCs w:val="21"/>
              </w:rPr>
            </w:pPr>
            <w:r>
              <w:rPr>
                <w:rFonts w:hint="eastAsia"/>
                <w:color w:val="000000"/>
                <w:sz w:val="21"/>
                <w:szCs w:val="21"/>
              </w:rPr>
              <w:t>特种设备出现故障或者发生异常情况，特种设备使用单位应当对其进行全面检查，消除事故隐患，方可继续使用。</w:t>
            </w:r>
          </w:p>
        </w:tc>
        <w:tc>
          <w:tcPr>
            <w:tcW w:w="2536" w:type="dxa"/>
            <w:noWrap w:val="0"/>
            <w:vAlign w:val="center"/>
          </w:tcPr>
          <w:p w14:paraId="2867166F">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bCs/>
                <w:color w:val="000000"/>
                <w:sz w:val="21"/>
                <w:szCs w:val="21"/>
              </w:rPr>
            </w:pPr>
            <w:r>
              <w:rPr>
                <w:rFonts w:hint="eastAsia"/>
                <w:color w:val="000000"/>
                <w:sz w:val="21"/>
                <w:szCs w:val="21"/>
              </w:rPr>
              <w:t>《</w:t>
            </w:r>
            <w:r>
              <w:rPr>
                <w:rFonts w:hint="eastAsia"/>
                <w:bCs/>
                <w:color w:val="000000"/>
                <w:sz w:val="21"/>
                <w:szCs w:val="21"/>
              </w:rPr>
              <w:t>中华人民共和国特种设备安全法》（中华人民共和国主席令第4号）</w:t>
            </w:r>
          </w:p>
          <w:p w14:paraId="279FA77D">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color w:val="000000"/>
                <w:sz w:val="21"/>
                <w:szCs w:val="21"/>
              </w:rPr>
            </w:pPr>
            <w:r>
              <w:rPr>
                <w:rFonts w:hint="eastAsia"/>
                <w:color w:val="000000"/>
                <w:sz w:val="21"/>
                <w:szCs w:val="21"/>
              </w:rPr>
              <w:t>第四十二条</w:t>
            </w:r>
          </w:p>
          <w:p w14:paraId="46D75D6D">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color w:val="000000"/>
                <w:sz w:val="21"/>
                <w:szCs w:val="21"/>
              </w:rPr>
            </w:pPr>
            <w:r>
              <w:rPr>
                <w:rFonts w:hint="eastAsia"/>
                <w:color w:val="000000"/>
                <w:sz w:val="21"/>
                <w:szCs w:val="21"/>
              </w:rPr>
              <w:t>《特种设备安全监察条例》（国务院令第549号）第二十九条第一款</w:t>
            </w:r>
          </w:p>
        </w:tc>
        <w:tc>
          <w:tcPr>
            <w:tcW w:w="2493" w:type="dxa"/>
            <w:noWrap w:val="0"/>
            <w:vAlign w:val="center"/>
          </w:tcPr>
          <w:p w14:paraId="784877F0">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textAlignment w:val="auto"/>
              <w:rPr>
                <w:rFonts w:hint="eastAsia"/>
                <w:color w:val="000000"/>
                <w:sz w:val="21"/>
                <w:szCs w:val="21"/>
              </w:rPr>
            </w:pPr>
            <w:r>
              <w:rPr>
                <w:rFonts w:hint="eastAsia"/>
                <w:color w:val="000000"/>
                <w:sz w:val="21"/>
                <w:szCs w:val="21"/>
              </w:rPr>
              <w:t>该公司已制定了相关安全管理制度，定期对特种设备进行安全检查与隐患排查。</w:t>
            </w:r>
          </w:p>
        </w:tc>
        <w:tc>
          <w:tcPr>
            <w:tcW w:w="709" w:type="dxa"/>
            <w:noWrap w:val="0"/>
            <w:vAlign w:val="center"/>
          </w:tcPr>
          <w:p w14:paraId="40942B4F">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color w:val="000000"/>
                <w:sz w:val="21"/>
                <w:szCs w:val="21"/>
              </w:rPr>
            </w:pPr>
            <w:r>
              <w:rPr>
                <w:rFonts w:hint="eastAsia"/>
                <w:color w:val="000000"/>
                <w:sz w:val="21"/>
                <w:szCs w:val="21"/>
              </w:rPr>
              <w:t>符合</w:t>
            </w:r>
          </w:p>
        </w:tc>
      </w:tr>
      <w:tr w14:paraId="6D420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50" w:type="dxa"/>
            <w:noWrap w:val="0"/>
            <w:vAlign w:val="center"/>
          </w:tcPr>
          <w:p w14:paraId="2E8A8861">
            <w:pPr>
              <w:keepNext w:val="0"/>
              <w:keepLines w:val="0"/>
              <w:pageBreakBefore w:val="0"/>
              <w:widowControl w:val="0"/>
              <w:numPr>
                <w:ilvl w:val="0"/>
                <w:numId w:val="44"/>
              </w:numPr>
              <w:tabs>
                <w:tab w:val="left" w:pos="189"/>
              </w:tabs>
              <w:kinsoku/>
              <w:wordWrap/>
              <w:overflowPunct/>
              <w:topLinePunct w:val="0"/>
              <w:autoSpaceDE/>
              <w:autoSpaceDN/>
              <w:bidi w:val="0"/>
              <w:adjustRightInd/>
              <w:snapToGrid w:val="0"/>
              <w:spacing w:line="240" w:lineRule="auto"/>
              <w:ind w:left="0" w:firstLine="0" w:firstLineChars="0"/>
              <w:jc w:val="center"/>
              <w:textAlignment w:val="auto"/>
              <w:rPr>
                <w:rFonts w:hint="eastAsia"/>
                <w:color w:val="000000"/>
                <w:sz w:val="21"/>
                <w:szCs w:val="21"/>
              </w:rPr>
            </w:pPr>
          </w:p>
        </w:tc>
        <w:tc>
          <w:tcPr>
            <w:tcW w:w="2625" w:type="dxa"/>
            <w:noWrap w:val="0"/>
            <w:vAlign w:val="top"/>
          </w:tcPr>
          <w:p w14:paraId="2274E1EC">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textAlignment w:val="auto"/>
              <w:rPr>
                <w:color w:val="000000"/>
                <w:sz w:val="21"/>
                <w:szCs w:val="21"/>
              </w:rPr>
            </w:pPr>
            <w:r>
              <w:rPr>
                <w:rFonts w:hint="eastAsia"/>
                <w:color w:val="000000"/>
                <w:sz w:val="21"/>
                <w:szCs w:val="21"/>
              </w:rPr>
              <w:t>锅炉、压力容器、电梯、起重机械、客运索道、大型游乐设施、场（厂）内专用机动车辆的作业人员及其相关管理人员（以下统称特种设备作业人员），应当按照国家有关规定经特种设备安全监督管理部门考核合格，取得国家统一格式的特种作业人员证书，方可从事相应的作业或者管理工作。</w:t>
            </w:r>
          </w:p>
        </w:tc>
        <w:tc>
          <w:tcPr>
            <w:tcW w:w="2536" w:type="dxa"/>
            <w:noWrap w:val="0"/>
            <w:vAlign w:val="center"/>
          </w:tcPr>
          <w:p w14:paraId="5DCA3BB1">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color w:val="000000"/>
                <w:sz w:val="21"/>
                <w:szCs w:val="21"/>
              </w:rPr>
            </w:pPr>
            <w:r>
              <w:rPr>
                <w:rFonts w:hint="eastAsia"/>
                <w:color w:val="000000"/>
                <w:sz w:val="21"/>
                <w:szCs w:val="21"/>
              </w:rPr>
              <w:t>《特种设备安全监察条例》（国务院令第549号）第三十八条</w:t>
            </w:r>
          </w:p>
        </w:tc>
        <w:tc>
          <w:tcPr>
            <w:tcW w:w="2493" w:type="dxa"/>
            <w:noWrap w:val="0"/>
            <w:vAlign w:val="center"/>
          </w:tcPr>
          <w:p w14:paraId="467A8BCB">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textAlignment w:val="auto"/>
              <w:rPr>
                <w:rFonts w:hint="eastAsia"/>
                <w:color w:val="000000"/>
                <w:sz w:val="21"/>
                <w:szCs w:val="21"/>
              </w:rPr>
            </w:pPr>
            <w:r>
              <w:rPr>
                <w:color w:val="000000"/>
                <w:sz w:val="21"/>
                <w:szCs w:val="21"/>
              </w:rPr>
              <w:t>该项目相关特种设备安全管理人员</w:t>
            </w:r>
            <w:r>
              <w:rPr>
                <w:rFonts w:hint="eastAsia"/>
                <w:color w:val="000000"/>
                <w:sz w:val="21"/>
                <w:szCs w:val="21"/>
              </w:rPr>
              <w:t>、</w:t>
            </w:r>
            <w:r>
              <w:rPr>
                <w:color w:val="000000"/>
                <w:sz w:val="21"/>
                <w:szCs w:val="21"/>
              </w:rPr>
              <w:t>特种设备作业人员均已取得特种设备作业资质</w:t>
            </w:r>
            <w:r>
              <w:rPr>
                <w:rFonts w:hint="eastAsia"/>
                <w:color w:val="000000"/>
                <w:sz w:val="21"/>
                <w:szCs w:val="21"/>
              </w:rPr>
              <w:t>。</w:t>
            </w:r>
          </w:p>
        </w:tc>
        <w:tc>
          <w:tcPr>
            <w:tcW w:w="709" w:type="dxa"/>
            <w:noWrap w:val="0"/>
            <w:vAlign w:val="center"/>
          </w:tcPr>
          <w:p w14:paraId="2A511B5C">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color w:val="000000"/>
                <w:sz w:val="21"/>
                <w:szCs w:val="21"/>
              </w:rPr>
            </w:pPr>
            <w:r>
              <w:rPr>
                <w:rFonts w:hint="eastAsia"/>
                <w:color w:val="000000"/>
                <w:sz w:val="21"/>
                <w:szCs w:val="21"/>
              </w:rPr>
              <w:t>符合</w:t>
            </w:r>
          </w:p>
        </w:tc>
      </w:tr>
      <w:tr w14:paraId="27044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50" w:type="dxa"/>
            <w:noWrap w:val="0"/>
            <w:vAlign w:val="center"/>
          </w:tcPr>
          <w:p w14:paraId="650C11E5">
            <w:pPr>
              <w:keepNext w:val="0"/>
              <w:keepLines w:val="0"/>
              <w:pageBreakBefore w:val="0"/>
              <w:widowControl w:val="0"/>
              <w:numPr>
                <w:ilvl w:val="0"/>
                <w:numId w:val="44"/>
              </w:numPr>
              <w:tabs>
                <w:tab w:val="left" w:pos="189"/>
              </w:tabs>
              <w:kinsoku/>
              <w:wordWrap/>
              <w:overflowPunct/>
              <w:topLinePunct w:val="0"/>
              <w:autoSpaceDE/>
              <w:autoSpaceDN/>
              <w:bidi w:val="0"/>
              <w:adjustRightInd/>
              <w:snapToGrid w:val="0"/>
              <w:spacing w:line="240" w:lineRule="auto"/>
              <w:ind w:left="0" w:firstLine="0" w:firstLineChars="0"/>
              <w:jc w:val="center"/>
              <w:textAlignment w:val="auto"/>
              <w:rPr>
                <w:rFonts w:hint="eastAsia"/>
                <w:color w:val="000000"/>
                <w:sz w:val="21"/>
                <w:szCs w:val="21"/>
              </w:rPr>
            </w:pPr>
          </w:p>
        </w:tc>
        <w:tc>
          <w:tcPr>
            <w:tcW w:w="2625" w:type="dxa"/>
            <w:noWrap w:val="0"/>
            <w:vAlign w:val="top"/>
          </w:tcPr>
          <w:p w14:paraId="205AB58C">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textAlignment w:val="auto"/>
              <w:rPr>
                <w:rFonts w:hint="eastAsia"/>
                <w:color w:val="000000"/>
                <w:sz w:val="21"/>
                <w:szCs w:val="21"/>
              </w:rPr>
            </w:pPr>
            <w:r>
              <w:rPr>
                <w:rFonts w:hint="eastAsia"/>
                <w:color w:val="000000"/>
                <w:sz w:val="21"/>
                <w:szCs w:val="21"/>
              </w:rPr>
              <w:t>特种设备使用单位应当对特种设备作业人员进行特种设备安全、节能教育和培训，保证特种设备作业人员具备必要的特种设备安全、节能知识。</w:t>
            </w:r>
          </w:p>
          <w:p w14:paraId="22EBDB84">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textAlignment w:val="auto"/>
              <w:rPr>
                <w:rFonts w:hint="eastAsia"/>
                <w:color w:val="000000"/>
                <w:sz w:val="21"/>
                <w:szCs w:val="21"/>
              </w:rPr>
            </w:pPr>
            <w:r>
              <w:rPr>
                <w:rFonts w:hint="eastAsia"/>
                <w:color w:val="000000"/>
                <w:sz w:val="21"/>
                <w:szCs w:val="21"/>
              </w:rPr>
              <w:t>特种设备作业人员在作业中应当严格执行特种设备的操作规程和有关的安全规章制度。</w:t>
            </w:r>
          </w:p>
        </w:tc>
        <w:tc>
          <w:tcPr>
            <w:tcW w:w="2536" w:type="dxa"/>
            <w:noWrap w:val="0"/>
            <w:vAlign w:val="center"/>
          </w:tcPr>
          <w:p w14:paraId="3EF5344A">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color w:val="000000"/>
                <w:sz w:val="21"/>
                <w:szCs w:val="21"/>
              </w:rPr>
            </w:pPr>
            <w:r>
              <w:rPr>
                <w:rFonts w:hint="eastAsia"/>
                <w:color w:val="000000"/>
                <w:sz w:val="21"/>
                <w:szCs w:val="21"/>
              </w:rPr>
              <w:t>《特种设备安全监察条例》（国务院令第549号）第三十九条</w:t>
            </w:r>
          </w:p>
        </w:tc>
        <w:tc>
          <w:tcPr>
            <w:tcW w:w="2493" w:type="dxa"/>
            <w:noWrap w:val="0"/>
            <w:vAlign w:val="center"/>
          </w:tcPr>
          <w:p w14:paraId="47B88D8F">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textAlignment w:val="auto"/>
              <w:rPr>
                <w:rFonts w:hint="eastAsia"/>
                <w:color w:val="000000"/>
                <w:sz w:val="21"/>
                <w:szCs w:val="21"/>
              </w:rPr>
            </w:pPr>
            <w:r>
              <w:rPr>
                <w:rFonts w:hint="eastAsia"/>
                <w:color w:val="000000"/>
                <w:sz w:val="21"/>
                <w:szCs w:val="21"/>
              </w:rPr>
              <w:t>该公司已制定了安全操作规程和有关的安全规章制度，已对特种设备作业人员进行特种设备安全、节能教育和培训，保证特种设备作业人员具备必要的特种设备安全、节能知识，并要求特种设备作业人员在作业中应当严格执行特种设备的操作规程和有关的安全规章制度。</w:t>
            </w:r>
          </w:p>
        </w:tc>
        <w:tc>
          <w:tcPr>
            <w:tcW w:w="709" w:type="dxa"/>
            <w:noWrap w:val="0"/>
            <w:vAlign w:val="center"/>
          </w:tcPr>
          <w:p w14:paraId="3BF8290B">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color w:val="000000"/>
                <w:sz w:val="21"/>
                <w:szCs w:val="21"/>
              </w:rPr>
            </w:pPr>
            <w:r>
              <w:rPr>
                <w:rFonts w:hint="eastAsia"/>
                <w:color w:val="000000"/>
                <w:sz w:val="21"/>
                <w:szCs w:val="21"/>
              </w:rPr>
              <w:t>符合</w:t>
            </w:r>
          </w:p>
        </w:tc>
      </w:tr>
    </w:tbl>
    <w:p w14:paraId="7CFE797A">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color w:val="000000"/>
          <w:sz w:val="28"/>
          <w:szCs w:val="28"/>
        </w:rPr>
      </w:pPr>
      <w:r>
        <w:rPr>
          <w:rFonts w:hint="eastAsia"/>
          <w:color w:val="000000"/>
          <w:sz w:val="28"/>
        </w:rPr>
        <w:t>由上述安全检查表的结果可知：该项目特种设备符合</w:t>
      </w:r>
      <w:r>
        <w:rPr>
          <w:rFonts w:hint="eastAsia" w:hAnsi="宋体"/>
          <w:snapToGrid w:val="0"/>
          <w:color w:val="000000"/>
          <w:kern w:val="0"/>
          <w:sz w:val="28"/>
          <w:szCs w:val="28"/>
        </w:rPr>
        <w:t>《</w:t>
      </w:r>
      <w:r>
        <w:rPr>
          <w:rFonts w:hint="eastAsia" w:hAnsi="宋体"/>
          <w:bCs/>
          <w:snapToGrid w:val="0"/>
          <w:color w:val="000000"/>
          <w:kern w:val="0"/>
          <w:sz w:val="28"/>
          <w:szCs w:val="28"/>
        </w:rPr>
        <w:t>中华人民共和国特种设备安全法》（中华人民共和国主席令第4号）</w:t>
      </w:r>
      <w:r>
        <w:rPr>
          <w:rFonts w:hint="eastAsia" w:hAnsi="宋体"/>
          <w:snapToGrid w:val="0"/>
          <w:color w:val="000000"/>
          <w:kern w:val="0"/>
          <w:sz w:val="28"/>
          <w:szCs w:val="28"/>
        </w:rPr>
        <w:t>、《特种设备安全监察条例》（国务院令第549号修订</w:t>
      </w:r>
      <w:r>
        <w:rPr>
          <w:rFonts w:hint="eastAsia" w:hAnsi="宋体"/>
          <w:bCs/>
          <w:snapToGrid w:val="0"/>
          <w:color w:val="000000"/>
          <w:kern w:val="0"/>
          <w:sz w:val="28"/>
          <w:szCs w:val="28"/>
        </w:rPr>
        <w:t>等法律、法规、部门规章、规程的要求。</w:t>
      </w:r>
    </w:p>
    <w:p w14:paraId="70EF73C8">
      <w:pPr>
        <w:pStyle w:val="5"/>
        <w:keepNext/>
        <w:keepLines/>
        <w:pageBreakBefore w:val="0"/>
        <w:widowControl w:val="0"/>
        <w:numPr>
          <w:ilvl w:val="2"/>
          <w:numId w:val="0"/>
        </w:numPr>
        <w:kinsoku/>
        <w:wordWrap/>
        <w:overflowPunct/>
        <w:topLinePunct w:val="0"/>
        <w:autoSpaceDE/>
        <w:autoSpaceDN/>
        <w:bidi w:val="0"/>
        <w:adjustRightInd/>
        <w:snapToGrid w:val="0"/>
        <w:spacing w:line="360" w:lineRule="auto"/>
        <w:ind w:leftChars="100"/>
        <w:textAlignment w:val="auto"/>
        <w:rPr>
          <w:rFonts w:hint="eastAsia" w:ascii="Times New Roman" w:hAnsi="Times New Roman" w:cs="Times New Roman"/>
          <w:snapToGrid w:val="0"/>
          <w:color w:val="000000"/>
          <w:kern w:val="0"/>
          <w:sz w:val="32"/>
          <w:lang w:val="en-US" w:eastAsia="zh-CN"/>
        </w:rPr>
      </w:pPr>
      <w:bookmarkStart w:id="1100" w:name="_Toc19720"/>
      <w:bookmarkStart w:id="1101" w:name="_Toc15620"/>
      <w:r>
        <w:rPr>
          <w:rFonts w:hint="eastAsia" w:ascii="Times New Roman" w:hAnsi="Times New Roman" w:cs="Times New Roman"/>
          <w:snapToGrid w:val="0"/>
          <w:color w:val="000000"/>
          <w:kern w:val="0"/>
          <w:sz w:val="32"/>
          <w:lang w:val="en-US" w:eastAsia="zh-CN"/>
        </w:rPr>
        <w:t>3.2.4安全设施分析评价</w:t>
      </w:r>
      <w:bookmarkEnd w:id="1100"/>
      <w:bookmarkEnd w:id="1101"/>
    </w:p>
    <w:p w14:paraId="6F86D80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60" w:lineRule="auto"/>
        <w:ind w:left="0" w:right="0" w:firstLine="560" w:firstLineChars="200"/>
        <w:jc w:val="both"/>
        <w:textAlignment w:val="auto"/>
        <w:outlineLvl w:val="9"/>
        <w:rPr>
          <w:rFonts w:hint="eastAsia" w:ascii="宋体" w:hAnsi="Times New Roman" w:eastAsia="宋体" w:cs="宋体"/>
          <w:b w:val="0"/>
          <w:bCs w:val="0"/>
          <w:color w:val="000000"/>
          <w:kern w:val="0"/>
          <w:sz w:val="28"/>
          <w:szCs w:val="20"/>
          <w:lang w:val="en-US" w:eastAsia="zh-CN" w:bidi="ar-SA"/>
        </w:rPr>
      </w:pPr>
      <w:bookmarkStart w:id="1102" w:name="_Toc10416"/>
      <w:r>
        <w:rPr>
          <w:rFonts w:hint="eastAsia" w:ascii="宋体" w:hAnsi="Times New Roman" w:eastAsia="宋体" w:cs="宋体"/>
          <w:b w:val="0"/>
          <w:bCs w:val="0"/>
          <w:color w:val="000000"/>
          <w:kern w:val="0"/>
          <w:sz w:val="28"/>
          <w:szCs w:val="20"/>
          <w:lang w:val="en-US" w:eastAsia="zh-CN" w:bidi="ar-SA"/>
        </w:rPr>
        <w:t>根据《化学品作业场所安全警示标志规范》（AQ 3047-2013）、《安全色和安全标志》（GB2894-2025）、《固定式钢梯及平台安全要求》（GB4053-2009）、《机械安全 防护装置 固定式和活动式防护装置的设计与制造一般要求》（GB/T8196-2018）等标准、规范要求，对该项目作业场所的常规防护设施进行安全评价分析，具体情况如下表所示。</w:t>
      </w:r>
      <w:bookmarkEnd w:id="1102"/>
    </w:p>
    <w:p w14:paraId="6CD2EC6A">
      <w:pPr>
        <w:numPr>
          <w:ilvl w:val="0"/>
          <w:numId w:val="0"/>
        </w:numPr>
        <w:spacing w:before="120" w:beforeLines="50"/>
        <w:jc w:val="center"/>
        <w:rPr>
          <w:rFonts w:hint="default" w:ascii="Times New Roman" w:hAnsi="Times New Roman" w:cs="Times New Roman"/>
          <w:b/>
          <w:bCs/>
          <w:color w:val="000000"/>
          <w:kern w:val="3"/>
          <w:sz w:val="24"/>
        </w:rPr>
      </w:pPr>
      <w:bookmarkStart w:id="1103" w:name="_Toc27110"/>
      <w:r>
        <w:rPr>
          <w:rFonts w:hint="eastAsia" w:ascii="Times New Roman" w:cs="Times New Roman"/>
          <w:b/>
          <w:bCs/>
          <w:color w:val="000000"/>
          <w:kern w:val="3"/>
          <w:sz w:val="24"/>
          <w:lang w:val="en-US" w:eastAsia="zh-CN"/>
        </w:rPr>
        <w:t>附表3.2-6</w:t>
      </w:r>
      <w:r>
        <w:rPr>
          <w:rFonts w:hint="default" w:ascii="Times New Roman" w:hAnsi="Times New Roman" w:cs="Times New Roman"/>
          <w:b/>
          <w:bCs/>
          <w:color w:val="000000"/>
          <w:kern w:val="3"/>
          <w:sz w:val="24"/>
        </w:rPr>
        <w:t>安全设施检查表</w:t>
      </w:r>
    </w:p>
    <w:tbl>
      <w:tblPr>
        <w:tblStyle w:val="80"/>
        <w:tblW w:w="49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3300"/>
        <w:gridCol w:w="2283"/>
        <w:gridCol w:w="2617"/>
        <w:gridCol w:w="702"/>
      </w:tblGrid>
      <w:tr w14:paraId="14FFE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noWrap w:val="0"/>
            <w:vAlign w:val="center"/>
          </w:tcPr>
          <w:p w14:paraId="6EF8E974">
            <w:pPr>
              <w:keepNext w:val="0"/>
              <w:keepLines w:val="0"/>
              <w:pageBreakBefore w:val="0"/>
              <w:widowControl w:val="0"/>
              <w:kinsoku/>
              <w:wordWrap/>
              <w:overflowPunct/>
              <w:topLinePunct w:val="0"/>
              <w:bidi w:val="0"/>
              <w:adjustRightInd/>
              <w:spacing w:line="240" w:lineRule="auto"/>
              <w:ind w:left="0"/>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序号</w:t>
            </w:r>
          </w:p>
        </w:tc>
        <w:tc>
          <w:tcPr>
            <w:tcW w:w="1769" w:type="pct"/>
            <w:noWrap w:val="0"/>
            <w:vAlign w:val="center"/>
          </w:tcPr>
          <w:p w14:paraId="1CD1C245">
            <w:pPr>
              <w:keepNext w:val="0"/>
              <w:keepLines w:val="0"/>
              <w:pageBreakBefore w:val="0"/>
              <w:widowControl w:val="0"/>
              <w:suppressAutoHyphens/>
              <w:kinsoku/>
              <w:wordWrap/>
              <w:overflowPunct/>
              <w:topLinePunct w:val="0"/>
              <w:bidi w:val="0"/>
              <w:adjustRightInd/>
              <w:spacing w:line="240" w:lineRule="auto"/>
              <w:ind w:left="0" w:firstLine="211" w:firstLineChars="100"/>
              <w:jc w:val="center"/>
              <w:textAlignment w:val="auto"/>
              <w:rPr>
                <w:rFonts w:hint="default" w:ascii="Times New Roman" w:hAnsi="Times New Roman" w:cs="Times New Roman"/>
                <w:b/>
                <w:snapToGrid w:val="0"/>
                <w:color w:val="000000" w:themeColor="text1"/>
                <w:sz w:val="21"/>
                <w:szCs w:val="21"/>
                <w14:textFill>
                  <w14:solidFill>
                    <w14:schemeClr w14:val="tx1"/>
                  </w14:solidFill>
                </w14:textFill>
              </w:rPr>
            </w:pPr>
            <w:r>
              <w:rPr>
                <w:rFonts w:hint="default" w:ascii="Times New Roman" w:hAnsi="Times New Roman" w:cs="Times New Roman"/>
                <w:b/>
                <w:snapToGrid w:val="0"/>
                <w:color w:val="000000" w:themeColor="text1"/>
                <w:sz w:val="21"/>
                <w:szCs w:val="21"/>
                <w14:textFill>
                  <w14:solidFill>
                    <w14:schemeClr w14:val="tx1"/>
                  </w14:solidFill>
                </w14:textFill>
              </w:rPr>
              <w:t>检查内容</w:t>
            </w:r>
          </w:p>
        </w:tc>
        <w:tc>
          <w:tcPr>
            <w:tcW w:w="1224" w:type="pct"/>
            <w:noWrap w:val="0"/>
            <w:vAlign w:val="center"/>
          </w:tcPr>
          <w:p w14:paraId="4208ACBC">
            <w:pPr>
              <w:keepNext w:val="0"/>
              <w:keepLines w:val="0"/>
              <w:pageBreakBefore w:val="0"/>
              <w:widowControl w:val="0"/>
              <w:suppressAutoHyphens/>
              <w:kinsoku/>
              <w:wordWrap/>
              <w:overflowPunct/>
              <w:topLinePunct w:val="0"/>
              <w:bidi w:val="0"/>
              <w:adjustRightInd/>
              <w:spacing w:line="240" w:lineRule="auto"/>
              <w:ind w:left="0"/>
              <w:jc w:val="center"/>
              <w:textAlignment w:val="auto"/>
              <w:rPr>
                <w:rFonts w:hint="default" w:ascii="Times New Roman" w:hAnsi="Times New Roman" w:cs="Times New Roman"/>
                <w:b/>
                <w:snapToGrid w:val="0"/>
                <w:color w:val="000000" w:themeColor="text1"/>
                <w:sz w:val="21"/>
                <w:szCs w:val="21"/>
                <w14:textFill>
                  <w14:solidFill>
                    <w14:schemeClr w14:val="tx1"/>
                  </w14:solidFill>
                </w14:textFill>
              </w:rPr>
            </w:pPr>
            <w:r>
              <w:rPr>
                <w:rFonts w:hint="default" w:ascii="Times New Roman" w:hAnsi="Times New Roman" w:cs="Times New Roman"/>
                <w:b/>
                <w:snapToGrid w:val="0"/>
                <w:color w:val="000000" w:themeColor="text1"/>
                <w:sz w:val="21"/>
                <w:szCs w:val="21"/>
                <w14:textFill>
                  <w14:solidFill>
                    <w14:schemeClr w14:val="tx1"/>
                  </w14:solidFill>
                </w14:textFill>
              </w:rPr>
              <w:t>检查依据</w:t>
            </w:r>
          </w:p>
        </w:tc>
        <w:tc>
          <w:tcPr>
            <w:tcW w:w="1403" w:type="pct"/>
            <w:noWrap w:val="0"/>
            <w:vAlign w:val="center"/>
          </w:tcPr>
          <w:p w14:paraId="5C13BF9D">
            <w:pPr>
              <w:keepNext w:val="0"/>
              <w:keepLines w:val="0"/>
              <w:pageBreakBefore w:val="0"/>
              <w:widowControl w:val="0"/>
              <w:suppressAutoHyphens/>
              <w:kinsoku/>
              <w:wordWrap/>
              <w:overflowPunct/>
              <w:topLinePunct w:val="0"/>
              <w:bidi w:val="0"/>
              <w:adjustRightInd/>
              <w:spacing w:line="240" w:lineRule="auto"/>
              <w:ind w:left="0"/>
              <w:jc w:val="center"/>
              <w:textAlignment w:val="auto"/>
              <w:rPr>
                <w:rFonts w:hint="default" w:ascii="Times New Roman" w:hAnsi="Times New Roman" w:cs="Times New Roman"/>
                <w:b/>
                <w:snapToGrid w:val="0"/>
                <w:color w:val="000000" w:themeColor="text1"/>
                <w:sz w:val="21"/>
                <w:szCs w:val="21"/>
                <w14:textFill>
                  <w14:solidFill>
                    <w14:schemeClr w14:val="tx1"/>
                  </w14:solidFill>
                </w14:textFill>
              </w:rPr>
            </w:pPr>
            <w:r>
              <w:rPr>
                <w:rFonts w:hint="default" w:ascii="Times New Roman" w:hAnsi="Times New Roman" w:cs="Times New Roman"/>
                <w:b/>
                <w:snapToGrid w:val="0"/>
                <w:color w:val="000000" w:themeColor="text1"/>
                <w:sz w:val="21"/>
                <w:szCs w:val="21"/>
                <w14:textFill>
                  <w14:solidFill>
                    <w14:schemeClr w14:val="tx1"/>
                  </w14:solidFill>
                </w14:textFill>
              </w:rPr>
              <w:t>检查情况</w:t>
            </w:r>
          </w:p>
        </w:tc>
        <w:tc>
          <w:tcPr>
            <w:tcW w:w="374" w:type="pct"/>
            <w:noWrap w:val="0"/>
            <w:vAlign w:val="center"/>
          </w:tcPr>
          <w:p w14:paraId="0A847CA3">
            <w:pPr>
              <w:keepNext w:val="0"/>
              <w:keepLines w:val="0"/>
              <w:pageBreakBefore w:val="0"/>
              <w:widowControl w:val="0"/>
              <w:suppressAutoHyphens/>
              <w:kinsoku/>
              <w:wordWrap/>
              <w:overflowPunct/>
              <w:topLinePunct w:val="0"/>
              <w:bidi w:val="0"/>
              <w:adjustRightInd/>
              <w:spacing w:line="240" w:lineRule="auto"/>
              <w:ind w:left="0"/>
              <w:jc w:val="center"/>
              <w:textAlignment w:val="auto"/>
              <w:rPr>
                <w:rFonts w:hint="default" w:ascii="Times New Roman" w:hAnsi="Times New Roman" w:cs="Times New Roman"/>
                <w:b/>
                <w:snapToGrid w:val="0"/>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检查结果</w:t>
            </w:r>
          </w:p>
        </w:tc>
      </w:tr>
      <w:tr w14:paraId="5E712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noWrap w:val="0"/>
            <w:vAlign w:val="center"/>
          </w:tcPr>
          <w:p w14:paraId="3A859E1A">
            <w:pPr>
              <w:keepNext w:val="0"/>
              <w:keepLines w:val="0"/>
              <w:pageBreakBefore w:val="0"/>
              <w:widowControl w:val="0"/>
              <w:kinsoku/>
              <w:wordWrap/>
              <w:overflowPunct/>
              <w:topLinePunct w:val="0"/>
              <w:bidi w:val="0"/>
              <w:adjustRightInd/>
              <w:spacing w:line="240" w:lineRule="auto"/>
              <w:ind w:lef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安全色与安全标志</w:t>
            </w:r>
          </w:p>
        </w:tc>
      </w:tr>
      <w:tr w14:paraId="3196D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noWrap w:val="0"/>
            <w:vAlign w:val="center"/>
          </w:tcPr>
          <w:p w14:paraId="754FBAFF">
            <w:pPr>
              <w:keepNext w:val="0"/>
              <w:keepLines w:val="0"/>
              <w:pageBreakBefore w:val="0"/>
              <w:widowControl w:val="0"/>
              <w:numPr>
                <w:ilvl w:val="0"/>
                <w:numId w:val="45"/>
              </w:numPr>
              <w:kinsoku/>
              <w:wordWrap/>
              <w:overflowPunct/>
              <w:topLinePunct w:val="0"/>
              <w:bidi w:val="0"/>
              <w:adjustRightInd/>
              <w:spacing w:line="240" w:lineRule="auto"/>
              <w:ind w:lef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1</w:t>
            </w:r>
          </w:p>
        </w:tc>
        <w:tc>
          <w:tcPr>
            <w:tcW w:w="1769" w:type="pct"/>
            <w:noWrap w:val="0"/>
            <w:vAlign w:val="center"/>
          </w:tcPr>
          <w:p w14:paraId="754DFBEC">
            <w:pPr>
              <w:keepNext w:val="0"/>
              <w:keepLines w:val="0"/>
              <w:pageBreakBefore w:val="0"/>
              <w:widowControl w:val="0"/>
              <w:kinsoku/>
              <w:wordWrap/>
              <w:overflowPunct/>
              <w:topLinePunct w:val="0"/>
              <w:bidi w:val="0"/>
              <w:adjustRightInd/>
              <w:spacing w:line="240" w:lineRule="auto"/>
              <w:ind w:lef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厂内设置的安全标识应符合标准</w:t>
            </w:r>
            <w:r>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《安全色和安全标志》（GB2894-2025）</w:t>
            </w:r>
            <w:r>
              <w:rPr>
                <w:rFonts w:hint="default" w:ascii="Times New Roman" w:hAnsi="Times New Roman" w:cs="Times New Roman"/>
                <w:color w:val="000000" w:themeColor="text1"/>
                <w:sz w:val="21"/>
                <w:szCs w:val="21"/>
                <w14:textFill>
                  <w14:solidFill>
                    <w14:schemeClr w14:val="tx1"/>
                  </w14:solidFill>
                </w14:textFill>
              </w:rPr>
              <w:t>相关要求。</w:t>
            </w:r>
          </w:p>
        </w:tc>
        <w:tc>
          <w:tcPr>
            <w:tcW w:w="1224" w:type="pct"/>
            <w:noWrap w:val="0"/>
            <w:vAlign w:val="center"/>
          </w:tcPr>
          <w:p w14:paraId="48E64433">
            <w:pPr>
              <w:keepNext w:val="0"/>
              <w:keepLines w:val="0"/>
              <w:pageBreakBefore w:val="0"/>
              <w:widowControl w:val="0"/>
              <w:kinsoku/>
              <w:wordWrap/>
              <w:overflowPunct/>
              <w:topLinePunct w:val="0"/>
              <w:bidi w:val="0"/>
              <w:adjustRightInd/>
              <w:spacing w:line="240" w:lineRule="auto"/>
              <w:ind w:left="0"/>
              <w:textAlignment w:val="auto"/>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《安全色和安全标志》（GB2894-2025）</w:t>
            </w:r>
          </w:p>
        </w:tc>
        <w:tc>
          <w:tcPr>
            <w:tcW w:w="1403" w:type="pct"/>
            <w:noWrap w:val="0"/>
            <w:vAlign w:val="center"/>
          </w:tcPr>
          <w:p w14:paraId="422DE5DF">
            <w:pPr>
              <w:keepNext w:val="0"/>
              <w:keepLines w:val="0"/>
              <w:pageBreakBefore w:val="0"/>
              <w:widowControl w:val="0"/>
              <w:kinsoku/>
              <w:wordWrap/>
              <w:overflowPunct/>
              <w:topLinePunct w:val="0"/>
              <w:bidi w:val="0"/>
              <w:adjustRightInd/>
              <w:spacing w:line="240" w:lineRule="auto"/>
              <w:ind w:left="0"/>
              <w:textAlignment w:val="auto"/>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lang w:eastAsia="zh-CN"/>
                <w14:textFill>
                  <w14:solidFill>
                    <w14:schemeClr w14:val="tx1"/>
                  </w14:solidFill>
                </w14:textFill>
              </w:rPr>
              <w:t>本</w:t>
            </w:r>
            <w: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t>项目可能存在危险的区域设置相应的安全警示标识。</w:t>
            </w:r>
          </w:p>
        </w:tc>
        <w:tc>
          <w:tcPr>
            <w:tcW w:w="374" w:type="pct"/>
            <w:noWrap w:val="0"/>
            <w:vAlign w:val="center"/>
          </w:tcPr>
          <w:p w14:paraId="7F4306D4">
            <w:pPr>
              <w:keepNext w:val="0"/>
              <w:keepLines w:val="0"/>
              <w:pageBreakBefore w:val="0"/>
              <w:widowControl w:val="0"/>
              <w:kinsoku/>
              <w:wordWrap/>
              <w:overflowPunct/>
              <w:topLinePunct w:val="0"/>
              <w:bidi w:val="0"/>
              <w:adjustRightInd/>
              <w:spacing w:line="240" w:lineRule="auto"/>
              <w:ind w:lef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14:paraId="37AD4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noWrap w:val="0"/>
            <w:vAlign w:val="center"/>
          </w:tcPr>
          <w:p w14:paraId="2D0C55E0">
            <w:pPr>
              <w:keepNext w:val="0"/>
              <w:keepLines w:val="0"/>
              <w:pageBreakBefore w:val="0"/>
              <w:widowControl w:val="0"/>
              <w:numPr>
                <w:ilvl w:val="0"/>
                <w:numId w:val="45"/>
              </w:numPr>
              <w:kinsoku/>
              <w:wordWrap/>
              <w:overflowPunct/>
              <w:topLinePunct w:val="0"/>
              <w:bidi w:val="0"/>
              <w:adjustRightInd/>
              <w:spacing w:line="240" w:lineRule="auto"/>
              <w:ind w:lef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2</w:t>
            </w:r>
          </w:p>
        </w:tc>
        <w:tc>
          <w:tcPr>
            <w:tcW w:w="1769" w:type="pct"/>
            <w:noWrap w:val="0"/>
            <w:vAlign w:val="center"/>
          </w:tcPr>
          <w:p w14:paraId="36D16D67">
            <w:pPr>
              <w:keepNext w:val="0"/>
              <w:keepLines w:val="0"/>
              <w:pageBreakBefore w:val="0"/>
              <w:widowControl w:val="0"/>
              <w:tabs>
                <w:tab w:val="left" w:pos="2898"/>
              </w:tabs>
              <w:kinsoku/>
              <w:wordWrap/>
              <w:overflowPunct/>
              <w:topLinePunct w:val="0"/>
              <w:bidi w:val="0"/>
              <w:adjustRightInd/>
              <w:spacing w:line="240" w:lineRule="auto"/>
              <w:ind w:lef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化学品作业场所安全警示标志应设在与安全有关的醒目处，并使进入作业场所的人员看见后，有足够的时间来注意它所表示的内容。</w:t>
            </w:r>
          </w:p>
        </w:tc>
        <w:tc>
          <w:tcPr>
            <w:tcW w:w="1224" w:type="pct"/>
            <w:noWrap w:val="0"/>
            <w:vAlign w:val="center"/>
          </w:tcPr>
          <w:p w14:paraId="6B40F342">
            <w:pPr>
              <w:keepNext w:val="0"/>
              <w:keepLines w:val="0"/>
              <w:pageBreakBefore w:val="0"/>
              <w:widowControl w:val="0"/>
              <w:kinsoku/>
              <w:wordWrap/>
              <w:overflowPunct/>
              <w:topLinePunct w:val="0"/>
              <w:bidi w:val="0"/>
              <w:adjustRightInd/>
              <w:spacing w:line="240" w:lineRule="auto"/>
              <w:ind w:left="0"/>
              <w:textAlignment w:val="auto"/>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t>《化学品作业场所安全警示标志规范》</w:t>
            </w:r>
          </w:p>
          <w:p w14:paraId="50C870ED">
            <w:pPr>
              <w:keepNext w:val="0"/>
              <w:keepLines w:val="0"/>
              <w:pageBreakBefore w:val="0"/>
              <w:widowControl w:val="0"/>
              <w:kinsoku/>
              <w:wordWrap/>
              <w:overflowPunct/>
              <w:topLinePunct w:val="0"/>
              <w:bidi w:val="0"/>
              <w:adjustRightInd/>
              <w:spacing w:line="240" w:lineRule="auto"/>
              <w:ind w:left="0"/>
              <w:textAlignment w:val="auto"/>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t>（AQ/T 3047-2013）</w:t>
            </w:r>
          </w:p>
          <w:p w14:paraId="101D6471">
            <w:pPr>
              <w:keepNext w:val="0"/>
              <w:keepLines w:val="0"/>
              <w:pageBreakBefore w:val="0"/>
              <w:widowControl w:val="0"/>
              <w:kinsoku/>
              <w:wordWrap/>
              <w:overflowPunct/>
              <w:topLinePunct w:val="0"/>
              <w:bidi w:val="0"/>
              <w:adjustRightInd/>
              <w:spacing w:line="240" w:lineRule="auto"/>
              <w:ind w:left="0"/>
              <w:textAlignment w:val="auto"/>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t>第5.4.1条</w:t>
            </w:r>
          </w:p>
        </w:tc>
        <w:tc>
          <w:tcPr>
            <w:tcW w:w="1403" w:type="pct"/>
            <w:noWrap w:val="0"/>
            <w:vAlign w:val="center"/>
          </w:tcPr>
          <w:p w14:paraId="3AF2A1A2">
            <w:pPr>
              <w:keepNext w:val="0"/>
              <w:keepLines w:val="0"/>
              <w:pageBreakBefore w:val="0"/>
              <w:widowControl w:val="0"/>
              <w:kinsoku/>
              <w:wordWrap/>
              <w:overflowPunct/>
              <w:topLinePunct w:val="0"/>
              <w:bidi w:val="0"/>
              <w:adjustRightInd/>
              <w:spacing w:line="240" w:lineRule="auto"/>
              <w:ind w:left="0"/>
              <w:textAlignment w:val="auto"/>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t>该项目已设置了</w:t>
            </w:r>
            <w:r>
              <w:rPr>
                <w:rFonts w:hint="eastAsia" w:ascii="Times New Roman" w:hAnsi="Times New Roman" w:eastAsia="宋体" w:cs="Times New Roman"/>
                <w:color w:val="000000" w:themeColor="text1"/>
                <w:sz w:val="21"/>
                <w:szCs w:val="21"/>
                <w:shd w:val="clear" w:color="auto" w:fill="FFFFFF"/>
                <w14:textFill>
                  <w14:solidFill>
                    <w14:schemeClr w14:val="tx1"/>
                  </w14:solidFill>
                </w14:textFill>
              </w:rPr>
              <w:t>相关</w:t>
            </w:r>
            <w: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t>安全标识</w:t>
            </w:r>
            <w:r>
              <w:rPr>
                <w:rFonts w:hint="eastAsia" w:ascii="Times New Roman" w:hAnsi="Times New Roman" w:eastAsia="宋体" w:cs="Times New Roman"/>
                <w:color w:val="000000" w:themeColor="text1"/>
                <w:sz w:val="21"/>
                <w:szCs w:val="21"/>
                <w:shd w:val="clear" w:color="auto" w:fill="FFFFFF"/>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t>安全告知牌。</w:t>
            </w:r>
          </w:p>
        </w:tc>
        <w:tc>
          <w:tcPr>
            <w:tcW w:w="374" w:type="pct"/>
            <w:noWrap w:val="0"/>
            <w:vAlign w:val="center"/>
          </w:tcPr>
          <w:p w14:paraId="7412309D">
            <w:pPr>
              <w:keepNext w:val="0"/>
              <w:keepLines w:val="0"/>
              <w:pageBreakBefore w:val="0"/>
              <w:widowControl w:val="0"/>
              <w:kinsoku/>
              <w:wordWrap/>
              <w:overflowPunct/>
              <w:topLinePunct w:val="0"/>
              <w:bidi w:val="0"/>
              <w:adjustRightInd/>
              <w:spacing w:line="240" w:lineRule="auto"/>
              <w:ind w:lef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14:paraId="5C385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bottom w:val="single" w:color="auto" w:sz="4" w:space="0"/>
            </w:tcBorders>
            <w:noWrap w:val="0"/>
            <w:vAlign w:val="center"/>
          </w:tcPr>
          <w:p w14:paraId="126DB271">
            <w:pPr>
              <w:keepNext w:val="0"/>
              <w:keepLines w:val="0"/>
              <w:pageBreakBefore w:val="0"/>
              <w:widowControl w:val="0"/>
              <w:kinsoku/>
              <w:wordWrap/>
              <w:overflowPunct/>
              <w:topLinePunct w:val="0"/>
              <w:bidi w:val="0"/>
              <w:adjustRightInd/>
              <w:spacing w:line="240" w:lineRule="auto"/>
              <w:ind w:lef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防护栏杆及钢平台</w:t>
            </w:r>
          </w:p>
        </w:tc>
      </w:tr>
      <w:tr w14:paraId="1A56F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noWrap w:val="0"/>
            <w:vAlign w:val="center"/>
          </w:tcPr>
          <w:p w14:paraId="54F18AE1">
            <w:pPr>
              <w:keepNext w:val="0"/>
              <w:keepLines w:val="0"/>
              <w:pageBreakBefore w:val="0"/>
              <w:widowControl w:val="0"/>
              <w:numPr>
                <w:ilvl w:val="0"/>
                <w:numId w:val="45"/>
              </w:numPr>
              <w:kinsoku/>
              <w:wordWrap/>
              <w:overflowPunct/>
              <w:topLinePunct w:val="0"/>
              <w:bidi w:val="0"/>
              <w:adjustRightInd/>
              <w:spacing w:line="240" w:lineRule="auto"/>
              <w:ind w:lef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769" w:type="pct"/>
            <w:noWrap w:val="0"/>
            <w:vAlign w:val="center"/>
          </w:tcPr>
          <w:p w14:paraId="7CC77BC5">
            <w:pPr>
              <w:keepNext w:val="0"/>
              <w:keepLines w:val="0"/>
              <w:pageBreakBefore w:val="0"/>
              <w:widowControl w:val="0"/>
              <w:tabs>
                <w:tab w:val="left" w:pos="2898"/>
              </w:tabs>
              <w:kinsoku/>
              <w:wordWrap/>
              <w:overflowPunct/>
              <w:topLinePunct w:val="0"/>
              <w:bidi w:val="0"/>
              <w:adjustRightInd/>
              <w:spacing w:line="240" w:lineRule="auto"/>
              <w:ind w:lef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距下方相邻地板或地面1.2m及以上的平台、通道或工作面的所有敞开边缘应设置防护栏杆。</w:t>
            </w:r>
          </w:p>
        </w:tc>
        <w:tc>
          <w:tcPr>
            <w:tcW w:w="1224" w:type="pct"/>
            <w:noWrap w:val="0"/>
            <w:vAlign w:val="center"/>
          </w:tcPr>
          <w:p w14:paraId="7C08858E">
            <w:pPr>
              <w:keepNext w:val="0"/>
              <w:keepLines w:val="0"/>
              <w:pageBreakBefore w:val="0"/>
              <w:widowControl w:val="0"/>
              <w:tabs>
                <w:tab w:val="left" w:pos="2898"/>
              </w:tabs>
              <w:kinsoku/>
              <w:wordWrap/>
              <w:overflowPunct/>
              <w:topLinePunct w:val="0"/>
              <w:bidi w:val="0"/>
              <w:adjustRightInd/>
              <w:spacing w:line="240" w:lineRule="auto"/>
              <w:ind w:lef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《固定式钢梯及平台安全要求 第3部分工业防护栏杆及钢平台》</w:t>
            </w:r>
          </w:p>
          <w:p w14:paraId="37CC6AF5">
            <w:pPr>
              <w:keepNext w:val="0"/>
              <w:keepLines w:val="0"/>
              <w:pageBreakBefore w:val="0"/>
              <w:widowControl w:val="0"/>
              <w:tabs>
                <w:tab w:val="left" w:pos="2898"/>
              </w:tabs>
              <w:kinsoku/>
              <w:wordWrap/>
              <w:overflowPunct/>
              <w:topLinePunct w:val="0"/>
              <w:bidi w:val="0"/>
              <w:adjustRightInd/>
              <w:spacing w:line="240" w:lineRule="auto"/>
              <w:ind w:lef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bCs/>
                <w:color w:val="000000" w:themeColor="text1"/>
                <w:sz w:val="21"/>
                <w:szCs w:val="21"/>
                <w14:textFill>
                  <w14:solidFill>
                    <w14:schemeClr w14:val="tx1"/>
                  </w14:solidFill>
                </w14:textFill>
              </w:rPr>
              <w:t>GB 4053.3-2009</w:t>
            </w:r>
            <w:r>
              <w:rPr>
                <w:rFonts w:hint="default" w:ascii="Times New Roman" w:hAnsi="Times New Roman" w:cs="Times New Roman"/>
                <w:color w:val="000000" w:themeColor="text1"/>
                <w:sz w:val="21"/>
                <w:szCs w:val="21"/>
                <w14:textFill>
                  <w14:solidFill>
                    <w14:schemeClr w14:val="tx1"/>
                  </w14:solidFill>
                </w14:textFill>
              </w:rPr>
              <w:t>)</w:t>
            </w:r>
          </w:p>
          <w:p w14:paraId="2B31309C">
            <w:pPr>
              <w:keepNext w:val="0"/>
              <w:keepLines w:val="0"/>
              <w:pageBreakBefore w:val="0"/>
              <w:widowControl w:val="0"/>
              <w:tabs>
                <w:tab w:val="left" w:pos="2898"/>
              </w:tabs>
              <w:kinsoku/>
              <w:wordWrap/>
              <w:overflowPunct/>
              <w:topLinePunct w:val="0"/>
              <w:bidi w:val="0"/>
              <w:adjustRightInd/>
              <w:spacing w:line="240" w:lineRule="auto"/>
              <w:ind w:lef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第4.1.1条</w:t>
            </w:r>
          </w:p>
        </w:tc>
        <w:tc>
          <w:tcPr>
            <w:tcW w:w="1403" w:type="pct"/>
            <w:noWrap w:val="0"/>
            <w:vAlign w:val="center"/>
          </w:tcPr>
          <w:p w14:paraId="54F74B38">
            <w:pPr>
              <w:keepNext w:val="0"/>
              <w:keepLines w:val="0"/>
              <w:pageBreakBefore w:val="0"/>
              <w:widowControl w:val="0"/>
              <w:tabs>
                <w:tab w:val="left" w:pos="2898"/>
              </w:tabs>
              <w:kinsoku/>
              <w:wordWrap/>
              <w:overflowPunct/>
              <w:topLinePunct w:val="0"/>
              <w:bidi w:val="0"/>
              <w:adjustRightInd/>
              <w:spacing w:line="240" w:lineRule="auto"/>
              <w:ind w:lef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本</w:t>
            </w:r>
            <w:r>
              <w:rPr>
                <w:rFonts w:hint="default" w:ascii="Times New Roman" w:hAnsi="Times New Roman" w:cs="Times New Roman"/>
                <w:color w:val="000000" w:themeColor="text1"/>
                <w:sz w:val="21"/>
                <w:szCs w:val="21"/>
                <w14:textFill>
                  <w14:solidFill>
                    <w14:schemeClr w14:val="tx1"/>
                  </w14:solidFill>
                </w14:textFill>
              </w:rPr>
              <w:t>项目各类操作平台、上下楼梯两侧设置防护栏杆。</w:t>
            </w:r>
          </w:p>
        </w:tc>
        <w:tc>
          <w:tcPr>
            <w:tcW w:w="374" w:type="pct"/>
            <w:noWrap w:val="0"/>
            <w:vAlign w:val="center"/>
          </w:tcPr>
          <w:p w14:paraId="185C23E3">
            <w:pPr>
              <w:keepNext w:val="0"/>
              <w:keepLines w:val="0"/>
              <w:pageBreakBefore w:val="0"/>
              <w:widowControl w:val="0"/>
              <w:kinsoku/>
              <w:wordWrap/>
              <w:overflowPunct/>
              <w:topLinePunct w:val="0"/>
              <w:bidi w:val="0"/>
              <w:adjustRightInd/>
              <w:spacing w:line="240" w:lineRule="auto"/>
              <w:ind w:lef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14:paraId="6F3A9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noWrap w:val="0"/>
            <w:vAlign w:val="center"/>
          </w:tcPr>
          <w:p w14:paraId="3729EB70">
            <w:pPr>
              <w:keepNext w:val="0"/>
              <w:keepLines w:val="0"/>
              <w:pageBreakBefore w:val="0"/>
              <w:widowControl w:val="0"/>
              <w:kinsoku/>
              <w:wordWrap/>
              <w:overflowPunct/>
              <w:topLinePunct w:val="0"/>
              <w:bidi w:val="0"/>
              <w:adjustRightInd/>
              <w:spacing w:line="240" w:lineRule="auto"/>
              <w:ind w:lef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防护装置</w:t>
            </w:r>
          </w:p>
        </w:tc>
      </w:tr>
      <w:tr w14:paraId="6D45F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noWrap w:val="0"/>
            <w:vAlign w:val="center"/>
          </w:tcPr>
          <w:p w14:paraId="64659360">
            <w:pPr>
              <w:keepNext w:val="0"/>
              <w:keepLines w:val="0"/>
              <w:pageBreakBefore w:val="0"/>
              <w:widowControl w:val="0"/>
              <w:numPr>
                <w:ilvl w:val="0"/>
                <w:numId w:val="45"/>
              </w:numPr>
              <w:kinsoku/>
              <w:wordWrap/>
              <w:overflowPunct/>
              <w:topLinePunct w:val="0"/>
              <w:bidi w:val="0"/>
              <w:adjustRightInd/>
              <w:spacing w:line="240" w:lineRule="auto"/>
              <w:ind w:lef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769" w:type="pct"/>
            <w:noWrap w:val="0"/>
            <w:vAlign w:val="center"/>
          </w:tcPr>
          <w:p w14:paraId="7A6E2DE9">
            <w:pPr>
              <w:keepNext w:val="0"/>
              <w:keepLines w:val="0"/>
              <w:pageBreakBefore w:val="0"/>
              <w:widowControl w:val="0"/>
              <w:kinsoku/>
              <w:wordWrap/>
              <w:overflowPunct/>
              <w:topLinePunct w:val="0"/>
              <w:bidi w:val="0"/>
              <w:adjustRightInd/>
              <w:spacing w:line="240" w:lineRule="auto"/>
              <w:ind w:left="0"/>
              <w:jc w:val="left"/>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对操作人员在设备运行时可能触及的可动零部件，必须配置必要的安全防护装置。</w:t>
            </w:r>
          </w:p>
        </w:tc>
        <w:tc>
          <w:tcPr>
            <w:tcW w:w="1224" w:type="pct"/>
            <w:noWrap w:val="0"/>
            <w:vAlign w:val="center"/>
          </w:tcPr>
          <w:p w14:paraId="2C6159BF">
            <w:pPr>
              <w:keepNext w:val="0"/>
              <w:keepLines w:val="0"/>
              <w:pageBreakBefore w:val="0"/>
              <w:widowControl w:val="0"/>
              <w:kinsoku/>
              <w:wordWrap/>
              <w:overflowPunct/>
              <w:topLinePunct w:val="0"/>
              <w:bidi w:val="0"/>
              <w:adjustRightInd/>
              <w:spacing w:line="240" w:lineRule="auto"/>
              <w:ind w:lef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《生产设备安全卫生设计总则》（</w:t>
            </w:r>
            <w:r>
              <w:rPr>
                <w:rFonts w:hint="eastAsia" w:ascii="Times New Roman" w:cs="Times New Roman"/>
                <w:color w:val="000000" w:themeColor="text1"/>
                <w:sz w:val="21"/>
                <w:szCs w:val="21"/>
                <w:lang w:eastAsia="zh-CN"/>
                <w14:textFill>
                  <w14:solidFill>
                    <w14:schemeClr w14:val="tx1"/>
                  </w14:solidFill>
                </w14:textFill>
              </w:rPr>
              <w:t>GB5083-2023</w:t>
            </w:r>
            <w:r>
              <w:rPr>
                <w:rFonts w:hint="default" w:ascii="Times New Roman" w:hAnsi="Times New Roman" w:cs="Times New Roman"/>
                <w:color w:val="000000" w:themeColor="text1"/>
                <w:sz w:val="21"/>
                <w:szCs w:val="21"/>
                <w14:textFill>
                  <w14:solidFill>
                    <w14:schemeClr w14:val="tx1"/>
                  </w14:solidFill>
                </w14:textFill>
              </w:rPr>
              <w:t>）</w:t>
            </w:r>
          </w:p>
          <w:p w14:paraId="495D7F7E">
            <w:pPr>
              <w:keepNext w:val="0"/>
              <w:keepLines w:val="0"/>
              <w:pageBreakBefore w:val="0"/>
              <w:widowControl w:val="0"/>
              <w:kinsoku/>
              <w:wordWrap/>
              <w:overflowPunct/>
              <w:topLinePunct w:val="0"/>
              <w:bidi w:val="0"/>
              <w:adjustRightInd/>
              <w:spacing w:line="240" w:lineRule="auto"/>
              <w:ind w:lef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第6.1.2条</w:t>
            </w:r>
          </w:p>
        </w:tc>
        <w:tc>
          <w:tcPr>
            <w:tcW w:w="1403" w:type="pct"/>
            <w:noWrap w:val="0"/>
            <w:vAlign w:val="center"/>
          </w:tcPr>
          <w:p w14:paraId="4E5FAC3B">
            <w:pPr>
              <w:keepNext w:val="0"/>
              <w:keepLines w:val="0"/>
              <w:pageBreakBefore w:val="0"/>
              <w:widowControl w:val="0"/>
              <w:kinsoku/>
              <w:wordWrap/>
              <w:overflowPunct/>
              <w:topLinePunct w:val="0"/>
              <w:bidi w:val="0"/>
              <w:adjustRightInd/>
              <w:spacing w:line="240" w:lineRule="auto"/>
              <w:ind w:lef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本</w:t>
            </w:r>
            <w:r>
              <w:rPr>
                <w:rFonts w:hint="default" w:ascii="Times New Roman" w:hAnsi="Times New Roman" w:cs="Times New Roman"/>
                <w:color w:val="000000" w:themeColor="text1"/>
                <w:sz w:val="21"/>
                <w:szCs w:val="21"/>
                <w14:textFill>
                  <w14:solidFill>
                    <w14:schemeClr w14:val="tx1"/>
                  </w14:solidFill>
                </w14:textFill>
              </w:rPr>
              <w:t>项目对</w:t>
            </w:r>
            <w:r>
              <w:rPr>
                <w:rFonts w:hint="eastAsia" w:ascii="Times New Roman" w:cs="Times New Roman"/>
                <w:color w:val="000000" w:themeColor="text1"/>
                <w:sz w:val="21"/>
                <w:szCs w:val="21"/>
                <w:lang w:val="en-US" w:eastAsia="zh-CN"/>
                <w14:textFill>
                  <w14:solidFill>
                    <w14:schemeClr w14:val="tx1"/>
                  </w14:solidFill>
                </w14:textFill>
              </w:rPr>
              <w:t>输送</w:t>
            </w:r>
            <w:r>
              <w:rPr>
                <w:rFonts w:hint="default" w:ascii="Times New Roman" w:hAnsi="Times New Roman" w:cs="Times New Roman"/>
                <w:color w:val="000000" w:themeColor="text1"/>
                <w:sz w:val="21"/>
                <w:szCs w:val="21"/>
                <w14:textFill>
                  <w14:solidFill>
                    <w14:schemeClr w14:val="tx1"/>
                  </w14:solidFill>
                </w14:textFill>
              </w:rPr>
              <w:t>泵等机械传动部位设置机械防护罩。</w:t>
            </w:r>
          </w:p>
        </w:tc>
        <w:tc>
          <w:tcPr>
            <w:tcW w:w="374" w:type="pct"/>
            <w:noWrap w:val="0"/>
            <w:vAlign w:val="center"/>
          </w:tcPr>
          <w:p w14:paraId="2E9B0E2A">
            <w:pPr>
              <w:keepNext w:val="0"/>
              <w:keepLines w:val="0"/>
              <w:pageBreakBefore w:val="0"/>
              <w:widowControl w:val="0"/>
              <w:kinsoku/>
              <w:wordWrap/>
              <w:overflowPunct/>
              <w:topLinePunct w:val="0"/>
              <w:bidi w:val="0"/>
              <w:adjustRightInd/>
              <w:spacing w:line="240" w:lineRule="auto"/>
              <w:ind w:lef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14:paraId="5016B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noWrap w:val="0"/>
            <w:vAlign w:val="center"/>
          </w:tcPr>
          <w:p w14:paraId="1CC7B389">
            <w:pPr>
              <w:keepNext w:val="0"/>
              <w:keepLines w:val="0"/>
              <w:pageBreakBefore w:val="0"/>
              <w:widowControl w:val="0"/>
              <w:numPr>
                <w:ilvl w:val="0"/>
                <w:numId w:val="45"/>
              </w:numPr>
              <w:kinsoku/>
              <w:wordWrap/>
              <w:overflowPunct/>
              <w:topLinePunct w:val="0"/>
              <w:bidi w:val="0"/>
              <w:adjustRightInd/>
              <w:spacing w:line="240" w:lineRule="auto"/>
              <w:ind w:lef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769" w:type="pct"/>
            <w:noWrap w:val="0"/>
            <w:vAlign w:val="center"/>
          </w:tcPr>
          <w:p w14:paraId="261C6898">
            <w:pPr>
              <w:keepNext w:val="0"/>
              <w:keepLines w:val="0"/>
              <w:pageBreakBefore w:val="0"/>
              <w:widowControl w:val="0"/>
              <w:tabs>
                <w:tab w:val="left" w:pos="2898"/>
              </w:tabs>
              <w:kinsoku/>
              <w:wordWrap/>
              <w:overflowPunct/>
              <w:topLinePunct w:val="0"/>
              <w:bidi w:val="0"/>
              <w:adjustRightInd/>
              <w:spacing w:line="240" w:lineRule="auto"/>
              <w:ind w:lef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运动传递部件：对于带轮、传动带、齿轮、齿条齿轮和传动抽等运动的传动部件措施的危险，应采用固定式防护装置或联锁的活动式防护装置进行防护。</w:t>
            </w:r>
          </w:p>
        </w:tc>
        <w:tc>
          <w:tcPr>
            <w:tcW w:w="1224" w:type="pct"/>
            <w:noWrap w:val="0"/>
            <w:vAlign w:val="center"/>
          </w:tcPr>
          <w:p w14:paraId="0BD1C540">
            <w:pPr>
              <w:keepNext w:val="0"/>
              <w:keepLines w:val="0"/>
              <w:pageBreakBefore w:val="0"/>
              <w:widowControl w:val="0"/>
              <w:tabs>
                <w:tab w:val="left" w:pos="2898"/>
              </w:tabs>
              <w:kinsoku/>
              <w:wordWrap/>
              <w:overflowPunct/>
              <w:topLinePunct w:val="0"/>
              <w:bidi w:val="0"/>
              <w:adjustRightInd/>
              <w:spacing w:line="240" w:lineRule="auto"/>
              <w:ind w:lef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《机械安全 防护装置 固定式和活动式防护装置的设计与制造一般要求》（GB8196-2018）</w:t>
            </w:r>
          </w:p>
          <w:p w14:paraId="247FD561">
            <w:pPr>
              <w:keepNext w:val="0"/>
              <w:keepLines w:val="0"/>
              <w:pageBreakBefore w:val="0"/>
              <w:widowControl w:val="0"/>
              <w:tabs>
                <w:tab w:val="left" w:pos="2898"/>
              </w:tabs>
              <w:kinsoku/>
              <w:wordWrap/>
              <w:overflowPunct/>
              <w:topLinePunct w:val="0"/>
              <w:bidi w:val="0"/>
              <w:adjustRightInd/>
              <w:spacing w:line="240" w:lineRule="auto"/>
              <w:ind w:lef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第6.4.2条</w:t>
            </w:r>
          </w:p>
        </w:tc>
        <w:tc>
          <w:tcPr>
            <w:tcW w:w="1403" w:type="pct"/>
            <w:noWrap w:val="0"/>
            <w:vAlign w:val="center"/>
          </w:tcPr>
          <w:p w14:paraId="72E5B0BF">
            <w:pPr>
              <w:keepNext w:val="0"/>
              <w:keepLines w:val="0"/>
              <w:pageBreakBefore w:val="0"/>
              <w:widowControl w:val="0"/>
              <w:tabs>
                <w:tab w:val="left" w:pos="2898"/>
              </w:tabs>
              <w:kinsoku/>
              <w:wordWrap/>
              <w:overflowPunct/>
              <w:topLinePunct w:val="0"/>
              <w:bidi w:val="0"/>
              <w:adjustRightInd/>
              <w:spacing w:line="240" w:lineRule="auto"/>
              <w:ind w:lef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lang w:eastAsia="zh-CN"/>
                <w14:textFill>
                  <w14:solidFill>
                    <w14:schemeClr w14:val="tx1"/>
                  </w14:solidFill>
                </w14:textFill>
              </w:rPr>
              <w:t>本</w:t>
            </w:r>
            <w:r>
              <w:rPr>
                <w:rFonts w:hint="default" w:ascii="Times New Roman" w:hAnsi="Times New Roman" w:cs="Times New Roman"/>
                <w:bCs/>
                <w:color w:val="000000" w:themeColor="text1"/>
                <w:sz w:val="21"/>
                <w:szCs w:val="21"/>
                <w14:textFill>
                  <w14:solidFill>
                    <w14:schemeClr w14:val="tx1"/>
                  </w14:solidFill>
                </w14:textFill>
              </w:rPr>
              <w:t>项目凡机械转动连接部位设防护罩。</w:t>
            </w:r>
          </w:p>
        </w:tc>
        <w:tc>
          <w:tcPr>
            <w:tcW w:w="374" w:type="pct"/>
            <w:noWrap w:val="0"/>
            <w:vAlign w:val="center"/>
          </w:tcPr>
          <w:p w14:paraId="24E3AC2D">
            <w:pPr>
              <w:keepNext w:val="0"/>
              <w:keepLines w:val="0"/>
              <w:pageBreakBefore w:val="0"/>
              <w:widowControl w:val="0"/>
              <w:kinsoku/>
              <w:wordWrap/>
              <w:overflowPunct/>
              <w:topLinePunct w:val="0"/>
              <w:bidi w:val="0"/>
              <w:adjustRightInd/>
              <w:spacing w:line="240" w:lineRule="auto"/>
              <w:ind w:lef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14:paraId="4252E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noWrap w:val="0"/>
            <w:vAlign w:val="center"/>
          </w:tcPr>
          <w:p w14:paraId="6A3E32D4">
            <w:pPr>
              <w:keepNext w:val="0"/>
              <w:keepLines w:val="0"/>
              <w:pageBreakBefore w:val="0"/>
              <w:widowControl w:val="0"/>
              <w:kinsoku/>
              <w:wordWrap/>
              <w:overflowPunct/>
              <w:topLinePunct w:val="0"/>
              <w:bidi w:val="0"/>
              <w:adjustRightInd/>
              <w:spacing w:line="240" w:lineRule="auto"/>
              <w:ind w:lef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防火措施</w:t>
            </w:r>
          </w:p>
        </w:tc>
      </w:tr>
      <w:tr w14:paraId="6689C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noWrap w:val="0"/>
            <w:vAlign w:val="center"/>
          </w:tcPr>
          <w:p w14:paraId="45FB0689">
            <w:pPr>
              <w:keepNext w:val="0"/>
              <w:keepLines w:val="0"/>
              <w:pageBreakBefore w:val="0"/>
              <w:widowControl w:val="0"/>
              <w:numPr>
                <w:ilvl w:val="0"/>
                <w:numId w:val="45"/>
              </w:numPr>
              <w:kinsoku/>
              <w:wordWrap/>
              <w:overflowPunct/>
              <w:topLinePunct w:val="0"/>
              <w:bidi w:val="0"/>
              <w:adjustRightInd/>
              <w:spacing w:line="240" w:lineRule="auto"/>
              <w:ind w:lef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769" w:type="pct"/>
            <w:noWrap w:val="0"/>
            <w:vAlign w:val="center"/>
          </w:tcPr>
          <w:p w14:paraId="71189E48">
            <w:pPr>
              <w:keepNext w:val="0"/>
              <w:keepLines w:val="0"/>
              <w:pageBreakBefore w:val="0"/>
              <w:widowControl w:val="0"/>
              <w:kinsoku/>
              <w:wordWrap/>
              <w:overflowPunct/>
              <w:topLinePunct w:val="0"/>
              <w:bidi w:val="0"/>
              <w:adjustRightInd/>
              <w:spacing w:line="240" w:lineRule="auto"/>
              <w:ind w:lef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化工生产装置内的设备、管道、建（构）筑物之间防火距离应符合现行国家标准《建筑设计防火规范》GB50016和《石油化工企业设计防火规范》GB50160的规定。</w:t>
            </w:r>
          </w:p>
        </w:tc>
        <w:tc>
          <w:tcPr>
            <w:tcW w:w="1224" w:type="pct"/>
            <w:noWrap w:val="0"/>
            <w:vAlign w:val="center"/>
          </w:tcPr>
          <w:p w14:paraId="38F83350">
            <w:pPr>
              <w:keepNext w:val="0"/>
              <w:keepLines w:val="0"/>
              <w:pageBreakBefore w:val="0"/>
              <w:widowControl w:val="0"/>
              <w:kinsoku/>
              <w:wordWrap/>
              <w:overflowPunct/>
              <w:topLinePunct w:val="0"/>
              <w:bidi w:val="0"/>
              <w:adjustRightInd/>
              <w:spacing w:line="240" w:lineRule="auto"/>
              <w:ind w:lef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《化工企业安全卫生设计规范》（HG20571-2014）</w:t>
            </w:r>
          </w:p>
          <w:p w14:paraId="64187C98">
            <w:pPr>
              <w:keepNext w:val="0"/>
              <w:keepLines w:val="0"/>
              <w:pageBreakBefore w:val="0"/>
              <w:widowControl w:val="0"/>
              <w:tabs>
                <w:tab w:val="left" w:pos="2898"/>
              </w:tabs>
              <w:kinsoku/>
              <w:wordWrap/>
              <w:overflowPunct/>
              <w:topLinePunct w:val="0"/>
              <w:bidi w:val="0"/>
              <w:adjustRightInd/>
              <w:spacing w:line="240" w:lineRule="auto"/>
              <w:ind w:lef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第4.1.3条</w:t>
            </w:r>
          </w:p>
        </w:tc>
        <w:tc>
          <w:tcPr>
            <w:tcW w:w="1403" w:type="pct"/>
            <w:noWrap w:val="0"/>
            <w:vAlign w:val="center"/>
          </w:tcPr>
          <w:p w14:paraId="01E1C25A">
            <w:pPr>
              <w:keepNext w:val="0"/>
              <w:keepLines w:val="0"/>
              <w:pageBreakBefore w:val="0"/>
              <w:widowControl w:val="0"/>
              <w:kinsoku/>
              <w:wordWrap/>
              <w:overflowPunct/>
              <w:topLinePunct w:val="0"/>
              <w:bidi w:val="0"/>
              <w:adjustRightInd/>
              <w:spacing w:line="240" w:lineRule="auto"/>
              <w:ind w:lef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本</w:t>
            </w:r>
            <w:r>
              <w:rPr>
                <w:rFonts w:hint="default" w:ascii="Times New Roman" w:hAnsi="Times New Roman" w:cs="Times New Roman"/>
                <w:color w:val="000000" w:themeColor="text1"/>
                <w:sz w:val="21"/>
                <w:szCs w:val="21"/>
                <w14:textFill>
                  <w14:solidFill>
                    <w14:schemeClr w14:val="tx1"/>
                  </w14:solidFill>
                </w14:textFill>
              </w:rPr>
              <w:t>项目</w:t>
            </w:r>
            <w:r>
              <w:rPr>
                <w:rFonts w:hint="eastAsia" w:ascii="Times New Roman" w:cs="Times New Roman"/>
                <w:color w:val="000000" w:themeColor="text1"/>
                <w:sz w:val="21"/>
                <w:szCs w:val="21"/>
                <w:lang w:val="en-US" w:eastAsia="zh-CN"/>
                <w14:textFill>
                  <w14:solidFill>
                    <w14:schemeClr w14:val="tx1"/>
                  </w14:solidFill>
                </w14:textFill>
              </w:rPr>
              <w:t>管道的</w:t>
            </w:r>
            <w:r>
              <w:rPr>
                <w:rFonts w:hint="default" w:ascii="Times New Roman" w:hAnsi="Times New Roman" w:cs="Times New Roman"/>
                <w:color w:val="000000" w:themeColor="text1"/>
                <w:sz w:val="21"/>
                <w:szCs w:val="21"/>
                <w14:textFill>
                  <w14:solidFill>
                    <w14:schemeClr w14:val="tx1"/>
                  </w14:solidFill>
                </w14:textFill>
              </w:rPr>
              <w:t>布置满足所述要求。</w:t>
            </w:r>
          </w:p>
        </w:tc>
        <w:tc>
          <w:tcPr>
            <w:tcW w:w="374" w:type="pct"/>
            <w:noWrap w:val="0"/>
            <w:vAlign w:val="center"/>
          </w:tcPr>
          <w:p w14:paraId="20DFFAA1">
            <w:pPr>
              <w:keepNext w:val="0"/>
              <w:keepLines w:val="0"/>
              <w:pageBreakBefore w:val="0"/>
              <w:widowControl w:val="0"/>
              <w:kinsoku/>
              <w:wordWrap/>
              <w:overflowPunct/>
              <w:topLinePunct w:val="0"/>
              <w:bidi w:val="0"/>
              <w:adjustRightInd/>
              <w:spacing w:line="240" w:lineRule="auto"/>
              <w:ind w:lef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14:paraId="14F02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noWrap w:val="0"/>
            <w:vAlign w:val="center"/>
          </w:tcPr>
          <w:p w14:paraId="6E364F94">
            <w:pPr>
              <w:keepNext w:val="0"/>
              <w:keepLines w:val="0"/>
              <w:pageBreakBefore w:val="0"/>
              <w:widowControl w:val="0"/>
              <w:numPr>
                <w:ilvl w:val="0"/>
                <w:numId w:val="45"/>
              </w:numPr>
              <w:kinsoku/>
              <w:wordWrap/>
              <w:overflowPunct/>
              <w:topLinePunct w:val="0"/>
              <w:bidi w:val="0"/>
              <w:adjustRightInd/>
              <w:spacing w:line="240" w:lineRule="auto"/>
              <w:ind w:lef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769" w:type="pct"/>
            <w:noWrap w:val="0"/>
            <w:vAlign w:val="center"/>
          </w:tcPr>
          <w:p w14:paraId="3E3B8C03">
            <w:pPr>
              <w:keepNext w:val="0"/>
              <w:keepLines w:val="0"/>
              <w:pageBreakBefore w:val="0"/>
              <w:widowControl w:val="0"/>
              <w:kinsoku/>
              <w:wordWrap/>
              <w:overflowPunct/>
              <w:topLinePunct w:val="0"/>
              <w:bidi w:val="0"/>
              <w:adjustRightInd/>
              <w:spacing w:line="240" w:lineRule="auto"/>
              <w:ind w:lef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化工生产装置区、储罐区、仓库除应设置固定式、半固定式灭火设施外，还应配置小型灭火器材。</w:t>
            </w:r>
          </w:p>
        </w:tc>
        <w:tc>
          <w:tcPr>
            <w:tcW w:w="1224" w:type="pct"/>
            <w:noWrap w:val="0"/>
            <w:vAlign w:val="center"/>
          </w:tcPr>
          <w:p w14:paraId="0FBF60B4">
            <w:pPr>
              <w:keepNext w:val="0"/>
              <w:keepLines w:val="0"/>
              <w:pageBreakBefore w:val="0"/>
              <w:widowControl w:val="0"/>
              <w:kinsoku/>
              <w:wordWrap/>
              <w:overflowPunct/>
              <w:topLinePunct w:val="0"/>
              <w:bidi w:val="0"/>
              <w:adjustRightInd/>
              <w:spacing w:line="240" w:lineRule="auto"/>
              <w:ind w:lef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《化工企业安全卫生设计规范》（HG20571-2014）</w:t>
            </w:r>
          </w:p>
          <w:p w14:paraId="687470D9">
            <w:pPr>
              <w:keepNext w:val="0"/>
              <w:keepLines w:val="0"/>
              <w:pageBreakBefore w:val="0"/>
              <w:widowControl w:val="0"/>
              <w:tabs>
                <w:tab w:val="left" w:pos="2898"/>
              </w:tabs>
              <w:kinsoku/>
              <w:wordWrap/>
              <w:overflowPunct/>
              <w:topLinePunct w:val="0"/>
              <w:bidi w:val="0"/>
              <w:adjustRightInd/>
              <w:spacing w:line="240" w:lineRule="auto"/>
              <w:ind w:lef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第4.1.13条</w:t>
            </w:r>
          </w:p>
        </w:tc>
        <w:tc>
          <w:tcPr>
            <w:tcW w:w="1403" w:type="pct"/>
            <w:noWrap w:val="0"/>
            <w:vAlign w:val="center"/>
          </w:tcPr>
          <w:p w14:paraId="4ABFF52C">
            <w:pPr>
              <w:keepNext w:val="0"/>
              <w:keepLines w:val="0"/>
              <w:pageBreakBefore w:val="0"/>
              <w:widowControl w:val="0"/>
              <w:kinsoku/>
              <w:wordWrap/>
              <w:overflowPunct/>
              <w:topLinePunct w:val="0"/>
              <w:bidi w:val="0"/>
              <w:adjustRightInd/>
              <w:spacing w:line="240" w:lineRule="auto"/>
              <w:ind w:lef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本项目的消防水源及泵房依托云南祥丰石化有限公司消防水源及泵房，本项目的消防水加压和储存设施依托该泵房，不再新建。</w:t>
            </w:r>
          </w:p>
          <w:p w14:paraId="4EB86389">
            <w:pPr>
              <w:keepNext w:val="0"/>
              <w:keepLines w:val="0"/>
              <w:pageBreakBefore w:val="0"/>
              <w:widowControl w:val="0"/>
              <w:kinsoku/>
              <w:wordWrap/>
              <w:overflowPunct/>
              <w:topLinePunct w:val="0"/>
              <w:bidi w:val="0"/>
              <w:adjustRightInd/>
              <w:spacing w:line="240" w:lineRule="auto"/>
              <w:ind w:left="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消防应急物资依托主厂区。</w:t>
            </w:r>
          </w:p>
        </w:tc>
        <w:tc>
          <w:tcPr>
            <w:tcW w:w="374" w:type="pct"/>
            <w:noWrap w:val="0"/>
            <w:vAlign w:val="center"/>
          </w:tcPr>
          <w:p w14:paraId="114EFA98">
            <w:pPr>
              <w:keepNext w:val="0"/>
              <w:keepLines w:val="0"/>
              <w:pageBreakBefore w:val="0"/>
              <w:widowControl w:val="0"/>
              <w:kinsoku/>
              <w:wordWrap/>
              <w:overflowPunct/>
              <w:topLinePunct w:val="0"/>
              <w:bidi w:val="0"/>
              <w:adjustRightInd/>
              <w:spacing w:line="240" w:lineRule="auto"/>
              <w:ind w:lef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23892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noWrap w:val="0"/>
            <w:vAlign w:val="center"/>
          </w:tcPr>
          <w:p w14:paraId="0E06E7EA">
            <w:pPr>
              <w:keepNext w:val="0"/>
              <w:keepLines w:val="0"/>
              <w:pageBreakBefore w:val="0"/>
              <w:widowControl w:val="0"/>
              <w:kinsoku/>
              <w:wordWrap/>
              <w:overflowPunct/>
              <w:topLinePunct w:val="0"/>
              <w:bidi w:val="0"/>
              <w:adjustRightInd/>
              <w:spacing w:line="240" w:lineRule="auto"/>
              <w:ind w:lef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防毒措施</w:t>
            </w:r>
          </w:p>
        </w:tc>
      </w:tr>
      <w:tr w14:paraId="728B0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jc w:val="center"/>
        </w:trPr>
        <w:tc>
          <w:tcPr>
            <w:tcW w:w="228" w:type="pct"/>
            <w:noWrap w:val="0"/>
            <w:vAlign w:val="center"/>
          </w:tcPr>
          <w:p w14:paraId="20FBB633">
            <w:pPr>
              <w:keepNext w:val="0"/>
              <w:keepLines w:val="0"/>
              <w:pageBreakBefore w:val="0"/>
              <w:widowControl w:val="0"/>
              <w:numPr>
                <w:ilvl w:val="0"/>
                <w:numId w:val="45"/>
              </w:numPr>
              <w:kinsoku/>
              <w:wordWrap/>
              <w:overflowPunct/>
              <w:topLinePunct w:val="0"/>
              <w:bidi w:val="0"/>
              <w:adjustRightInd/>
              <w:spacing w:line="240" w:lineRule="auto"/>
              <w:ind w:lef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769" w:type="pct"/>
            <w:noWrap w:val="0"/>
            <w:vAlign w:val="center"/>
          </w:tcPr>
          <w:p w14:paraId="76678287">
            <w:pPr>
              <w:keepNext w:val="0"/>
              <w:keepLines w:val="0"/>
              <w:pageBreakBefore w:val="0"/>
              <w:widowControl w:val="0"/>
              <w:kinsoku/>
              <w:wordWrap/>
              <w:overflowPunct/>
              <w:topLinePunct w:val="0"/>
              <w:bidi w:val="0"/>
              <w:adjustRightInd/>
              <w:spacing w:line="240" w:lineRule="auto"/>
              <w:ind w:lef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优先采用先进的生产工艺、技术和无毒（害）或低毒（害）的原材料，消除或减少尘、毒职业性有害因素；对于工艺、技术和原材料达不到要求的，应根据生产工艺和粉尘、毒物特性，采取有效的防毒措施。</w:t>
            </w:r>
          </w:p>
        </w:tc>
        <w:tc>
          <w:tcPr>
            <w:tcW w:w="1224" w:type="pct"/>
            <w:noWrap w:val="0"/>
            <w:vAlign w:val="center"/>
          </w:tcPr>
          <w:p w14:paraId="0785EDE4">
            <w:pPr>
              <w:keepNext w:val="0"/>
              <w:keepLines w:val="0"/>
              <w:pageBreakBefore w:val="0"/>
              <w:widowControl w:val="0"/>
              <w:tabs>
                <w:tab w:val="left" w:pos="2898"/>
              </w:tabs>
              <w:kinsoku/>
              <w:wordWrap/>
              <w:overflowPunct/>
              <w:topLinePunct w:val="0"/>
              <w:bidi w:val="0"/>
              <w:adjustRightInd/>
              <w:spacing w:line="240" w:lineRule="auto"/>
              <w:ind w:lef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《工业企业设计卫生标准》（GBZ1-2010）</w:t>
            </w:r>
          </w:p>
          <w:p w14:paraId="77E01189">
            <w:pPr>
              <w:keepNext w:val="0"/>
              <w:keepLines w:val="0"/>
              <w:pageBreakBefore w:val="0"/>
              <w:widowControl w:val="0"/>
              <w:kinsoku/>
              <w:wordWrap/>
              <w:overflowPunct/>
              <w:topLinePunct w:val="0"/>
              <w:bidi w:val="0"/>
              <w:adjustRightInd/>
              <w:spacing w:line="240" w:lineRule="auto"/>
              <w:ind w:lef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第6.1.1条</w:t>
            </w:r>
          </w:p>
        </w:tc>
        <w:tc>
          <w:tcPr>
            <w:tcW w:w="1403" w:type="pct"/>
            <w:noWrap w:val="0"/>
            <w:vAlign w:val="center"/>
          </w:tcPr>
          <w:p w14:paraId="47C6E303">
            <w:pPr>
              <w:keepNext w:val="0"/>
              <w:keepLines w:val="0"/>
              <w:pageBreakBefore w:val="0"/>
              <w:widowControl w:val="0"/>
              <w:kinsoku/>
              <w:wordWrap/>
              <w:overflowPunct/>
              <w:topLinePunct w:val="0"/>
              <w:bidi w:val="0"/>
              <w:adjustRightInd/>
              <w:spacing w:line="240" w:lineRule="auto"/>
              <w:ind w:left="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氟硅酸受热分解放出有毒的氟化物气体。具有较强的腐蚀性。对于有毒性危险的物料，原则上不在外管调节、切换、减压等阀门，有需要调节、切换以及减压的，在各个用户厂区内设置</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本项目个人防护装备依托主厂区。</w:t>
            </w:r>
          </w:p>
        </w:tc>
        <w:tc>
          <w:tcPr>
            <w:tcW w:w="374" w:type="pct"/>
            <w:noWrap w:val="0"/>
            <w:vAlign w:val="center"/>
          </w:tcPr>
          <w:p w14:paraId="07FB5B94">
            <w:pPr>
              <w:keepNext w:val="0"/>
              <w:keepLines w:val="0"/>
              <w:pageBreakBefore w:val="0"/>
              <w:widowControl w:val="0"/>
              <w:kinsoku/>
              <w:wordWrap/>
              <w:overflowPunct/>
              <w:topLinePunct w:val="0"/>
              <w:bidi w:val="0"/>
              <w:adjustRightInd/>
              <w:spacing w:line="240" w:lineRule="auto"/>
              <w:ind w:lef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473E6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jc w:val="center"/>
        </w:trPr>
        <w:tc>
          <w:tcPr>
            <w:tcW w:w="228" w:type="pct"/>
            <w:noWrap w:val="0"/>
            <w:vAlign w:val="center"/>
          </w:tcPr>
          <w:p w14:paraId="69EDD357">
            <w:pPr>
              <w:keepNext w:val="0"/>
              <w:keepLines w:val="0"/>
              <w:pageBreakBefore w:val="0"/>
              <w:widowControl w:val="0"/>
              <w:numPr>
                <w:ilvl w:val="0"/>
                <w:numId w:val="45"/>
              </w:numPr>
              <w:kinsoku/>
              <w:wordWrap/>
              <w:overflowPunct/>
              <w:topLinePunct w:val="0"/>
              <w:bidi w:val="0"/>
              <w:adjustRightInd/>
              <w:spacing w:line="240" w:lineRule="auto"/>
              <w:ind w:lef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769" w:type="pct"/>
            <w:noWrap w:val="0"/>
            <w:vAlign w:val="center"/>
          </w:tcPr>
          <w:p w14:paraId="6E4799CC">
            <w:pPr>
              <w:keepNext w:val="0"/>
              <w:keepLines w:val="0"/>
              <w:pageBreakBefore w:val="0"/>
              <w:widowControl w:val="0"/>
              <w:kinsoku/>
              <w:wordWrap/>
              <w:overflowPunct/>
              <w:topLinePunct w:val="0"/>
              <w:bidi w:val="0"/>
              <w:adjustRightInd/>
              <w:spacing w:line="240" w:lineRule="auto"/>
              <w:ind w:left="0"/>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对产生粉尘、毒物的生产过程和设备（含露天作业的工艺设备），应优先采用机械化和自动化，避免直接人工操作。为防止物料跑、冒、滴、漏，其设备和管道应采取有效的密闭措施，密闭形式应根据工艺流程、设备特点、生产工艺、安全要求及便于操作、维修等因素确定，并应结合生产工艺采取通风和净化措施。对移动的扬尘和逸散毒物的作业，应与主体工程同时设计移动式轻便防尘和排毒设备</w:t>
            </w:r>
            <w:r>
              <w:rPr>
                <w:rFonts w:hint="eastAsia" w:ascii="Times New Roman" w:cs="Times New Roman"/>
                <w:color w:val="000000" w:themeColor="text1"/>
                <w:sz w:val="21"/>
                <w:szCs w:val="21"/>
                <w:lang w:eastAsia="zh-CN"/>
                <w14:textFill>
                  <w14:solidFill>
                    <w14:schemeClr w14:val="tx1"/>
                  </w14:solidFill>
                </w14:textFill>
              </w:rPr>
              <w:t>。</w:t>
            </w:r>
          </w:p>
        </w:tc>
        <w:tc>
          <w:tcPr>
            <w:tcW w:w="1224" w:type="pct"/>
            <w:noWrap w:val="0"/>
            <w:vAlign w:val="center"/>
          </w:tcPr>
          <w:p w14:paraId="3799395D">
            <w:pPr>
              <w:keepNext w:val="0"/>
              <w:keepLines w:val="0"/>
              <w:pageBreakBefore w:val="0"/>
              <w:widowControl w:val="0"/>
              <w:tabs>
                <w:tab w:val="left" w:pos="2898"/>
              </w:tabs>
              <w:kinsoku/>
              <w:wordWrap/>
              <w:overflowPunct/>
              <w:topLinePunct w:val="0"/>
              <w:bidi w:val="0"/>
              <w:adjustRightInd/>
              <w:spacing w:line="240" w:lineRule="auto"/>
              <w:ind w:lef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《工业企业设计卫生标准》（GBZ1-2010）</w:t>
            </w:r>
          </w:p>
          <w:p w14:paraId="59961145">
            <w:pPr>
              <w:keepNext w:val="0"/>
              <w:keepLines w:val="0"/>
              <w:pageBreakBefore w:val="0"/>
              <w:widowControl w:val="0"/>
              <w:kinsoku/>
              <w:wordWrap/>
              <w:overflowPunct/>
              <w:topLinePunct w:val="0"/>
              <w:bidi w:val="0"/>
              <w:adjustRightInd/>
              <w:spacing w:line="240" w:lineRule="auto"/>
              <w:ind w:lef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第6.1.1.2条</w:t>
            </w:r>
          </w:p>
        </w:tc>
        <w:tc>
          <w:tcPr>
            <w:tcW w:w="1403" w:type="pct"/>
            <w:noWrap w:val="0"/>
            <w:vAlign w:val="center"/>
          </w:tcPr>
          <w:p w14:paraId="7E9D4423">
            <w:pPr>
              <w:keepNext w:val="0"/>
              <w:keepLines w:val="0"/>
              <w:pageBreakBefore w:val="0"/>
              <w:widowControl w:val="0"/>
              <w:kinsoku/>
              <w:wordWrap/>
              <w:overflowPunct/>
              <w:topLinePunct w:val="0"/>
              <w:bidi w:val="0"/>
              <w:adjustRightInd/>
              <w:spacing w:line="240" w:lineRule="auto"/>
              <w:ind w:lef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本项目为管架及附属设施，不涉及生产装置和储存设施，不涉及建筑物，也无需采暖、通风、排烟、空调设施。本项目稀硫酸近磷酸厂管线设置远传流量计与流量调节阀进行流量控制；其他介质均设置远传流量计并有累积功能；氟硅酸及浓硫酸流量异常时可通过控制室远程停泵。</w:t>
            </w:r>
          </w:p>
        </w:tc>
        <w:tc>
          <w:tcPr>
            <w:tcW w:w="374" w:type="pct"/>
            <w:noWrap w:val="0"/>
            <w:vAlign w:val="center"/>
          </w:tcPr>
          <w:p w14:paraId="2FCA763C">
            <w:pPr>
              <w:keepNext w:val="0"/>
              <w:keepLines w:val="0"/>
              <w:pageBreakBefore w:val="0"/>
              <w:widowControl w:val="0"/>
              <w:kinsoku/>
              <w:wordWrap/>
              <w:overflowPunct/>
              <w:topLinePunct w:val="0"/>
              <w:bidi w:val="0"/>
              <w:adjustRightInd/>
              <w:spacing w:line="240" w:lineRule="auto"/>
              <w:ind w:lef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56614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jc w:val="center"/>
        </w:trPr>
        <w:tc>
          <w:tcPr>
            <w:tcW w:w="228" w:type="pct"/>
            <w:noWrap w:val="0"/>
            <w:vAlign w:val="center"/>
          </w:tcPr>
          <w:p w14:paraId="604FEDC9">
            <w:pPr>
              <w:keepNext w:val="0"/>
              <w:keepLines w:val="0"/>
              <w:pageBreakBefore w:val="0"/>
              <w:widowControl w:val="0"/>
              <w:numPr>
                <w:ilvl w:val="0"/>
                <w:numId w:val="45"/>
              </w:numPr>
              <w:kinsoku/>
              <w:wordWrap/>
              <w:overflowPunct/>
              <w:topLinePunct w:val="0"/>
              <w:bidi w:val="0"/>
              <w:adjustRightInd/>
              <w:spacing w:line="240" w:lineRule="auto"/>
              <w:ind w:lef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769" w:type="pct"/>
            <w:noWrap w:val="0"/>
            <w:vAlign w:val="center"/>
          </w:tcPr>
          <w:p w14:paraId="4C8E1D11">
            <w:pPr>
              <w:keepNext w:val="0"/>
              <w:keepLines w:val="0"/>
              <w:pageBreakBefore w:val="0"/>
              <w:widowControl w:val="0"/>
              <w:tabs>
                <w:tab w:val="left" w:pos="2898"/>
              </w:tabs>
              <w:kinsoku/>
              <w:wordWrap/>
              <w:overflowPunct/>
              <w:topLinePunct w:val="0"/>
              <w:bidi w:val="0"/>
              <w:adjustRightInd/>
              <w:spacing w:line="240" w:lineRule="auto"/>
              <w:ind w:lef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可燃气体、有毒气体检测报警系统的设计应按现行国家标准《石油化工可燃气体和有毒气体检测报警设计规范》GB50293的规定执行，对有可燃气体、有毒气体和粉尘泄漏的封闭作业场所应设计良好的通风系统。</w:t>
            </w:r>
          </w:p>
        </w:tc>
        <w:tc>
          <w:tcPr>
            <w:tcW w:w="1224" w:type="pct"/>
            <w:noWrap w:val="0"/>
            <w:vAlign w:val="center"/>
          </w:tcPr>
          <w:p w14:paraId="59B65911">
            <w:pPr>
              <w:keepNext w:val="0"/>
              <w:keepLines w:val="0"/>
              <w:pageBreakBefore w:val="0"/>
              <w:widowControl w:val="0"/>
              <w:kinsoku/>
              <w:wordWrap/>
              <w:overflowPunct/>
              <w:topLinePunct w:val="0"/>
              <w:bidi w:val="0"/>
              <w:adjustRightInd/>
              <w:spacing w:line="240" w:lineRule="auto"/>
              <w:ind w:lef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《化工企业安全卫生设计规定》（HG20571-2014）</w:t>
            </w:r>
          </w:p>
          <w:p w14:paraId="65458E13">
            <w:pPr>
              <w:keepNext w:val="0"/>
              <w:keepLines w:val="0"/>
              <w:pageBreakBefore w:val="0"/>
              <w:widowControl w:val="0"/>
              <w:kinsoku/>
              <w:wordWrap/>
              <w:overflowPunct/>
              <w:topLinePunct w:val="0"/>
              <w:bidi w:val="0"/>
              <w:adjustRightInd/>
              <w:spacing w:line="240" w:lineRule="auto"/>
              <w:ind w:lef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第4.1.5条</w:t>
            </w:r>
          </w:p>
        </w:tc>
        <w:tc>
          <w:tcPr>
            <w:tcW w:w="1403" w:type="pct"/>
            <w:noWrap w:val="0"/>
            <w:vAlign w:val="center"/>
          </w:tcPr>
          <w:p w14:paraId="5AA49DC4">
            <w:pPr>
              <w:keepNext w:val="0"/>
              <w:keepLines w:val="0"/>
              <w:pageBreakBefore w:val="0"/>
              <w:widowControl w:val="0"/>
              <w:kinsoku/>
              <w:wordWrap/>
              <w:overflowPunct/>
              <w:topLinePunct w:val="0"/>
              <w:bidi w:val="0"/>
              <w:adjustRightInd/>
              <w:spacing w:line="240" w:lineRule="auto"/>
              <w:ind w:lef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本项目外管廊输送介质无需设置可燃有毒报警仪。</w:t>
            </w:r>
          </w:p>
          <w:p w14:paraId="6C25BB31">
            <w:pPr>
              <w:keepNext w:val="0"/>
              <w:keepLines w:val="0"/>
              <w:pageBreakBefore w:val="0"/>
              <w:widowControl w:val="0"/>
              <w:kinsoku/>
              <w:wordWrap/>
              <w:overflowPunct/>
              <w:topLinePunct w:val="0"/>
              <w:bidi w:val="0"/>
              <w:adjustRightInd/>
              <w:spacing w:line="240" w:lineRule="auto"/>
              <w:ind w:left="0"/>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374" w:type="pct"/>
            <w:noWrap w:val="0"/>
            <w:vAlign w:val="center"/>
          </w:tcPr>
          <w:p w14:paraId="141E36FA">
            <w:pPr>
              <w:keepNext w:val="0"/>
              <w:keepLines w:val="0"/>
              <w:pageBreakBefore w:val="0"/>
              <w:widowControl w:val="0"/>
              <w:kinsoku/>
              <w:wordWrap/>
              <w:overflowPunct/>
              <w:topLinePunct w:val="0"/>
              <w:bidi w:val="0"/>
              <w:adjustRightInd/>
              <w:spacing w:line="240" w:lineRule="auto"/>
              <w:ind w:lef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14:paraId="66C6D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noWrap w:val="0"/>
            <w:vAlign w:val="center"/>
          </w:tcPr>
          <w:p w14:paraId="34AB62EF">
            <w:pPr>
              <w:keepNext w:val="0"/>
              <w:keepLines w:val="0"/>
              <w:pageBreakBefore w:val="0"/>
              <w:widowControl w:val="0"/>
              <w:kinsoku/>
              <w:wordWrap/>
              <w:overflowPunct/>
              <w:topLinePunct w:val="0"/>
              <w:bidi w:val="0"/>
              <w:adjustRightInd/>
              <w:spacing w:line="240" w:lineRule="auto"/>
              <w:ind w:lef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防雷防静电</w:t>
            </w:r>
          </w:p>
        </w:tc>
      </w:tr>
      <w:tr w14:paraId="040DE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noWrap w:val="0"/>
            <w:vAlign w:val="center"/>
          </w:tcPr>
          <w:p w14:paraId="1330828A">
            <w:pPr>
              <w:keepNext w:val="0"/>
              <w:keepLines w:val="0"/>
              <w:pageBreakBefore w:val="0"/>
              <w:widowControl w:val="0"/>
              <w:numPr>
                <w:ilvl w:val="0"/>
                <w:numId w:val="45"/>
              </w:numPr>
              <w:kinsoku/>
              <w:wordWrap/>
              <w:overflowPunct/>
              <w:topLinePunct w:val="0"/>
              <w:bidi w:val="0"/>
              <w:adjustRightInd/>
              <w:spacing w:line="240" w:lineRule="auto"/>
              <w:ind w:lef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769" w:type="pct"/>
            <w:noWrap w:val="0"/>
            <w:vAlign w:val="center"/>
          </w:tcPr>
          <w:p w14:paraId="72FEB833">
            <w:pPr>
              <w:keepNext w:val="0"/>
              <w:keepLines w:val="0"/>
              <w:pageBreakBefore w:val="0"/>
              <w:widowControl w:val="0"/>
              <w:tabs>
                <w:tab w:val="left" w:pos="2898"/>
              </w:tabs>
              <w:kinsoku/>
              <w:wordWrap/>
              <w:overflowPunct/>
              <w:topLinePunct w:val="0"/>
              <w:bidi w:val="0"/>
              <w:adjustRightInd/>
              <w:spacing w:line="240" w:lineRule="auto"/>
              <w:ind w:lef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化工装置的防雷设计应根据生产性质、环境特点以及被保护设施的类型，设计相应防雷设施。</w:t>
            </w:r>
          </w:p>
        </w:tc>
        <w:tc>
          <w:tcPr>
            <w:tcW w:w="1224" w:type="pct"/>
            <w:noWrap w:val="0"/>
            <w:vAlign w:val="center"/>
          </w:tcPr>
          <w:p w14:paraId="27D73E37">
            <w:pPr>
              <w:keepNext w:val="0"/>
              <w:keepLines w:val="0"/>
              <w:pageBreakBefore w:val="0"/>
              <w:widowControl w:val="0"/>
              <w:tabs>
                <w:tab w:val="left" w:pos="2898"/>
              </w:tabs>
              <w:kinsoku/>
              <w:wordWrap/>
              <w:overflowPunct/>
              <w:topLinePunct w:val="0"/>
              <w:bidi w:val="0"/>
              <w:adjustRightInd/>
              <w:spacing w:line="240" w:lineRule="auto"/>
              <w:ind w:lef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《化工企业安全卫生设计规定》（HG20571-2014）</w:t>
            </w:r>
          </w:p>
          <w:p w14:paraId="0ED6051B">
            <w:pPr>
              <w:keepNext w:val="0"/>
              <w:keepLines w:val="0"/>
              <w:pageBreakBefore w:val="0"/>
              <w:widowControl w:val="0"/>
              <w:kinsoku/>
              <w:wordWrap/>
              <w:overflowPunct/>
              <w:topLinePunct w:val="0"/>
              <w:bidi w:val="0"/>
              <w:adjustRightInd/>
              <w:spacing w:line="240" w:lineRule="auto"/>
              <w:ind w:lef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第4.3.2条</w:t>
            </w:r>
          </w:p>
        </w:tc>
        <w:tc>
          <w:tcPr>
            <w:tcW w:w="1403" w:type="pct"/>
            <w:vMerge w:val="restart"/>
            <w:noWrap w:val="0"/>
            <w:vAlign w:val="center"/>
          </w:tcPr>
          <w:p w14:paraId="5EA175EE">
            <w:pPr>
              <w:keepNext w:val="0"/>
              <w:keepLines w:val="0"/>
              <w:pageBreakBefore w:val="0"/>
              <w:widowControl w:val="0"/>
              <w:kinsoku/>
              <w:wordWrap/>
              <w:overflowPunct/>
              <w:topLinePunct w:val="0"/>
              <w:bidi w:val="0"/>
              <w:adjustRightInd/>
              <w:spacing w:line="240" w:lineRule="auto"/>
              <w:ind w:left="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按照GB50057-2010《建筑防雷设计规范》，本工程公共管廊为第三类防雷建筑物。对于第三类防雷建筑物，其引下线冲击接地电阻不大于30Ω。</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防雷检测报告2025年7月11日出具报告。</w:t>
            </w:r>
          </w:p>
          <w:p w14:paraId="7E8A130A">
            <w:pPr>
              <w:keepNext w:val="0"/>
              <w:keepLines w:val="0"/>
              <w:pageBreakBefore w:val="0"/>
              <w:widowControl w:val="0"/>
              <w:kinsoku/>
              <w:wordWrap/>
              <w:overflowPunct/>
              <w:topLinePunct w:val="0"/>
              <w:bidi w:val="0"/>
              <w:adjustRightInd/>
              <w:spacing w:line="240" w:lineRule="auto"/>
              <w:ind w:left="0"/>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374" w:type="pct"/>
            <w:vMerge w:val="restart"/>
            <w:noWrap w:val="0"/>
            <w:vAlign w:val="center"/>
          </w:tcPr>
          <w:p w14:paraId="7EA19FBE">
            <w:pPr>
              <w:keepNext w:val="0"/>
              <w:keepLines w:val="0"/>
              <w:pageBreakBefore w:val="0"/>
              <w:widowControl w:val="0"/>
              <w:kinsoku/>
              <w:wordWrap/>
              <w:overflowPunct/>
              <w:topLinePunct w:val="0"/>
              <w:bidi w:val="0"/>
              <w:adjustRightInd/>
              <w:spacing w:line="240" w:lineRule="auto"/>
              <w:ind w:left="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14:paraId="484B1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noWrap w:val="0"/>
            <w:vAlign w:val="center"/>
          </w:tcPr>
          <w:p w14:paraId="3FB953B3">
            <w:pPr>
              <w:keepNext w:val="0"/>
              <w:keepLines w:val="0"/>
              <w:pageBreakBefore w:val="0"/>
              <w:widowControl w:val="0"/>
              <w:numPr>
                <w:ilvl w:val="0"/>
                <w:numId w:val="45"/>
              </w:numPr>
              <w:kinsoku/>
              <w:wordWrap/>
              <w:overflowPunct/>
              <w:topLinePunct w:val="0"/>
              <w:bidi w:val="0"/>
              <w:adjustRightInd/>
              <w:spacing w:line="240" w:lineRule="auto"/>
              <w:ind w:lef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769" w:type="pct"/>
            <w:noWrap w:val="0"/>
            <w:vAlign w:val="center"/>
          </w:tcPr>
          <w:p w14:paraId="262AA6DA">
            <w:pPr>
              <w:keepNext w:val="0"/>
              <w:keepLines w:val="0"/>
              <w:pageBreakBefore w:val="0"/>
              <w:widowControl w:val="0"/>
              <w:tabs>
                <w:tab w:val="left" w:pos="2898"/>
              </w:tabs>
              <w:kinsoku/>
              <w:wordWrap/>
              <w:overflowPunct/>
              <w:topLinePunct w:val="0"/>
              <w:bidi w:val="0"/>
              <w:adjustRightInd/>
              <w:spacing w:line="240" w:lineRule="auto"/>
              <w:ind w:lef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各类防雷建筑物应设防直击雷的外部防雷装置，并应采取防闪电电涌侵入的措施。</w:t>
            </w:r>
          </w:p>
        </w:tc>
        <w:tc>
          <w:tcPr>
            <w:tcW w:w="1224" w:type="pct"/>
            <w:noWrap w:val="0"/>
            <w:vAlign w:val="center"/>
          </w:tcPr>
          <w:p w14:paraId="47475B0C">
            <w:pPr>
              <w:keepNext w:val="0"/>
              <w:keepLines w:val="0"/>
              <w:pageBreakBefore w:val="0"/>
              <w:widowControl w:val="0"/>
              <w:tabs>
                <w:tab w:val="left" w:pos="2898"/>
              </w:tabs>
              <w:kinsoku/>
              <w:wordWrap/>
              <w:overflowPunct/>
              <w:topLinePunct w:val="0"/>
              <w:bidi w:val="0"/>
              <w:adjustRightInd/>
              <w:spacing w:line="240" w:lineRule="auto"/>
              <w:ind w:lef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eastAsia="zh-CN"/>
                <w14:textFill>
                  <w14:solidFill>
                    <w14:schemeClr w14:val="tx1"/>
                  </w14:solidFill>
                </w14:textFill>
              </w:rPr>
              <w:t>建筑物防雷设计规范</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eastAsia="zh-CN"/>
                <w14:textFill>
                  <w14:solidFill>
                    <w14:schemeClr w14:val="tx1"/>
                  </w14:solidFill>
                </w14:textFill>
              </w:rPr>
              <w:t>GB 50057-2010</w:t>
            </w:r>
            <w:r>
              <w:rPr>
                <w:rFonts w:hint="default" w:ascii="Times New Roman" w:hAnsi="Times New Roman" w:cs="Times New Roman"/>
                <w:color w:val="000000" w:themeColor="text1"/>
                <w:sz w:val="21"/>
                <w:szCs w:val="21"/>
                <w14:textFill>
                  <w14:solidFill>
                    <w14:schemeClr w14:val="tx1"/>
                  </w14:solidFill>
                </w14:textFill>
              </w:rPr>
              <w:t>）</w:t>
            </w:r>
          </w:p>
          <w:p w14:paraId="719FF2DF">
            <w:pPr>
              <w:keepNext w:val="0"/>
              <w:keepLines w:val="0"/>
              <w:pageBreakBefore w:val="0"/>
              <w:widowControl w:val="0"/>
              <w:tabs>
                <w:tab w:val="left" w:pos="2898"/>
              </w:tabs>
              <w:kinsoku/>
              <w:wordWrap/>
              <w:overflowPunct/>
              <w:topLinePunct w:val="0"/>
              <w:bidi w:val="0"/>
              <w:adjustRightInd/>
              <w:spacing w:line="240" w:lineRule="auto"/>
              <w:ind w:lef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第4.1.1条</w:t>
            </w:r>
          </w:p>
        </w:tc>
        <w:tc>
          <w:tcPr>
            <w:tcW w:w="1403" w:type="pct"/>
            <w:vMerge w:val="continue"/>
            <w:noWrap w:val="0"/>
            <w:vAlign w:val="center"/>
          </w:tcPr>
          <w:p w14:paraId="62761889">
            <w:pPr>
              <w:keepNext w:val="0"/>
              <w:keepLines w:val="0"/>
              <w:pageBreakBefore w:val="0"/>
              <w:widowControl w:val="0"/>
              <w:tabs>
                <w:tab w:val="left" w:pos="2898"/>
              </w:tabs>
              <w:kinsoku/>
              <w:wordWrap/>
              <w:overflowPunct/>
              <w:topLinePunct w:val="0"/>
              <w:bidi w:val="0"/>
              <w:adjustRightInd/>
              <w:spacing w:line="240" w:lineRule="auto"/>
              <w:ind w:left="0"/>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374" w:type="pct"/>
            <w:vMerge w:val="continue"/>
            <w:noWrap w:val="0"/>
            <w:vAlign w:val="center"/>
          </w:tcPr>
          <w:p w14:paraId="3F6F51BE">
            <w:pPr>
              <w:keepNext w:val="0"/>
              <w:keepLines w:val="0"/>
              <w:pageBreakBefore w:val="0"/>
              <w:widowControl w:val="0"/>
              <w:kinsoku/>
              <w:wordWrap/>
              <w:overflowPunct/>
              <w:topLinePunct w:val="0"/>
              <w:bidi w:val="0"/>
              <w:adjustRightInd/>
              <w:spacing w:line="240" w:lineRule="auto"/>
              <w:ind w:lef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14:paraId="11286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noWrap w:val="0"/>
            <w:vAlign w:val="center"/>
          </w:tcPr>
          <w:p w14:paraId="58171CCF">
            <w:pPr>
              <w:keepNext w:val="0"/>
              <w:keepLines w:val="0"/>
              <w:pageBreakBefore w:val="0"/>
              <w:widowControl w:val="0"/>
              <w:numPr>
                <w:ilvl w:val="0"/>
                <w:numId w:val="45"/>
              </w:numPr>
              <w:kinsoku/>
              <w:wordWrap/>
              <w:overflowPunct/>
              <w:topLinePunct w:val="0"/>
              <w:bidi w:val="0"/>
              <w:adjustRightInd/>
              <w:spacing w:line="240" w:lineRule="auto"/>
              <w:ind w:lef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769" w:type="pct"/>
            <w:noWrap w:val="0"/>
            <w:vAlign w:val="center"/>
          </w:tcPr>
          <w:p w14:paraId="58F1B321">
            <w:pPr>
              <w:keepNext w:val="0"/>
              <w:keepLines w:val="0"/>
              <w:pageBreakBefore w:val="0"/>
              <w:widowControl w:val="0"/>
              <w:kinsoku/>
              <w:wordWrap/>
              <w:overflowPunct/>
              <w:topLinePunct w:val="0"/>
              <w:bidi w:val="0"/>
              <w:adjustRightInd/>
              <w:spacing w:line="240" w:lineRule="auto"/>
              <w:ind w:lef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在使用过程中有可能遭受雷击的生产设备，必须采取适当的防护措施，以使雷击时产生的电荷被安全、迅速导入大地。</w:t>
            </w:r>
          </w:p>
        </w:tc>
        <w:tc>
          <w:tcPr>
            <w:tcW w:w="1224" w:type="pct"/>
            <w:noWrap w:val="0"/>
            <w:vAlign w:val="center"/>
          </w:tcPr>
          <w:p w14:paraId="68438637">
            <w:pPr>
              <w:keepNext w:val="0"/>
              <w:keepLines w:val="0"/>
              <w:pageBreakBefore w:val="0"/>
              <w:widowControl w:val="0"/>
              <w:kinsoku/>
              <w:wordWrap/>
              <w:overflowPunct/>
              <w:topLinePunct w:val="0"/>
              <w:bidi w:val="0"/>
              <w:adjustRightInd/>
              <w:spacing w:line="240" w:lineRule="auto"/>
              <w:ind w:lef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《生产设备安全卫生设计总则》（GB5083- </w:t>
            </w:r>
            <w:r>
              <w:rPr>
                <w:rFonts w:hint="eastAsia" w:ascii="Times New Roman" w:cs="Times New Roman"/>
                <w:color w:val="000000" w:themeColor="text1"/>
                <w:sz w:val="21"/>
                <w:szCs w:val="21"/>
                <w:lang w:val="en-US" w:eastAsia="zh-CN"/>
                <w14:textFill>
                  <w14:solidFill>
                    <w14:schemeClr w14:val="tx1"/>
                  </w14:solidFill>
                </w14:textFill>
              </w:rPr>
              <w:t>2023</w:t>
            </w:r>
            <w:r>
              <w:rPr>
                <w:rFonts w:hint="default" w:ascii="Times New Roman" w:hAnsi="Times New Roman" w:cs="Times New Roman"/>
                <w:color w:val="000000" w:themeColor="text1"/>
                <w:sz w:val="21"/>
                <w:szCs w:val="21"/>
                <w14:textFill>
                  <w14:solidFill>
                    <w14:schemeClr w14:val="tx1"/>
                  </w14:solidFill>
                </w14:textFill>
              </w:rPr>
              <w:t>）第6.10条</w:t>
            </w:r>
          </w:p>
        </w:tc>
        <w:tc>
          <w:tcPr>
            <w:tcW w:w="1403" w:type="pct"/>
            <w:vMerge w:val="continue"/>
            <w:noWrap w:val="0"/>
            <w:vAlign w:val="center"/>
          </w:tcPr>
          <w:p w14:paraId="46E38D9D">
            <w:pPr>
              <w:keepNext w:val="0"/>
              <w:keepLines w:val="0"/>
              <w:pageBreakBefore w:val="0"/>
              <w:widowControl w:val="0"/>
              <w:tabs>
                <w:tab w:val="left" w:pos="2898"/>
              </w:tabs>
              <w:kinsoku/>
              <w:wordWrap/>
              <w:overflowPunct/>
              <w:topLinePunct w:val="0"/>
              <w:bidi w:val="0"/>
              <w:adjustRightInd/>
              <w:spacing w:line="240" w:lineRule="auto"/>
              <w:ind w:left="0"/>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374" w:type="pct"/>
            <w:vMerge w:val="continue"/>
            <w:noWrap w:val="0"/>
            <w:vAlign w:val="center"/>
          </w:tcPr>
          <w:p w14:paraId="149E7A71">
            <w:pPr>
              <w:keepNext w:val="0"/>
              <w:keepLines w:val="0"/>
              <w:pageBreakBefore w:val="0"/>
              <w:widowControl w:val="0"/>
              <w:kinsoku/>
              <w:wordWrap/>
              <w:overflowPunct/>
              <w:topLinePunct w:val="0"/>
              <w:bidi w:val="0"/>
              <w:adjustRightInd/>
              <w:spacing w:line="240" w:lineRule="auto"/>
              <w:ind w:lef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14:paraId="02878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noWrap w:val="0"/>
            <w:vAlign w:val="center"/>
          </w:tcPr>
          <w:p w14:paraId="4121F912">
            <w:pPr>
              <w:keepNext w:val="0"/>
              <w:keepLines w:val="0"/>
              <w:pageBreakBefore w:val="0"/>
              <w:widowControl w:val="0"/>
              <w:kinsoku/>
              <w:wordWrap/>
              <w:overflowPunct/>
              <w:topLinePunct w:val="0"/>
              <w:bidi w:val="0"/>
              <w:adjustRightInd/>
              <w:spacing w:line="240" w:lineRule="auto"/>
              <w:ind w:lef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防化学腐蚀、化学灼伤</w:t>
            </w:r>
          </w:p>
        </w:tc>
      </w:tr>
      <w:tr w14:paraId="66FCE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noWrap w:val="0"/>
            <w:vAlign w:val="center"/>
          </w:tcPr>
          <w:p w14:paraId="07C8B30D">
            <w:pPr>
              <w:keepNext w:val="0"/>
              <w:keepLines w:val="0"/>
              <w:pageBreakBefore w:val="0"/>
              <w:widowControl w:val="0"/>
              <w:numPr>
                <w:ilvl w:val="0"/>
                <w:numId w:val="45"/>
              </w:numPr>
              <w:kinsoku/>
              <w:wordWrap/>
              <w:overflowPunct/>
              <w:topLinePunct w:val="0"/>
              <w:bidi w:val="0"/>
              <w:adjustRightInd/>
              <w:spacing w:line="240" w:lineRule="auto"/>
              <w:ind w:lef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769" w:type="pct"/>
            <w:noWrap w:val="0"/>
            <w:vAlign w:val="center"/>
          </w:tcPr>
          <w:p w14:paraId="728EFF7F">
            <w:pPr>
              <w:keepNext w:val="0"/>
              <w:keepLines w:val="0"/>
              <w:pageBreakBefore w:val="0"/>
              <w:widowControl w:val="0"/>
              <w:tabs>
                <w:tab w:val="left" w:pos="2898"/>
              </w:tabs>
              <w:kinsoku/>
              <w:wordWrap/>
              <w:overflowPunct/>
              <w:topLinePunct w:val="0"/>
              <w:bidi w:val="0"/>
              <w:adjustRightInd/>
              <w:spacing w:line="240" w:lineRule="auto"/>
              <w:ind w:lef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具有化学灼伤危险的生产装置，其设备布置应保证作业场所有足够空间，并保证作业场所畅通，避免交叉作业。如果交叉作业不可避免，在危险作业点应采取避免化学灼伤危险的防护措施。</w:t>
            </w:r>
          </w:p>
        </w:tc>
        <w:tc>
          <w:tcPr>
            <w:tcW w:w="1224" w:type="pct"/>
            <w:noWrap w:val="0"/>
            <w:vAlign w:val="center"/>
          </w:tcPr>
          <w:p w14:paraId="331C80FF">
            <w:pPr>
              <w:keepNext w:val="0"/>
              <w:keepLines w:val="0"/>
              <w:pageBreakBefore w:val="0"/>
              <w:widowControl w:val="0"/>
              <w:tabs>
                <w:tab w:val="left" w:pos="2898"/>
              </w:tabs>
              <w:kinsoku/>
              <w:wordWrap/>
              <w:overflowPunct/>
              <w:topLinePunct w:val="0"/>
              <w:bidi w:val="0"/>
              <w:adjustRightInd/>
              <w:spacing w:line="240" w:lineRule="auto"/>
              <w:ind w:lef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《化工企业安全卫生设计规范》（HG20571-2014）第5.6.3条</w:t>
            </w:r>
          </w:p>
        </w:tc>
        <w:tc>
          <w:tcPr>
            <w:tcW w:w="1403" w:type="pct"/>
            <w:noWrap w:val="0"/>
            <w:vAlign w:val="center"/>
          </w:tcPr>
          <w:p w14:paraId="24264AB3">
            <w:pPr>
              <w:keepNext w:val="0"/>
              <w:keepLines w:val="0"/>
              <w:pageBreakBefore w:val="0"/>
              <w:widowControl w:val="0"/>
              <w:kinsoku/>
              <w:wordWrap/>
              <w:overflowPunct/>
              <w:topLinePunct w:val="0"/>
              <w:bidi w:val="0"/>
              <w:adjustRightInd/>
              <w:spacing w:line="240" w:lineRule="auto"/>
              <w:ind w:lef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有关工艺设备及管道采用耐腐蚀材料制造；高温设备和管道采取隔热处理。</w:t>
            </w:r>
          </w:p>
        </w:tc>
        <w:tc>
          <w:tcPr>
            <w:tcW w:w="374" w:type="pct"/>
            <w:noWrap w:val="0"/>
            <w:vAlign w:val="center"/>
          </w:tcPr>
          <w:p w14:paraId="5B4C210A">
            <w:pPr>
              <w:keepNext w:val="0"/>
              <w:keepLines w:val="0"/>
              <w:pageBreakBefore w:val="0"/>
              <w:widowControl w:val="0"/>
              <w:kinsoku/>
              <w:wordWrap/>
              <w:overflowPunct/>
              <w:topLinePunct w:val="0"/>
              <w:bidi w:val="0"/>
              <w:adjustRightInd/>
              <w:spacing w:line="240" w:lineRule="auto"/>
              <w:ind w:lef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2307D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noWrap w:val="0"/>
            <w:vAlign w:val="center"/>
          </w:tcPr>
          <w:p w14:paraId="28CFD44B">
            <w:pPr>
              <w:keepNext w:val="0"/>
              <w:keepLines w:val="0"/>
              <w:pageBreakBefore w:val="0"/>
              <w:widowControl w:val="0"/>
              <w:kinsoku/>
              <w:wordWrap/>
              <w:overflowPunct/>
              <w:topLinePunct w:val="0"/>
              <w:bidi w:val="0"/>
              <w:adjustRightInd/>
              <w:spacing w:line="240" w:lineRule="auto"/>
              <w:ind w:lef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防灼烫设施</w:t>
            </w:r>
          </w:p>
        </w:tc>
      </w:tr>
      <w:tr w14:paraId="31C6C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noWrap w:val="0"/>
            <w:vAlign w:val="center"/>
          </w:tcPr>
          <w:p w14:paraId="41BCBBA8">
            <w:pPr>
              <w:keepNext w:val="0"/>
              <w:keepLines w:val="0"/>
              <w:pageBreakBefore w:val="0"/>
              <w:widowControl w:val="0"/>
              <w:numPr>
                <w:ilvl w:val="0"/>
                <w:numId w:val="45"/>
              </w:numPr>
              <w:kinsoku/>
              <w:wordWrap/>
              <w:overflowPunct/>
              <w:topLinePunct w:val="0"/>
              <w:bidi w:val="0"/>
              <w:adjustRightInd/>
              <w:spacing w:line="240" w:lineRule="auto"/>
              <w:ind w:lef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769" w:type="pct"/>
            <w:noWrap w:val="0"/>
            <w:vAlign w:val="center"/>
          </w:tcPr>
          <w:p w14:paraId="4463BF53">
            <w:pPr>
              <w:keepNext w:val="0"/>
              <w:keepLines w:val="0"/>
              <w:pageBreakBefore w:val="0"/>
              <w:widowControl w:val="0"/>
              <w:kinsoku/>
              <w:wordWrap/>
              <w:overflowPunct/>
              <w:topLinePunct w:val="0"/>
              <w:bidi w:val="0"/>
              <w:adjustRightInd/>
              <w:spacing w:line="240" w:lineRule="auto"/>
              <w:ind w:lef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若生产设备的灼热或过冷部位可能造成危险，则必须配置防接触屏蔽。</w:t>
            </w:r>
          </w:p>
        </w:tc>
        <w:tc>
          <w:tcPr>
            <w:tcW w:w="1224" w:type="pct"/>
            <w:noWrap w:val="0"/>
            <w:vAlign w:val="center"/>
          </w:tcPr>
          <w:p w14:paraId="4D732409">
            <w:pPr>
              <w:keepNext w:val="0"/>
              <w:keepLines w:val="0"/>
              <w:pageBreakBefore w:val="0"/>
              <w:widowControl w:val="0"/>
              <w:kinsoku/>
              <w:wordWrap/>
              <w:overflowPunct/>
              <w:topLinePunct w:val="0"/>
              <w:bidi w:val="0"/>
              <w:adjustRightInd/>
              <w:spacing w:line="240" w:lineRule="auto"/>
              <w:ind w:lef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《生产设备安全卫生设计总则》（</w:t>
            </w:r>
            <w:r>
              <w:rPr>
                <w:rFonts w:hint="eastAsia" w:ascii="Times New Roman" w:cs="Times New Roman"/>
                <w:color w:val="000000" w:themeColor="text1"/>
                <w:sz w:val="21"/>
                <w:szCs w:val="21"/>
                <w:lang w:eastAsia="zh-CN" w:bidi="ar"/>
                <w14:textFill>
                  <w14:solidFill>
                    <w14:schemeClr w14:val="tx1"/>
                  </w14:solidFill>
                </w14:textFill>
              </w:rPr>
              <w:t>GB5083-2023</w:t>
            </w:r>
            <w:r>
              <w:rPr>
                <w:rFonts w:hint="default" w:ascii="Times New Roman" w:hAnsi="Times New Roman" w:cs="Times New Roman"/>
                <w:color w:val="000000" w:themeColor="text1"/>
                <w:sz w:val="21"/>
                <w:szCs w:val="21"/>
                <w:lang w:bidi="ar"/>
                <w14:textFill>
                  <w14:solidFill>
                    <w14:schemeClr w14:val="tx1"/>
                  </w14:solidFill>
                </w14:textFill>
              </w:rPr>
              <w:t>）</w:t>
            </w:r>
          </w:p>
          <w:p w14:paraId="69C41337">
            <w:pPr>
              <w:keepNext w:val="0"/>
              <w:keepLines w:val="0"/>
              <w:pageBreakBefore w:val="0"/>
              <w:widowControl w:val="0"/>
              <w:kinsoku/>
              <w:wordWrap/>
              <w:overflowPunct/>
              <w:topLinePunct w:val="0"/>
              <w:bidi w:val="0"/>
              <w:adjustRightInd/>
              <w:spacing w:line="240" w:lineRule="auto"/>
              <w:ind w:lef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第6.3条</w:t>
            </w:r>
          </w:p>
        </w:tc>
        <w:tc>
          <w:tcPr>
            <w:tcW w:w="1403" w:type="pct"/>
            <w:noWrap w:val="0"/>
            <w:vAlign w:val="center"/>
          </w:tcPr>
          <w:p w14:paraId="3C94C73A">
            <w:pPr>
              <w:keepNext w:val="0"/>
              <w:keepLines w:val="0"/>
              <w:pageBreakBefore w:val="0"/>
              <w:widowControl w:val="0"/>
              <w:kinsoku/>
              <w:wordWrap/>
              <w:overflowPunct/>
              <w:topLinePunct w:val="0"/>
              <w:bidi w:val="0"/>
              <w:adjustRightInd/>
              <w:spacing w:line="240" w:lineRule="auto"/>
              <w:ind w:lef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各设备、高温管道、设备处设保温层。</w:t>
            </w:r>
          </w:p>
        </w:tc>
        <w:tc>
          <w:tcPr>
            <w:tcW w:w="374" w:type="pct"/>
            <w:noWrap w:val="0"/>
            <w:vAlign w:val="center"/>
          </w:tcPr>
          <w:p w14:paraId="16D61116">
            <w:pPr>
              <w:keepNext w:val="0"/>
              <w:keepLines w:val="0"/>
              <w:pageBreakBefore w:val="0"/>
              <w:widowControl w:val="0"/>
              <w:kinsoku/>
              <w:wordWrap/>
              <w:overflowPunct/>
              <w:topLinePunct w:val="0"/>
              <w:bidi w:val="0"/>
              <w:adjustRightInd/>
              <w:spacing w:line="240" w:lineRule="auto"/>
              <w:ind w:lef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bl>
    <w:p w14:paraId="44C89B30">
      <w:pPr>
        <w:adjustRightInd w:val="0"/>
        <w:snapToGrid w:val="0"/>
        <w:spacing w:line="500" w:lineRule="exact"/>
        <w:ind w:firstLine="560" w:firstLineChars="200"/>
        <w:rPr>
          <w:rFonts w:hint="default" w:ascii="Times New Roman" w:hAnsi="Times New Roman" w:eastAsia="宋体" w:cs="Times New Roman"/>
          <w:snapToGrid w:val="0"/>
          <w:color w:val="000000"/>
          <w:sz w:val="28"/>
          <w:szCs w:val="28"/>
          <w:lang w:val="en-US" w:eastAsia="zh-CN" w:bidi="ar"/>
        </w:rPr>
      </w:pPr>
      <w:r>
        <w:rPr>
          <w:rFonts w:hint="default" w:ascii="Times New Roman" w:hAnsi="Times New Roman" w:eastAsia="宋体" w:cs="Times New Roman"/>
          <w:snapToGrid w:val="0"/>
          <w:color w:val="000000"/>
          <w:sz w:val="28"/>
          <w:szCs w:val="28"/>
          <w:lang w:val="en-US" w:eastAsia="zh-CN" w:bidi="ar"/>
        </w:rPr>
        <w:t>检查结果：</w:t>
      </w:r>
    </w:p>
    <w:p w14:paraId="56A850B7">
      <w:pPr>
        <w:adjustRightInd w:val="0"/>
        <w:snapToGrid w:val="0"/>
        <w:spacing w:line="500" w:lineRule="exact"/>
        <w:ind w:firstLine="560" w:firstLineChars="200"/>
        <w:rPr>
          <w:rFonts w:hint="default" w:ascii="Times New Roman" w:hAnsi="Times New Roman" w:eastAsia="宋体" w:cs="Times New Roman"/>
          <w:snapToGrid w:val="0"/>
          <w:color w:val="000000"/>
          <w:sz w:val="28"/>
          <w:szCs w:val="28"/>
          <w:lang w:eastAsia="zh-CN" w:bidi="ar"/>
        </w:rPr>
      </w:pPr>
      <w:r>
        <w:rPr>
          <w:rFonts w:hint="default" w:ascii="Times New Roman" w:hAnsi="Times New Roman" w:eastAsia="宋体" w:cs="Times New Roman"/>
          <w:snapToGrid w:val="0"/>
          <w:color w:val="000000"/>
          <w:sz w:val="28"/>
          <w:szCs w:val="28"/>
          <w:lang w:val="en-US" w:eastAsia="zh-CN" w:bidi="ar"/>
        </w:rPr>
        <w:t>本项目安全设施基本符合</w:t>
      </w:r>
      <w:r>
        <w:rPr>
          <w:rFonts w:hint="default" w:ascii="Times New Roman" w:hAnsi="Times New Roman" w:eastAsia="宋体" w:cs="Times New Roman"/>
          <w:snapToGrid w:val="0"/>
          <w:color w:val="000000"/>
          <w:sz w:val="28"/>
          <w:szCs w:val="28"/>
          <w:lang w:eastAsia="zh-CN" w:bidi="ar"/>
        </w:rPr>
        <w:t>《化学品作业场所安全警示标志规范》（AQ 3047-2013）、</w:t>
      </w:r>
      <w:r>
        <w:rPr>
          <w:rFonts w:hint="eastAsia" w:ascii="Times New Roman" w:hAnsi="Times New Roman" w:eastAsia="宋体" w:cs="Times New Roman"/>
          <w:snapToGrid w:val="0"/>
          <w:color w:val="000000"/>
          <w:sz w:val="28"/>
          <w:szCs w:val="28"/>
          <w:lang w:val="en-US" w:eastAsia="zh-CN" w:bidi="ar"/>
        </w:rPr>
        <w:t>《安全色和安全标志》（GB2894-2025）、</w:t>
      </w:r>
      <w:r>
        <w:rPr>
          <w:rFonts w:hint="default" w:ascii="Times New Roman" w:hAnsi="Times New Roman" w:eastAsia="宋体" w:cs="Times New Roman"/>
          <w:snapToGrid w:val="0"/>
          <w:color w:val="000000"/>
          <w:sz w:val="28"/>
          <w:szCs w:val="28"/>
          <w:lang w:eastAsia="zh-CN" w:bidi="ar"/>
        </w:rPr>
        <w:t>《生产设备安全卫生设计总则》（</w:t>
      </w:r>
      <w:r>
        <w:rPr>
          <w:rFonts w:hint="eastAsia" w:ascii="Times New Roman" w:hAnsi="Times New Roman" w:eastAsia="宋体" w:cs="Times New Roman"/>
          <w:snapToGrid w:val="0"/>
          <w:color w:val="000000"/>
          <w:sz w:val="28"/>
          <w:szCs w:val="28"/>
          <w:lang w:eastAsia="zh-CN" w:bidi="ar"/>
        </w:rPr>
        <w:t>GB5083-2023</w:t>
      </w:r>
      <w:r>
        <w:rPr>
          <w:rFonts w:hint="default" w:ascii="Times New Roman" w:hAnsi="Times New Roman" w:eastAsia="宋体" w:cs="Times New Roman"/>
          <w:snapToGrid w:val="0"/>
          <w:color w:val="000000"/>
          <w:sz w:val="28"/>
          <w:szCs w:val="28"/>
          <w:lang w:eastAsia="zh-CN" w:bidi="ar"/>
        </w:rPr>
        <w:t>）、《生产过程安全卫生要求总则》（GB/T12801-2008）、《机械安全防护装置固定式和活动式防护装置设计与制造一般要求》（GB/T8196-2018）等标准、规范的要求。</w:t>
      </w:r>
    </w:p>
    <w:p w14:paraId="5B8A150F">
      <w:pPr>
        <w:pStyle w:val="5"/>
        <w:keepNext/>
        <w:keepLines/>
        <w:pageBreakBefore w:val="0"/>
        <w:widowControl w:val="0"/>
        <w:numPr>
          <w:ilvl w:val="2"/>
          <w:numId w:val="0"/>
        </w:numPr>
        <w:kinsoku/>
        <w:wordWrap/>
        <w:overflowPunct/>
        <w:topLinePunct w:val="0"/>
        <w:autoSpaceDE/>
        <w:autoSpaceDN/>
        <w:bidi w:val="0"/>
        <w:adjustRightInd/>
        <w:snapToGrid w:val="0"/>
        <w:spacing w:line="360" w:lineRule="auto"/>
        <w:ind w:leftChars="100"/>
        <w:textAlignment w:val="auto"/>
        <w:rPr>
          <w:rFonts w:hint="eastAsia" w:ascii="Times New Roman" w:hAnsi="Times New Roman" w:cs="Times New Roman"/>
          <w:snapToGrid w:val="0"/>
          <w:color w:val="000000"/>
          <w:kern w:val="0"/>
          <w:sz w:val="32"/>
          <w:lang w:val="en-US" w:eastAsia="zh-CN"/>
        </w:rPr>
      </w:pPr>
      <w:bookmarkStart w:id="1104" w:name="_Toc18143"/>
      <w:r>
        <w:rPr>
          <w:rFonts w:hint="eastAsia" w:ascii="Times New Roman" w:hAnsi="Times New Roman" w:cs="Times New Roman"/>
          <w:snapToGrid w:val="0"/>
          <w:color w:val="000000"/>
          <w:kern w:val="0"/>
          <w:sz w:val="32"/>
          <w:lang w:val="en-US" w:eastAsia="zh-CN"/>
        </w:rPr>
        <w:t>3.2.5公用工程分析评价</w:t>
      </w:r>
      <w:bookmarkEnd w:id="1103"/>
      <w:bookmarkEnd w:id="1104"/>
    </w:p>
    <w:p w14:paraId="19943C3F">
      <w:pPr>
        <w:ind w:firstLine="560" w:firstLineChars="200"/>
        <w:rPr>
          <w:rFonts w:hint="eastAsia" w:ascii="Times New Roman" w:hAnsi="Times New Roman"/>
          <w:color w:val="auto"/>
          <w:sz w:val="28"/>
          <w:szCs w:val="28"/>
        </w:rPr>
      </w:pPr>
      <w:r>
        <w:rPr>
          <w:rFonts w:hint="eastAsia" w:ascii="Times New Roman" w:hAnsi="Times New Roman"/>
          <w:color w:val="auto"/>
          <w:sz w:val="28"/>
          <w:szCs w:val="28"/>
        </w:rPr>
        <w:t>1、检维修</w:t>
      </w:r>
    </w:p>
    <w:p w14:paraId="09168E48">
      <w:pPr>
        <w:ind w:firstLine="560" w:firstLineChars="200"/>
        <w:rPr>
          <w:rFonts w:hint="eastAsia" w:ascii="Times New Roman" w:hAnsi="Times New Roman"/>
          <w:color w:val="auto"/>
          <w:sz w:val="28"/>
          <w:szCs w:val="28"/>
        </w:rPr>
      </w:pPr>
      <w:r>
        <w:rPr>
          <w:rFonts w:hint="eastAsia" w:ascii="Times New Roman" w:hAnsi="Times New Roman"/>
          <w:color w:val="auto"/>
          <w:sz w:val="28"/>
          <w:szCs w:val="28"/>
        </w:rPr>
        <w:t>云南瓮福祥丰氟硅新材料有限公司3万吨/年无水氟化氢和2万吨/年电子级氢氟酸厂外公用工程外管廊依托云南瓮福祥丰氟硅新材料有限公司进行检维修工作，本项目不再设检维修车间</w:t>
      </w:r>
      <w:r>
        <w:rPr>
          <w:rFonts w:hint="eastAsia" w:ascii="Times New Roman" w:hAnsi="Times New Roman"/>
          <w:color w:val="auto"/>
          <w:sz w:val="28"/>
          <w:szCs w:val="28"/>
          <w:lang w:eastAsia="zh-CN"/>
        </w:rPr>
        <w:t>，</w:t>
      </w:r>
      <w:r>
        <w:rPr>
          <w:rFonts w:hint="eastAsia" w:ascii="Times New Roman" w:hAnsi="Times New Roman"/>
          <w:color w:val="auto"/>
          <w:sz w:val="28"/>
          <w:szCs w:val="28"/>
          <w:lang w:val="en-US" w:eastAsia="zh-CN"/>
        </w:rPr>
        <w:t>检维修有保障</w:t>
      </w:r>
      <w:r>
        <w:rPr>
          <w:rFonts w:hint="eastAsia" w:ascii="Times New Roman" w:hAnsi="Times New Roman"/>
          <w:color w:val="auto"/>
          <w:sz w:val="28"/>
          <w:szCs w:val="28"/>
        </w:rPr>
        <w:t>。</w:t>
      </w:r>
    </w:p>
    <w:p w14:paraId="020251CF">
      <w:pPr>
        <w:ind w:firstLine="560" w:firstLineChars="200"/>
        <w:rPr>
          <w:rFonts w:hint="eastAsia" w:ascii="Times New Roman" w:hAnsi="Times New Roman"/>
          <w:color w:val="auto"/>
          <w:sz w:val="28"/>
          <w:szCs w:val="28"/>
        </w:rPr>
      </w:pPr>
      <w:r>
        <w:rPr>
          <w:rFonts w:hint="eastAsia" w:ascii="Times New Roman" w:hAnsi="Times New Roman"/>
          <w:color w:val="auto"/>
          <w:sz w:val="28"/>
          <w:szCs w:val="28"/>
        </w:rPr>
        <w:t>2、分析化验</w:t>
      </w:r>
    </w:p>
    <w:p w14:paraId="4549B2DD">
      <w:pPr>
        <w:ind w:firstLine="560" w:firstLineChars="200"/>
        <w:rPr>
          <w:rFonts w:hint="eastAsia" w:ascii="Times New Roman" w:hAnsi="Times New Roman"/>
          <w:color w:val="auto"/>
          <w:sz w:val="28"/>
          <w:szCs w:val="28"/>
        </w:rPr>
      </w:pPr>
      <w:r>
        <w:rPr>
          <w:rFonts w:hint="eastAsia" w:ascii="Times New Roman" w:hAnsi="Times New Roman"/>
          <w:color w:val="auto"/>
          <w:sz w:val="28"/>
          <w:szCs w:val="28"/>
        </w:rPr>
        <w:t>云南瓮福祥丰氟硅新材料有限公司3万吨/年无水氟化氢和2万吨/年电子级氢氟酸厂外公用工程外管廊依托云南瓮福祥丰氟硅新材料有限公司分析化验室</w:t>
      </w:r>
      <w:r>
        <w:rPr>
          <w:rFonts w:hint="eastAsia" w:ascii="Times New Roman" w:hAnsi="Times New Roman"/>
          <w:color w:val="auto"/>
          <w:sz w:val="28"/>
          <w:szCs w:val="28"/>
          <w:lang w:eastAsia="zh-CN"/>
        </w:rPr>
        <w:t>，</w:t>
      </w:r>
      <w:r>
        <w:rPr>
          <w:rFonts w:hint="eastAsia" w:ascii="Times New Roman" w:hAnsi="Times New Roman"/>
          <w:color w:val="auto"/>
          <w:sz w:val="28"/>
          <w:szCs w:val="28"/>
          <w:lang w:val="en-US" w:eastAsia="zh-CN"/>
        </w:rPr>
        <w:t>能满足本项目分析化验的要求</w:t>
      </w:r>
      <w:r>
        <w:rPr>
          <w:rFonts w:hint="eastAsia" w:ascii="Times New Roman" w:hAnsi="Times New Roman"/>
          <w:color w:val="auto"/>
          <w:sz w:val="28"/>
          <w:szCs w:val="28"/>
        </w:rPr>
        <w:t>。</w:t>
      </w:r>
    </w:p>
    <w:p w14:paraId="3ECAEA83">
      <w:pPr>
        <w:ind w:firstLine="560" w:firstLineChars="200"/>
        <w:rPr>
          <w:rFonts w:hint="eastAsia" w:ascii="Times New Roman" w:hAnsi="Times New Roman"/>
          <w:color w:val="auto"/>
          <w:sz w:val="28"/>
          <w:szCs w:val="28"/>
        </w:rPr>
      </w:pPr>
      <w:r>
        <w:rPr>
          <w:rFonts w:hint="eastAsia" w:ascii="Times New Roman" w:hAnsi="Times New Roman"/>
          <w:color w:val="auto"/>
          <w:sz w:val="28"/>
          <w:szCs w:val="28"/>
        </w:rPr>
        <w:t>3、供配电</w:t>
      </w:r>
    </w:p>
    <w:p w14:paraId="294682E2">
      <w:pPr>
        <w:ind w:firstLine="560" w:firstLineChars="200"/>
        <w:rPr>
          <w:rFonts w:hint="eastAsia" w:ascii="Times New Roman" w:hAnsi="Times New Roman"/>
          <w:color w:val="auto"/>
          <w:sz w:val="28"/>
          <w:szCs w:val="28"/>
        </w:rPr>
      </w:pPr>
      <w:r>
        <w:rPr>
          <w:rFonts w:hint="eastAsia" w:ascii="Times New Roman" w:hAnsi="Times New Roman"/>
          <w:color w:val="auto"/>
          <w:sz w:val="28"/>
          <w:szCs w:val="28"/>
        </w:rPr>
        <w:t>云南瓮福祥丰氟硅新材料有限公司3万吨/年无水氟化氢和2万吨/年电子级氢氟酸厂外公用工程外管廊工艺物料输送在云南祥丰金麦化工有限公司磷酸厂区设置</w:t>
      </w:r>
      <w:r>
        <w:rPr>
          <w:rFonts w:hint="eastAsia" w:ascii="Times New Roman" w:hAnsi="Times New Roman"/>
          <w:color w:val="auto"/>
          <w:sz w:val="28"/>
          <w:szCs w:val="28"/>
          <w:lang w:val="en-US" w:eastAsia="zh-CN"/>
        </w:rPr>
        <w:t>4</w:t>
      </w:r>
      <w:r>
        <w:rPr>
          <w:rFonts w:hint="eastAsia" w:ascii="Times New Roman" w:hAnsi="Times New Roman"/>
          <w:color w:val="auto"/>
          <w:sz w:val="28"/>
          <w:szCs w:val="28"/>
        </w:rPr>
        <w:t>台泵</w:t>
      </w:r>
      <w:r>
        <w:rPr>
          <w:rFonts w:hint="eastAsia" w:ascii="Times New Roman" w:hAnsi="Times New Roman"/>
          <w:color w:val="auto"/>
          <w:sz w:val="28"/>
          <w:szCs w:val="28"/>
          <w:lang w:eastAsia="zh-CN"/>
        </w:rPr>
        <w:t>（</w:t>
      </w:r>
      <w:r>
        <w:rPr>
          <w:rFonts w:hint="eastAsia" w:ascii="Times New Roman" w:hAnsi="Times New Roman"/>
          <w:color w:val="auto"/>
          <w:sz w:val="28"/>
          <w:szCs w:val="28"/>
          <w:lang w:val="en-US" w:eastAsia="zh-CN"/>
        </w:rPr>
        <w:t>2台氟硅酸泵和2台浓硫酸泵</w:t>
      </w:r>
      <w:r>
        <w:rPr>
          <w:rFonts w:hint="eastAsia" w:ascii="Times New Roman" w:hAnsi="Times New Roman"/>
          <w:color w:val="auto"/>
          <w:sz w:val="28"/>
          <w:szCs w:val="28"/>
          <w:lang w:eastAsia="zh-CN"/>
        </w:rPr>
        <w:t>）</w:t>
      </w:r>
      <w:r>
        <w:rPr>
          <w:rFonts w:hint="eastAsia" w:ascii="Times New Roman" w:hAnsi="Times New Roman"/>
          <w:color w:val="auto"/>
          <w:sz w:val="28"/>
          <w:szCs w:val="28"/>
        </w:rPr>
        <w:t>，这</w:t>
      </w:r>
      <w:r>
        <w:rPr>
          <w:rFonts w:hint="eastAsia" w:ascii="Times New Roman" w:hAnsi="Times New Roman"/>
          <w:color w:val="auto"/>
          <w:sz w:val="28"/>
          <w:szCs w:val="28"/>
          <w:lang w:val="en-US" w:eastAsia="zh-CN"/>
        </w:rPr>
        <w:t>4</w:t>
      </w:r>
      <w:r>
        <w:rPr>
          <w:rFonts w:hint="eastAsia" w:ascii="Times New Roman" w:hAnsi="Times New Roman"/>
          <w:color w:val="auto"/>
          <w:sz w:val="28"/>
          <w:szCs w:val="28"/>
        </w:rPr>
        <w:t>台泵的供电依托云南祥丰金麦化工有限公司原有供电设施；在云南瓮福祥丰氟硅新材料有限公司设置6台泵</w:t>
      </w:r>
      <w:r>
        <w:rPr>
          <w:rFonts w:hint="eastAsia" w:ascii="Times New Roman" w:hAnsi="Times New Roman"/>
          <w:color w:val="auto"/>
          <w:sz w:val="28"/>
          <w:szCs w:val="28"/>
          <w:lang w:eastAsia="zh-CN"/>
        </w:rPr>
        <w:t>（2台稀硫酸泵、2台过滤机洗水泵和2台渣浆水泵），</w:t>
      </w:r>
      <w:r>
        <w:rPr>
          <w:rFonts w:hint="eastAsia" w:ascii="Times New Roman" w:hAnsi="Times New Roman"/>
          <w:color w:val="auto"/>
          <w:sz w:val="28"/>
          <w:szCs w:val="28"/>
        </w:rPr>
        <w:t>这6台泵的供电依托云南瓮福祥丰氟硅新材料有限公司的供电设施</w:t>
      </w:r>
      <w:r>
        <w:rPr>
          <w:rFonts w:hint="eastAsia" w:ascii="Times New Roman" w:hAnsi="Times New Roman"/>
          <w:color w:val="auto"/>
          <w:sz w:val="28"/>
          <w:szCs w:val="28"/>
          <w:lang w:eastAsia="zh-CN"/>
        </w:rPr>
        <w:t>，</w:t>
      </w:r>
      <w:r>
        <w:rPr>
          <w:rFonts w:hint="eastAsia" w:ascii="Times New Roman" w:hAnsi="Times New Roman"/>
          <w:color w:val="auto"/>
          <w:sz w:val="28"/>
          <w:szCs w:val="28"/>
          <w:lang w:val="en-US" w:eastAsia="zh-CN"/>
        </w:rPr>
        <w:t>供电有保障</w:t>
      </w:r>
      <w:r>
        <w:rPr>
          <w:rFonts w:hint="eastAsia" w:ascii="Times New Roman" w:hAnsi="Times New Roman"/>
          <w:color w:val="auto"/>
          <w:sz w:val="28"/>
          <w:szCs w:val="28"/>
        </w:rPr>
        <w:t>。</w:t>
      </w:r>
    </w:p>
    <w:p w14:paraId="7D064B8A">
      <w:pPr>
        <w:ind w:firstLine="560" w:firstLineChars="200"/>
        <w:rPr>
          <w:rFonts w:hint="eastAsia" w:ascii="Times New Roman" w:hAnsi="Times New Roman"/>
          <w:color w:val="auto"/>
          <w:sz w:val="28"/>
          <w:szCs w:val="28"/>
        </w:rPr>
      </w:pPr>
      <w:r>
        <w:rPr>
          <w:rFonts w:hint="eastAsia" w:ascii="Times New Roman" w:hAnsi="Times New Roman"/>
          <w:color w:val="auto"/>
          <w:sz w:val="28"/>
          <w:szCs w:val="28"/>
        </w:rPr>
        <w:t>4、消防水源</w:t>
      </w:r>
    </w:p>
    <w:p w14:paraId="2BB88482">
      <w:pPr>
        <w:ind w:firstLine="560" w:firstLineChars="200"/>
        <w:rPr>
          <w:rFonts w:hint="eastAsia" w:ascii="Times New Roman" w:hAnsi="Times New Roman"/>
          <w:color w:val="auto"/>
          <w:sz w:val="28"/>
          <w:szCs w:val="28"/>
        </w:rPr>
      </w:pPr>
      <w:r>
        <w:rPr>
          <w:rFonts w:hint="eastAsia" w:ascii="Times New Roman" w:hAnsi="Times New Roman"/>
          <w:color w:val="auto"/>
          <w:sz w:val="28"/>
          <w:szCs w:val="28"/>
        </w:rPr>
        <w:t>本项目的消防水源及泵房依托云南祥丰石化有限公司消防水源及泵房，本项目的消防水加压和储存设施依托该泵房，不再新建</w:t>
      </w:r>
      <w:r>
        <w:rPr>
          <w:rFonts w:hint="eastAsia" w:ascii="Times New Roman" w:hAnsi="Times New Roman"/>
          <w:color w:val="auto"/>
          <w:sz w:val="28"/>
          <w:szCs w:val="28"/>
          <w:lang w:eastAsia="zh-CN"/>
        </w:rPr>
        <w:t>，</w:t>
      </w:r>
      <w:r>
        <w:rPr>
          <w:rFonts w:hint="eastAsia" w:ascii="Times New Roman" w:hAnsi="Times New Roman"/>
          <w:color w:val="auto"/>
          <w:sz w:val="28"/>
          <w:szCs w:val="28"/>
          <w:lang w:val="en-US" w:eastAsia="zh-CN"/>
        </w:rPr>
        <w:t>消防水源有保障</w:t>
      </w:r>
      <w:r>
        <w:rPr>
          <w:rFonts w:hint="eastAsia" w:ascii="Times New Roman" w:hAnsi="Times New Roman"/>
          <w:color w:val="auto"/>
          <w:sz w:val="28"/>
          <w:szCs w:val="28"/>
        </w:rPr>
        <w:t>。</w:t>
      </w:r>
    </w:p>
    <w:p w14:paraId="1DC66B39">
      <w:pPr>
        <w:ind w:firstLine="560" w:firstLineChars="200"/>
        <w:rPr>
          <w:rFonts w:hint="eastAsia" w:ascii="Times New Roman" w:hAnsi="Times New Roman"/>
          <w:color w:val="auto"/>
          <w:sz w:val="28"/>
          <w:szCs w:val="28"/>
        </w:rPr>
      </w:pPr>
      <w:r>
        <w:rPr>
          <w:rFonts w:hint="eastAsia" w:ascii="Times New Roman" w:hAnsi="Times New Roman"/>
          <w:color w:val="auto"/>
          <w:sz w:val="28"/>
          <w:szCs w:val="28"/>
        </w:rPr>
        <w:t>5、应急救援</w:t>
      </w:r>
    </w:p>
    <w:p w14:paraId="601EB38F">
      <w:pPr>
        <w:ind w:firstLine="560" w:firstLineChars="200"/>
        <w:rPr>
          <w:rFonts w:hint="eastAsia" w:ascii="Times New Roman" w:hAnsi="Times New Roman"/>
          <w:color w:val="auto"/>
          <w:sz w:val="28"/>
          <w:szCs w:val="28"/>
        </w:rPr>
      </w:pPr>
      <w:r>
        <w:rPr>
          <w:rFonts w:hint="eastAsia" w:ascii="Times New Roman" w:hAnsi="Times New Roman"/>
          <w:color w:val="auto"/>
          <w:sz w:val="28"/>
          <w:szCs w:val="28"/>
        </w:rPr>
        <w:t>本项目应急救援依托祥丰实业集团的消防队。</w:t>
      </w:r>
    </w:p>
    <w:p w14:paraId="0BFEE2A4">
      <w:pPr>
        <w:ind w:firstLine="560" w:firstLineChars="200"/>
        <w:rPr>
          <w:rFonts w:hint="eastAsia" w:ascii="Times New Roman" w:hAnsi="Times New Roman"/>
          <w:color w:val="auto"/>
          <w:sz w:val="28"/>
          <w:szCs w:val="28"/>
        </w:rPr>
      </w:pPr>
      <w:r>
        <w:rPr>
          <w:rFonts w:hint="eastAsia" w:ascii="Times New Roman" w:hAnsi="Times New Roman"/>
          <w:color w:val="auto"/>
          <w:sz w:val="28"/>
          <w:szCs w:val="28"/>
        </w:rPr>
        <w:t>云南祥丰石化有限公司消防站拥有完善应急保障能力，该消防站设置在云南祥丰石化有限公司东面，与云南瓮福祥丰氟硅新材料有限公司边界西北面距离约244m，祥丰实业集团消防队编制定员为48人，其中执勤人员45人，管理人员3人；配备3台消防车及其他消防救援设备等。该消防站可供本工程依托。</w:t>
      </w:r>
    </w:p>
    <w:p w14:paraId="3E0A9DB8">
      <w:pPr>
        <w:ind w:firstLine="560" w:firstLineChars="200"/>
        <w:rPr>
          <w:rFonts w:hint="eastAsia" w:ascii="Times New Roman" w:hAnsi="Times New Roman"/>
          <w:color w:val="auto"/>
          <w:sz w:val="28"/>
          <w:szCs w:val="28"/>
        </w:rPr>
      </w:pPr>
      <w:r>
        <w:rPr>
          <w:rFonts w:hint="eastAsia" w:ascii="Times New Roman" w:hAnsi="Times New Roman"/>
          <w:color w:val="auto"/>
          <w:sz w:val="28"/>
          <w:szCs w:val="28"/>
        </w:rPr>
        <w:t>此外，本工程可依托的其他应急救援资源主要情况如下：</w:t>
      </w:r>
    </w:p>
    <w:p w14:paraId="609B5A87">
      <w:pPr>
        <w:ind w:firstLine="560" w:firstLineChars="200"/>
        <w:rPr>
          <w:rFonts w:hint="eastAsia" w:ascii="Times New Roman" w:hAnsi="Times New Roman"/>
          <w:color w:val="auto"/>
          <w:sz w:val="28"/>
          <w:szCs w:val="28"/>
        </w:rPr>
      </w:pPr>
      <w:r>
        <w:rPr>
          <w:rFonts w:hint="eastAsia" w:ascii="Times New Roman" w:hAnsi="Times New Roman"/>
          <w:color w:val="auto"/>
          <w:sz w:val="28"/>
          <w:szCs w:val="28"/>
        </w:rPr>
        <w:t>（1）云南天安化工有限公司专职消防队，配备1辆消防指挥车，2辆救护车，6辆一级消防车，距离本工程约11km；</w:t>
      </w:r>
    </w:p>
    <w:p w14:paraId="6D5FE67D">
      <w:pPr>
        <w:ind w:firstLine="560" w:firstLineChars="200"/>
        <w:rPr>
          <w:rFonts w:hint="eastAsia" w:ascii="Times New Roman" w:hAnsi="Times New Roman"/>
          <w:color w:val="auto"/>
          <w:sz w:val="28"/>
          <w:szCs w:val="28"/>
        </w:rPr>
      </w:pPr>
      <w:r>
        <w:rPr>
          <w:rFonts w:hint="eastAsia" w:ascii="Times New Roman" w:hAnsi="Times New Roman"/>
          <w:color w:val="auto"/>
          <w:sz w:val="28"/>
          <w:szCs w:val="28"/>
        </w:rPr>
        <w:t>（2）安宁市消防大队，配备6辆一级消防车，距离本工程约27km；</w:t>
      </w:r>
    </w:p>
    <w:p w14:paraId="2E272AF8">
      <w:pPr>
        <w:ind w:firstLine="560" w:firstLineChars="200"/>
        <w:rPr>
          <w:rFonts w:hint="eastAsia" w:ascii="Times New Roman" w:hAnsi="Times New Roman"/>
          <w:color w:val="auto"/>
          <w:sz w:val="28"/>
          <w:szCs w:val="28"/>
        </w:rPr>
      </w:pPr>
      <w:r>
        <w:rPr>
          <w:rFonts w:hint="eastAsia" w:ascii="Times New Roman" w:hAnsi="Times New Roman"/>
          <w:color w:val="auto"/>
          <w:sz w:val="28"/>
          <w:szCs w:val="28"/>
        </w:rPr>
        <w:t>（3）石江消防中队，配备6辆一级消防车，距离本工程约25km。</w:t>
      </w:r>
    </w:p>
    <w:p w14:paraId="2D1E49A6">
      <w:pPr>
        <w:ind w:firstLine="560" w:firstLineChars="200"/>
        <w:rPr>
          <w:rFonts w:hint="eastAsia" w:ascii="Times New Roman" w:hAnsi="Times New Roman"/>
          <w:color w:val="auto"/>
          <w:sz w:val="28"/>
          <w:szCs w:val="28"/>
        </w:rPr>
      </w:pPr>
      <w:r>
        <w:rPr>
          <w:rFonts w:hint="eastAsia" w:ascii="Times New Roman" w:hAnsi="Times New Roman"/>
          <w:color w:val="auto"/>
          <w:sz w:val="28"/>
          <w:szCs w:val="28"/>
        </w:rPr>
        <w:t>本项目医疗外援依托安宁市禄脿卫生院，距离项目约6.8公里。</w:t>
      </w:r>
    </w:p>
    <w:p w14:paraId="06433063">
      <w:pPr>
        <w:ind w:firstLine="560" w:firstLineChars="200"/>
        <w:rPr>
          <w:rFonts w:hint="eastAsia" w:ascii="Times New Roman" w:hAnsi="Times New Roman"/>
          <w:color w:val="auto"/>
          <w:sz w:val="28"/>
          <w:szCs w:val="28"/>
        </w:rPr>
      </w:pPr>
      <w:r>
        <w:rPr>
          <w:rFonts w:hint="eastAsia" w:ascii="Times New Roman" w:hAnsi="Times New Roman"/>
          <w:color w:val="auto"/>
          <w:sz w:val="28"/>
          <w:szCs w:val="28"/>
        </w:rPr>
        <w:t>云南瓮福祥丰氟硅新材料有限公司3万吨/年无水氟化氢和2万吨/年电子级氢氟酸厂外公用工程管架建设项目依托的公用工程设施满足项目的安全生产需要。</w:t>
      </w:r>
    </w:p>
    <w:p w14:paraId="6C3827A6">
      <w:pPr>
        <w:pStyle w:val="5"/>
        <w:keepNext/>
        <w:keepLines/>
        <w:pageBreakBefore w:val="0"/>
        <w:widowControl w:val="0"/>
        <w:numPr>
          <w:ilvl w:val="2"/>
          <w:numId w:val="0"/>
        </w:numPr>
        <w:kinsoku/>
        <w:wordWrap/>
        <w:overflowPunct/>
        <w:topLinePunct w:val="0"/>
        <w:autoSpaceDE/>
        <w:autoSpaceDN/>
        <w:bidi w:val="0"/>
        <w:adjustRightInd/>
        <w:snapToGrid w:val="0"/>
        <w:spacing w:line="360" w:lineRule="auto"/>
        <w:ind w:leftChars="100"/>
        <w:textAlignment w:val="auto"/>
        <w:rPr>
          <w:rFonts w:hint="eastAsia" w:ascii="Times New Roman" w:hAnsi="Times New Roman" w:cs="Times New Roman"/>
          <w:snapToGrid w:val="0"/>
          <w:color w:val="000000"/>
          <w:kern w:val="0"/>
          <w:sz w:val="32"/>
          <w:lang w:val="en-US" w:eastAsia="zh-CN"/>
        </w:rPr>
      </w:pPr>
      <w:bookmarkStart w:id="1105" w:name="_Toc8617"/>
      <w:bookmarkStart w:id="1106" w:name="_Toc32267"/>
      <w:r>
        <w:rPr>
          <w:rFonts w:hint="eastAsia" w:ascii="Times New Roman" w:hAnsi="Times New Roman" w:cs="Times New Roman"/>
          <w:snapToGrid w:val="0"/>
          <w:color w:val="000000"/>
          <w:kern w:val="0"/>
          <w:sz w:val="32"/>
          <w:lang w:val="en-US" w:eastAsia="zh-CN"/>
        </w:rPr>
        <w:t>3.2.6安全管理分析评价</w:t>
      </w:r>
      <w:bookmarkEnd w:id="1105"/>
      <w:bookmarkEnd w:id="1106"/>
    </w:p>
    <w:p w14:paraId="2FEC1A66">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pPr>
      <w:r>
        <w:rPr>
          <w:rFonts w:hint="eastAsia"/>
        </w:rPr>
        <w:t>本项目为云南瓮福祥丰氟硅新材料有限公司3万吨/年无水氟化氢和2万吨/年电子级氢氟酸项目配套的厂外公用工程管道设施，不新增定员。安全环保工作由公司安全环保部负责，生产操作及管线巡检由公司生产部负责。</w:t>
      </w:r>
    </w:p>
    <w:p w14:paraId="3C3B4E7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bCs/>
          <w:color w:val="000000"/>
          <w:sz w:val="28"/>
          <w:szCs w:val="28"/>
          <w:lang w:bidi="ar"/>
        </w:rPr>
      </w:pPr>
      <w:r>
        <w:rPr>
          <w:bCs/>
          <w:color w:val="000000"/>
          <w:sz w:val="28"/>
          <w:szCs w:val="28"/>
          <w:lang w:bidi="ar"/>
        </w:rPr>
        <w:t>根据《中华人民共和国安全生产法》</w:t>
      </w:r>
      <w:r>
        <w:rPr>
          <w:rFonts w:hint="eastAsia"/>
          <w:bCs/>
          <w:color w:val="000000"/>
          <w:sz w:val="28"/>
          <w:szCs w:val="28"/>
          <w:lang w:bidi="ar"/>
        </w:rPr>
        <w:t>（中华人民共和国主席令第13号，根据中华人民共和国主席令第88号修订，2021年09月01日施行）</w:t>
      </w:r>
      <w:r>
        <w:rPr>
          <w:bCs/>
          <w:color w:val="000000"/>
          <w:sz w:val="28"/>
          <w:szCs w:val="28"/>
          <w:lang w:bidi="ar"/>
        </w:rPr>
        <w:t>、</w:t>
      </w:r>
      <w:r>
        <w:rPr>
          <w:bCs/>
          <w:color w:val="000000"/>
          <w:sz w:val="28"/>
          <w:szCs w:val="28"/>
        </w:rPr>
        <w:t>《生产安全事故应急条例》（中华人民共和国</w:t>
      </w:r>
      <w:r>
        <w:rPr>
          <w:rFonts w:hint="eastAsia"/>
          <w:bCs/>
          <w:color w:val="000000"/>
          <w:sz w:val="28"/>
          <w:szCs w:val="28"/>
          <w:lang w:val="en-US" w:eastAsia="zh-CN"/>
        </w:rPr>
        <w:t>国</w:t>
      </w:r>
      <w:r>
        <w:rPr>
          <w:bCs/>
          <w:color w:val="000000"/>
          <w:sz w:val="28"/>
          <w:szCs w:val="28"/>
        </w:rPr>
        <w:t>务院令第708号）、</w:t>
      </w:r>
      <w:r>
        <w:rPr>
          <w:bCs/>
          <w:color w:val="000000"/>
          <w:sz w:val="28"/>
          <w:szCs w:val="28"/>
          <w:lang w:bidi="ar"/>
        </w:rPr>
        <w:t>《云南省安全生产条例》、《生产安全事故应急预案管理办法》（2016年6月3日国家安全生产监督管理总局令第88号公布，根据2019年7月11日应急管理部令第2号《应急管理部关于修改&lt;生产安全事故应急预案管理办法&gt;的决定》修正）等法律、规范、部门规章的要求，对该项目的安全管理及事故应急管理情况进行安全分析评价，具体情况如下表所示。</w:t>
      </w:r>
    </w:p>
    <w:p w14:paraId="3B7E539F">
      <w:pPr>
        <w:adjustRightInd w:val="0"/>
        <w:snapToGrid w:val="0"/>
        <w:jc w:val="center"/>
        <w:rPr>
          <w:b/>
          <w:bCs/>
          <w:color w:val="000000"/>
          <w:sz w:val="24"/>
        </w:rPr>
      </w:pPr>
      <w:r>
        <w:rPr>
          <w:b/>
          <w:bCs/>
          <w:color w:val="000000"/>
          <w:sz w:val="24"/>
          <w:lang w:bidi="ar"/>
        </w:rPr>
        <w:t>附表3</w:t>
      </w:r>
      <w:r>
        <w:rPr>
          <w:rFonts w:hint="eastAsia"/>
          <w:b/>
          <w:bCs/>
          <w:color w:val="000000"/>
          <w:sz w:val="24"/>
          <w:lang w:val="en-US" w:eastAsia="zh-CN" w:bidi="ar"/>
        </w:rPr>
        <w:t>.2</w:t>
      </w:r>
      <w:r>
        <w:rPr>
          <w:b/>
          <w:bCs/>
          <w:color w:val="000000"/>
          <w:sz w:val="24"/>
          <w:lang w:bidi="ar"/>
        </w:rPr>
        <w:t>-</w:t>
      </w:r>
      <w:r>
        <w:rPr>
          <w:rFonts w:hint="eastAsia"/>
          <w:b/>
          <w:bCs/>
          <w:color w:val="000000"/>
          <w:sz w:val="24"/>
          <w:lang w:val="en-US" w:eastAsia="zh-CN" w:bidi="ar"/>
        </w:rPr>
        <w:t xml:space="preserve">7 </w:t>
      </w:r>
      <w:r>
        <w:rPr>
          <w:b/>
          <w:bCs/>
          <w:color w:val="000000"/>
          <w:sz w:val="24"/>
          <w:lang w:bidi="ar"/>
        </w:rPr>
        <w:t>安全管理</w:t>
      </w:r>
      <w:r>
        <w:rPr>
          <w:rFonts w:hint="eastAsia"/>
          <w:b/>
          <w:bCs/>
          <w:color w:val="000000"/>
          <w:sz w:val="24"/>
          <w:lang w:bidi="ar"/>
        </w:rPr>
        <w:t>及事故应急管理</w:t>
      </w:r>
      <w:r>
        <w:rPr>
          <w:b/>
          <w:bCs/>
          <w:color w:val="000000"/>
          <w:sz w:val="24"/>
          <w:lang w:bidi="ar"/>
        </w:rPr>
        <w:t>情况检查表</w:t>
      </w:r>
    </w:p>
    <w:tbl>
      <w:tblPr>
        <w:tblStyle w:val="8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2611"/>
        <w:gridCol w:w="2409"/>
        <w:gridCol w:w="2837"/>
        <w:gridCol w:w="694"/>
      </w:tblGrid>
      <w:tr w14:paraId="2DF8A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11715773">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b/>
                <w:bCs/>
                <w:color w:val="000000"/>
                <w:sz w:val="21"/>
                <w:szCs w:val="21"/>
              </w:rPr>
            </w:pPr>
            <w:r>
              <w:rPr>
                <w:b/>
                <w:bCs/>
                <w:color w:val="000000"/>
                <w:sz w:val="21"/>
                <w:szCs w:val="21"/>
              </w:rPr>
              <w:t>项目</w:t>
            </w:r>
          </w:p>
        </w:tc>
        <w:tc>
          <w:tcPr>
            <w:tcW w:w="2611" w:type="dxa"/>
            <w:tcBorders>
              <w:top w:val="single" w:color="auto" w:sz="4" w:space="0"/>
              <w:left w:val="single" w:color="auto" w:sz="4" w:space="0"/>
              <w:bottom w:val="single" w:color="auto" w:sz="4" w:space="0"/>
              <w:right w:val="single" w:color="auto" w:sz="4" w:space="0"/>
            </w:tcBorders>
            <w:noWrap w:val="0"/>
            <w:vAlign w:val="center"/>
          </w:tcPr>
          <w:p w14:paraId="497FC463">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b/>
                <w:bCs/>
                <w:color w:val="000000"/>
                <w:sz w:val="21"/>
                <w:szCs w:val="21"/>
              </w:rPr>
            </w:pPr>
            <w:r>
              <w:rPr>
                <w:b/>
                <w:bCs/>
                <w:color w:val="000000"/>
                <w:sz w:val="21"/>
                <w:szCs w:val="21"/>
              </w:rPr>
              <w:t>检查内容</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407F5E75">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b/>
                <w:bCs/>
                <w:color w:val="000000"/>
                <w:sz w:val="21"/>
                <w:szCs w:val="21"/>
              </w:rPr>
            </w:pPr>
            <w:r>
              <w:rPr>
                <w:b/>
                <w:bCs/>
                <w:color w:val="000000"/>
                <w:sz w:val="21"/>
                <w:szCs w:val="21"/>
              </w:rPr>
              <w:t>检查依据</w:t>
            </w:r>
          </w:p>
        </w:tc>
        <w:tc>
          <w:tcPr>
            <w:tcW w:w="2837" w:type="dxa"/>
            <w:tcBorders>
              <w:top w:val="single" w:color="auto" w:sz="4" w:space="0"/>
              <w:left w:val="single" w:color="auto" w:sz="4" w:space="0"/>
              <w:bottom w:val="single" w:color="auto" w:sz="4" w:space="0"/>
              <w:right w:val="single" w:color="auto" w:sz="4" w:space="0"/>
            </w:tcBorders>
            <w:noWrap w:val="0"/>
            <w:vAlign w:val="center"/>
          </w:tcPr>
          <w:p w14:paraId="69E386F8">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b/>
                <w:bCs/>
                <w:color w:val="000000"/>
                <w:sz w:val="21"/>
                <w:szCs w:val="21"/>
              </w:rPr>
            </w:pPr>
            <w:r>
              <w:rPr>
                <w:b/>
                <w:bCs/>
                <w:color w:val="000000"/>
                <w:sz w:val="21"/>
                <w:szCs w:val="21"/>
              </w:rPr>
              <w:t>检查记录</w:t>
            </w:r>
          </w:p>
        </w:tc>
        <w:tc>
          <w:tcPr>
            <w:tcW w:w="694" w:type="dxa"/>
            <w:tcBorders>
              <w:top w:val="single" w:color="auto" w:sz="4" w:space="0"/>
              <w:left w:val="single" w:color="auto" w:sz="4" w:space="0"/>
              <w:bottom w:val="single" w:color="auto" w:sz="4" w:space="0"/>
              <w:right w:val="single" w:color="auto" w:sz="4" w:space="0"/>
            </w:tcBorders>
            <w:noWrap w:val="0"/>
            <w:vAlign w:val="center"/>
          </w:tcPr>
          <w:p w14:paraId="0BC45081">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b/>
                <w:bCs/>
                <w:color w:val="000000"/>
                <w:sz w:val="21"/>
                <w:szCs w:val="21"/>
              </w:rPr>
            </w:pPr>
            <w:r>
              <w:rPr>
                <w:b/>
                <w:bCs/>
                <w:color w:val="000000"/>
                <w:sz w:val="21"/>
                <w:szCs w:val="21"/>
              </w:rPr>
              <w:t>结果</w:t>
            </w:r>
          </w:p>
        </w:tc>
      </w:tr>
      <w:tr w14:paraId="58066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216" w:type="dxa"/>
            <w:gridSpan w:val="5"/>
            <w:tcBorders>
              <w:top w:val="single" w:color="auto" w:sz="4" w:space="0"/>
              <w:left w:val="single" w:color="auto" w:sz="4" w:space="0"/>
              <w:bottom w:val="single" w:color="auto" w:sz="4" w:space="0"/>
              <w:right w:val="single" w:color="auto" w:sz="4" w:space="0"/>
            </w:tcBorders>
            <w:noWrap w:val="0"/>
            <w:vAlign w:val="center"/>
          </w:tcPr>
          <w:p w14:paraId="08F861EA">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b/>
                <w:color w:val="000000"/>
                <w:sz w:val="21"/>
                <w:szCs w:val="21"/>
              </w:rPr>
            </w:pPr>
            <w:r>
              <w:rPr>
                <w:bCs/>
                <w:color w:val="000000"/>
                <w:sz w:val="21"/>
                <w:szCs w:val="21"/>
              </w:rPr>
              <w:t>安全管理组织机构</w:t>
            </w:r>
          </w:p>
        </w:tc>
      </w:tr>
      <w:tr w14:paraId="61300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45AC1518">
            <w:pPr>
              <w:keepNext w:val="0"/>
              <w:keepLines w:val="0"/>
              <w:pageBreakBefore w:val="0"/>
              <w:widowControl w:val="0"/>
              <w:kinsoku/>
              <w:wordWrap/>
              <w:overflowPunct/>
              <w:topLinePunct w:val="0"/>
              <w:autoSpaceDE/>
              <w:autoSpaceDN/>
              <w:bidi w:val="0"/>
              <w:adjustRightInd/>
              <w:snapToGrid w:val="0"/>
              <w:spacing w:line="240" w:lineRule="auto"/>
              <w:ind w:right="0"/>
              <w:jc w:val="right"/>
              <w:textAlignment w:val="auto"/>
              <w:rPr>
                <w:color w:val="000000"/>
                <w:sz w:val="21"/>
                <w:szCs w:val="21"/>
              </w:rPr>
            </w:pPr>
            <w:r>
              <w:rPr>
                <w:color w:val="000000"/>
                <w:sz w:val="21"/>
                <w:szCs w:val="21"/>
              </w:rPr>
              <w:t>1</w:t>
            </w:r>
          </w:p>
        </w:tc>
        <w:tc>
          <w:tcPr>
            <w:tcW w:w="2611" w:type="dxa"/>
            <w:tcBorders>
              <w:top w:val="single" w:color="auto" w:sz="4" w:space="0"/>
              <w:left w:val="single" w:color="auto" w:sz="4" w:space="0"/>
              <w:bottom w:val="single" w:color="auto" w:sz="4" w:space="0"/>
              <w:right w:val="single" w:color="auto" w:sz="4" w:space="0"/>
            </w:tcBorders>
            <w:noWrap w:val="0"/>
            <w:vAlign w:val="center"/>
          </w:tcPr>
          <w:p w14:paraId="1DA144A6">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color w:val="000000"/>
                <w:sz w:val="21"/>
                <w:szCs w:val="21"/>
              </w:rPr>
              <w:t>矿山、金属冶炼、建筑施工、道路运输单位和危险物品的生产、经营、储存单位，应当设置安全生产管理机构或者配备专职安全生产管理人员。前款规定以外的其他生产经营单位，从业人员超过一百人的，应当设置安全生产管理机构或者配备专职安全生产管理人员；从业人员在一百人以下的，应当配备专职或者兼职的安全生产管理人员。</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3EFAD504">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rFonts w:hint="eastAsia"/>
                <w:color w:val="000000"/>
                <w:sz w:val="21"/>
                <w:szCs w:val="21"/>
              </w:rPr>
            </w:pPr>
            <w:r>
              <w:rPr>
                <w:rFonts w:hint="eastAsia"/>
                <w:color w:val="000000"/>
                <w:sz w:val="21"/>
                <w:szCs w:val="21"/>
                <w:lang w:bidi="ar"/>
              </w:rPr>
              <w:t>《中华人民共和国安全生产法》（中华人民共和国主席令第13号，根据中华人民共和国主席令第88号修订，2021年09月01日施行）</w:t>
            </w:r>
          </w:p>
          <w:p w14:paraId="2DF77140">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kern w:val="0"/>
                <w:sz w:val="21"/>
                <w:szCs w:val="21"/>
              </w:rPr>
            </w:pPr>
            <w:r>
              <w:rPr>
                <w:color w:val="000000"/>
                <w:kern w:val="0"/>
                <w:sz w:val="21"/>
                <w:szCs w:val="21"/>
              </w:rPr>
              <w:t>第二十</w:t>
            </w:r>
            <w:r>
              <w:rPr>
                <w:rFonts w:hint="eastAsia"/>
                <w:color w:val="000000"/>
                <w:kern w:val="0"/>
                <w:sz w:val="21"/>
                <w:szCs w:val="21"/>
              </w:rPr>
              <w:t>四</w:t>
            </w:r>
            <w:r>
              <w:rPr>
                <w:color w:val="000000"/>
                <w:kern w:val="0"/>
                <w:sz w:val="21"/>
                <w:szCs w:val="21"/>
              </w:rPr>
              <w:t>条</w:t>
            </w:r>
          </w:p>
        </w:tc>
        <w:tc>
          <w:tcPr>
            <w:tcW w:w="2837" w:type="dxa"/>
            <w:tcBorders>
              <w:top w:val="single" w:color="auto" w:sz="4" w:space="0"/>
              <w:left w:val="single" w:color="auto" w:sz="4" w:space="0"/>
              <w:bottom w:val="single" w:color="auto" w:sz="4" w:space="0"/>
              <w:right w:val="single" w:color="auto" w:sz="4" w:space="0"/>
            </w:tcBorders>
            <w:noWrap w:val="0"/>
            <w:vAlign w:val="center"/>
          </w:tcPr>
          <w:p w14:paraId="6E662476">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bCs/>
                <w:color w:val="000000"/>
                <w:sz w:val="21"/>
                <w:szCs w:val="21"/>
              </w:rPr>
            </w:pPr>
            <w:r>
              <w:rPr>
                <w:rFonts w:hint="eastAsia"/>
                <w:bCs/>
                <w:color w:val="000000"/>
                <w:sz w:val="21"/>
                <w:szCs w:val="21"/>
              </w:rPr>
              <w:t>该公司</w:t>
            </w:r>
            <w:r>
              <w:rPr>
                <w:bCs/>
                <w:color w:val="000000"/>
                <w:sz w:val="21"/>
                <w:szCs w:val="21"/>
              </w:rPr>
              <w:t>已成立了安全管理委员会、安全</w:t>
            </w:r>
            <w:r>
              <w:rPr>
                <w:rFonts w:hint="eastAsia"/>
                <w:bCs/>
                <w:color w:val="000000"/>
                <w:sz w:val="21"/>
                <w:szCs w:val="21"/>
              </w:rPr>
              <w:t>环保</w:t>
            </w:r>
            <w:r>
              <w:rPr>
                <w:bCs/>
                <w:color w:val="000000"/>
                <w:sz w:val="21"/>
                <w:szCs w:val="21"/>
              </w:rPr>
              <w:t>部，并配备了</w:t>
            </w:r>
            <w:r>
              <w:rPr>
                <w:rFonts w:hint="eastAsia"/>
                <w:bCs/>
                <w:color w:val="000000"/>
                <w:sz w:val="21"/>
                <w:szCs w:val="21"/>
              </w:rPr>
              <w:t>专职</w:t>
            </w:r>
            <w:r>
              <w:rPr>
                <w:bCs/>
                <w:color w:val="000000"/>
                <w:sz w:val="21"/>
                <w:szCs w:val="21"/>
              </w:rPr>
              <w:t>安全管理人员。</w:t>
            </w:r>
          </w:p>
        </w:tc>
        <w:tc>
          <w:tcPr>
            <w:tcW w:w="694" w:type="dxa"/>
            <w:tcBorders>
              <w:top w:val="single" w:color="auto" w:sz="4" w:space="0"/>
              <w:left w:val="single" w:color="auto" w:sz="4" w:space="0"/>
              <w:bottom w:val="single" w:color="auto" w:sz="4" w:space="0"/>
              <w:right w:val="single" w:color="auto" w:sz="4" w:space="0"/>
            </w:tcBorders>
            <w:noWrap w:val="0"/>
            <w:vAlign w:val="center"/>
          </w:tcPr>
          <w:p w14:paraId="2DE8A35D">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符合</w:t>
            </w:r>
          </w:p>
        </w:tc>
      </w:tr>
      <w:tr w14:paraId="3CF0C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70F5DA96">
            <w:pPr>
              <w:keepNext w:val="0"/>
              <w:keepLines w:val="0"/>
              <w:pageBreakBefore w:val="0"/>
              <w:widowControl w:val="0"/>
              <w:kinsoku/>
              <w:wordWrap/>
              <w:overflowPunct/>
              <w:topLinePunct w:val="0"/>
              <w:autoSpaceDE/>
              <w:autoSpaceDN/>
              <w:bidi w:val="0"/>
              <w:adjustRightInd/>
              <w:snapToGrid w:val="0"/>
              <w:spacing w:line="240" w:lineRule="auto"/>
              <w:ind w:right="0"/>
              <w:jc w:val="right"/>
              <w:textAlignment w:val="auto"/>
              <w:rPr>
                <w:color w:val="000000"/>
                <w:sz w:val="21"/>
                <w:szCs w:val="21"/>
              </w:rPr>
            </w:pPr>
            <w:r>
              <w:rPr>
                <w:color w:val="000000"/>
                <w:sz w:val="21"/>
                <w:szCs w:val="21"/>
              </w:rPr>
              <w:t>2</w:t>
            </w:r>
          </w:p>
        </w:tc>
        <w:tc>
          <w:tcPr>
            <w:tcW w:w="2611" w:type="dxa"/>
            <w:tcBorders>
              <w:top w:val="single" w:color="auto" w:sz="4" w:space="0"/>
              <w:left w:val="single" w:color="auto" w:sz="4" w:space="0"/>
              <w:bottom w:val="single" w:color="auto" w:sz="4" w:space="0"/>
              <w:right w:val="single" w:color="auto" w:sz="4" w:space="0"/>
            </w:tcBorders>
            <w:noWrap w:val="0"/>
            <w:vAlign w:val="center"/>
          </w:tcPr>
          <w:p w14:paraId="6918325D">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color w:val="000000"/>
                <w:sz w:val="21"/>
                <w:szCs w:val="21"/>
              </w:rPr>
              <w:t>生产经营单位的主要负责人和安全生产管理人员必须具备与本单位所从事的生产经营活动相应的安全生产知识和管理能力。</w:t>
            </w:r>
          </w:p>
          <w:p w14:paraId="44899729">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color w:val="000000"/>
                <w:sz w:val="21"/>
                <w:szCs w:val="21"/>
              </w:rPr>
              <w:t>危险物品的生产、经营、储存、装卸单位以及矿山、金属冶炼、建筑施工、运输单位的主要负责人和安全生产管理人员，应当由主管的负有安全生产监督管理职责的部门对其安全生产知识和管理能力考核合格。考核不得收费。</w:t>
            </w:r>
          </w:p>
          <w:p w14:paraId="3060E2DE">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color w:val="000000"/>
                <w:sz w:val="21"/>
                <w:szCs w:val="21"/>
              </w:rPr>
              <w:t>危险物品的生产、储存、装卸单位以及矿山、金属冶炼单位应当有注册安全工程师从事安全生产管理工作。鼓励其他生产经营单位聘用注册安全工程师从事安全生产管理工作。注册安全工程师按专业分类管理，具体办法由国务院人力资源和社会保障部门、国务院应急管理部门会同国务院有关部门制定。</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29F9857A">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rFonts w:hint="eastAsia"/>
                <w:color w:val="000000"/>
                <w:sz w:val="21"/>
                <w:szCs w:val="21"/>
              </w:rPr>
            </w:pPr>
            <w:r>
              <w:rPr>
                <w:rFonts w:hint="eastAsia"/>
                <w:color w:val="000000"/>
                <w:sz w:val="21"/>
                <w:szCs w:val="21"/>
                <w:lang w:bidi="ar"/>
              </w:rPr>
              <w:t>《中华人民共和国安全生产法》（中华人民共和国主席令第13号，根据中华人民共和国主席令第88号修订，2021年09月01日施行）</w:t>
            </w:r>
          </w:p>
          <w:p w14:paraId="3F42C950">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第二十</w:t>
            </w:r>
            <w:r>
              <w:rPr>
                <w:rFonts w:hint="eastAsia"/>
                <w:color w:val="000000"/>
                <w:sz w:val="21"/>
                <w:szCs w:val="21"/>
              </w:rPr>
              <w:t>七</w:t>
            </w:r>
            <w:r>
              <w:rPr>
                <w:color w:val="000000"/>
                <w:sz w:val="21"/>
                <w:szCs w:val="21"/>
              </w:rPr>
              <w:t>条</w:t>
            </w:r>
          </w:p>
        </w:tc>
        <w:tc>
          <w:tcPr>
            <w:tcW w:w="2837" w:type="dxa"/>
            <w:tcBorders>
              <w:top w:val="single" w:color="auto" w:sz="4" w:space="0"/>
              <w:left w:val="single" w:color="auto" w:sz="4" w:space="0"/>
              <w:bottom w:val="single" w:color="auto" w:sz="4" w:space="0"/>
              <w:right w:val="single" w:color="auto" w:sz="4" w:space="0"/>
            </w:tcBorders>
            <w:noWrap w:val="0"/>
            <w:vAlign w:val="center"/>
          </w:tcPr>
          <w:p w14:paraId="657EB5A2">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lang w:val="zh-CN"/>
              </w:rPr>
            </w:pPr>
            <w:r>
              <w:rPr>
                <w:rFonts w:hint="eastAsia"/>
                <w:bCs/>
                <w:color w:val="000000"/>
                <w:sz w:val="21"/>
                <w:szCs w:val="21"/>
              </w:rPr>
              <w:t>该公司</w:t>
            </w:r>
            <w:r>
              <w:rPr>
                <w:color w:val="000000"/>
                <w:sz w:val="21"/>
                <w:szCs w:val="21"/>
              </w:rPr>
              <w:t>主要负责人和安全生产管理人员</w:t>
            </w:r>
            <w:r>
              <w:rPr>
                <w:rFonts w:hint="eastAsia"/>
                <w:color w:val="000000"/>
                <w:sz w:val="21"/>
                <w:szCs w:val="21"/>
              </w:rPr>
              <w:t>均经相关部门培训合格，取得安全生产知识和管理能力考核合格证；</w:t>
            </w:r>
            <w:r>
              <w:rPr>
                <w:color w:val="000000"/>
                <w:sz w:val="21"/>
                <w:szCs w:val="21"/>
              </w:rPr>
              <w:t>配备</w:t>
            </w:r>
            <w:r>
              <w:rPr>
                <w:rFonts w:hint="eastAsia"/>
                <w:color w:val="000000"/>
                <w:sz w:val="21"/>
                <w:szCs w:val="21"/>
              </w:rPr>
              <w:t>了</w:t>
            </w:r>
            <w:r>
              <w:rPr>
                <w:color w:val="000000"/>
                <w:sz w:val="21"/>
                <w:szCs w:val="21"/>
              </w:rPr>
              <w:t>注册安全工程师。</w:t>
            </w:r>
          </w:p>
        </w:tc>
        <w:tc>
          <w:tcPr>
            <w:tcW w:w="694" w:type="dxa"/>
            <w:tcBorders>
              <w:top w:val="single" w:color="auto" w:sz="4" w:space="0"/>
              <w:left w:val="single" w:color="auto" w:sz="4" w:space="0"/>
              <w:bottom w:val="single" w:color="auto" w:sz="4" w:space="0"/>
              <w:right w:val="single" w:color="auto" w:sz="4" w:space="0"/>
            </w:tcBorders>
            <w:noWrap w:val="0"/>
            <w:vAlign w:val="center"/>
          </w:tcPr>
          <w:p w14:paraId="43C3633F">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符合</w:t>
            </w:r>
          </w:p>
        </w:tc>
      </w:tr>
      <w:tr w14:paraId="6E388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2FC5401F">
            <w:pPr>
              <w:keepNext w:val="0"/>
              <w:keepLines w:val="0"/>
              <w:pageBreakBefore w:val="0"/>
              <w:widowControl w:val="0"/>
              <w:kinsoku/>
              <w:wordWrap/>
              <w:overflowPunct/>
              <w:topLinePunct w:val="0"/>
              <w:autoSpaceDE/>
              <w:autoSpaceDN/>
              <w:bidi w:val="0"/>
              <w:adjustRightInd/>
              <w:snapToGrid w:val="0"/>
              <w:spacing w:line="240" w:lineRule="auto"/>
              <w:ind w:right="0"/>
              <w:jc w:val="right"/>
              <w:textAlignment w:val="auto"/>
              <w:rPr>
                <w:color w:val="000000"/>
                <w:sz w:val="21"/>
                <w:szCs w:val="21"/>
              </w:rPr>
            </w:pPr>
            <w:r>
              <w:rPr>
                <w:color w:val="000000"/>
                <w:sz w:val="21"/>
                <w:szCs w:val="21"/>
              </w:rPr>
              <w:t>3</w:t>
            </w:r>
          </w:p>
        </w:tc>
        <w:tc>
          <w:tcPr>
            <w:tcW w:w="2611" w:type="dxa"/>
            <w:tcBorders>
              <w:top w:val="single" w:color="auto" w:sz="4" w:space="0"/>
              <w:left w:val="single" w:color="auto" w:sz="4" w:space="0"/>
              <w:bottom w:val="single" w:color="auto" w:sz="4" w:space="0"/>
              <w:right w:val="single" w:color="auto" w:sz="4" w:space="0"/>
            </w:tcBorders>
            <w:noWrap w:val="0"/>
            <w:vAlign w:val="center"/>
          </w:tcPr>
          <w:p w14:paraId="3911DAF9">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color w:val="000000"/>
                <w:sz w:val="21"/>
                <w:szCs w:val="21"/>
              </w:rPr>
              <w:t>矿山、金属冶炼、建筑施工、道路运输单位和危险物品的生产、经营、储存、废弃处置单位，应当设置专门的安全生产管理机构或者配备相应的专职安全生产管理人员。</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6ADB904C">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lang w:bidi="ar"/>
              </w:rPr>
              <w:t>《云南省安全生产条例》（云南省第十二届人民代表大会常务委员会公告第63号，2017年11月30日云南省第十二届人民代表大会常务委员会第三十八次会议通过，自2018年1月1日起施行）</w:t>
            </w:r>
          </w:p>
          <w:p w14:paraId="25D3C3E5">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bCs/>
                <w:color w:val="000000"/>
                <w:sz w:val="21"/>
                <w:szCs w:val="21"/>
              </w:rPr>
            </w:pPr>
            <w:r>
              <w:rPr>
                <w:color w:val="000000"/>
                <w:sz w:val="21"/>
                <w:szCs w:val="21"/>
              </w:rPr>
              <w:t>第</w:t>
            </w:r>
            <w:r>
              <w:rPr>
                <w:rFonts w:hint="eastAsia"/>
                <w:color w:val="000000"/>
                <w:sz w:val="21"/>
                <w:szCs w:val="21"/>
              </w:rPr>
              <w:t>十五</w:t>
            </w:r>
            <w:r>
              <w:rPr>
                <w:color w:val="000000"/>
                <w:sz w:val="21"/>
                <w:szCs w:val="21"/>
              </w:rPr>
              <w:t>条</w:t>
            </w:r>
          </w:p>
        </w:tc>
        <w:tc>
          <w:tcPr>
            <w:tcW w:w="2837" w:type="dxa"/>
            <w:tcBorders>
              <w:top w:val="single" w:color="auto" w:sz="4" w:space="0"/>
              <w:left w:val="single" w:color="auto" w:sz="4" w:space="0"/>
              <w:bottom w:val="single" w:color="auto" w:sz="4" w:space="0"/>
              <w:right w:val="single" w:color="auto" w:sz="4" w:space="0"/>
            </w:tcBorders>
            <w:noWrap w:val="0"/>
            <w:vAlign w:val="center"/>
          </w:tcPr>
          <w:p w14:paraId="2DB1BE4F">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bCs/>
                <w:color w:val="000000"/>
                <w:sz w:val="21"/>
                <w:szCs w:val="21"/>
              </w:rPr>
            </w:pPr>
            <w:r>
              <w:rPr>
                <w:rFonts w:hint="eastAsia"/>
                <w:bCs/>
                <w:color w:val="000000"/>
                <w:sz w:val="21"/>
                <w:szCs w:val="21"/>
              </w:rPr>
              <w:t>该公司</w:t>
            </w:r>
            <w:r>
              <w:rPr>
                <w:bCs/>
                <w:color w:val="000000"/>
                <w:sz w:val="21"/>
                <w:szCs w:val="21"/>
              </w:rPr>
              <w:t>已成立了安全管理委员会、安全</w:t>
            </w:r>
            <w:r>
              <w:rPr>
                <w:rFonts w:hint="eastAsia"/>
                <w:bCs/>
                <w:color w:val="000000"/>
                <w:sz w:val="21"/>
                <w:szCs w:val="21"/>
              </w:rPr>
              <w:t>环保</w:t>
            </w:r>
            <w:r>
              <w:rPr>
                <w:bCs/>
                <w:color w:val="000000"/>
                <w:sz w:val="21"/>
                <w:szCs w:val="21"/>
              </w:rPr>
              <w:t>部，并配备了</w:t>
            </w:r>
            <w:r>
              <w:rPr>
                <w:rFonts w:hint="eastAsia"/>
                <w:bCs/>
                <w:color w:val="000000"/>
                <w:sz w:val="21"/>
                <w:szCs w:val="21"/>
              </w:rPr>
              <w:t>专职</w:t>
            </w:r>
            <w:r>
              <w:rPr>
                <w:bCs/>
                <w:color w:val="000000"/>
                <w:sz w:val="21"/>
                <w:szCs w:val="21"/>
              </w:rPr>
              <w:t>安全管理人员。</w:t>
            </w:r>
          </w:p>
        </w:tc>
        <w:tc>
          <w:tcPr>
            <w:tcW w:w="694" w:type="dxa"/>
            <w:tcBorders>
              <w:top w:val="single" w:color="auto" w:sz="4" w:space="0"/>
              <w:left w:val="single" w:color="auto" w:sz="4" w:space="0"/>
              <w:bottom w:val="single" w:color="auto" w:sz="4" w:space="0"/>
              <w:right w:val="single" w:color="auto" w:sz="4" w:space="0"/>
            </w:tcBorders>
            <w:noWrap w:val="0"/>
            <w:vAlign w:val="center"/>
          </w:tcPr>
          <w:p w14:paraId="5296961D">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符合</w:t>
            </w:r>
          </w:p>
        </w:tc>
      </w:tr>
      <w:tr w14:paraId="78CD4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216" w:type="dxa"/>
            <w:gridSpan w:val="5"/>
            <w:tcBorders>
              <w:top w:val="single" w:color="auto" w:sz="4" w:space="0"/>
              <w:left w:val="single" w:color="auto" w:sz="4" w:space="0"/>
              <w:bottom w:val="single" w:color="auto" w:sz="4" w:space="0"/>
              <w:right w:val="single" w:color="auto" w:sz="4" w:space="0"/>
            </w:tcBorders>
            <w:noWrap w:val="0"/>
            <w:vAlign w:val="center"/>
          </w:tcPr>
          <w:p w14:paraId="7C4F10C0">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安全管理规章制度</w:t>
            </w:r>
          </w:p>
        </w:tc>
      </w:tr>
      <w:tr w14:paraId="7B725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57B8E1E9">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1</w:t>
            </w:r>
          </w:p>
        </w:tc>
        <w:tc>
          <w:tcPr>
            <w:tcW w:w="2611" w:type="dxa"/>
            <w:tcBorders>
              <w:top w:val="single" w:color="auto" w:sz="4" w:space="0"/>
              <w:left w:val="single" w:color="auto" w:sz="4" w:space="0"/>
              <w:bottom w:val="single" w:color="auto" w:sz="4" w:space="0"/>
              <w:right w:val="single" w:color="auto" w:sz="4" w:space="0"/>
            </w:tcBorders>
            <w:noWrap w:val="0"/>
            <w:vAlign w:val="center"/>
          </w:tcPr>
          <w:p w14:paraId="1363B364">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rFonts w:hint="eastAsia"/>
                <w:color w:val="000000"/>
                <w:sz w:val="21"/>
                <w:szCs w:val="21"/>
              </w:rPr>
              <w:t>组织制定本单位安全生产规章制度和操作规程。</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66B2B5F7">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kern w:val="0"/>
                <w:sz w:val="21"/>
                <w:szCs w:val="21"/>
              </w:rPr>
            </w:pPr>
            <w:r>
              <w:rPr>
                <w:color w:val="000000"/>
                <w:sz w:val="21"/>
                <w:szCs w:val="21"/>
              </w:rPr>
              <w:t>《中华人民共和国安全生产法》（</w:t>
            </w:r>
            <w:r>
              <w:rPr>
                <w:rFonts w:hint="eastAsia"/>
                <w:color w:val="000000"/>
                <w:sz w:val="21"/>
                <w:szCs w:val="21"/>
              </w:rPr>
              <w:t>中华人民共和国主席令第13号，根据中华人民共和国主席令第88号修订，2021年09月01日施行</w:t>
            </w:r>
            <w:r>
              <w:rPr>
                <w:color w:val="000000"/>
                <w:sz w:val="21"/>
                <w:szCs w:val="21"/>
              </w:rPr>
              <w:t>）第</w:t>
            </w:r>
            <w:r>
              <w:rPr>
                <w:rFonts w:hint="eastAsia"/>
                <w:color w:val="000000"/>
                <w:sz w:val="21"/>
                <w:szCs w:val="21"/>
              </w:rPr>
              <w:t>二十一</w:t>
            </w:r>
            <w:r>
              <w:rPr>
                <w:color w:val="000000"/>
                <w:sz w:val="21"/>
                <w:szCs w:val="21"/>
              </w:rPr>
              <w:t>条</w:t>
            </w:r>
            <w:r>
              <w:rPr>
                <w:rFonts w:hint="eastAsia"/>
                <w:color w:val="000000"/>
                <w:sz w:val="21"/>
                <w:szCs w:val="21"/>
              </w:rPr>
              <w:t>（二）</w:t>
            </w:r>
          </w:p>
        </w:tc>
        <w:tc>
          <w:tcPr>
            <w:tcW w:w="2837" w:type="dxa"/>
            <w:tcBorders>
              <w:top w:val="single" w:color="auto" w:sz="4" w:space="0"/>
              <w:left w:val="single" w:color="auto" w:sz="4" w:space="0"/>
              <w:bottom w:val="single" w:color="auto" w:sz="4" w:space="0"/>
              <w:right w:val="single" w:color="auto" w:sz="4" w:space="0"/>
            </w:tcBorders>
            <w:noWrap w:val="0"/>
            <w:vAlign w:val="center"/>
          </w:tcPr>
          <w:p w14:paraId="2C764B69">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rFonts w:hint="eastAsia"/>
                <w:color w:val="000000"/>
                <w:sz w:val="21"/>
                <w:szCs w:val="21"/>
              </w:rPr>
              <w:t>该公司</w:t>
            </w:r>
            <w:r>
              <w:rPr>
                <w:color w:val="000000"/>
                <w:sz w:val="21"/>
                <w:szCs w:val="21"/>
              </w:rPr>
              <w:t>制定了全员安全生产责任制</w:t>
            </w:r>
            <w:r>
              <w:rPr>
                <w:rFonts w:hint="eastAsia"/>
                <w:color w:val="000000"/>
                <w:sz w:val="21"/>
                <w:szCs w:val="21"/>
              </w:rPr>
              <w:t>、安全管理制度、</w:t>
            </w:r>
            <w:r>
              <w:rPr>
                <w:color w:val="000000"/>
                <w:sz w:val="21"/>
                <w:szCs w:val="21"/>
              </w:rPr>
              <w:t>安全操作规程。</w:t>
            </w:r>
          </w:p>
        </w:tc>
        <w:tc>
          <w:tcPr>
            <w:tcW w:w="694" w:type="dxa"/>
            <w:tcBorders>
              <w:top w:val="single" w:color="auto" w:sz="4" w:space="0"/>
              <w:left w:val="single" w:color="auto" w:sz="4" w:space="0"/>
              <w:bottom w:val="single" w:color="auto" w:sz="4" w:space="0"/>
              <w:right w:val="single" w:color="auto" w:sz="4" w:space="0"/>
            </w:tcBorders>
            <w:noWrap w:val="0"/>
            <w:vAlign w:val="center"/>
          </w:tcPr>
          <w:p w14:paraId="4B7B4B7A">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符合</w:t>
            </w:r>
          </w:p>
        </w:tc>
      </w:tr>
      <w:tr w14:paraId="76E39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6C01B270">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2</w:t>
            </w:r>
          </w:p>
        </w:tc>
        <w:tc>
          <w:tcPr>
            <w:tcW w:w="2611" w:type="dxa"/>
            <w:tcBorders>
              <w:top w:val="single" w:color="auto" w:sz="4" w:space="0"/>
              <w:left w:val="single" w:color="auto" w:sz="4" w:space="0"/>
              <w:bottom w:val="single" w:color="auto" w:sz="4" w:space="0"/>
              <w:right w:val="single" w:color="auto" w:sz="4" w:space="0"/>
            </w:tcBorders>
            <w:noWrap w:val="0"/>
            <w:vAlign w:val="center"/>
          </w:tcPr>
          <w:p w14:paraId="7242152E">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rFonts w:hint="eastAsia"/>
                <w:color w:val="000000"/>
                <w:sz w:val="21"/>
                <w:szCs w:val="21"/>
              </w:rPr>
            </w:pPr>
            <w:r>
              <w:rPr>
                <w:rFonts w:hint="eastAsia"/>
                <w:color w:val="000000"/>
                <w:sz w:val="21"/>
                <w:szCs w:val="21"/>
              </w:rPr>
              <w:t>生产经营单位的全员安全生产责任制应当明确各岗位的责任人员、责任范围和考核标准等内容。</w:t>
            </w:r>
          </w:p>
          <w:p w14:paraId="0E39D846">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rFonts w:hint="eastAsia"/>
                <w:color w:val="000000"/>
                <w:sz w:val="21"/>
                <w:szCs w:val="21"/>
              </w:rPr>
              <w:t>生产经营单位应当建立相应的机制，加强对全员安全生产责任制落实情况的监督考核，保证安全生产责任制的落实。</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1C1229AC">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kern w:val="0"/>
                <w:sz w:val="21"/>
                <w:szCs w:val="21"/>
              </w:rPr>
            </w:pPr>
            <w:r>
              <w:rPr>
                <w:color w:val="000000"/>
                <w:sz w:val="21"/>
                <w:szCs w:val="21"/>
              </w:rPr>
              <w:t>《中华人民共和国安全生产法》（</w:t>
            </w:r>
            <w:r>
              <w:rPr>
                <w:rFonts w:hint="eastAsia"/>
                <w:color w:val="000000"/>
                <w:sz w:val="21"/>
                <w:szCs w:val="21"/>
              </w:rPr>
              <w:t>中华人民共和国主席令第13号，根据中华人民共和国主席令第88号修订，2021年09月01日施行</w:t>
            </w:r>
            <w:r>
              <w:rPr>
                <w:color w:val="000000"/>
                <w:sz w:val="21"/>
                <w:szCs w:val="21"/>
              </w:rPr>
              <w:t>）第</w:t>
            </w:r>
            <w:r>
              <w:rPr>
                <w:rFonts w:hint="eastAsia"/>
                <w:color w:val="000000"/>
                <w:sz w:val="21"/>
                <w:szCs w:val="21"/>
              </w:rPr>
              <w:t>二十二</w:t>
            </w:r>
            <w:r>
              <w:rPr>
                <w:color w:val="000000"/>
                <w:sz w:val="21"/>
                <w:szCs w:val="21"/>
              </w:rPr>
              <w:t>条</w:t>
            </w:r>
          </w:p>
        </w:tc>
        <w:tc>
          <w:tcPr>
            <w:tcW w:w="2837" w:type="dxa"/>
            <w:tcBorders>
              <w:top w:val="single" w:color="auto" w:sz="4" w:space="0"/>
              <w:left w:val="single" w:color="auto" w:sz="4" w:space="0"/>
              <w:bottom w:val="single" w:color="auto" w:sz="4" w:space="0"/>
              <w:right w:val="single" w:color="auto" w:sz="4" w:space="0"/>
            </w:tcBorders>
            <w:noWrap w:val="0"/>
            <w:vAlign w:val="center"/>
          </w:tcPr>
          <w:p w14:paraId="7BED82C2">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color w:val="000000"/>
                <w:sz w:val="21"/>
                <w:szCs w:val="21"/>
              </w:rPr>
              <w:t>该公司已制定了各级岗位安全</w:t>
            </w:r>
            <w:r>
              <w:rPr>
                <w:rFonts w:hint="eastAsia"/>
                <w:color w:val="000000"/>
                <w:sz w:val="21"/>
                <w:szCs w:val="21"/>
              </w:rPr>
              <w:t>生产</w:t>
            </w:r>
            <w:r>
              <w:rPr>
                <w:color w:val="000000"/>
                <w:sz w:val="21"/>
                <w:szCs w:val="21"/>
              </w:rPr>
              <w:t>责任制</w:t>
            </w:r>
            <w:r>
              <w:rPr>
                <w:rFonts w:hint="eastAsia"/>
                <w:color w:val="000000"/>
                <w:sz w:val="21"/>
                <w:szCs w:val="21"/>
              </w:rPr>
              <w:t>，并保证安全生产责任制的落实</w:t>
            </w:r>
            <w:r>
              <w:rPr>
                <w:color w:val="000000"/>
                <w:sz w:val="21"/>
                <w:szCs w:val="21"/>
              </w:rPr>
              <w:t>。</w:t>
            </w:r>
          </w:p>
        </w:tc>
        <w:tc>
          <w:tcPr>
            <w:tcW w:w="694" w:type="dxa"/>
            <w:tcBorders>
              <w:top w:val="single" w:color="auto" w:sz="4" w:space="0"/>
              <w:left w:val="single" w:color="auto" w:sz="4" w:space="0"/>
              <w:bottom w:val="single" w:color="auto" w:sz="4" w:space="0"/>
              <w:right w:val="single" w:color="auto" w:sz="4" w:space="0"/>
            </w:tcBorders>
            <w:noWrap w:val="0"/>
            <w:vAlign w:val="center"/>
          </w:tcPr>
          <w:p w14:paraId="3FF7CA7B">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符合</w:t>
            </w:r>
          </w:p>
        </w:tc>
      </w:tr>
      <w:tr w14:paraId="4A6DA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0008D89A">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3</w:t>
            </w:r>
          </w:p>
        </w:tc>
        <w:tc>
          <w:tcPr>
            <w:tcW w:w="2611" w:type="dxa"/>
            <w:tcBorders>
              <w:top w:val="single" w:color="auto" w:sz="4" w:space="0"/>
              <w:left w:val="single" w:color="auto" w:sz="4" w:space="0"/>
              <w:bottom w:val="single" w:color="auto" w:sz="4" w:space="0"/>
              <w:right w:val="single" w:color="auto" w:sz="4" w:space="0"/>
            </w:tcBorders>
            <w:noWrap w:val="0"/>
            <w:vAlign w:val="center"/>
          </w:tcPr>
          <w:p w14:paraId="35F7CC28">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color w:val="000000"/>
                <w:sz w:val="21"/>
                <w:szCs w:val="21"/>
                <w:lang w:bidi="ar"/>
              </w:rPr>
              <w:t>生产经营单位应当建立健全下列制度：</w:t>
            </w:r>
          </w:p>
          <w:p w14:paraId="29AE478C">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color w:val="000000"/>
                <w:sz w:val="21"/>
                <w:szCs w:val="21"/>
                <w:lang w:bidi="ar"/>
              </w:rPr>
              <w:t>（一）安全生产责任制度；</w:t>
            </w:r>
          </w:p>
          <w:p w14:paraId="2C54A7E6">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color w:val="000000"/>
                <w:sz w:val="21"/>
                <w:szCs w:val="21"/>
                <w:lang w:bidi="ar"/>
              </w:rPr>
              <w:t>（二）安全生产例会制度；</w:t>
            </w:r>
          </w:p>
          <w:p w14:paraId="0B5A13C6">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color w:val="000000"/>
                <w:sz w:val="21"/>
                <w:szCs w:val="21"/>
                <w:lang w:bidi="ar"/>
              </w:rPr>
              <w:t>（三）安全生产奖惩制度；</w:t>
            </w:r>
          </w:p>
          <w:p w14:paraId="32C5247A">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color w:val="000000"/>
                <w:sz w:val="21"/>
                <w:szCs w:val="21"/>
                <w:lang w:bidi="ar"/>
              </w:rPr>
              <w:t>（四）安全生产教育培训制度；</w:t>
            </w:r>
          </w:p>
          <w:p w14:paraId="04D916D5">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color w:val="000000"/>
                <w:sz w:val="21"/>
                <w:szCs w:val="21"/>
                <w:lang w:bidi="ar"/>
              </w:rPr>
              <w:t>（五）安全生产检查制度；</w:t>
            </w:r>
          </w:p>
          <w:p w14:paraId="1C61A677">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color w:val="000000"/>
                <w:sz w:val="21"/>
                <w:szCs w:val="21"/>
                <w:lang w:bidi="ar"/>
              </w:rPr>
              <w:t>（六）生产经营场所、设备、设施安全管理制度；</w:t>
            </w:r>
          </w:p>
          <w:p w14:paraId="4636D8F2">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color w:val="000000"/>
                <w:sz w:val="21"/>
                <w:szCs w:val="21"/>
                <w:lang w:bidi="ar"/>
              </w:rPr>
              <w:t>（七）安全生产风险分级管理控制制度；</w:t>
            </w:r>
          </w:p>
          <w:p w14:paraId="4F59DF90">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color w:val="000000"/>
                <w:sz w:val="21"/>
                <w:szCs w:val="21"/>
                <w:lang w:bidi="ar"/>
              </w:rPr>
              <w:t>（八）危险源管理制度；</w:t>
            </w:r>
          </w:p>
          <w:p w14:paraId="7EDAE809">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color w:val="000000"/>
                <w:sz w:val="21"/>
                <w:szCs w:val="21"/>
                <w:lang w:bidi="ar"/>
              </w:rPr>
              <w:t>（九）安全生产应急管理和事故报告处理制度；</w:t>
            </w:r>
          </w:p>
          <w:p w14:paraId="3E2D7D77">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color w:val="000000"/>
                <w:sz w:val="21"/>
                <w:szCs w:val="21"/>
                <w:lang w:bidi="ar"/>
              </w:rPr>
              <w:t>（十）危险作业、特种作业人员、劳动防护用品管理制度；</w:t>
            </w:r>
          </w:p>
          <w:p w14:paraId="3318CF50">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color w:val="000000"/>
                <w:sz w:val="21"/>
                <w:szCs w:val="21"/>
              </w:rPr>
              <w:t>（十一）法律法规规定的其他安全生产制度。</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7990F3AB">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lang w:bidi="ar"/>
              </w:rPr>
              <w:t>《</w:t>
            </w:r>
            <w:r>
              <w:rPr>
                <w:bCs/>
                <w:color w:val="000000"/>
                <w:sz w:val="21"/>
                <w:szCs w:val="21"/>
                <w:lang w:bidi="ar"/>
              </w:rPr>
              <w:t>云南省安全生产条例</w:t>
            </w:r>
            <w:r>
              <w:rPr>
                <w:color w:val="000000"/>
                <w:sz w:val="21"/>
                <w:szCs w:val="21"/>
                <w:lang w:bidi="ar"/>
              </w:rPr>
              <w:t>》（云南省第十二届人民代表大会常务委员会公告第63号，2017年11月30日云南省第十二届人民代表大会常务委员会第三十八次会议通过，自2018年1月1日起施行）</w:t>
            </w:r>
          </w:p>
          <w:p w14:paraId="271568A3">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第</w:t>
            </w:r>
            <w:r>
              <w:rPr>
                <w:rFonts w:hint="eastAsia"/>
                <w:color w:val="000000"/>
                <w:sz w:val="21"/>
                <w:szCs w:val="21"/>
              </w:rPr>
              <w:t>十八</w:t>
            </w:r>
            <w:r>
              <w:rPr>
                <w:color w:val="000000"/>
                <w:sz w:val="21"/>
                <w:szCs w:val="21"/>
              </w:rPr>
              <w:t>条</w:t>
            </w:r>
          </w:p>
        </w:tc>
        <w:tc>
          <w:tcPr>
            <w:tcW w:w="2837" w:type="dxa"/>
            <w:tcBorders>
              <w:top w:val="single" w:color="auto" w:sz="4" w:space="0"/>
              <w:left w:val="single" w:color="auto" w:sz="4" w:space="0"/>
              <w:bottom w:val="single" w:color="auto" w:sz="4" w:space="0"/>
              <w:right w:val="single" w:color="auto" w:sz="4" w:space="0"/>
            </w:tcBorders>
            <w:noWrap w:val="0"/>
            <w:vAlign w:val="center"/>
          </w:tcPr>
          <w:p w14:paraId="28C89A04">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rFonts w:hint="eastAsia"/>
                <w:color w:val="000000"/>
                <w:sz w:val="21"/>
                <w:szCs w:val="21"/>
              </w:rPr>
              <w:t>该公司</w:t>
            </w:r>
            <w:r>
              <w:rPr>
                <w:color w:val="000000"/>
                <w:sz w:val="21"/>
                <w:szCs w:val="21"/>
              </w:rPr>
              <w:t>已制定了相应安全管理制度。</w:t>
            </w:r>
          </w:p>
        </w:tc>
        <w:tc>
          <w:tcPr>
            <w:tcW w:w="694" w:type="dxa"/>
            <w:tcBorders>
              <w:top w:val="single" w:color="auto" w:sz="4" w:space="0"/>
              <w:left w:val="single" w:color="auto" w:sz="4" w:space="0"/>
              <w:bottom w:val="single" w:color="auto" w:sz="4" w:space="0"/>
              <w:right w:val="single" w:color="auto" w:sz="4" w:space="0"/>
            </w:tcBorders>
            <w:noWrap w:val="0"/>
            <w:vAlign w:val="center"/>
          </w:tcPr>
          <w:p w14:paraId="131AE7F9">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符合</w:t>
            </w:r>
          </w:p>
        </w:tc>
      </w:tr>
      <w:tr w14:paraId="31261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17A7E99E">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4</w:t>
            </w:r>
          </w:p>
        </w:tc>
        <w:tc>
          <w:tcPr>
            <w:tcW w:w="2611" w:type="dxa"/>
            <w:tcBorders>
              <w:top w:val="single" w:color="auto" w:sz="4" w:space="0"/>
              <w:left w:val="single" w:color="auto" w:sz="4" w:space="0"/>
              <w:bottom w:val="single" w:color="auto" w:sz="4" w:space="0"/>
              <w:right w:val="single" w:color="auto" w:sz="4" w:space="0"/>
            </w:tcBorders>
            <w:noWrap w:val="0"/>
            <w:vAlign w:val="center"/>
          </w:tcPr>
          <w:p w14:paraId="7428F6DD">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color w:val="000000"/>
                <w:sz w:val="21"/>
                <w:szCs w:val="21"/>
              </w:rPr>
              <w:t>生产经营单位进行高处作业、有限空间作业、危险物品充装和接卸作业、危险场所动火作业等危险作业，应当严格执行操作规程，落实安全措施，加强现场安全管理。</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249E87CB">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lang w:bidi="ar"/>
              </w:rPr>
              <w:t>《</w:t>
            </w:r>
            <w:r>
              <w:rPr>
                <w:bCs/>
                <w:color w:val="000000"/>
                <w:sz w:val="21"/>
                <w:szCs w:val="21"/>
                <w:lang w:bidi="ar"/>
              </w:rPr>
              <w:t>云南省安全生产条例</w:t>
            </w:r>
            <w:r>
              <w:rPr>
                <w:color w:val="000000"/>
                <w:sz w:val="21"/>
                <w:szCs w:val="21"/>
                <w:lang w:bidi="ar"/>
              </w:rPr>
              <w:t>》（云南省第十二届人民代表大会常务委员会公告第63号，2017年11月30日云南省第十二届人民代表大会常务委员会第三十八次会议通过，自2018年1月1日起施行）</w:t>
            </w:r>
          </w:p>
          <w:p w14:paraId="7227B984">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第</w:t>
            </w:r>
            <w:r>
              <w:rPr>
                <w:rFonts w:hint="eastAsia"/>
                <w:color w:val="000000"/>
                <w:sz w:val="21"/>
                <w:szCs w:val="21"/>
              </w:rPr>
              <w:t>二十一</w:t>
            </w:r>
            <w:r>
              <w:rPr>
                <w:color w:val="000000"/>
                <w:sz w:val="21"/>
                <w:szCs w:val="21"/>
              </w:rPr>
              <w:t>条</w:t>
            </w:r>
          </w:p>
        </w:tc>
        <w:tc>
          <w:tcPr>
            <w:tcW w:w="2837" w:type="dxa"/>
            <w:tcBorders>
              <w:top w:val="single" w:color="auto" w:sz="4" w:space="0"/>
              <w:left w:val="single" w:color="auto" w:sz="4" w:space="0"/>
              <w:bottom w:val="single" w:color="auto" w:sz="4" w:space="0"/>
              <w:right w:val="single" w:color="auto" w:sz="4" w:space="0"/>
            </w:tcBorders>
            <w:noWrap w:val="0"/>
            <w:vAlign w:val="center"/>
          </w:tcPr>
          <w:p w14:paraId="69ED0649">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rFonts w:hint="default" w:eastAsia="宋体"/>
                <w:color w:val="000000"/>
                <w:sz w:val="21"/>
                <w:szCs w:val="21"/>
                <w:lang w:val="en-US" w:eastAsia="zh-CN"/>
              </w:rPr>
            </w:pPr>
            <w:r>
              <w:rPr>
                <w:rFonts w:hint="eastAsia"/>
                <w:color w:val="000000"/>
                <w:sz w:val="21"/>
                <w:szCs w:val="21"/>
              </w:rPr>
              <w:t>该公司</w:t>
            </w:r>
            <w:r>
              <w:rPr>
                <w:color w:val="000000"/>
                <w:sz w:val="21"/>
                <w:szCs w:val="21"/>
              </w:rPr>
              <w:t>针对特殊作业方面建立了相关安全管理制度，用于动火作业、吊装作业、动土作业、断路作业、临时用电作业、盲板抽堵作业、高处作业、受限空间作业等。</w:t>
            </w:r>
            <w:r>
              <w:rPr>
                <w:rFonts w:hint="eastAsia"/>
                <w:color w:val="000000"/>
                <w:sz w:val="21"/>
                <w:szCs w:val="21"/>
                <w:lang w:val="en-US" w:eastAsia="zh-CN"/>
              </w:rPr>
              <w:t>抽查企业提供的该项目近期的动火安全作业证、高处安全作业证、临时用电安全作业证、抽堵盲板安全作业证等特殊作业票（详见本报告“附件资料”），按相关安全管理制度执行。</w:t>
            </w:r>
          </w:p>
        </w:tc>
        <w:tc>
          <w:tcPr>
            <w:tcW w:w="694" w:type="dxa"/>
            <w:tcBorders>
              <w:top w:val="single" w:color="auto" w:sz="4" w:space="0"/>
              <w:left w:val="single" w:color="auto" w:sz="4" w:space="0"/>
              <w:bottom w:val="single" w:color="auto" w:sz="4" w:space="0"/>
              <w:right w:val="single" w:color="auto" w:sz="4" w:space="0"/>
            </w:tcBorders>
            <w:noWrap w:val="0"/>
            <w:vAlign w:val="center"/>
          </w:tcPr>
          <w:p w14:paraId="473CA229">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符合</w:t>
            </w:r>
          </w:p>
        </w:tc>
      </w:tr>
      <w:tr w14:paraId="64FFE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9216" w:type="dxa"/>
            <w:gridSpan w:val="5"/>
            <w:tcBorders>
              <w:top w:val="single" w:color="auto" w:sz="4" w:space="0"/>
              <w:left w:val="single" w:color="auto" w:sz="4" w:space="0"/>
              <w:bottom w:val="single" w:color="auto" w:sz="4" w:space="0"/>
              <w:right w:val="single" w:color="auto" w:sz="4" w:space="0"/>
            </w:tcBorders>
            <w:noWrap w:val="0"/>
            <w:vAlign w:val="center"/>
          </w:tcPr>
          <w:p w14:paraId="727C62B2">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从业人员安全教育及培训</w:t>
            </w:r>
          </w:p>
        </w:tc>
      </w:tr>
      <w:tr w14:paraId="08BAB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3DA59DFC">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1</w:t>
            </w:r>
          </w:p>
        </w:tc>
        <w:tc>
          <w:tcPr>
            <w:tcW w:w="2611" w:type="dxa"/>
            <w:tcBorders>
              <w:top w:val="single" w:color="auto" w:sz="4" w:space="0"/>
              <w:left w:val="single" w:color="auto" w:sz="4" w:space="0"/>
              <w:bottom w:val="single" w:color="auto" w:sz="4" w:space="0"/>
              <w:right w:val="single" w:color="auto" w:sz="4" w:space="0"/>
            </w:tcBorders>
            <w:noWrap w:val="0"/>
            <w:vAlign w:val="center"/>
          </w:tcPr>
          <w:p w14:paraId="2F51F168">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color w:val="000000"/>
                <w:sz w:val="21"/>
                <w:szCs w:val="21"/>
              </w:rPr>
              <w:t>生产经营单位的主要负责人和安全生产管理人员必须具备与本单位所从事的生产经营活动相应的安全生产知识和管理能力。</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7899F03E">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rFonts w:hint="eastAsia"/>
                <w:color w:val="000000"/>
                <w:sz w:val="21"/>
                <w:szCs w:val="21"/>
              </w:rPr>
            </w:pPr>
            <w:r>
              <w:rPr>
                <w:rFonts w:hint="eastAsia"/>
                <w:color w:val="000000"/>
                <w:sz w:val="21"/>
                <w:szCs w:val="21"/>
                <w:lang w:bidi="ar"/>
              </w:rPr>
              <w:t>《中华人民共和国安全生产法》（中华人民共和国主席令第13号，根据中华人民共和国主席令第88号修订，2021年09月01日施行）</w:t>
            </w:r>
          </w:p>
          <w:p w14:paraId="5A0838DF">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kern w:val="0"/>
                <w:sz w:val="21"/>
                <w:szCs w:val="21"/>
              </w:rPr>
              <w:t>第二十</w:t>
            </w:r>
            <w:r>
              <w:rPr>
                <w:rFonts w:hint="eastAsia"/>
                <w:color w:val="000000"/>
                <w:kern w:val="0"/>
                <w:sz w:val="21"/>
                <w:szCs w:val="21"/>
              </w:rPr>
              <w:t>七</w:t>
            </w:r>
            <w:r>
              <w:rPr>
                <w:color w:val="000000"/>
                <w:kern w:val="0"/>
                <w:sz w:val="21"/>
                <w:szCs w:val="21"/>
              </w:rPr>
              <w:t>条</w:t>
            </w:r>
          </w:p>
        </w:tc>
        <w:tc>
          <w:tcPr>
            <w:tcW w:w="2837" w:type="dxa"/>
            <w:tcBorders>
              <w:top w:val="single" w:color="auto" w:sz="4" w:space="0"/>
              <w:left w:val="single" w:color="auto" w:sz="4" w:space="0"/>
              <w:bottom w:val="single" w:color="auto" w:sz="4" w:space="0"/>
              <w:right w:val="single" w:color="auto" w:sz="4" w:space="0"/>
            </w:tcBorders>
            <w:noWrap w:val="0"/>
            <w:vAlign w:val="center"/>
          </w:tcPr>
          <w:p w14:paraId="5C3F340B">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rFonts w:hint="default" w:eastAsia="宋体"/>
                <w:bCs/>
                <w:color w:val="000000"/>
                <w:sz w:val="21"/>
                <w:szCs w:val="21"/>
                <w:lang w:val="en-US" w:eastAsia="zh-CN"/>
              </w:rPr>
            </w:pPr>
            <w:r>
              <w:rPr>
                <w:rFonts w:hint="eastAsia"/>
                <w:bCs/>
                <w:color w:val="000000"/>
                <w:sz w:val="21"/>
                <w:szCs w:val="21"/>
              </w:rPr>
              <w:t>该公司</w:t>
            </w:r>
            <w:r>
              <w:rPr>
                <w:bCs/>
                <w:color w:val="000000"/>
                <w:sz w:val="21"/>
                <w:szCs w:val="21"/>
              </w:rPr>
              <w:t>的主要负责人、安全管理员</w:t>
            </w:r>
            <w:r>
              <w:rPr>
                <w:rFonts w:hint="eastAsia"/>
                <w:color w:val="000000"/>
                <w:sz w:val="21"/>
                <w:szCs w:val="21"/>
              </w:rPr>
              <w:t>均经相关部门培训合格，取得安全生产知识和管理能力考核合格证</w:t>
            </w:r>
            <w:r>
              <w:rPr>
                <w:bCs/>
                <w:color w:val="000000"/>
                <w:sz w:val="21"/>
                <w:szCs w:val="21"/>
              </w:rPr>
              <w:t>，具备相应的安全生产知识和管理能力。</w:t>
            </w:r>
            <w:r>
              <w:rPr>
                <w:rFonts w:hint="eastAsia"/>
                <w:bCs/>
                <w:color w:val="000000"/>
                <w:sz w:val="21"/>
                <w:szCs w:val="21"/>
                <w:lang w:val="en-US" w:eastAsia="zh-CN"/>
              </w:rPr>
              <w:t>相关</w:t>
            </w:r>
            <w:r>
              <w:rPr>
                <w:rFonts w:hint="eastAsia"/>
                <w:bCs/>
                <w:color w:val="000000"/>
                <w:sz w:val="21"/>
                <w:szCs w:val="21"/>
              </w:rPr>
              <w:t>人员资质证书样张</w:t>
            </w:r>
            <w:r>
              <w:rPr>
                <w:rFonts w:hint="eastAsia"/>
                <w:bCs/>
                <w:color w:val="000000"/>
                <w:sz w:val="21"/>
                <w:szCs w:val="21"/>
                <w:lang w:val="en-US" w:eastAsia="zh-CN"/>
              </w:rPr>
              <w:t>及人员证书台账详见本报告“附件资料”。</w:t>
            </w:r>
          </w:p>
        </w:tc>
        <w:tc>
          <w:tcPr>
            <w:tcW w:w="694" w:type="dxa"/>
            <w:tcBorders>
              <w:top w:val="single" w:color="auto" w:sz="4" w:space="0"/>
              <w:left w:val="single" w:color="auto" w:sz="4" w:space="0"/>
              <w:bottom w:val="single" w:color="auto" w:sz="4" w:space="0"/>
              <w:right w:val="single" w:color="auto" w:sz="4" w:space="0"/>
            </w:tcBorders>
            <w:noWrap w:val="0"/>
            <w:vAlign w:val="center"/>
          </w:tcPr>
          <w:p w14:paraId="2DE1680B">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bCs/>
                <w:color w:val="000000"/>
                <w:sz w:val="21"/>
                <w:szCs w:val="21"/>
              </w:rPr>
            </w:pPr>
            <w:r>
              <w:rPr>
                <w:bCs/>
                <w:color w:val="000000"/>
                <w:sz w:val="21"/>
                <w:szCs w:val="21"/>
              </w:rPr>
              <w:t>符合</w:t>
            </w:r>
          </w:p>
        </w:tc>
      </w:tr>
      <w:tr w14:paraId="59D45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6FB6AC3E">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2</w:t>
            </w:r>
          </w:p>
        </w:tc>
        <w:tc>
          <w:tcPr>
            <w:tcW w:w="2611" w:type="dxa"/>
            <w:tcBorders>
              <w:top w:val="single" w:color="auto" w:sz="4" w:space="0"/>
              <w:left w:val="single" w:color="auto" w:sz="4" w:space="0"/>
              <w:bottom w:val="single" w:color="auto" w:sz="4" w:space="0"/>
              <w:right w:val="single" w:color="auto" w:sz="4" w:space="0"/>
            </w:tcBorders>
            <w:noWrap w:val="0"/>
            <w:vAlign w:val="center"/>
          </w:tcPr>
          <w:p w14:paraId="6D578C5F">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color w:val="000000"/>
                <w:sz w:val="21"/>
                <w:szCs w:val="21"/>
              </w:rPr>
              <w:t>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4FC4CDC8">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rFonts w:hint="eastAsia"/>
                <w:color w:val="000000"/>
                <w:sz w:val="21"/>
                <w:szCs w:val="21"/>
              </w:rPr>
            </w:pPr>
            <w:r>
              <w:rPr>
                <w:rFonts w:hint="eastAsia"/>
                <w:color w:val="000000"/>
                <w:sz w:val="21"/>
                <w:szCs w:val="21"/>
                <w:lang w:bidi="ar"/>
              </w:rPr>
              <w:t>《中华人民共和国安全生产法》（中华人民共和国主席令第13号，根据中华人民共和国主席令第88号修订，2021年09月01日施行）</w:t>
            </w:r>
          </w:p>
          <w:p w14:paraId="2428502E">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kern w:val="0"/>
                <w:sz w:val="21"/>
                <w:szCs w:val="21"/>
              </w:rPr>
            </w:pPr>
            <w:r>
              <w:rPr>
                <w:color w:val="000000"/>
                <w:kern w:val="0"/>
                <w:sz w:val="21"/>
                <w:szCs w:val="21"/>
              </w:rPr>
              <w:t>第二十</w:t>
            </w:r>
            <w:r>
              <w:rPr>
                <w:rFonts w:hint="eastAsia"/>
                <w:color w:val="000000"/>
                <w:kern w:val="0"/>
                <w:sz w:val="21"/>
                <w:szCs w:val="21"/>
              </w:rPr>
              <w:t>八</w:t>
            </w:r>
            <w:r>
              <w:rPr>
                <w:color w:val="000000"/>
                <w:kern w:val="0"/>
                <w:sz w:val="21"/>
                <w:szCs w:val="21"/>
              </w:rPr>
              <w:t>条</w:t>
            </w:r>
          </w:p>
        </w:tc>
        <w:tc>
          <w:tcPr>
            <w:tcW w:w="2837" w:type="dxa"/>
            <w:tcBorders>
              <w:top w:val="single" w:color="auto" w:sz="4" w:space="0"/>
              <w:left w:val="single" w:color="auto" w:sz="4" w:space="0"/>
              <w:bottom w:val="single" w:color="auto" w:sz="4" w:space="0"/>
              <w:right w:val="single" w:color="auto" w:sz="4" w:space="0"/>
            </w:tcBorders>
            <w:noWrap w:val="0"/>
            <w:vAlign w:val="center"/>
          </w:tcPr>
          <w:p w14:paraId="48B44DBF">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bCs/>
                <w:color w:val="000000"/>
                <w:sz w:val="21"/>
                <w:szCs w:val="21"/>
              </w:rPr>
            </w:pPr>
            <w:r>
              <w:rPr>
                <w:rFonts w:hint="eastAsia"/>
                <w:bCs/>
                <w:color w:val="000000"/>
                <w:sz w:val="21"/>
                <w:szCs w:val="21"/>
              </w:rPr>
              <w:t>该公司</w:t>
            </w:r>
            <w:r>
              <w:rPr>
                <w:bCs/>
                <w:color w:val="000000"/>
                <w:sz w:val="21"/>
                <w:szCs w:val="21"/>
              </w:rPr>
              <w:t>的主要负责人、安全管理人员</w:t>
            </w:r>
            <w:r>
              <w:rPr>
                <w:rFonts w:hint="eastAsia"/>
                <w:color w:val="000000"/>
                <w:sz w:val="21"/>
                <w:szCs w:val="21"/>
              </w:rPr>
              <w:t>均经相关部门培训合格，取得安全生产知识和管理能力考核合格证</w:t>
            </w:r>
            <w:r>
              <w:rPr>
                <w:bCs/>
                <w:color w:val="000000"/>
                <w:sz w:val="21"/>
                <w:szCs w:val="21"/>
              </w:rPr>
              <w:t>；该项目相关的高/低压电工作业</w:t>
            </w:r>
            <w:r>
              <w:rPr>
                <w:rFonts w:hint="eastAsia"/>
                <w:bCs/>
                <w:color w:val="000000"/>
                <w:sz w:val="21"/>
                <w:szCs w:val="21"/>
              </w:rPr>
              <w:t>、化工自动化控制仪表作业、高处作业</w:t>
            </w:r>
            <w:r>
              <w:rPr>
                <w:bCs/>
                <w:color w:val="000000"/>
                <w:sz w:val="21"/>
                <w:szCs w:val="21"/>
              </w:rPr>
              <w:t>人员</w:t>
            </w:r>
            <w:r>
              <w:rPr>
                <w:rFonts w:hint="eastAsia"/>
                <w:bCs/>
                <w:color w:val="000000"/>
                <w:sz w:val="21"/>
                <w:szCs w:val="21"/>
              </w:rPr>
              <w:t>等</w:t>
            </w:r>
            <w:r>
              <w:rPr>
                <w:bCs/>
                <w:color w:val="000000"/>
                <w:sz w:val="21"/>
                <w:szCs w:val="21"/>
              </w:rPr>
              <w:t>均经</w:t>
            </w:r>
            <w:r>
              <w:rPr>
                <w:rFonts w:hint="eastAsia"/>
                <w:bCs/>
                <w:color w:val="000000"/>
                <w:sz w:val="21"/>
                <w:szCs w:val="21"/>
              </w:rPr>
              <w:t>相关</w:t>
            </w:r>
            <w:r>
              <w:rPr>
                <w:bCs/>
                <w:color w:val="000000"/>
                <w:sz w:val="21"/>
                <w:szCs w:val="21"/>
              </w:rPr>
              <w:t>部门考核合格并发放特种作业操作证；该项目相关的</w:t>
            </w:r>
            <w:r>
              <w:rPr>
                <w:rFonts w:hint="eastAsia"/>
                <w:bCs/>
                <w:color w:val="000000"/>
                <w:sz w:val="21"/>
                <w:szCs w:val="21"/>
              </w:rPr>
              <w:t>特种设备安全管理、移动式压力容器充装</w:t>
            </w:r>
            <w:r>
              <w:rPr>
                <w:bCs/>
                <w:color w:val="000000"/>
                <w:sz w:val="21"/>
                <w:szCs w:val="21"/>
              </w:rPr>
              <w:t>等特种设备作业人员均经</w:t>
            </w:r>
            <w:r>
              <w:rPr>
                <w:rFonts w:hint="eastAsia"/>
                <w:bCs/>
                <w:color w:val="000000"/>
                <w:sz w:val="21"/>
                <w:szCs w:val="21"/>
              </w:rPr>
              <w:t>相关</w:t>
            </w:r>
            <w:r>
              <w:rPr>
                <w:bCs/>
                <w:color w:val="000000"/>
                <w:sz w:val="21"/>
                <w:szCs w:val="21"/>
              </w:rPr>
              <w:t>监督管理部门考核合格并发放特种设备作业人员证；</w:t>
            </w:r>
            <w:r>
              <w:rPr>
                <w:rFonts w:hint="eastAsia"/>
                <w:bCs/>
                <w:color w:val="000000"/>
                <w:sz w:val="21"/>
                <w:szCs w:val="21"/>
                <w:lang w:val="en-US" w:eastAsia="zh-CN"/>
              </w:rPr>
              <w:t>相关</w:t>
            </w:r>
            <w:r>
              <w:rPr>
                <w:rFonts w:hint="eastAsia"/>
                <w:bCs/>
                <w:color w:val="000000"/>
                <w:sz w:val="21"/>
                <w:szCs w:val="21"/>
              </w:rPr>
              <w:t>人员资质证书样张</w:t>
            </w:r>
            <w:r>
              <w:rPr>
                <w:rFonts w:hint="eastAsia"/>
                <w:bCs/>
                <w:color w:val="000000"/>
                <w:sz w:val="21"/>
                <w:szCs w:val="21"/>
                <w:lang w:val="en-US" w:eastAsia="zh-CN"/>
              </w:rPr>
              <w:t>及人员证书台账详见本报告“附件资料”。</w:t>
            </w:r>
            <w:r>
              <w:rPr>
                <w:bCs/>
                <w:color w:val="000000"/>
                <w:sz w:val="21"/>
                <w:szCs w:val="21"/>
              </w:rPr>
              <w:t>其他从业人员经公司内部培训合格后上岗作业。</w:t>
            </w:r>
          </w:p>
        </w:tc>
        <w:tc>
          <w:tcPr>
            <w:tcW w:w="694" w:type="dxa"/>
            <w:tcBorders>
              <w:top w:val="single" w:color="auto" w:sz="4" w:space="0"/>
              <w:left w:val="single" w:color="auto" w:sz="4" w:space="0"/>
              <w:bottom w:val="single" w:color="auto" w:sz="4" w:space="0"/>
              <w:right w:val="single" w:color="auto" w:sz="4" w:space="0"/>
            </w:tcBorders>
            <w:noWrap w:val="0"/>
            <w:vAlign w:val="center"/>
          </w:tcPr>
          <w:p w14:paraId="009B8EB4">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符合</w:t>
            </w:r>
          </w:p>
        </w:tc>
      </w:tr>
      <w:tr w14:paraId="23E92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5F4E6386">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3</w:t>
            </w:r>
          </w:p>
        </w:tc>
        <w:tc>
          <w:tcPr>
            <w:tcW w:w="2611" w:type="dxa"/>
            <w:tcBorders>
              <w:top w:val="single" w:color="auto" w:sz="4" w:space="0"/>
              <w:left w:val="single" w:color="auto" w:sz="4" w:space="0"/>
              <w:bottom w:val="single" w:color="auto" w:sz="4" w:space="0"/>
              <w:right w:val="single" w:color="auto" w:sz="4" w:space="0"/>
            </w:tcBorders>
            <w:noWrap w:val="0"/>
            <w:vAlign w:val="center"/>
          </w:tcPr>
          <w:p w14:paraId="3A064752">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color w:val="000000"/>
                <w:sz w:val="21"/>
                <w:szCs w:val="21"/>
              </w:rPr>
              <w:t>生产经营单位采用新工艺、新技术、新材料或者使用新设备，必须了解、掌握其安全技术特性，采取有效的安全防护措施，并对从业人员进行专门的安全生产教育和培训。</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417DB194">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rFonts w:hint="eastAsia"/>
                <w:color w:val="000000"/>
                <w:sz w:val="21"/>
                <w:szCs w:val="21"/>
              </w:rPr>
            </w:pPr>
            <w:r>
              <w:rPr>
                <w:color w:val="000000"/>
                <w:sz w:val="21"/>
                <w:szCs w:val="21"/>
                <w:lang w:bidi="ar"/>
              </w:rPr>
              <w:t>《中华人民共和国安全生产法（2014年修订）》</w:t>
            </w:r>
            <w:r>
              <w:rPr>
                <w:rFonts w:hint="eastAsia"/>
                <w:color w:val="000000"/>
                <w:sz w:val="21"/>
                <w:szCs w:val="21"/>
                <w:lang w:bidi="ar"/>
              </w:rPr>
              <w:t>（中华人民共和国主席令第13号，根据中华人民共和国主席令第88号修订，2021年09月01日施行）</w:t>
            </w:r>
          </w:p>
          <w:p w14:paraId="223102BF">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kern w:val="0"/>
                <w:sz w:val="21"/>
                <w:szCs w:val="21"/>
              </w:rPr>
              <w:t>第二十</w:t>
            </w:r>
            <w:r>
              <w:rPr>
                <w:rFonts w:hint="eastAsia"/>
                <w:color w:val="000000"/>
                <w:kern w:val="0"/>
                <w:sz w:val="21"/>
                <w:szCs w:val="21"/>
              </w:rPr>
              <w:t>九</w:t>
            </w:r>
            <w:r>
              <w:rPr>
                <w:color w:val="000000"/>
                <w:kern w:val="0"/>
                <w:sz w:val="21"/>
                <w:szCs w:val="21"/>
              </w:rPr>
              <w:t>条</w:t>
            </w:r>
          </w:p>
        </w:tc>
        <w:tc>
          <w:tcPr>
            <w:tcW w:w="2837" w:type="dxa"/>
            <w:tcBorders>
              <w:top w:val="single" w:color="auto" w:sz="4" w:space="0"/>
              <w:left w:val="single" w:color="auto" w:sz="4" w:space="0"/>
              <w:bottom w:val="single" w:color="auto" w:sz="4" w:space="0"/>
              <w:right w:val="single" w:color="auto" w:sz="4" w:space="0"/>
            </w:tcBorders>
            <w:noWrap w:val="0"/>
            <w:vAlign w:val="center"/>
          </w:tcPr>
          <w:p w14:paraId="38F2F945">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color w:val="000000"/>
                <w:sz w:val="21"/>
                <w:szCs w:val="21"/>
              </w:rPr>
              <w:t>该项目</w:t>
            </w:r>
            <w:r>
              <w:rPr>
                <w:rFonts w:hint="eastAsia"/>
                <w:color w:val="000000"/>
                <w:sz w:val="21"/>
                <w:szCs w:val="21"/>
              </w:rPr>
              <w:t>不</w:t>
            </w:r>
            <w:r>
              <w:rPr>
                <w:color w:val="000000"/>
                <w:sz w:val="21"/>
                <w:szCs w:val="21"/>
              </w:rPr>
              <w:t>涉及新工艺、新技术、新材料或者使用新设备。</w:t>
            </w:r>
          </w:p>
        </w:tc>
        <w:tc>
          <w:tcPr>
            <w:tcW w:w="694" w:type="dxa"/>
            <w:tcBorders>
              <w:top w:val="single" w:color="auto" w:sz="4" w:space="0"/>
              <w:left w:val="single" w:color="auto" w:sz="4" w:space="0"/>
              <w:bottom w:val="single" w:color="auto" w:sz="4" w:space="0"/>
              <w:right w:val="single" w:color="auto" w:sz="4" w:space="0"/>
            </w:tcBorders>
            <w:noWrap w:val="0"/>
            <w:vAlign w:val="center"/>
          </w:tcPr>
          <w:p w14:paraId="1DD6F66B">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rFonts w:hint="eastAsia"/>
                <w:color w:val="000000"/>
                <w:sz w:val="21"/>
                <w:szCs w:val="21"/>
              </w:rPr>
            </w:pPr>
            <w:r>
              <w:rPr>
                <w:rFonts w:hint="eastAsia"/>
                <w:color w:val="000000"/>
                <w:sz w:val="21"/>
                <w:szCs w:val="21"/>
              </w:rPr>
              <w:t>不涉及</w:t>
            </w:r>
          </w:p>
        </w:tc>
      </w:tr>
      <w:tr w14:paraId="7D2F8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1C792D9B">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4</w:t>
            </w:r>
          </w:p>
        </w:tc>
        <w:tc>
          <w:tcPr>
            <w:tcW w:w="2611" w:type="dxa"/>
            <w:tcBorders>
              <w:top w:val="single" w:color="auto" w:sz="4" w:space="0"/>
              <w:left w:val="single" w:color="auto" w:sz="4" w:space="0"/>
              <w:bottom w:val="single" w:color="auto" w:sz="4" w:space="0"/>
              <w:right w:val="single" w:color="auto" w:sz="4" w:space="0"/>
            </w:tcBorders>
            <w:noWrap w:val="0"/>
            <w:vAlign w:val="center"/>
          </w:tcPr>
          <w:p w14:paraId="1692B7F9">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color w:val="000000"/>
                <w:sz w:val="21"/>
                <w:szCs w:val="21"/>
              </w:rPr>
              <w:t>生产经营单位的特种作业人员必须按照国家有关规定经专门的安全作业培训，取得相应资格，方可上岗作业。</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6DBA3793">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rFonts w:hint="eastAsia"/>
                <w:color w:val="000000"/>
                <w:sz w:val="21"/>
                <w:szCs w:val="21"/>
              </w:rPr>
            </w:pPr>
            <w:r>
              <w:rPr>
                <w:rFonts w:hint="eastAsia"/>
                <w:color w:val="000000"/>
                <w:sz w:val="21"/>
                <w:szCs w:val="21"/>
                <w:lang w:bidi="ar"/>
              </w:rPr>
              <w:t>《中华人民共和国安全生产法》（中华人民共和国主席令第13号，根据中华人民共和国主席令第88号修订，2021年09月01日施行）</w:t>
            </w:r>
          </w:p>
          <w:p w14:paraId="3A2CE0BD">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kern w:val="0"/>
                <w:sz w:val="21"/>
                <w:szCs w:val="21"/>
              </w:rPr>
            </w:pPr>
            <w:r>
              <w:rPr>
                <w:color w:val="000000"/>
                <w:kern w:val="0"/>
                <w:sz w:val="21"/>
                <w:szCs w:val="21"/>
              </w:rPr>
              <w:t>第</w:t>
            </w:r>
            <w:r>
              <w:rPr>
                <w:rFonts w:hint="eastAsia"/>
                <w:color w:val="000000"/>
                <w:kern w:val="0"/>
                <w:sz w:val="21"/>
                <w:szCs w:val="21"/>
              </w:rPr>
              <w:t>三十</w:t>
            </w:r>
            <w:r>
              <w:rPr>
                <w:color w:val="000000"/>
                <w:kern w:val="0"/>
                <w:sz w:val="21"/>
                <w:szCs w:val="21"/>
              </w:rPr>
              <w:t>条</w:t>
            </w:r>
          </w:p>
        </w:tc>
        <w:tc>
          <w:tcPr>
            <w:tcW w:w="2837" w:type="dxa"/>
            <w:tcBorders>
              <w:top w:val="single" w:color="auto" w:sz="4" w:space="0"/>
              <w:left w:val="single" w:color="auto" w:sz="4" w:space="0"/>
              <w:bottom w:val="single" w:color="auto" w:sz="4" w:space="0"/>
              <w:right w:val="single" w:color="auto" w:sz="4" w:space="0"/>
            </w:tcBorders>
            <w:noWrap w:val="0"/>
            <w:vAlign w:val="center"/>
          </w:tcPr>
          <w:p w14:paraId="62B3E5E5">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bCs/>
                <w:color w:val="000000"/>
                <w:sz w:val="21"/>
                <w:szCs w:val="21"/>
              </w:rPr>
              <w:t>该项目相关的高/低压电工作业</w:t>
            </w:r>
            <w:r>
              <w:rPr>
                <w:rFonts w:hint="eastAsia"/>
                <w:bCs/>
                <w:color w:val="000000"/>
                <w:sz w:val="21"/>
                <w:szCs w:val="21"/>
              </w:rPr>
              <w:t>、化工自动化控制仪表作业、高处作业</w:t>
            </w:r>
            <w:r>
              <w:rPr>
                <w:bCs/>
                <w:color w:val="000000"/>
                <w:sz w:val="21"/>
                <w:szCs w:val="21"/>
              </w:rPr>
              <w:t>人员</w:t>
            </w:r>
            <w:r>
              <w:rPr>
                <w:rFonts w:hint="eastAsia"/>
                <w:bCs/>
                <w:color w:val="000000"/>
                <w:sz w:val="21"/>
                <w:szCs w:val="21"/>
              </w:rPr>
              <w:t>等</w:t>
            </w:r>
            <w:r>
              <w:rPr>
                <w:bCs/>
                <w:color w:val="000000"/>
                <w:sz w:val="21"/>
                <w:szCs w:val="21"/>
              </w:rPr>
              <w:t>均经</w:t>
            </w:r>
            <w:r>
              <w:rPr>
                <w:rFonts w:hint="eastAsia"/>
                <w:bCs/>
                <w:color w:val="000000"/>
                <w:sz w:val="21"/>
                <w:szCs w:val="21"/>
              </w:rPr>
              <w:t>相关</w:t>
            </w:r>
            <w:r>
              <w:rPr>
                <w:bCs/>
                <w:color w:val="000000"/>
                <w:sz w:val="21"/>
                <w:szCs w:val="21"/>
              </w:rPr>
              <w:t>管理部门考核合格并发放特种作业操作证。</w:t>
            </w:r>
            <w:r>
              <w:rPr>
                <w:rFonts w:hint="eastAsia"/>
                <w:bCs/>
                <w:color w:val="000000"/>
                <w:sz w:val="21"/>
                <w:szCs w:val="21"/>
                <w:lang w:val="en-US" w:eastAsia="zh-CN"/>
              </w:rPr>
              <w:t>相关</w:t>
            </w:r>
            <w:r>
              <w:rPr>
                <w:rFonts w:hint="eastAsia"/>
                <w:bCs/>
                <w:color w:val="000000"/>
                <w:sz w:val="21"/>
                <w:szCs w:val="21"/>
              </w:rPr>
              <w:t>人员资质证书样张</w:t>
            </w:r>
            <w:r>
              <w:rPr>
                <w:rFonts w:hint="eastAsia"/>
                <w:bCs/>
                <w:color w:val="000000"/>
                <w:sz w:val="21"/>
                <w:szCs w:val="21"/>
                <w:lang w:val="en-US" w:eastAsia="zh-CN"/>
              </w:rPr>
              <w:t>及人员证书台账详见本报告“附件资料”。</w:t>
            </w:r>
          </w:p>
        </w:tc>
        <w:tc>
          <w:tcPr>
            <w:tcW w:w="694" w:type="dxa"/>
            <w:tcBorders>
              <w:top w:val="single" w:color="auto" w:sz="4" w:space="0"/>
              <w:left w:val="single" w:color="auto" w:sz="4" w:space="0"/>
              <w:bottom w:val="single" w:color="auto" w:sz="4" w:space="0"/>
              <w:right w:val="single" w:color="auto" w:sz="4" w:space="0"/>
            </w:tcBorders>
            <w:noWrap w:val="0"/>
            <w:vAlign w:val="center"/>
          </w:tcPr>
          <w:p w14:paraId="4A251D98">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符合</w:t>
            </w:r>
          </w:p>
        </w:tc>
      </w:tr>
      <w:tr w14:paraId="050E6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2E7C0785">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5</w:t>
            </w:r>
          </w:p>
        </w:tc>
        <w:tc>
          <w:tcPr>
            <w:tcW w:w="2611" w:type="dxa"/>
            <w:tcBorders>
              <w:top w:val="single" w:color="auto" w:sz="4" w:space="0"/>
              <w:left w:val="single" w:color="auto" w:sz="4" w:space="0"/>
              <w:bottom w:val="single" w:color="auto" w:sz="4" w:space="0"/>
              <w:right w:val="single" w:color="auto" w:sz="4" w:space="0"/>
            </w:tcBorders>
            <w:noWrap w:val="0"/>
            <w:vAlign w:val="center"/>
          </w:tcPr>
          <w:p w14:paraId="37B6AB83">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color w:val="000000"/>
                <w:sz w:val="21"/>
                <w:szCs w:val="21"/>
              </w:rPr>
              <w:t>生产经营单位应当对从业人员进行应急教育和培训，保证从业人员具备必要的应急知识，掌握风险防范技能和事故应急措施。</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37274E65">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《生产安全事故应急条例》（中华人民共和</w:t>
            </w:r>
            <w:r>
              <w:rPr>
                <w:rFonts w:hint="eastAsia"/>
                <w:color w:val="000000"/>
                <w:sz w:val="21"/>
                <w:szCs w:val="21"/>
                <w:lang w:val="en-US" w:eastAsia="zh-CN"/>
              </w:rPr>
              <w:t>国</w:t>
            </w:r>
            <w:r>
              <w:rPr>
                <w:color w:val="000000"/>
                <w:sz w:val="21"/>
                <w:szCs w:val="21"/>
              </w:rPr>
              <w:t>国务院令第708号）</w:t>
            </w:r>
          </w:p>
          <w:p w14:paraId="52C32CE2">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第十五条</w:t>
            </w:r>
          </w:p>
        </w:tc>
        <w:tc>
          <w:tcPr>
            <w:tcW w:w="2837" w:type="dxa"/>
            <w:tcBorders>
              <w:top w:val="single" w:color="auto" w:sz="4" w:space="0"/>
              <w:left w:val="single" w:color="auto" w:sz="4" w:space="0"/>
              <w:bottom w:val="single" w:color="auto" w:sz="4" w:space="0"/>
              <w:right w:val="single" w:color="auto" w:sz="4" w:space="0"/>
            </w:tcBorders>
            <w:noWrap w:val="0"/>
            <w:vAlign w:val="center"/>
          </w:tcPr>
          <w:p w14:paraId="309AEC6B">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bCs/>
                <w:color w:val="000000"/>
                <w:sz w:val="21"/>
                <w:szCs w:val="21"/>
              </w:rPr>
            </w:pPr>
            <w:r>
              <w:rPr>
                <w:rFonts w:hint="eastAsia"/>
                <w:bCs/>
                <w:color w:val="000000"/>
                <w:sz w:val="21"/>
                <w:szCs w:val="21"/>
              </w:rPr>
              <w:t>该公司</w:t>
            </w:r>
            <w:r>
              <w:rPr>
                <w:bCs/>
                <w:color w:val="000000"/>
                <w:sz w:val="21"/>
                <w:szCs w:val="21"/>
              </w:rPr>
              <w:t>的主要负责人、安全管理人员</w:t>
            </w:r>
            <w:r>
              <w:rPr>
                <w:rFonts w:hint="eastAsia"/>
                <w:color w:val="000000"/>
                <w:sz w:val="21"/>
                <w:szCs w:val="21"/>
              </w:rPr>
              <w:t>均经相关部门培训合格，取得安全生产知识和管理能力考核合格证</w:t>
            </w:r>
            <w:r>
              <w:rPr>
                <w:bCs/>
                <w:color w:val="000000"/>
                <w:sz w:val="21"/>
                <w:szCs w:val="21"/>
              </w:rPr>
              <w:t>；该项目相关的高/低压电工作业</w:t>
            </w:r>
            <w:r>
              <w:rPr>
                <w:rFonts w:hint="eastAsia"/>
                <w:bCs/>
                <w:color w:val="000000"/>
                <w:sz w:val="21"/>
                <w:szCs w:val="21"/>
              </w:rPr>
              <w:t>、化工自动化控制仪表作业、高处作业</w:t>
            </w:r>
            <w:r>
              <w:rPr>
                <w:bCs/>
                <w:color w:val="000000"/>
                <w:sz w:val="21"/>
                <w:szCs w:val="21"/>
              </w:rPr>
              <w:t>人员</w:t>
            </w:r>
            <w:r>
              <w:rPr>
                <w:rFonts w:hint="eastAsia"/>
                <w:bCs/>
                <w:color w:val="000000"/>
                <w:sz w:val="21"/>
                <w:szCs w:val="21"/>
              </w:rPr>
              <w:t>等</w:t>
            </w:r>
            <w:r>
              <w:rPr>
                <w:bCs/>
                <w:color w:val="000000"/>
                <w:sz w:val="21"/>
                <w:szCs w:val="21"/>
              </w:rPr>
              <w:t>均经</w:t>
            </w:r>
            <w:r>
              <w:rPr>
                <w:rFonts w:hint="eastAsia"/>
                <w:bCs/>
                <w:color w:val="000000"/>
                <w:sz w:val="21"/>
                <w:szCs w:val="21"/>
              </w:rPr>
              <w:t>相关</w:t>
            </w:r>
            <w:r>
              <w:rPr>
                <w:bCs/>
                <w:color w:val="000000"/>
                <w:sz w:val="21"/>
                <w:szCs w:val="21"/>
              </w:rPr>
              <w:t>部门考核合格并发放特种作业操作证；该项目相关的</w:t>
            </w:r>
            <w:r>
              <w:rPr>
                <w:rFonts w:hint="eastAsia"/>
                <w:bCs/>
                <w:color w:val="000000"/>
                <w:sz w:val="21"/>
                <w:szCs w:val="21"/>
              </w:rPr>
              <w:t>特种设备安全管理、移动式压力容器充装</w:t>
            </w:r>
            <w:r>
              <w:rPr>
                <w:bCs/>
                <w:color w:val="000000"/>
                <w:sz w:val="21"/>
                <w:szCs w:val="21"/>
              </w:rPr>
              <w:t>等</w:t>
            </w:r>
            <w:r>
              <w:rPr>
                <w:rFonts w:hint="eastAsia"/>
                <w:bCs/>
                <w:color w:val="000000"/>
                <w:sz w:val="21"/>
                <w:szCs w:val="21"/>
              </w:rPr>
              <w:t>人员</w:t>
            </w:r>
            <w:r>
              <w:rPr>
                <w:bCs/>
                <w:color w:val="000000"/>
                <w:sz w:val="21"/>
                <w:szCs w:val="21"/>
              </w:rPr>
              <w:t>均经</w:t>
            </w:r>
            <w:r>
              <w:rPr>
                <w:rFonts w:hint="eastAsia"/>
                <w:bCs/>
                <w:color w:val="000000"/>
                <w:sz w:val="21"/>
                <w:szCs w:val="21"/>
              </w:rPr>
              <w:t>相关</w:t>
            </w:r>
            <w:r>
              <w:rPr>
                <w:bCs/>
                <w:color w:val="000000"/>
                <w:sz w:val="21"/>
                <w:szCs w:val="21"/>
              </w:rPr>
              <w:t>监督管理部门考核合格并发放特种设备作业人员证；</w:t>
            </w:r>
            <w:r>
              <w:rPr>
                <w:rFonts w:hint="eastAsia"/>
                <w:bCs/>
                <w:color w:val="000000"/>
                <w:sz w:val="21"/>
                <w:szCs w:val="21"/>
                <w:lang w:val="en-US" w:eastAsia="zh-CN"/>
              </w:rPr>
              <w:t>相关</w:t>
            </w:r>
            <w:r>
              <w:rPr>
                <w:rFonts w:hint="eastAsia"/>
                <w:bCs/>
                <w:color w:val="000000"/>
                <w:sz w:val="21"/>
                <w:szCs w:val="21"/>
              </w:rPr>
              <w:t>人员资质证书样张</w:t>
            </w:r>
            <w:r>
              <w:rPr>
                <w:rFonts w:hint="eastAsia"/>
                <w:bCs/>
                <w:color w:val="000000"/>
                <w:sz w:val="21"/>
                <w:szCs w:val="21"/>
                <w:lang w:val="en-US" w:eastAsia="zh-CN"/>
              </w:rPr>
              <w:t>及人员证书台账详见本报告“附件资料”。</w:t>
            </w:r>
            <w:r>
              <w:rPr>
                <w:bCs/>
                <w:color w:val="000000"/>
                <w:sz w:val="21"/>
                <w:szCs w:val="21"/>
              </w:rPr>
              <w:t>其他从业人员经公司内部培训合格后上岗作业。该公司</w:t>
            </w:r>
            <w:r>
              <w:rPr>
                <w:color w:val="000000"/>
                <w:sz w:val="21"/>
                <w:szCs w:val="21"/>
              </w:rPr>
              <w:t>已结合项目的情况定期进行安全教育培训。各级培训包括应急教育和培训内容。</w:t>
            </w:r>
          </w:p>
        </w:tc>
        <w:tc>
          <w:tcPr>
            <w:tcW w:w="694" w:type="dxa"/>
            <w:tcBorders>
              <w:top w:val="single" w:color="auto" w:sz="4" w:space="0"/>
              <w:left w:val="single" w:color="auto" w:sz="4" w:space="0"/>
              <w:bottom w:val="single" w:color="auto" w:sz="4" w:space="0"/>
              <w:right w:val="single" w:color="auto" w:sz="4" w:space="0"/>
            </w:tcBorders>
            <w:noWrap w:val="0"/>
            <w:vAlign w:val="center"/>
          </w:tcPr>
          <w:p w14:paraId="4C5A7139">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符合</w:t>
            </w:r>
          </w:p>
        </w:tc>
      </w:tr>
      <w:tr w14:paraId="49226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20623694">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6</w:t>
            </w:r>
          </w:p>
        </w:tc>
        <w:tc>
          <w:tcPr>
            <w:tcW w:w="2611" w:type="dxa"/>
            <w:tcBorders>
              <w:top w:val="single" w:color="auto" w:sz="4" w:space="0"/>
              <w:left w:val="single" w:color="auto" w:sz="4" w:space="0"/>
              <w:bottom w:val="single" w:color="auto" w:sz="4" w:space="0"/>
              <w:right w:val="single" w:color="auto" w:sz="4" w:space="0"/>
            </w:tcBorders>
            <w:noWrap w:val="0"/>
            <w:vAlign w:val="center"/>
          </w:tcPr>
          <w:p w14:paraId="0B1A564D">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color w:val="000000"/>
                <w:sz w:val="21"/>
                <w:szCs w:val="21"/>
              </w:rPr>
              <w:t>生产经营单位应当按照有关规定对从业人员、被派遣劳动者和实习人员，以及离岗后重新上岗、换岗和采用新工艺、新技术、新材料或者使用新设备人员进行安全生产教育和培训。未经安全生产教育和培训合格的，不得安排上岗作业。</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09200312">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lang w:bidi="ar"/>
              </w:rPr>
              <w:t>《</w:t>
            </w:r>
            <w:r>
              <w:rPr>
                <w:bCs/>
                <w:color w:val="000000"/>
                <w:sz w:val="21"/>
                <w:szCs w:val="21"/>
                <w:lang w:bidi="ar"/>
              </w:rPr>
              <w:t>云南省安全生产条例</w:t>
            </w:r>
            <w:r>
              <w:rPr>
                <w:color w:val="000000"/>
                <w:sz w:val="21"/>
                <w:szCs w:val="21"/>
                <w:lang w:bidi="ar"/>
              </w:rPr>
              <w:t>》（云南省第十二届人民代表大会常务委员会公告第63号，2017年11月30日云南省第十二届人民代表大会常务委员会第三十八次会议通过，自2018年1月1日起施行）</w:t>
            </w:r>
          </w:p>
          <w:p w14:paraId="480B7BEA">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第二十二条</w:t>
            </w:r>
          </w:p>
        </w:tc>
        <w:tc>
          <w:tcPr>
            <w:tcW w:w="2837" w:type="dxa"/>
            <w:tcBorders>
              <w:top w:val="single" w:color="auto" w:sz="4" w:space="0"/>
              <w:left w:val="single" w:color="auto" w:sz="4" w:space="0"/>
              <w:bottom w:val="single" w:color="auto" w:sz="4" w:space="0"/>
              <w:right w:val="single" w:color="auto" w:sz="4" w:space="0"/>
            </w:tcBorders>
            <w:noWrap w:val="0"/>
            <w:vAlign w:val="center"/>
          </w:tcPr>
          <w:p w14:paraId="516A04BC">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bCs/>
                <w:color w:val="000000"/>
                <w:sz w:val="21"/>
                <w:szCs w:val="21"/>
              </w:rPr>
            </w:pPr>
            <w:r>
              <w:rPr>
                <w:rFonts w:hint="eastAsia"/>
                <w:bCs/>
                <w:color w:val="000000"/>
                <w:sz w:val="21"/>
                <w:szCs w:val="21"/>
              </w:rPr>
              <w:t>该公司</w:t>
            </w:r>
            <w:r>
              <w:rPr>
                <w:bCs/>
                <w:color w:val="000000"/>
                <w:sz w:val="21"/>
                <w:szCs w:val="21"/>
              </w:rPr>
              <w:t>的主要负责人、安全管理人员</w:t>
            </w:r>
            <w:r>
              <w:rPr>
                <w:rFonts w:hint="eastAsia"/>
                <w:color w:val="000000"/>
                <w:sz w:val="21"/>
                <w:szCs w:val="21"/>
              </w:rPr>
              <w:t>均经相关部门培训合格，取得安全生产知识和管理能力考核合格证</w:t>
            </w:r>
            <w:r>
              <w:rPr>
                <w:bCs/>
                <w:color w:val="000000"/>
                <w:sz w:val="21"/>
                <w:szCs w:val="21"/>
              </w:rPr>
              <w:t>；该项目相关的高/低压电工作业</w:t>
            </w:r>
            <w:r>
              <w:rPr>
                <w:rFonts w:hint="eastAsia"/>
                <w:bCs/>
                <w:color w:val="000000"/>
                <w:sz w:val="21"/>
                <w:szCs w:val="21"/>
              </w:rPr>
              <w:t>、化工自动化控制仪表作业、高处作业</w:t>
            </w:r>
            <w:r>
              <w:rPr>
                <w:bCs/>
                <w:color w:val="000000"/>
                <w:sz w:val="21"/>
                <w:szCs w:val="21"/>
              </w:rPr>
              <w:t>人员</w:t>
            </w:r>
            <w:r>
              <w:rPr>
                <w:rFonts w:hint="eastAsia"/>
                <w:bCs/>
                <w:color w:val="000000"/>
                <w:sz w:val="21"/>
                <w:szCs w:val="21"/>
              </w:rPr>
              <w:t>等</w:t>
            </w:r>
            <w:r>
              <w:rPr>
                <w:bCs/>
                <w:color w:val="000000"/>
                <w:sz w:val="21"/>
                <w:szCs w:val="21"/>
              </w:rPr>
              <w:t>均经</w:t>
            </w:r>
            <w:r>
              <w:rPr>
                <w:rFonts w:hint="eastAsia"/>
                <w:bCs/>
                <w:color w:val="000000"/>
                <w:sz w:val="21"/>
                <w:szCs w:val="21"/>
              </w:rPr>
              <w:t>相关</w:t>
            </w:r>
            <w:r>
              <w:rPr>
                <w:bCs/>
                <w:color w:val="000000"/>
                <w:sz w:val="21"/>
                <w:szCs w:val="21"/>
              </w:rPr>
              <w:t>部门考核合格并发放特种作业操作证；该项目相关的</w:t>
            </w:r>
            <w:r>
              <w:rPr>
                <w:rFonts w:hint="eastAsia"/>
                <w:bCs/>
                <w:color w:val="000000"/>
                <w:sz w:val="21"/>
                <w:szCs w:val="21"/>
              </w:rPr>
              <w:t>特种设备安全管理、移动式压力容器充装</w:t>
            </w:r>
            <w:r>
              <w:rPr>
                <w:bCs/>
                <w:color w:val="000000"/>
                <w:sz w:val="21"/>
                <w:szCs w:val="21"/>
              </w:rPr>
              <w:t>等</w:t>
            </w:r>
            <w:r>
              <w:rPr>
                <w:rFonts w:hint="eastAsia"/>
                <w:bCs/>
                <w:color w:val="000000"/>
                <w:sz w:val="21"/>
                <w:szCs w:val="21"/>
              </w:rPr>
              <w:t>人员</w:t>
            </w:r>
            <w:r>
              <w:rPr>
                <w:bCs/>
                <w:color w:val="000000"/>
                <w:sz w:val="21"/>
                <w:szCs w:val="21"/>
              </w:rPr>
              <w:t>均经</w:t>
            </w:r>
            <w:r>
              <w:rPr>
                <w:rFonts w:hint="eastAsia"/>
                <w:bCs/>
                <w:color w:val="000000"/>
                <w:sz w:val="21"/>
                <w:szCs w:val="21"/>
              </w:rPr>
              <w:t>相关</w:t>
            </w:r>
            <w:r>
              <w:rPr>
                <w:bCs/>
                <w:color w:val="000000"/>
                <w:sz w:val="21"/>
                <w:szCs w:val="21"/>
              </w:rPr>
              <w:t>监督管理部门考核合格并发放特种设备作业人员证；</w:t>
            </w:r>
            <w:r>
              <w:rPr>
                <w:rFonts w:hint="eastAsia"/>
                <w:bCs/>
                <w:color w:val="000000"/>
                <w:sz w:val="21"/>
                <w:szCs w:val="21"/>
                <w:lang w:val="en-US" w:eastAsia="zh-CN"/>
              </w:rPr>
              <w:t>相关</w:t>
            </w:r>
            <w:r>
              <w:rPr>
                <w:rFonts w:hint="eastAsia"/>
                <w:bCs/>
                <w:color w:val="000000"/>
                <w:sz w:val="21"/>
                <w:szCs w:val="21"/>
              </w:rPr>
              <w:t>人员资质证书样张</w:t>
            </w:r>
            <w:r>
              <w:rPr>
                <w:rFonts w:hint="eastAsia"/>
                <w:bCs/>
                <w:color w:val="000000"/>
                <w:sz w:val="21"/>
                <w:szCs w:val="21"/>
                <w:lang w:val="en-US" w:eastAsia="zh-CN"/>
              </w:rPr>
              <w:t>及人员证书台账详见本报告“附件资料”。</w:t>
            </w:r>
            <w:r>
              <w:rPr>
                <w:bCs/>
                <w:color w:val="000000"/>
                <w:sz w:val="21"/>
                <w:szCs w:val="21"/>
              </w:rPr>
              <w:t>其他从业人员经公司内部培训合格后上岗作业。</w:t>
            </w:r>
          </w:p>
        </w:tc>
        <w:tc>
          <w:tcPr>
            <w:tcW w:w="694" w:type="dxa"/>
            <w:tcBorders>
              <w:top w:val="single" w:color="auto" w:sz="4" w:space="0"/>
              <w:left w:val="single" w:color="auto" w:sz="4" w:space="0"/>
              <w:bottom w:val="single" w:color="auto" w:sz="4" w:space="0"/>
              <w:right w:val="single" w:color="auto" w:sz="4" w:space="0"/>
            </w:tcBorders>
            <w:noWrap w:val="0"/>
            <w:vAlign w:val="center"/>
          </w:tcPr>
          <w:p w14:paraId="22CBDD0E">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符合</w:t>
            </w:r>
          </w:p>
        </w:tc>
      </w:tr>
      <w:tr w14:paraId="13B95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9216" w:type="dxa"/>
            <w:gridSpan w:val="5"/>
            <w:tcBorders>
              <w:top w:val="single" w:color="auto" w:sz="4" w:space="0"/>
              <w:left w:val="single" w:color="auto" w:sz="4" w:space="0"/>
              <w:bottom w:val="single" w:color="auto" w:sz="4" w:space="0"/>
              <w:right w:val="single" w:color="auto" w:sz="4" w:space="0"/>
            </w:tcBorders>
            <w:noWrap w:val="0"/>
            <w:vAlign w:val="center"/>
          </w:tcPr>
          <w:p w14:paraId="4977CFAE">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事故应急</w:t>
            </w:r>
            <w:r>
              <w:rPr>
                <w:rFonts w:hint="eastAsia"/>
                <w:color w:val="000000"/>
                <w:sz w:val="21"/>
                <w:szCs w:val="21"/>
              </w:rPr>
              <w:t>管理</w:t>
            </w:r>
            <w:r>
              <w:rPr>
                <w:color w:val="000000"/>
                <w:sz w:val="21"/>
                <w:szCs w:val="21"/>
              </w:rPr>
              <w:t>情况</w:t>
            </w:r>
          </w:p>
        </w:tc>
      </w:tr>
      <w:tr w14:paraId="4082D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6A4BE370">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1</w:t>
            </w:r>
          </w:p>
        </w:tc>
        <w:tc>
          <w:tcPr>
            <w:tcW w:w="2611" w:type="dxa"/>
            <w:tcBorders>
              <w:top w:val="single" w:color="auto" w:sz="4" w:space="0"/>
              <w:left w:val="single" w:color="auto" w:sz="4" w:space="0"/>
              <w:bottom w:val="single" w:color="auto" w:sz="4" w:space="0"/>
              <w:right w:val="single" w:color="auto" w:sz="4" w:space="0"/>
            </w:tcBorders>
            <w:noWrap w:val="0"/>
            <w:vAlign w:val="center"/>
          </w:tcPr>
          <w:p w14:paraId="37A93D43">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color w:val="000000"/>
                <w:kern w:val="0"/>
                <w:sz w:val="21"/>
                <w:szCs w:val="21"/>
              </w:rPr>
              <w:t>生产经营单位应当制定本单位生产安全事故应急救援预案，与所在地县级以上地方人民政府组织制定的生产安全事故应急救援预案相衔接，并定期组织演练。</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70829888">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rFonts w:hint="eastAsia"/>
                <w:color w:val="000000"/>
                <w:sz w:val="21"/>
                <w:szCs w:val="21"/>
              </w:rPr>
            </w:pPr>
            <w:r>
              <w:rPr>
                <w:rFonts w:hint="eastAsia"/>
                <w:color w:val="000000"/>
                <w:sz w:val="21"/>
                <w:szCs w:val="21"/>
                <w:lang w:bidi="ar"/>
              </w:rPr>
              <w:t>《中华人民共和国安全生产法》（中华人民共和国主席令第13号，根据中华人民共和国主席令第88号修订，2021年09月01日施行）</w:t>
            </w:r>
          </w:p>
          <w:p w14:paraId="2B6C05A6">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kern w:val="0"/>
                <w:sz w:val="21"/>
                <w:szCs w:val="21"/>
              </w:rPr>
              <w:t>第</w:t>
            </w:r>
            <w:r>
              <w:rPr>
                <w:rFonts w:hint="eastAsia"/>
                <w:color w:val="000000"/>
                <w:kern w:val="0"/>
                <w:sz w:val="21"/>
                <w:szCs w:val="21"/>
              </w:rPr>
              <w:t>八十一</w:t>
            </w:r>
            <w:r>
              <w:rPr>
                <w:color w:val="000000"/>
                <w:kern w:val="0"/>
                <w:sz w:val="21"/>
                <w:szCs w:val="21"/>
              </w:rPr>
              <w:t>条</w:t>
            </w:r>
          </w:p>
        </w:tc>
        <w:tc>
          <w:tcPr>
            <w:tcW w:w="2837" w:type="dxa"/>
            <w:tcBorders>
              <w:top w:val="single" w:color="auto" w:sz="4" w:space="0"/>
              <w:left w:val="single" w:color="auto" w:sz="4" w:space="0"/>
              <w:bottom w:val="single" w:color="auto" w:sz="4" w:space="0"/>
              <w:right w:val="single" w:color="auto" w:sz="4" w:space="0"/>
            </w:tcBorders>
            <w:noWrap w:val="0"/>
            <w:vAlign w:val="center"/>
          </w:tcPr>
          <w:p w14:paraId="494D8432">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rFonts w:hint="eastAsia"/>
                <w:bCs/>
                <w:color w:val="000000"/>
                <w:sz w:val="21"/>
                <w:szCs w:val="21"/>
              </w:rPr>
              <w:t>该公司</w:t>
            </w:r>
            <w:r>
              <w:rPr>
                <w:color w:val="000000"/>
                <w:sz w:val="21"/>
                <w:szCs w:val="21"/>
              </w:rPr>
              <w:t>已结合项目的情况编制了事故应急预案，并定期进行演练。</w:t>
            </w:r>
          </w:p>
        </w:tc>
        <w:tc>
          <w:tcPr>
            <w:tcW w:w="694" w:type="dxa"/>
            <w:tcBorders>
              <w:top w:val="single" w:color="auto" w:sz="4" w:space="0"/>
              <w:left w:val="single" w:color="auto" w:sz="4" w:space="0"/>
              <w:bottom w:val="single" w:color="auto" w:sz="4" w:space="0"/>
              <w:right w:val="single" w:color="auto" w:sz="4" w:space="0"/>
            </w:tcBorders>
            <w:noWrap w:val="0"/>
            <w:vAlign w:val="center"/>
          </w:tcPr>
          <w:p w14:paraId="6DDF1DEF">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符合</w:t>
            </w:r>
          </w:p>
        </w:tc>
      </w:tr>
      <w:tr w14:paraId="201E3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195A8134">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2</w:t>
            </w:r>
          </w:p>
        </w:tc>
        <w:tc>
          <w:tcPr>
            <w:tcW w:w="2611" w:type="dxa"/>
            <w:tcBorders>
              <w:top w:val="single" w:color="auto" w:sz="4" w:space="0"/>
              <w:left w:val="single" w:color="auto" w:sz="4" w:space="0"/>
              <w:bottom w:val="single" w:color="auto" w:sz="4" w:space="0"/>
              <w:right w:val="single" w:color="auto" w:sz="4" w:space="0"/>
            </w:tcBorders>
            <w:noWrap w:val="0"/>
            <w:vAlign w:val="center"/>
          </w:tcPr>
          <w:p w14:paraId="736C8757">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kern w:val="0"/>
                <w:sz w:val="21"/>
                <w:szCs w:val="21"/>
              </w:rPr>
            </w:pPr>
            <w:r>
              <w:rPr>
                <w:color w:val="000000"/>
                <w:kern w:val="0"/>
                <w:sz w:val="21"/>
                <w:szCs w:val="21"/>
                <w:lang w:bidi="ar"/>
              </w:rPr>
              <w:t>危险物品的生产、经营、储存单位以及矿山、金属冶炼、城市轨道交通运营、建筑施工单位应当建立应急救援组织；生产经营规模较小的，可以不建立应急救援组织，但应当指定兼职的应急救援人员。</w:t>
            </w:r>
          </w:p>
          <w:p w14:paraId="6CA2DB19">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kern w:val="0"/>
                <w:sz w:val="21"/>
                <w:szCs w:val="21"/>
              </w:rPr>
            </w:pPr>
            <w:r>
              <w:rPr>
                <w:color w:val="000000"/>
                <w:kern w:val="0"/>
                <w:sz w:val="21"/>
                <w:szCs w:val="21"/>
              </w:rPr>
              <w:t>危险物品的生产、经营、储存、运输单位以及矿山、金属冶炼、城市轨道交通运营、建筑施工单位应当配备必要的应急救援器材、设备和物资，并进行经常性维护、保养，保证正常运转。</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05D85C30">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kern w:val="0"/>
                <w:sz w:val="21"/>
                <w:szCs w:val="21"/>
              </w:rPr>
              <w:t>《中华人民共和国安全生产法》</w:t>
            </w:r>
            <w:r>
              <w:rPr>
                <w:rFonts w:hint="eastAsia"/>
                <w:color w:val="000000"/>
                <w:kern w:val="0"/>
                <w:sz w:val="21"/>
                <w:szCs w:val="21"/>
              </w:rPr>
              <w:t>（中华人民共和国主席令第13号，根据中华人民共和国主席令第88号修订，2021年09月01日施行）</w:t>
            </w:r>
            <w:r>
              <w:rPr>
                <w:color w:val="000000"/>
                <w:kern w:val="0"/>
                <w:sz w:val="21"/>
                <w:szCs w:val="21"/>
              </w:rPr>
              <w:t>第</w:t>
            </w:r>
            <w:r>
              <w:rPr>
                <w:rFonts w:hint="eastAsia"/>
                <w:color w:val="000000"/>
                <w:kern w:val="0"/>
                <w:sz w:val="21"/>
                <w:szCs w:val="21"/>
              </w:rPr>
              <w:t>八十二</w:t>
            </w:r>
            <w:r>
              <w:rPr>
                <w:color w:val="000000"/>
                <w:kern w:val="0"/>
                <w:sz w:val="21"/>
                <w:szCs w:val="21"/>
              </w:rPr>
              <w:t>条</w:t>
            </w:r>
          </w:p>
        </w:tc>
        <w:tc>
          <w:tcPr>
            <w:tcW w:w="2837" w:type="dxa"/>
            <w:tcBorders>
              <w:top w:val="single" w:color="auto" w:sz="4" w:space="0"/>
              <w:left w:val="single" w:color="auto" w:sz="4" w:space="0"/>
              <w:bottom w:val="single" w:color="auto" w:sz="4" w:space="0"/>
              <w:right w:val="single" w:color="auto" w:sz="4" w:space="0"/>
            </w:tcBorders>
            <w:noWrap w:val="0"/>
            <w:vAlign w:val="center"/>
          </w:tcPr>
          <w:p w14:paraId="5A05705D">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color w:val="000000"/>
                <w:sz w:val="21"/>
                <w:szCs w:val="21"/>
              </w:rPr>
              <w:t>根据</w:t>
            </w:r>
            <w:r>
              <w:rPr>
                <w:rFonts w:hint="eastAsia"/>
                <w:bCs/>
                <w:color w:val="000000"/>
                <w:sz w:val="21"/>
                <w:szCs w:val="21"/>
              </w:rPr>
              <w:t>该公司</w:t>
            </w:r>
            <w:r>
              <w:rPr>
                <w:color w:val="000000"/>
                <w:sz w:val="21"/>
                <w:szCs w:val="21"/>
              </w:rPr>
              <w:t>编制的《应急预案》内容，其成立了相应应急救援组织，配备了相应的应急救援器材和设备。</w:t>
            </w:r>
          </w:p>
        </w:tc>
        <w:tc>
          <w:tcPr>
            <w:tcW w:w="694" w:type="dxa"/>
            <w:tcBorders>
              <w:top w:val="single" w:color="auto" w:sz="4" w:space="0"/>
              <w:left w:val="single" w:color="auto" w:sz="4" w:space="0"/>
              <w:bottom w:val="single" w:color="auto" w:sz="4" w:space="0"/>
              <w:right w:val="single" w:color="auto" w:sz="4" w:space="0"/>
            </w:tcBorders>
            <w:noWrap w:val="0"/>
            <w:vAlign w:val="center"/>
          </w:tcPr>
          <w:p w14:paraId="0F59D9DD">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符合</w:t>
            </w:r>
          </w:p>
        </w:tc>
      </w:tr>
      <w:tr w14:paraId="6CEC0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22911A11">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3</w:t>
            </w:r>
          </w:p>
        </w:tc>
        <w:tc>
          <w:tcPr>
            <w:tcW w:w="2611" w:type="dxa"/>
            <w:tcBorders>
              <w:top w:val="single" w:color="auto" w:sz="4" w:space="0"/>
              <w:left w:val="single" w:color="auto" w:sz="4" w:space="0"/>
              <w:bottom w:val="single" w:color="auto" w:sz="4" w:space="0"/>
              <w:right w:val="single" w:color="auto" w:sz="4" w:space="0"/>
            </w:tcBorders>
            <w:noWrap w:val="0"/>
            <w:vAlign w:val="center"/>
          </w:tcPr>
          <w:p w14:paraId="79848BE1">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kern w:val="0"/>
                <w:sz w:val="21"/>
                <w:szCs w:val="21"/>
              </w:rPr>
            </w:pPr>
            <w:r>
              <w:rPr>
                <w:color w:val="000000"/>
                <w:kern w:val="0"/>
                <w:sz w:val="21"/>
                <w:szCs w:val="21"/>
              </w:rPr>
              <w:t>生产经营单位应当针对本单位可能发生的生产安全事故的特点和危害，进行风险辨识和评估，制定相应的生产安全事故应急救援预案，并向本单位从业人员公布。</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1118B82D">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《生产安全事故应急条例》（中华人民共和国</w:t>
            </w:r>
            <w:r>
              <w:rPr>
                <w:rFonts w:hint="eastAsia"/>
                <w:color w:val="000000"/>
                <w:sz w:val="21"/>
                <w:szCs w:val="21"/>
                <w:lang w:val="en-US" w:eastAsia="zh-CN"/>
              </w:rPr>
              <w:t>国</w:t>
            </w:r>
            <w:r>
              <w:rPr>
                <w:color w:val="000000"/>
                <w:sz w:val="21"/>
                <w:szCs w:val="21"/>
              </w:rPr>
              <w:t>务院令第708号）</w:t>
            </w:r>
          </w:p>
          <w:p w14:paraId="2B69BCE9">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kern w:val="0"/>
                <w:sz w:val="21"/>
                <w:szCs w:val="21"/>
              </w:rPr>
            </w:pPr>
            <w:r>
              <w:rPr>
                <w:color w:val="000000"/>
                <w:sz w:val="21"/>
                <w:szCs w:val="21"/>
              </w:rPr>
              <w:t>第五条</w:t>
            </w:r>
          </w:p>
        </w:tc>
        <w:tc>
          <w:tcPr>
            <w:tcW w:w="2837" w:type="dxa"/>
            <w:tcBorders>
              <w:top w:val="single" w:color="auto" w:sz="4" w:space="0"/>
              <w:left w:val="single" w:color="auto" w:sz="4" w:space="0"/>
              <w:bottom w:val="single" w:color="auto" w:sz="4" w:space="0"/>
              <w:right w:val="single" w:color="auto" w:sz="4" w:space="0"/>
            </w:tcBorders>
            <w:noWrap w:val="0"/>
            <w:vAlign w:val="center"/>
          </w:tcPr>
          <w:p w14:paraId="48A6534E">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rFonts w:hint="eastAsia"/>
                <w:bCs/>
                <w:color w:val="000000"/>
                <w:sz w:val="21"/>
                <w:szCs w:val="21"/>
              </w:rPr>
              <w:t>该公司</w:t>
            </w:r>
            <w:r>
              <w:rPr>
                <w:color w:val="000000"/>
                <w:sz w:val="21"/>
                <w:szCs w:val="21"/>
              </w:rPr>
              <w:t>已结合项目的情况编制了事故应急预案，</w:t>
            </w:r>
            <w:r>
              <w:rPr>
                <w:color w:val="000000"/>
                <w:kern w:val="0"/>
                <w:sz w:val="21"/>
                <w:szCs w:val="21"/>
              </w:rPr>
              <w:t>并向本单位从业人员公布。</w:t>
            </w:r>
          </w:p>
        </w:tc>
        <w:tc>
          <w:tcPr>
            <w:tcW w:w="694" w:type="dxa"/>
            <w:tcBorders>
              <w:top w:val="single" w:color="auto" w:sz="4" w:space="0"/>
              <w:left w:val="single" w:color="auto" w:sz="4" w:space="0"/>
              <w:bottom w:val="single" w:color="auto" w:sz="4" w:space="0"/>
              <w:right w:val="single" w:color="auto" w:sz="4" w:space="0"/>
            </w:tcBorders>
            <w:noWrap w:val="0"/>
            <w:vAlign w:val="center"/>
          </w:tcPr>
          <w:p w14:paraId="48F46F04">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符合</w:t>
            </w:r>
          </w:p>
        </w:tc>
      </w:tr>
      <w:tr w14:paraId="2FFAC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70DC30E2">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4</w:t>
            </w:r>
          </w:p>
        </w:tc>
        <w:tc>
          <w:tcPr>
            <w:tcW w:w="2611" w:type="dxa"/>
            <w:tcBorders>
              <w:top w:val="single" w:color="auto" w:sz="4" w:space="0"/>
              <w:left w:val="single" w:color="auto" w:sz="4" w:space="0"/>
              <w:bottom w:val="single" w:color="auto" w:sz="4" w:space="0"/>
              <w:right w:val="single" w:color="auto" w:sz="4" w:space="0"/>
            </w:tcBorders>
            <w:noWrap w:val="0"/>
            <w:vAlign w:val="center"/>
          </w:tcPr>
          <w:p w14:paraId="21C3D305">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kern w:val="0"/>
                <w:sz w:val="21"/>
                <w:szCs w:val="21"/>
              </w:rPr>
            </w:pPr>
            <w:r>
              <w:rPr>
                <w:color w:val="000000"/>
                <w:kern w:val="0"/>
                <w:sz w:val="21"/>
                <w:szCs w:val="21"/>
              </w:rPr>
              <w:t>易燃易爆物品、危险化学品等危险物品的生产、经营、储存、运输单位，矿山、金属冶炼、城市轨道交通运营、建筑施工单位，以及宾馆、商场、娱乐场所、旅游景区等人员密集场所经营单位，应当至少每半年组织1次生产安全事故应急救援预案演练，并将演练情况报送所在地县级以上地方人民政府负有安全生产监督管理职责的部门。</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020E5D45">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《生产安全事故应急条例》（中华人民共和国</w:t>
            </w:r>
            <w:r>
              <w:rPr>
                <w:rFonts w:hint="eastAsia"/>
                <w:color w:val="000000"/>
                <w:sz w:val="21"/>
                <w:szCs w:val="21"/>
                <w:lang w:val="en-US" w:eastAsia="zh-CN"/>
              </w:rPr>
              <w:t>国</w:t>
            </w:r>
            <w:r>
              <w:rPr>
                <w:color w:val="000000"/>
                <w:sz w:val="21"/>
                <w:szCs w:val="21"/>
              </w:rPr>
              <w:t>务院令第708号）</w:t>
            </w:r>
          </w:p>
          <w:p w14:paraId="3EDD32FD">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kern w:val="0"/>
                <w:sz w:val="21"/>
                <w:szCs w:val="21"/>
              </w:rPr>
            </w:pPr>
            <w:r>
              <w:rPr>
                <w:color w:val="000000"/>
                <w:sz w:val="21"/>
                <w:szCs w:val="21"/>
              </w:rPr>
              <w:t>第八条</w:t>
            </w:r>
          </w:p>
        </w:tc>
        <w:tc>
          <w:tcPr>
            <w:tcW w:w="2837" w:type="dxa"/>
            <w:tcBorders>
              <w:top w:val="single" w:color="auto" w:sz="4" w:space="0"/>
              <w:left w:val="single" w:color="auto" w:sz="4" w:space="0"/>
              <w:bottom w:val="single" w:color="auto" w:sz="4" w:space="0"/>
              <w:right w:val="single" w:color="auto" w:sz="4" w:space="0"/>
            </w:tcBorders>
            <w:noWrap w:val="0"/>
            <w:vAlign w:val="center"/>
          </w:tcPr>
          <w:p w14:paraId="7DE62465">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color w:val="000000"/>
                <w:sz w:val="21"/>
                <w:szCs w:val="21"/>
              </w:rPr>
              <w:t>根据业主提供的资料，编制了相关现场处置方案，根据应急预案要求，进行了事故应急演练，并已做演练记录、总结、评估。</w:t>
            </w:r>
          </w:p>
        </w:tc>
        <w:tc>
          <w:tcPr>
            <w:tcW w:w="694" w:type="dxa"/>
            <w:tcBorders>
              <w:top w:val="single" w:color="auto" w:sz="4" w:space="0"/>
              <w:left w:val="single" w:color="auto" w:sz="4" w:space="0"/>
              <w:bottom w:val="single" w:color="auto" w:sz="4" w:space="0"/>
              <w:right w:val="single" w:color="auto" w:sz="4" w:space="0"/>
            </w:tcBorders>
            <w:noWrap w:val="0"/>
            <w:vAlign w:val="center"/>
          </w:tcPr>
          <w:p w14:paraId="538A8CF4">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符合</w:t>
            </w:r>
          </w:p>
        </w:tc>
      </w:tr>
      <w:tr w14:paraId="7310A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6" w:hRule="atLeast"/>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4C9D0362">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5</w:t>
            </w:r>
          </w:p>
        </w:tc>
        <w:tc>
          <w:tcPr>
            <w:tcW w:w="2611" w:type="dxa"/>
            <w:tcBorders>
              <w:top w:val="single" w:color="auto" w:sz="4" w:space="0"/>
              <w:left w:val="single" w:color="auto" w:sz="4" w:space="0"/>
              <w:bottom w:val="single" w:color="auto" w:sz="4" w:space="0"/>
              <w:right w:val="single" w:color="auto" w:sz="4" w:space="0"/>
            </w:tcBorders>
            <w:noWrap w:val="0"/>
            <w:vAlign w:val="top"/>
          </w:tcPr>
          <w:p w14:paraId="7D875116">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color w:val="000000"/>
                <w:sz w:val="21"/>
                <w:szCs w:val="21"/>
              </w:rPr>
              <w:t>矿山、金属冶炼企业和易燃易爆物品、危险化学品的生产、经营（带储存设施的，下同）、储存、运输企业，以及使用危险化学品达到国家规定数量的化工企业、烟花爆竹生产、批发经营企业和中型规模以上的其他生产经营单位，应当对本单位编制的应急预案进行评审，并形成书面评审纪要。</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64FA3840">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lang w:bidi="ar"/>
              </w:rPr>
              <w:t>《生产安全事故应急预案管理办法》（2016年6月3日国家安全生产监督管理总局令第88号公布，根据2019年7月11日应急管理部令第2号《应急管理部关于修改&lt;生产安全事故应急预案管理办法&gt;的决定》修正）</w:t>
            </w:r>
          </w:p>
          <w:p w14:paraId="421B0E83">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第21条</w:t>
            </w:r>
          </w:p>
        </w:tc>
        <w:tc>
          <w:tcPr>
            <w:tcW w:w="2837" w:type="dxa"/>
            <w:tcBorders>
              <w:top w:val="single" w:color="auto" w:sz="4" w:space="0"/>
              <w:left w:val="single" w:color="auto" w:sz="4" w:space="0"/>
              <w:bottom w:val="single" w:color="auto" w:sz="4" w:space="0"/>
              <w:right w:val="single" w:color="auto" w:sz="4" w:space="0"/>
            </w:tcBorders>
            <w:noWrap w:val="0"/>
            <w:vAlign w:val="center"/>
          </w:tcPr>
          <w:p w14:paraId="1903A508">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rFonts w:hint="eastAsia"/>
                <w:bCs/>
                <w:color w:val="000000"/>
                <w:sz w:val="21"/>
                <w:szCs w:val="21"/>
              </w:rPr>
              <w:t>该公司</w:t>
            </w:r>
            <w:r>
              <w:rPr>
                <w:color w:val="000000"/>
                <w:sz w:val="21"/>
                <w:szCs w:val="21"/>
              </w:rPr>
              <w:t>编制的应急预案已经专家评审，并形成了书面纪要</w:t>
            </w:r>
            <w:r>
              <w:rPr>
                <w:snapToGrid w:val="0"/>
                <w:color w:val="000000"/>
                <w:kern w:val="0"/>
                <w:sz w:val="21"/>
                <w:szCs w:val="21"/>
              </w:rPr>
              <w:t>。</w:t>
            </w:r>
          </w:p>
        </w:tc>
        <w:tc>
          <w:tcPr>
            <w:tcW w:w="694" w:type="dxa"/>
            <w:tcBorders>
              <w:top w:val="single" w:color="auto" w:sz="4" w:space="0"/>
              <w:left w:val="single" w:color="auto" w:sz="4" w:space="0"/>
              <w:bottom w:val="single" w:color="auto" w:sz="4" w:space="0"/>
              <w:right w:val="single" w:color="auto" w:sz="4" w:space="0"/>
            </w:tcBorders>
            <w:noWrap w:val="0"/>
            <w:vAlign w:val="center"/>
          </w:tcPr>
          <w:p w14:paraId="1C998BAB">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符合</w:t>
            </w:r>
          </w:p>
        </w:tc>
      </w:tr>
      <w:tr w14:paraId="3C14A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31E1B727">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6</w:t>
            </w:r>
          </w:p>
        </w:tc>
        <w:tc>
          <w:tcPr>
            <w:tcW w:w="2611" w:type="dxa"/>
            <w:tcBorders>
              <w:top w:val="single" w:color="auto" w:sz="4" w:space="0"/>
              <w:left w:val="single" w:color="auto" w:sz="4" w:space="0"/>
              <w:bottom w:val="single" w:color="auto" w:sz="4" w:space="0"/>
              <w:right w:val="single" w:color="auto" w:sz="4" w:space="0"/>
            </w:tcBorders>
            <w:noWrap w:val="0"/>
            <w:vAlign w:val="center"/>
          </w:tcPr>
          <w:p w14:paraId="10BEB0C0">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color w:val="000000"/>
                <w:sz w:val="21"/>
                <w:szCs w:val="21"/>
              </w:rPr>
              <w:t>易燃易爆物品、危险化学品等危险物品的生产、经营、储存、运输单位，矿山、金属冶炼、城市轨道交通运营、建筑施工单位，以及宾馆、商场、娱乐场所、旅游景区等人员密集场所经营单位，应当在应急预案公布之日起20个工作日内，按照分级属地原则，向县级以上人民政府应急管理部门和其他负有安全生产监督管理职责的部门进行备案，并依法向社会公布。</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57CA052E">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lang w:bidi="ar"/>
              </w:rPr>
              <w:t>《生产安全事故应急预案管理办法》（2016年6月3日国家安全生产监督管理总局令第88号公布，根据2019年7月11日应急管理部令第2号《应急管理部关于修改&lt;生产安全事故应急预案管理办法&gt;的决定》修正）</w:t>
            </w:r>
          </w:p>
          <w:p w14:paraId="0FDCCE0D">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第26条</w:t>
            </w:r>
          </w:p>
        </w:tc>
        <w:tc>
          <w:tcPr>
            <w:tcW w:w="2837" w:type="dxa"/>
            <w:tcBorders>
              <w:top w:val="single" w:color="auto" w:sz="4" w:space="0"/>
              <w:left w:val="single" w:color="auto" w:sz="4" w:space="0"/>
              <w:bottom w:val="single" w:color="auto" w:sz="4" w:space="0"/>
              <w:right w:val="single" w:color="auto" w:sz="4" w:space="0"/>
            </w:tcBorders>
            <w:noWrap w:val="0"/>
            <w:vAlign w:val="center"/>
          </w:tcPr>
          <w:p w14:paraId="1F9FDB80">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rFonts w:hint="eastAsia"/>
                <w:bCs/>
                <w:color w:val="000000"/>
                <w:sz w:val="21"/>
                <w:szCs w:val="21"/>
              </w:rPr>
              <w:t>该公司《云南瓮福祥丰氟硅新材料有限公司生产安全事故应急预案》</w:t>
            </w:r>
            <w:r>
              <w:rPr>
                <w:rFonts w:hint="eastAsia"/>
                <w:bCs/>
                <w:color w:val="000000"/>
                <w:sz w:val="21"/>
                <w:szCs w:val="21"/>
                <w:lang w:eastAsia="zh-CN"/>
              </w:rPr>
              <w:t>（</w:t>
            </w:r>
            <w:r>
              <w:rPr>
                <w:rFonts w:hint="eastAsia"/>
                <w:bCs/>
                <w:color w:val="000000"/>
                <w:sz w:val="21"/>
                <w:szCs w:val="21"/>
                <w:lang w:val="en-US" w:eastAsia="zh-CN"/>
              </w:rPr>
              <w:t>包含073外管廊专项应急预案）</w:t>
            </w:r>
            <w:r>
              <w:rPr>
                <w:snapToGrid w:val="0"/>
                <w:color w:val="000000"/>
                <w:kern w:val="0"/>
                <w:sz w:val="21"/>
                <w:szCs w:val="21"/>
              </w:rPr>
              <w:t>已</w:t>
            </w:r>
            <w:r>
              <w:rPr>
                <w:rFonts w:hint="eastAsia"/>
                <w:snapToGrid w:val="0"/>
                <w:color w:val="000000"/>
                <w:kern w:val="0"/>
                <w:sz w:val="21"/>
                <w:szCs w:val="21"/>
              </w:rPr>
              <w:t>经安宁市</w:t>
            </w:r>
            <w:r>
              <w:rPr>
                <w:snapToGrid w:val="0"/>
                <w:color w:val="000000"/>
                <w:kern w:val="0"/>
                <w:sz w:val="21"/>
                <w:szCs w:val="21"/>
              </w:rPr>
              <w:t>应急管理局予以备案。</w:t>
            </w:r>
          </w:p>
        </w:tc>
        <w:tc>
          <w:tcPr>
            <w:tcW w:w="694" w:type="dxa"/>
            <w:tcBorders>
              <w:top w:val="single" w:color="auto" w:sz="4" w:space="0"/>
              <w:left w:val="single" w:color="auto" w:sz="4" w:space="0"/>
              <w:bottom w:val="single" w:color="auto" w:sz="4" w:space="0"/>
              <w:right w:val="single" w:color="auto" w:sz="4" w:space="0"/>
            </w:tcBorders>
            <w:noWrap w:val="0"/>
            <w:vAlign w:val="center"/>
          </w:tcPr>
          <w:p w14:paraId="258E74E9">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符合</w:t>
            </w:r>
          </w:p>
        </w:tc>
      </w:tr>
      <w:tr w14:paraId="45108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27E9E971">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7</w:t>
            </w:r>
          </w:p>
        </w:tc>
        <w:tc>
          <w:tcPr>
            <w:tcW w:w="2611" w:type="dxa"/>
            <w:tcBorders>
              <w:top w:val="single" w:color="auto" w:sz="4" w:space="0"/>
              <w:left w:val="single" w:color="auto" w:sz="4" w:space="0"/>
              <w:bottom w:val="single" w:color="auto" w:sz="4" w:space="0"/>
              <w:right w:val="single" w:color="auto" w:sz="4" w:space="0"/>
            </w:tcBorders>
            <w:noWrap w:val="0"/>
            <w:vAlign w:val="center"/>
          </w:tcPr>
          <w:p w14:paraId="2BE25731">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color w:val="000000"/>
                <w:sz w:val="21"/>
                <w:szCs w:val="21"/>
              </w:rPr>
              <w:t>生产经营单位应当制定本单位的应急预案演练计划，根据本单位的事故风险特点，每年至少组织一次综合应急预案演练或者专项应急预案演练，每半年至少组织一次现场处置方案演练。</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6C069CA8">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lang w:bidi="ar"/>
              </w:rPr>
              <w:t>《生产安全事故应急预案管理办法》（2016年6月3日国家安全生产监督管理总局令第88号公布，根据2019年7月11日应急管理部令第2号《应急管理部关于修改&lt;生产安全事故应急预案管理办法&gt;的决定》修正）</w:t>
            </w:r>
          </w:p>
          <w:p w14:paraId="6DDDC83A">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第33条</w:t>
            </w:r>
          </w:p>
        </w:tc>
        <w:tc>
          <w:tcPr>
            <w:tcW w:w="2837" w:type="dxa"/>
            <w:tcBorders>
              <w:top w:val="single" w:color="auto" w:sz="4" w:space="0"/>
              <w:left w:val="single" w:color="auto" w:sz="4" w:space="0"/>
              <w:bottom w:val="single" w:color="auto" w:sz="4" w:space="0"/>
              <w:right w:val="single" w:color="auto" w:sz="4" w:space="0"/>
            </w:tcBorders>
            <w:noWrap w:val="0"/>
            <w:vAlign w:val="center"/>
          </w:tcPr>
          <w:p w14:paraId="4FD7F4CC">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rFonts w:hint="eastAsia"/>
                <w:bCs/>
                <w:color w:val="000000"/>
                <w:sz w:val="21"/>
                <w:szCs w:val="21"/>
              </w:rPr>
              <w:t>该公司</w:t>
            </w:r>
            <w:r>
              <w:rPr>
                <w:color w:val="000000"/>
                <w:sz w:val="21"/>
                <w:szCs w:val="21"/>
              </w:rPr>
              <w:t>已定期进行了事故应急演练。</w:t>
            </w:r>
          </w:p>
        </w:tc>
        <w:tc>
          <w:tcPr>
            <w:tcW w:w="694" w:type="dxa"/>
            <w:tcBorders>
              <w:top w:val="single" w:color="auto" w:sz="4" w:space="0"/>
              <w:left w:val="single" w:color="auto" w:sz="4" w:space="0"/>
              <w:bottom w:val="single" w:color="auto" w:sz="4" w:space="0"/>
              <w:right w:val="single" w:color="auto" w:sz="4" w:space="0"/>
            </w:tcBorders>
            <w:noWrap w:val="0"/>
            <w:vAlign w:val="center"/>
          </w:tcPr>
          <w:p w14:paraId="16FBB88D">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符合</w:t>
            </w:r>
          </w:p>
        </w:tc>
      </w:tr>
      <w:tr w14:paraId="07FCE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510E38C3">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8</w:t>
            </w:r>
          </w:p>
        </w:tc>
        <w:tc>
          <w:tcPr>
            <w:tcW w:w="2611" w:type="dxa"/>
            <w:tcBorders>
              <w:top w:val="single" w:color="auto" w:sz="4" w:space="0"/>
              <w:left w:val="single" w:color="auto" w:sz="4" w:space="0"/>
              <w:bottom w:val="single" w:color="auto" w:sz="4" w:space="0"/>
              <w:right w:val="single" w:color="auto" w:sz="4" w:space="0"/>
            </w:tcBorders>
            <w:noWrap w:val="0"/>
            <w:vAlign w:val="center"/>
          </w:tcPr>
          <w:p w14:paraId="28C42359">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color w:val="000000"/>
                <w:sz w:val="21"/>
                <w:szCs w:val="21"/>
              </w:rPr>
              <w:t>应急预案演练结束后，应急预案演练组织单位应当对应急预案演练效果进行评估，撰写应急预案演练评估报告，分析存在的问题，并对应急预案提出修订意见。</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0532C933">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lang w:bidi="ar"/>
              </w:rPr>
              <w:t>《生产安全事故应急预案管理办法》（2016年6月3日国家安全生产监督管理总局令第88号公布，根据2019年7月11日应急管理部令第2号《应急管理部关于修改&lt;生产安全事故应急预案管理办法&gt;的决定》修正）</w:t>
            </w:r>
          </w:p>
          <w:p w14:paraId="5C79FC61">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第34条</w:t>
            </w:r>
          </w:p>
        </w:tc>
        <w:tc>
          <w:tcPr>
            <w:tcW w:w="2837" w:type="dxa"/>
            <w:tcBorders>
              <w:top w:val="single" w:color="auto" w:sz="4" w:space="0"/>
              <w:left w:val="single" w:color="auto" w:sz="4" w:space="0"/>
              <w:bottom w:val="single" w:color="auto" w:sz="4" w:space="0"/>
              <w:right w:val="single" w:color="auto" w:sz="4" w:space="0"/>
            </w:tcBorders>
            <w:noWrap w:val="0"/>
            <w:vAlign w:val="center"/>
          </w:tcPr>
          <w:p w14:paraId="3C50259C">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rFonts w:hint="eastAsia"/>
                <w:bCs/>
                <w:color w:val="000000"/>
                <w:sz w:val="21"/>
                <w:szCs w:val="21"/>
              </w:rPr>
              <w:t>该公司</w:t>
            </w:r>
            <w:r>
              <w:rPr>
                <w:color w:val="000000"/>
                <w:sz w:val="21"/>
                <w:szCs w:val="21"/>
              </w:rPr>
              <w:t>组织相关作业人员进行了事故应急演练，并已做记录、总结及评估。</w:t>
            </w:r>
          </w:p>
        </w:tc>
        <w:tc>
          <w:tcPr>
            <w:tcW w:w="694" w:type="dxa"/>
            <w:tcBorders>
              <w:top w:val="single" w:color="auto" w:sz="4" w:space="0"/>
              <w:left w:val="single" w:color="auto" w:sz="4" w:space="0"/>
              <w:bottom w:val="single" w:color="auto" w:sz="4" w:space="0"/>
              <w:right w:val="single" w:color="auto" w:sz="4" w:space="0"/>
            </w:tcBorders>
            <w:noWrap w:val="0"/>
            <w:vAlign w:val="center"/>
          </w:tcPr>
          <w:p w14:paraId="6A6BD174">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符合</w:t>
            </w:r>
          </w:p>
        </w:tc>
      </w:tr>
      <w:tr w14:paraId="028B2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77A3506B">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9</w:t>
            </w:r>
          </w:p>
        </w:tc>
        <w:tc>
          <w:tcPr>
            <w:tcW w:w="2611" w:type="dxa"/>
            <w:tcBorders>
              <w:top w:val="single" w:color="auto" w:sz="4" w:space="0"/>
              <w:left w:val="single" w:color="auto" w:sz="4" w:space="0"/>
              <w:bottom w:val="single" w:color="auto" w:sz="4" w:space="0"/>
              <w:right w:val="single" w:color="auto" w:sz="4" w:space="0"/>
            </w:tcBorders>
            <w:noWrap w:val="0"/>
            <w:vAlign w:val="center"/>
          </w:tcPr>
          <w:p w14:paraId="65384265">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rFonts w:hint="eastAsia"/>
                <w:color w:val="000000"/>
                <w:sz w:val="21"/>
                <w:szCs w:val="21"/>
              </w:rPr>
            </w:pPr>
            <w:r>
              <w:rPr>
                <w:rFonts w:hint="eastAsia"/>
                <w:color w:val="000000"/>
                <w:sz w:val="21"/>
                <w:szCs w:val="21"/>
              </w:rPr>
              <w:t>针对性</w:t>
            </w:r>
          </w:p>
          <w:p w14:paraId="19A847ED">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rFonts w:hint="eastAsia"/>
                <w:color w:val="000000"/>
                <w:sz w:val="21"/>
                <w:szCs w:val="21"/>
              </w:rPr>
              <w:t>应急救授物资根据本单位生产工艺</w:t>
            </w:r>
            <w:r>
              <w:rPr>
                <w:rFonts w:hint="eastAsia"/>
                <w:color w:val="000000"/>
                <w:sz w:val="21"/>
                <w:szCs w:val="21"/>
                <w:lang w:eastAsia="zh-CN"/>
              </w:rPr>
              <w:t>，</w:t>
            </w:r>
            <w:r>
              <w:rPr>
                <w:rFonts w:hint="eastAsia"/>
                <w:color w:val="000000"/>
                <w:sz w:val="21"/>
                <w:szCs w:val="21"/>
              </w:rPr>
              <w:t>危险化学品的种类、数量</w:t>
            </w:r>
            <w:r>
              <w:rPr>
                <w:rFonts w:hint="eastAsia"/>
                <w:color w:val="000000"/>
                <w:sz w:val="21"/>
                <w:szCs w:val="21"/>
                <w:lang w:eastAsia="zh-CN"/>
              </w:rPr>
              <w:t>，</w:t>
            </w:r>
            <w:r>
              <w:rPr>
                <w:rFonts w:hint="eastAsia"/>
                <w:color w:val="000000"/>
                <w:sz w:val="21"/>
                <w:szCs w:val="21"/>
              </w:rPr>
              <w:t>危险化学品事故特征和事故风险评估结果进行配置。本文件范围内的危险化学品单位分为3类</w:t>
            </w:r>
            <w:r>
              <w:rPr>
                <w:rFonts w:hint="eastAsia"/>
                <w:color w:val="000000"/>
                <w:sz w:val="21"/>
                <w:szCs w:val="21"/>
                <w:lang w:eastAsia="zh-CN"/>
              </w:rPr>
              <w:t>，</w:t>
            </w:r>
            <w:r>
              <w:rPr>
                <w:rFonts w:hint="eastAsia"/>
                <w:color w:val="000000"/>
                <w:sz w:val="21"/>
                <w:szCs w:val="21"/>
              </w:rPr>
              <w:t>分别为第一类</w:t>
            </w:r>
            <w:r>
              <w:rPr>
                <w:rFonts w:hint="eastAsia"/>
                <w:color w:val="000000"/>
                <w:sz w:val="21"/>
                <w:szCs w:val="21"/>
                <w:lang w:eastAsia="zh-CN"/>
              </w:rPr>
              <w:t>，</w:t>
            </w:r>
            <w:r>
              <w:rPr>
                <w:rFonts w:hint="eastAsia"/>
                <w:color w:val="000000"/>
                <w:sz w:val="21"/>
                <w:szCs w:val="21"/>
              </w:rPr>
              <w:t>第二类和第三类</w:t>
            </w:r>
            <w:r>
              <w:rPr>
                <w:rFonts w:hint="eastAsia"/>
                <w:color w:val="000000"/>
                <w:sz w:val="21"/>
                <w:szCs w:val="21"/>
                <w:lang w:eastAsia="zh-CN"/>
              </w:rPr>
              <w:t>，</w:t>
            </w:r>
            <w:r>
              <w:rPr>
                <w:rFonts w:hint="eastAsia"/>
                <w:color w:val="000000"/>
                <w:sz w:val="21"/>
                <w:szCs w:val="21"/>
              </w:rPr>
              <w:t>类别划分方法符合附录A要求。</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46507C29">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color w:val="000000"/>
                <w:sz w:val="21"/>
                <w:szCs w:val="21"/>
                <w:lang w:bidi="ar"/>
              </w:rPr>
              <w:t>《危险化学品单位应急救援物资配备要求》（GB 30077-20</w:t>
            </w:r>
            <w:r>
              <w:rPr>
                <w:rFonts w:hint="eastAsia"/>
                <w:color w:val="000000"/>
                <w:sz w:val="21"/>
                <w:szCs w:val="21"/>
                <w:lang w:val="en-US" w:eastAsia="zh-CN" w:bidi="ar"/>
              </w:rPr>
              <w:t>2</w:t>
            </w:r>
            <w:r>
              <w:rPr>
                <w:color w:val="000000"/>
                <w:sz w:val="21"/>
                <w:szCs w:val="21"/>
                <w:lang w:bidi="ar"/>
              </w:rPr>
              <w:t>3）</w:t>
            </w:r>
          </w:p>
          <w:p w14:paraId="4D7DFA26">
            <w:pPr>
              <w:keepNext w:val="0"/>
              <w:keepLines w:val="0"/>
              <w:pageBreakBefore w:val="0"/>
              <w:widowControl w:val="0"/>
              <w:tabs>
                <w:tab w:val="left" w:pos="2898"/>
              </w:tabs>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第4.1条</w:t>
            </w:r>
          </w:p>
        </w:tc>
        <w:tc>
          <w:tcPr>
            <w:tcW w:w="2837" w:type="dxa"/>
            <w:tcBorders>
              <w:top w:val="single" w:color="auto" w:sz="4" w:space="0"/>
              <w:left w:val="single" w:color="auto" w:sz="4" w:space="0"/>
              <w:bottom w:val="single" w:color="auto" w:sz="4" w:space="0"/>
              <w:right w:val="single" w:color="auto" w:sz="4" w:space="0"/>
            </w:tcBorders>
            <w:noWrap w:val="0"/>
            <w:vAlign w:val="center"/>
          </w:tcPr>
          <w:p w14:paraId="2F70C56E">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rFonts w:hint="default" w:eastAsia="宋体"/>
                <w:color w:val="000000"/>
                <w:sz w:val="21"/>
                <w:szCs w:val="21"/>
                <w:lang w:val="en-US" w:eastAsia="zh-CN"/>
              </w:rPr>
            </w:pPr>
            <w:r>
              <w:rPr>
                <w:rFonts w:hint="eastAsia"/>
                <w:color w:val="000000"/>
                <w:sz w:val="21"/>
                <w:szCs w:val="21"/>
                <w:lang w:val="en-US" w:eastAsia="zh-CN"/>
              </w:rPr>
              <w:t>本项目依托厂区内应急物资。</w:t>
            </w:r>
          </w:p>
        </w:tc>
        <w:tc>
          <w:tcPr>
            <w:tcW w:w="694" w:type="dxa"/>
            <w:tcBorders>
              <w:top w:val="single" w:color="auto" w:sz="4" w:space="0"/>
              <w:left w:val="single" w:color="auto" w:sz="4" w:space="0"/>
              <w:bottom w:val="single" w:color="auto" w:sz="4" w:space="0"/>
              <w:right w:val="single" w:color="auto" w:sz="4" w:space="0"/>
            </w:tcBorders>
            <w:noWrap w:val="0"/>
            <w:vAlign w:val="center"/>
          </w:tcPr>
          <w:p w14:paraId="037CE80E">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符合</w:t>
            </w:r>
          </w:p>
        </w:tc>
      </w:tr>
      <w:tr w14:paraId="340C1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1A0AF83E">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rFonts w:hint="eastAsia"/>
                <w:color w:val="000000"/>
                <w:sz w:val="21"/>
                <w:szCs w:val="21"/>
              </w:rPr>
              <w:t>10</w:t>
            </w:r>
          </w:p>
        </w:tc>
        <w:tc>
          <w:tcPr>
            <w:tcW w:w="2611" w:type="dxa"/>
            <w:tcBorders>
              <w:top w:val="single" w:color="auto" w:sz="4" w:space="0"/>
              <w:left w:val="single" w:color="auto" w:sz="4" w:space="0"/>
              <w:bottom w:val="single" w:color="auto" w:sz="4" w:space="0"/>
              <w:right w:val="single" w:color="auto" w:sz="4" w:space="0"/>
            </w:tcBorders>
            <w:noWrap w:val="0"/>
            <w:vAlign w:val="center"/>
          </w:tcPr>
          <w:p w14:paraId="68003152">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rFonts w:hint="eastAsia"/>
                <w:color w:val="000000"/>
                <w:sz w:val="21"/>
                <w:szCs w:val="21"/>
              </w:rPr>
              <w:t>在危险化学品单位作业场所,应急救援物资应存放在应急救援器材专用柜、应急站或指定地点。作业场所应急物资配备应符合表1的要求。</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586BB440">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color w:val="000000"/>
                <w:sz w:val="21"/>
                <w:szCs w:val="21"/>
                <w:lang w:bidi="ar"/>
              </w:rPr>
              <w:t>《危险化学品单位应急救援物资配备要求》（GB 30077-20</w:t>
            </w:r>
            <w:r>
              <w:rPr>
                <w:rFonts w:hint="eastAsia"/>
                <w:color w:val="000000"/>
                <w:sz w:val="21"/>
                <w:szCs w:val="21"/>
                <w:lang w:val="en-US" w:eastAsia="zh-CN" w:bidi="ar"/>
              </w:rPr>
              <w:t>2</w:t>
            </w:r>
            <w:r>
              <w:rPr>
                <w:color w:val="000000"/>
                <w:sz w:val="21"/>
                <w:szCs w:val="21"/>
                <w:lang w:bidi="ar"/>
              </w:rPr>
              <w:t>3）</w:t>
            </w:r>
          </w:p>
          <w:p w14:paraId="082A6B1D">
            <w:pPr>
              <w:keepNext w:val="0"/>
              <w:keepLines w:val="0"/>
              <w:pageBreakBefore w:val="0"/>
              <w:widowControl w:val="0"/>
              <w:tabs>
                <w:tab w:val="left" w:pos="2898"/>
              </w:tabs>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第6条</w:t>
            </w:r>
          </w:p>
        </w:tc>
        <w:tc>
          <w:tcPr>
            <w:tcW w:w="2837" w:type="dxa"/>
            <w:tcBorders>
              <w:top w:val="single" w:color="auto" w:sz="4" w:space="0"/>
              <w:left w:val="single" w:color="auto" w:sz="4" w:space="0"/>
              <w:bottom w:val="single" w:color="auto" w:sz="4" w:space="0"/>
              <w:right w:val="single" w:color="auto" w:sz="4" w:space="0"/>
            </w:tcBorders>
            <w:noWrap w:val="0"/>
            <w:vAlign w:val="center"/>
          </w:tcPr>
          <w:p w14:paraId="052AFB6E">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rFonts w:hint="eastAsia"/>
                <w:color w:val="000000"/>
                <w:sz w:val="21"/>
                <w:szCs w:val="21"/>
                <w:lang w:val="en-US" w:eastAsia="zh-CN"/>
              </w:rPr>
              <w:t>本项目依托厂区内应急物资。</w:t>
            </w:r>
          </w:p>
        </w:tc>
        <w:tc>
          <w:tcPr>
            <w:tcW w:w="694" w:type="dxa"/>
            <w:tcBorders>
              <w:top w:val="single" w:color="auto" w:sz="4" w:space="0"/>
              <w:left w:val="single" w:color="auto" w:sz="4" w:space="0"/>
              <w:bottom w:val="single" w:color="auto" w:sz="4" w:space="0"/>
              <w:right w:val="single" w:color="auto" w:sz="4" w:space="0"/>
            </w:tcBorders>
            <w:noWrap w:val="0"/>
            <w:vAlign w:val="center"/>
          </w:tcPr>
          <w:p w14:paraId="1C4906C0">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符合</w:t>
            </w:r>
          </w:p>
        </w:tc>
      </w:tr>
      <w:tr w14:paraId="3E948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9216" w:type="dxa"/>
            <w:gridSpan w:val="5"/>
            <w:tcBorders>
              <w:top w:val="single" w:color="auto" w:sz="4" w:space="0"/>
              <w:left w:val="single" w:color="auto" w:sz="4" w:space="0"/>
              <w:bottom w:val="single" w:color="auto" w:sz="4" w:space="0"/>
              <w:right w:val="single" w:color="auto" w:sz="4" w:space="0"/>
            </w:tcBorders>
            <w:noWrap w:val="0"/>
            <w:vAlign w:val="center"/>
          </w:tcPr>
          <w:p w14:paraId="2DF56738">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其他方面的安全管理</w:t>
            </w:r>
          </w:p>
        </w:tc>
      </w:tr>
      <w:tr w14:paraId="17766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2A82DF14">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1</w:t>
            </w:r>
          </w:p>
        </w:tc>
        <w:tc>
          <w:tcPr>
            <w:tcW w:w="2611" w:type="dxa"/>
            <w:tcBorders>
              <w:top w:val="single" w:color="auto" w:sz="4" w:space="0"/>
              <w:left w:val="single" w:color="auto" w:sz="4" w:space="0"/>
              <w:bottom w:val="single" w:color="auto" w:sz="4" w:space="0"/>
              <w:right w:val="single" w:color="auto" w:sz="4" w:space="0"/>
            </w:tcBorders>
            <w:noWrap w:val="0"/>
            <w:vAlign w:val="center"/>
          </w:tcPr>
          <w:p w14:paraId="5BA987BD">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color w:val="000000"/>
                <w:kern w:val="0"/>
                <w:sz w:val="21"/>
                <w:szCs w:val="21"/>
              </w:rPr>
              <w:t>生产经营单位必须对安全设备进行经常性维护、保养，并定期检测，保证正常运转。维护、保养、检测应当作好记录，并由有关人员签字。</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1F72F504">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rFonts w:hint="eastAsia"/>
                <w:color w:val="000000"/>
                <w:sz w:val="21"/>
                <w:szCs w:val="21"/>
              </w:rPr>
            </w:pPr>
            <w:r>
              <w:rPr>
                <w:rFonts w:hint="eastAsia"/>
                <w:color w:val="000000"/>
                <w:sz w:val="21"/>
                <w:szCs w:val="21"/>
                <w:lang w:bidi="ar"/>
              </w:rPr>
              <w:t>《中华人民共和国安全生产法》（中华人民共和国主席令第13号，根据中华人民共和国主席令第88号修订，2021年09月01日施行）</w:t>
            </w:r>
          </w:p>
          <w:p w14:paraId="6C2CAA9C">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kern w:val="0"/>
                <w:sz w:val="21"/>
                <w:szCs w:val="21"/>
              </w:rPr>
              <w:t>第三十</w:t>
            </w:r>
            <w:r>
              <w:rPr>
                <w:rFonts w:hint="eastAsia"/>
                <w:color w:val="000000"/>
                <w:kern w:val="0"/>
                <w:sz w:val="21"/>
                <w:szCs w:val="21"/>
              </w:rPr>
              <w:t>六</w:t>
            </w:r>
            <w:r>
              <w:rPr>
                <w:color w:val="000000"/>
                <w:kern w:val="0"/>
                <w:sz w:val="21"/>
                <w:szCs w:val="21"/>
              </w:rPr>
              <w:t>条</w:t>
            </w:r>
          </w:p>
        </w:tc>
        <w:tc>
          <w:tcPr>
            <w:tcW w:w="2837" w:type="dxa"/>
            <w:tcBorders>
              <w:top w:val="single" w:color="auto" w:sz="4" w:space="0"/>
              <w:left w:val="single" w:color="auto" w:sz="4" w:space="0"/>
              <w:bottom w:val="single" w:color="auto" w:sz="4" w:space="0"/>
              <w:right w:val="single" w:color="auto" w:sz="4" w:space="0"/>
            </w:tcBorders>
            <w:noWrap w:val="0"/>
            <w:vAlign w:val="center"/>
          </w:tcPr>
          <w:p w14:paraId="136F03F5">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rFonts w:hint="eastAsia"/>
                <w:bCs/>
                <w:color w:val="000000"/>
                <w:sz w:val="21"/>
                <w:szCs w:val="21"/>
              </w:rPr>
              <w:t>该公司</w:t>
            </w:r>
            <w:r>
              <w:rPr>
                <w:color w:val="000000"/>
                <w:sz w:val="21"/>
                <w:szCs w:val="21"/>
              </w:rPr>
              <w:t>已制定了</w:t>
            </w:r>
            <w:r>
              <w:rPr>
                <w:color w:val="000000"/>
                <w:kern w:val="0"/>
                <w:sz w:val="21"/>
                <w:szCs w:val="21"/>
              </w:rPr>
              <w:t>对安全设备进行经常性维护、保养，并定期检测，保证正常运转的</w:t>
            </w:r>
            <w:r>
              <w:rPr>
                <w:color w:val="000000"/>
                <w:sz w:val="21"/>
                <w:szCs w:val="21"/>
              </w:rPr>
              <w:t>相关制度，基本能做到对安全设备进行经常性维护、保养。</w:t>
            </w:r>
          </w:p>
        </w:tc>
        <w:tc>
          <w:tcPr>
            <w:tcW w:w="694" w:type="dxa"/>
            <w:tcBorders>
              <w:top w:val="single" w:color="auto" w:sz="4" w:space="0"/>
              <w:left w:val="single" w:color="auto" w:sz="4" w:space="0"/>
              <w:bottom w:val="single" w:color="auto" w:sz="4" w:space="0"/>
              <w:right w:val="single" w:color="auto" w:sz="4" w:space="0"/>
            </w:tcBorders>
            <w:noWrap w:val="0"/>
            <w:vAlign w:val="center"/>
          </w:tcPr>
          <w:p w14:paraId="622A3E06">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符合</w:t>
            </w:r>
          </w:p>
        </w:tc>
      </w:tr>
      <w:tr w14:paraId="7E4C1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7C417DAF">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2</w:t>
            </w:r>
          </w:p>
        </w:tc>
        <w:tc>
          <w:tcPr>
            <w:tcW w:w="2611" w:type="dxa"/>
            <w:tcBorders>
              <w:top w:val="single" w:color="auto" w:sz="4" w:space="0"/>
              <w:left w:val="single" w:color="auto" w:sz="4" w:space="0"/>
              <w:bottom w:val="single" w:color="auto" w:sz="4" w:space="0"/>
              <w:right w:val="single" w:color="auto" w:sz="4" w:space="0"/>
            </w:tcBorders>
            <w:noWrap w:val="0"/>
            <w:vAlign w:val="center"/>
          </w:tcPr>
          <w:p w14:paraId="3C73E072">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color w:val="000000"/>
                <w:kern w:val="0"/>
                <w:sz w:val="21"/>
                <w:szCs w:val="21"/>
              </w:rPr>
              <w:t>生产经营单位必须为从业人员提供符合国家标准或者行业标准的劳动防护用品，并监督、教育从业人员按照使用规则佩戴、使用。</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26840E5C">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rFonts w:hint="eastAsia"/>
                <w:color w:val="000000"/>
                <w:sz w:val="21"/>
                <w:szCs w:val="21"/>
              </w:rPr>
            </w:pPr>
            <w:r>
              <w:rPr>
                <w:rFonts w:hint="eastAsia"/>
                <w:color w:val="000000"/>
                <w:sz w:val="21"/>
                <w:szCs w:val="21"/>
                <w:lang w:bidi="ar"/>
              </w:rPr>
              <w:t>《中华人民共和国安全生产法》（中华人民共和国主席令第13号，根据中华人民共和国主席令第88号修订，2021年09月01日施行）</w:t>
            </w:r>
          </w:p>
          <w:p w14:paraId="39629514">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kern w:val="0"/>
                <w:sz w:val="21"/>
                <w:szCs w:val="21"/>
              </w:rPr>
              <w:t>第四十</w:t>
            </w:r>
            <w:r>
              <w:rPr>
                <w:rFonts w:hint="eastAsia"/>
                <w:color w:val="000000"/>
                <w:kern w:val="0"/>
                <w:sz w:val="21"/>
                <w:szCs w:val="21"/>
              </w:rPr>
              <w:t>五</w:t>
            </w:r>
            <w:r>
              <w:rPr>
                <w:color w:val="000000"/>
                <w:kern w:val="0"/>
                <w:sz w:val="21"/>
                <w:szCs w:val="21"/>
              </w:rPr>
              <w:t>条</w:t>
            </w:r>
          </w:p>
        </w:tc>
        <w:tc>
          <w:tcPr>
            <w:tcW w:w="2837" w:type="dxa"/>
            <w:tcBorders>
              <w:top w:val="single" w:color="auto" w:sz="4" w:space="0"/>
              <w:left w:val="single" w:color="auto" w:sz="4" w:space="0"/>
              <w:bottom w:val="single" w:color="auto" w:sz="4" w:space="0"/>
              <w:right w:val="single" w:color="auto" w:sz="4" w:space="0"/>
            </w:tcBorders>
            <w:noWrap w:val="0"/>
            <w:vAlign w:val="center"/>
          </w:tcPr>
          <w:p w14:paraId="3E56FEC9">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rFonts w:hint="eastAsia"/>
                <w:bCs/>
                <w:color w:val="000000"/>
                <w:sz w:val="21"/>
                <w:szCs w:val="21"/>
              </w:rPr>
              <w:t>该公司</w:t>
            </w:r>
            <w:r>
              <w:rPr>
                <w:color w:val="000000"/>
                <w:sz w:val="21"/>
                <w:szCs w:val="21"/>
              </w:rPr>
              <w:t>已为从业人员配备了相应的劳动防护用品，并督促从业人员佩戴使用。</w:t>
            </w:r>
          </w:p>
        </w:tc>
        <w:tc>
          <w:tcPr>
            <w:tcW w:w="694" w:type="dxa"/>
            <w:tcBorders>
              <w:top w:val="single" w:color="auto" w:sz="4" w:space="0"/>
              <w:left w:val="single" w:color="auto" w:sz="4" w:space="0"/>
              <w:bottom w:val="single" w:color="auto" w:sz="4" w:space="0"/>
              <w:right w:val="single" w:color="auto" w:sz="4" w:space="0"/>
            </w:tcBorders>
            <w:noWrap w:val="0"/>
            <w:vAlign w:val="center"/>
          </w:tcPr>
          <w:p w14:paraId="5144DF6F">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符合</w:t>
            </w:r>
          </w:p>
        </w:tc>
      </w:tr>
      <w:tr w14:paraId="62C76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4CE0B5C8">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3</w:t>
            </w:r>
          </w:p>
        </w:tc>
        <w:tc>
          <w:tcPr>
            <w:tcW w:w="2611" w:type="dxa"/>
            <w:tcBorders>
              <w:top w:val="single" w:color="auto" w:sz="4" w:space="0"/>
              <w:left w:val="single" w:color="auto" w:sz="4" w:space="0"/>
              <w:bottom w:val="single" w:color="auto" w:sz="4" w:space="0"/>
              <w:right w:val="single" w:color="auto" w:sz="4" w:space="0"/>
            </w:tcBorders>
            <w:noWrap w:val="0"/>
            <w:vAlign w:val="center"/>
          </w:tcPr>
          <w:p w14:paraId="0CB3D3D1">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color w:val="000000"/>
                <w:sz w:val="21"/>
                <w:szCs w:val="21"/>
              </w:rPr>
              <w:t>生产经营单位应当安排用于配备劳动防护用品、进行安全生产培训的经费。</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28A65D34">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rFonts w:hint="eastAsia"/>
                <w:color w:val="000000"/>
                <w:sz w:val="21"/>
                <w:szCs w:val="21"/>
              </w:rPr>
            </w:pPr>
            <w:r>
              <w:rPr>
                <w:rFonts w:hint="eastAsia"/>
                <w:color w:val="000000"/>
                <w:sz w:val="21"/>
                <w:szCs w:val="21"/>
                <w:lang w:bidi="ar"/>
              </w:rPr>
              <w:t>《中华人民共和国安全生产法》（中华人民共和国主席令第13号，根据中华人民共和国主席令第88号修订，2021年09月01日施行）</w:t>
            </w:r>
          </w:p>
          <w:p w14:paraId="4F58F90C">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kern w:val="0"/>
                <w:sz w:val="21"/>
                <w:szCs w:val="21"/>
              </w:rPr>
              <w:t>第四十</w:t>
            </w:r>
            <w:r>
              <w:rPr>
                <w:rFonts w:hint="eastAsia"/>
                <w:color w:val="000000"/>
                <w:kern w:val="0"/>
                <w:sz w:val="21"/>
                <w:szCs w:val="21"/>
              </w:rPr>
              <w:t>七</w:t>
            </w:r>
            <w:r>
              <w:rPr>
                <w:color w:val="000000"/>
                <w:kern w:val="0"/>
                <w:sz w:val="21"/>
                <w:szCs w:val="21"/>
              </w:rPr>
              <w:t>条</w:t>
            </w:r>
          </w:p>
        </w:tc>
        <w:tc>
          <w:tcPr>
            <w:tcW w:w="2837" w:type="dxa"/>
            <w:tcBorders>
              <w:top w:val="single" w:color="auto" w:sz="4" w:space="0"/>
              <w:left w:val="single" w:color="auto" w:sz="4" w:space="0"/>
              <w:bottom w:val="single" w:color="auto" w:sz="4" w:space="0"/>
              <w:right w:val="single" w:color="auto" w:sz="4" w:space="0"/>
            </w:tcBorders>
            <w:noWrap w:val="0"/>
            <w:vAlign w:val="center"/>
          </w:tcPr>
          <w:p w14:paraId="78F8D843">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rFonts w:hint="eastAsia"/>
                <w:bCs/>
                <w:color w:val="000000"/>
                <w:sz w:val="21"/>
                <w:szCs w:val="21"/>
              </w:rPr>
              <w:t>该公司</w:t>
            </w:r>
            <w:r>
              <w:rPr>
                <w:color w:val="000000"/>
                <w:sz w:val="21"/>
                <w:szCs w:val="21"/>
              </w:rPr>
              <w:t>已为从业人员配发了劳动防护用品，并进行了安全培训，投入了一定的经费。</w:t>
            </w:r>
          </w:p>
        </w:tc>
        <w:tc>
          <w:tcPr>
            <w:tcW w:w="694" w:type="dxa"/>
            <w:tcBorders>
              <w:top w:val="single" w:color="auto" w:sz="4" w:space="0"/>
              <w:left w:val="single" w:color="auto" w:sz="4" w:space="0"/>
              <w:bottom w:val="single" w:color="auto" w:sz="4" w:space="0"/>
              <w:right w:val="single" w:color="auto" w:sz="4" w:space="0"/>
            </w:tcBorders>
            <w:noWrap w:val="0"/>
            <w:vAlign w:val="center"/>
          </w:tcPr>
          <w:p w14:paraId="5A2BEB91">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符合</w:t>
            </w:r>
          </w:p>
        </w:tc>
      </w:tr>
      <w:tr w14:paraId="3B609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7841BE55">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4</w:t>
            </w:r>
          </w:p>
        </w:tc>
        <w:tc>
          <w:tcPr>
            <w:tcW w:w="2611" w:type="dxa"/>
            <w:tcBorders>
              <w:top w:val="single" w:color="auto" w:sz="4" w:space="0"/>
              <w:left w:val="single" w:color="auto" w:sz="4" w:space="0"/>
              <w:bottom w:val="single" w:color="auto" w:sz="4" w:space="0"/>
              <w:right w:val="single" w:color="auto" w:sz="4" w:space="0"/>
            </w:tcBorders>
            <w:noWrap w:val="0"/>
            <w:vAlign w:val="center"/>
          </w:tcPr>
          <w:p w14:paraId="3BD2689E">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color w:val="000000"/>
                <w:sz w:val="21"/>
                <w:szCs w:val="21"/>
              </w:rPr>
              <w:t>生产经营单位必须依法参加工伤保险，为从业人员缴纳保险费。</w:t>
            </w:r>
          </w:p>
          <w:p w14:paraId="0E098460">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rFonts w:hint="eastAsia"/>
                <w:color w:val="000000"/>
                <w:sz w:val="21"/>
                <w:szCs w:val="21"/>
              </w:rPr>
            </w:pPr>
            <w:r>
              <w:rPr>
                <w:rFonts w:hint="eastAsia"/>
                <w:color w:val="000000"/>
                <w:sz w:val="21"/>
                <w:szCs w:val="21"/>
              </w:rPr>
              <w:t>国家鼓励生产经营单位投保安全生产责任保险；属于国家规定的高危行业、领域的生产经营单位，应当投保安全生产责任保险。</w:t>
            </w:r>
          </w:p>
        </w:tc>
        <w:tc>
          <w:tcPr>
            <w:tcW w:w="2409" w:type="dxa"/>
            <w:tcBorders>
              <w:top w:val="single" w:color="auto" w:sz="4" w:space="0"/>
              <w:left w:val="single" w:color="auto" w:sz="4" w:space="0"/>
              <w:bottom w:val="single" w:color="auto" w:sz="4" w:space="0"/>
              <w:right w:val="single" w:color="auto" w:sz="4" w:space="0"/>
            </w:tcBorders>
            <w:noWrap w:val="0"/>
            <w:vAlign w:val="top"/>
          </w:tcPr>
          <w:p w14:paraId="715F455D">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rFonts w:hint="eastAsia"/>
                <w:color w:val="000000"/>
                <w:sz w:val="21"/>
                <w:szCs w:val="21"/>
              </w:rPr>
            </w:pPr>
            <w:r>
              <w:rPr>
                <w:rFonts w:hint="eastAsia"/>
                <w:color w:val="000000"/>
                <w:sz w:val="21"/>
                <w:szCs w:val="21"/>
                <w:lang w:bidi="ar"/>
              </w:rPr>
              <w:t>《中华人民共和国安全生产法》（中华人民共和国主席令第13号，根据中华人民共和国主席令第88号修订，2021年09月01日施行）</w:t>
            </w:r>
          </w:p>
          <w:p w14:paraId="730EB55D">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kern w:val="0"/>
                <w:sz w:val="21"/>
                <w:szCs w:val="21"/>
              </w:rPr>
              <w:t>第</w:t>
            </w:r>
            <w:r>
              <w:rPr>
                <w:rFonts w:hint="eastAsia"/>
                <w:color w:val="000000"/>
                <w:kern w:val="0"/>
                <w:sz w:val="21"/>
                <w:szCs w:val="21"/>
              </w:rPr>
              <w:t>五十一</w:t>
            </w:r>
            <w:r>
              <w:rPr>
                <w:color w:val="000000"/>
                <w:kern w:val="0"/>
                <w:sz w:val="21"/>
                <w:szCs w:val="21"/>
              </w:rPr>
              <w:t>条</w:t>
            </w:r>
          </w:p>
        </w:tc>
        <w:tc>
          <w:tcPr>
            <w:tcW w:w="2837" w:type="dxa"/>
            <w:tcBorders>
              <w:top w:val="single" w:color="auto" w:sz="4" w:space="0"/>
              <w:left w:val="single" w:color="auto" w:sz="4" w:space="0"/>
              <w:bottom w:val="single" w:color="auto" w:sz="4" w:space="0"/>
              <w:right w:val="single" w:color="auto" w:sz="4" w:space="0"/>
            </w:tcBorders>
            <w:noWrap w:val="0"/>
            <w:vAlign w:val="center"/>
          </w:tcPr>
          <w:p w14:paraId="440038A1">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rFonts w:hint="eastAsia"/>
                <w:color w:val="000000"/>
                <w:sz w:val="21"/>
                <w:szCs w:val="21"/>
              </w:rPr>
            </w:pPr>
            <w:r>
              <w:rPr>
                <w:color w:val="000000"/>
                <w:sz w:val="21"/>
                <w:szCs w:val="21"/>
              </w:rPr>
              <w:t>根据业主提供的工伤缴费凭证，该公司已为从业人员购买了工伤保险</w:t>
            </w:r>
            <w:r>
              <w:rPr>
                <w:rFonts w:hint="eastAsia"/>
                <w:color w:val="000000"/>
                <w:sz w:val="21"/>
                <w:szCs w:val="21"/>
              </w:rPr>
              <w:t>。</w:t>
            </w:r>
          </w:p>
          <w:p w14:paraId="537057ED">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rFonts w:hint="eastAsia"/>
                <w:color w:val="000000"/>
                <w:sz w:val="21"/>
                <w:szCs w:val="21"/>
              </w:rPr>
              <w:t>该公司已投保安全生产责任保险</w:t>
            </w:r>
            <w:r>
              <w:rPr>
                <w:color w:val="000000"/>
                <w:sz w:val="21"/>
                <w:szCs w:val="21"/>
              </w:rPr>
              <w:t>。</w:t>
            </w:r>
          </w:p>
        </w:tc>
        <w:tc>
          <w:tcPr>
            <w:tcW w:w="694" w:type="dxa"/>
            <w:tcBorders>
              <w:top w:val="single" w:color="auto" w:sz="4" w:space="0"/>
              <w:left w:val="single" w:color="auto" w:sz="4" w:space="0"/>
              <w:bottom w:val="single" w:color="auto" w:sz="4" w:space="0"/>
              <w:right w:val="single" w:color="auto" w:sz="4" w:space="0"/>
            </w:tcBorders>
            <w:noWrap w:val="0"/>
            <w:vAlign w:val="center"/>
          </w:tcPr>
          <w:p w14:paraId="6C5661C3">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符合</w:t>
            </w:r>
          </w:p>
        </w:tc>
      </w:tr>
      <w:tr w14:paraId="4C413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6D0D6435">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5</w:t>
            </w:r>
          </w:p>
        </w:tc>
        <w:tc>
          <w:tcPr>
            <w:tcW w:w="2611" w:type="dxa"/>
            <w:tcBorders>
              <w:top w:val="single" w:color="auto" w:sz="4" w:space="0"/>
              <w:left w:val="single" w:color="auto" w:sz="4" w:space="0"/>
              <w:bottom w:val="single" w:color="auto" w:sz="4" w:space="0"/>
              <w:right w:val="single" w:color="auto" w:sz="4" w:space="0"/>
            </w:tcBorders>
            <w:noWrap w:val="0"/>
            <w:vAlign w:val="center"/>
          </w:tcPr>
          <w:p w14:paraId="6D92A6BC">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color w:val="000000"/>
                <w:sz w:val="21"/>
                <w:szCs w:val="21"/>
              </w:rPr>
              <w:t>生产经营单位应当依法参加工伤保险，为从业人员按时足额缴纳工伤保险费。</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31899313">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lang w:bidi="ar"/>
              </w:rPr>
              <w:t>《</w:t>
            </w:r>
            <w:r>
              <w:rPr>
                <w:bCs/>
                <w:color w:val="000000"/>
                <w:sz w:val="21"/>
                <w:szCs w:val="21"/>
                <w:lang w:bidi="ar"/>
              </w:rPr>
              <w:t>云南省安全生产条例</w:t>
            </w:r>
            <w:r>
              <w:rPr>
                <w:color w:val="000000"/>
                <w:sz w:val="21"/>
                <w:szCs w:val="21"/>
                <w:lang w:bidi="ar"/>
              </w:rPr>
              <w:t>》（云南省第十二届人民代表大会常务委员会公告第63号，2017年11月30日云南省第十二届人民代表大会常务委员会第三十八次会议通过，自2018年1月1日起施行）</w:t>
            </w:r>
          </w:p>
          <w:p w14:paraId="7C40DC33">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第二十四条</w:t>
            </w:r>
          </w:p>
        </w:tc>
        <w:tc>
          <w:tcPr>
            <w:tcW w:w="2837" w:type="dxa"/>
            <w:tcBorders>
              <w:top w:val="single" w:color="auto" w:sz="4" w:space="0"/>
              <w:left w:val="single" w:color="auto" w:sz="4" w:space="0"/>
              <w:bottom w:val="single" w:color="auto" w:sz="4" w:space="0"/>
              <w:right w:val="single" w:color="auto" w:sz="4" w:space="0"/>
            </w:tcBorders>
            <w:noWrap w:val="0"/>
            <w:vAlign w:val="center"/>
          </w:tcPr>
          <w:p w14:paraId="32DFA0DB">
            <w:pPr>
              <w:keepNext w:val="0"/>
              <w:keepLines w:val="0"/>
              <w:pageBreakBefore w:val="0"/>
              <w:widowControl w:val="0"/>
              <w:kinsoku/>
              <w:wordWrap/>
              <w:overflowPunct/>
              <w:topLinePunct w:val="0"/>
              <w:autoSpaceDE/>
              <w:autoSpaceDN/>
              <w:bidi w:val="0"/>
              <w:adjustRightInd/>
              <w:snapToGrid w:val="0"/>
              <w:spacing w:line="240" w:lineRule="auto"/>
              <w:ind w:right="0"/>
              <w:textAlignment w:val="auto"/>
              <w:rPr>
                <w:color w:val="000000"/>
                <w:sz w:val="21"/>
                <w:szCs w:val="21"/>
              </w:rPr>
            </w:pPr>
            <w:r>
              <w:rPr>
                <w:color w:val="000000"/>
                <w:sz w:val="21"/>
                <w:szCs w:val="21"/>
              </w:rPr>
              <w:t>根据业主提供的工伤缴费凭证，</w:t>
            </w:r>
            <w:r>
              <w:rPr>
                <w:rFonts w:hint="eastAsia"/>
                <w:bCs/>
                <w:color w:val="000000"/>
                <w:sz w:val="21"/>
                <w:szCs w:val="21"/>
              </w:rPr>
              <w:t>该公司</w:t>
            </w:r>
            <w:r>
              <w:rPr>
                <w:color w:val="000000"/>
                <w:sz w:val="21"/>
                <w:szCs w:val="21"/>
              </w:rPr>
              <w:t>已为从业人员购买了工伤保险。</w:t>
            </w:r>
          </w:p>
        </w:tc>
        <w:tc>
          <w:tcPr>
            <w:tcW w:w="694" w:type="dxa"/>
            <w:tcBorders>
              <w:top w:val="single" w:color="auto" w:sz="4" w:space="0"/>
              <w:left w:val="single" w:color="auto" w:sz="4" w:space="0"/>
              <w:bottom w:val="single" w:color="auto" w:sz="4" w:space="0"/>
              <w:right w:val="single" w:color="auto" w:sz="4" w:space="0"/>
            </w:tcBorders>
            <w:noWrap w:val="0"/>
            <w:vAlign w:val="center"/>
          </w:tcPr>
          <w:p w14:paraId="7EFECC72">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rPr>
                <w:color w:val="000000"/>
                <w:sz w:val="21"/>
                <w:szCs w:val="21"/>
              </w:rPr>
            </w:pPr>
            <w:r>
              <w:rPr>
                <w:color w:val="000000"/>
                <w:sz w:val="21"/>
                <w:szCs w:val="21"/>
              </w:rPr>
              <w:t>符合</w:t>
            </w:r>
          </w:p>
        </w:tc>
      </w:tr>
    </w:tbl>
    <w:p w14:paraId="088186E4">
      <w:pPr>
        <w:adjustRightInd w:val="0"/>
        <w:snapToGrid w:val="0"/>
        <w:spacing w:line="500" w:lineRule="exact"/>
        <w:ind w:firstLine="560" w:firstLineChars="200"/>
        <w:rPr>
          <w:color w:val="000000"/>
          <w:sz w:val="28"/>
        </w:rPr>
      </w:pPr>
      <w:r>
        <w:rPr>
          <w:color w:val="000000"/>
          <w:sz w:val="28"/>
          <w:lang w:bidi="ar"/>
        </w:rPr>
        <w:t>由上述安全检查结果可知：</w:t>
      </w:r>
    </w:p>
    <w:p w14:paraId="1B406325">
      <w:pPr>
        <w:adjustRightInd w:val="0"/>
        <w:snapToGrid w:val="0"/>
        <w:spacing w:line="500" w:lineRule="exact"/>
        <w:ind w:firstLine="560" w:firstLineChars="200"/>
        <w:rPr>
          <w:snapToGrid w:val="0"/>
          <w:color w:val="000000"/>
          <w:kern w:val="0"/>
          <w:sz w:val="28"/>
          <w:szCs w:val="28"/>
        </w:rPr>
      </w:pPr>
      <w:r>
        <w:rPr>
          <w:snapToGrid w:val="0"/>
          <w:color w:val="000000"/>
          <w:kern w:val="0"/>
          <w:sz w:val="28"/>
          <w:szCs w:val="28"/>
          <w:lang w:bidi="ar"/>
        </w:rPr>
        <w:t>1.</w:t>
      </w:r>
      <w:r>
        <w:rPr>
          <w:rFonts w:hint="eastAsia"/>
          <w:snapToGrid w:val="0"/>
          <w:color w:val="000000"/>
          <w:kern w:val="0"/>
          <w:sz w:val="28"/>
          <w:szCs w:val="28"/>
          <w:lang w:bidi="ar"/>
        </w:rPr>
        <w:t>该公司</w:t>
      </w:r>
      <w:r>
        <w:rPr>
          <w:snapToGrid w:val="0"/>
          <w:color w:val="000000"/>
          <w:kern w:val="0"/>
          <w:sz w:val="28"/>
          <w:szCs w:val="28"/>
          <w:lang w:bidi="ar"/>
        </w:rPr>
        <w:t>成立了</w:t>
      </w:r>
      <w:r>
        <w:rPr>
          <w:color w:val="000000"/>
          <w:spacing w:val="-4"/>
          <w:sz w:val="28"/>
          <w:szCs w:val="28"/>
        </w:rPr>
        <w:t>安全管理委员会</w:t>
      </w:r>
      <w:r>
        <w:rPr>
          <w:snapToGrid w:val="0"/>
          <w:color w:val="000000"/>
          <w:kern w:val="0"/>
          <w:sz w:val="28"/>
          <w:szCs w:val="28"/>
          <w:lang w:bidi="ar"/>
        </w:rPr>
        <w:t>、安全</w:t>
      </w:r>
      <w:r>
        <w:rPr>
          <w:rFonts w:hint="eastAsia"/>
          <w:snapToGrid w:val="0"/>
          <w:color w:val="000000"/>
          <w:kern w:val="0"/>
          <w:sz w:val="28"/>
          <w:szCs w:val="28"/>
          <w:lang w:bidi="ar"/>
        </w:rPr>
        <w:t>环保</w:t>
      </w:r>
      <w:r>
        <w:rPr>
          <w:snapToGrid w:val="0"/>
          <w:color w:val="000000"/>
          <w:kern w:val="0"/>
          <w:sz w:val="28"/>
          <w:szCs w:val="28"/>
          <w:lang w:bidi="ar"/>
        </w:rPr>
        <w:t>部</w:t>
      </w:r>
      <w:r>
        <w:rPr>
          <w:rFonts w:hint="eastAsia"/>
          <w:snapToGrid w:val="0"/>
          <w:color w:val="000000"/>
          <w:kern w:val="0"/>
          <w:sz w:val="28"/>
          <w:szCs w:val="28"/>
          <w:lang w:bidi="ar"/>
        </w:rPr>
        <w:t>门</w:t>
      </w:r>
      <w:r>
        <w:rPr>
          <w:snapToGrid w:val="0"/>
          <w:color w:val="000000"/>
          <w:kern w:val="0"/>
          <w:sz w:val="28"/>
          <w:szCs w:val="28"/>
          <w:lang w:bidi="ar"/>
        </w:rPr>
        <w:t>，任命了专职安全员，</w:t>
      </w:r>
      <w:r>
        <w:rPr>
          <w:rFonts w:hint="eastAsia"/>
          <w:snapToGrid w:val="0"/>
          <w:color w:val="000000"/>
          <w:kern w:val="0"/>
          <w:sz w:val="28"/>
          <w:szCs w:val="28"/>
          <w:lang w:bidi="ar"/>
        </w:rPr>
        <w:t>配备了</w:t>
      </w:r>
      <w:r>
        <w:rPr>
          <w:snapToGrid w:val="0"/>
          <w:color w:val="000000"/>
          <w:kern w:val="0"/>
          <w:sz w:val="28"/>
          <w:szCs w:val="28"/>
          <w:lang w:bidi="ar"/>
        </w:rPr>
        <w:t>注册安全工程师从事安全生产管理工作。</w:t>
      </w:r>
    </w:p>
    <w:p w14:paraId="5923034D">
      <w:pPr>
        <w:adjustRightInd w:val="0"/>
        <w:snapToGrid w:val="0"/>
        <w:spacing w:line="500" w:lineRule="exact"/>
        <w:ind w:firstLine="560" w:firstLineChars="200"/>
        <w:rPr>
          <w:snapToGrid w:val="0"/>
          <w:color w:val="000000"/>
          <w:kern w:val="0"/>
          <w:sz w:val="28"/>
          <w:szCs w:val="28"/>
        </w:rPr>
      </w:pPr>
      <w:r>
        <w:rPr>
          <w:snapToGrid w:val="0"/>
          <w:color w:val="000000"/>
          <w:kern w:val="0"/>
          <w:sz w:val="28"/>
          <w:szCs w:val="28"/>
          <w:lang w:bidi="ar"/>
        </w:rPr>
        <w:t>2.</w:t>
      </w:r>
      <w:r>
        <w:rPr>
          <w:rFonts w:hint="eastAsia"/>
          <w:snapToGrid w:val="0"/>
          <w:color w:val="000000"/>
          <w:kern w:val="0"/>
          <w:sz w:val="28"/>
          <w:szCs w:val="28"/>
          <w:lang w:bidi="ar"/>
        </w:rPr>
        <w:t>该公司</w:t>
      </w:r>
      <w:r>
        <w:rPr>
          <w:snapToGrid w:val="0"/>
          <w:color w:val="000000"/>
          <w:kern w:val="0"/>
          <w:sz w:val="28"/>
          <w:szCs w:val="28"/>
          <w:lang w:bidi="ar"/>
        </w:rPr>
        <w:t>建立了安全生产责任制、安全管理制度、安全操作规程，制定了安全管理台账。</w:t>
      </w:r>
    </w:p>
    <w:p w14:paraId="0C73DB98">
      <w:pPr>
        <w:adjustRightInd w:val="0"/>
        <w:snapToGrid w:val="0"/>
        <w:spacing w:line="500" w:lineRule="exact"/>
        <w:ind w:firstLine="560" w:firstLineChars="200"/>
        <w:rPr>
          <w:snapToGrid w:val="0"/>
          <w:color w:val="000000"/>
          <w:kern w:val="0"/>
          <w:sz w:val="28"/>
          <w:szCs w:val="28"/>
        </w:rPr>
      </w:pPr>
      <w:r>
        <w:rPr>
          <w:color w:val="000000"/>
          <w:sz w:val="28"/>
          <w:lang w:bidi="ar"/>
        </w:rPr>
        <w:t>3.</w:t>
      </w:r>
      <w:r>
        <w:rPr>
          <w:rFonts w:hint="eastAsia"/>
          <w:color w:val="000000"/>
          <w:sz w:val="28"/>
          <w:lang w:bidi="ar"/>
        </w:rPr>
        <w:t>该公司</w:t>
      </w:r>
      <w:r>
        <w:rPr>
          <w:color w:val="000000"/>
          <w:sz w:val="28"/>
          <w:lang w:bidi="ar"/>
        </w:rPr>
        <w:t>的主要负责人、安全管理人员</w:t>
      </w:r>
      <w:r>
        <w:rPr>
          <w:rFonts w:hint="eastAsia"/>
          <w:color w:val="000000"/>
          <w:sz w:val="28"/>
          <w:lang w:bidi="ar"/>
        </w:rPr>
        <w:t>均经相关部门培训合格，取得安全生产知识和管理能力考核合格证</w:t>
      </w:r>
      <w:r>
        <w:rPr>
          <w:color w:val="000000"/>
          <w:sz w:val="28"/>
          <w:lang w:bidi="ar"/>
        </w:rPr>
        <w:t>；该项目相关的高/低压电工作业</w:t>
      </w:r>
      <w:r>
        <w:rPr>
          <w:rFonts w:hint="eastAsia"/>
          <w:color w:val="000000"/>
          <w:sz w:val="28"/>
          <w:lang w:bidi="ar"/>
        </w:rPr>
        <w:t>、化工自动化控制仪表作业、高处作业</w:t>
      </w:r>
      <w:r>
        <w:rPr>
          <w:color w:val="000000"/>
          <w:sz w:val="28"/>
          <w:lang w:bidi="ar"/>
        </w:rPr>
        <w:t>人员</w:t>
      </w:r>
      <w:r>
        <w:rPr>
          <w:rFonts w:hint="eastAsia"/>
          <w:color w:val="000000"/>
          <w:sz w:val="28"/>
          <w:lang w:bidi="ar"/>
        </w:rPr>
        <w:t>等</w:t>
      </w:r>
      <w:r>
        <w:rPr>
          <w:color w:val="000000"/>
          <w:sz w:val="28"/>
          <w:lang w:bidi="ar"/>
        </w:rPr>
        <w:t>均经</w:t>
      </w:r>
      <w:r>
        <w:rPr>
          <w:rFonts w:hint="eastAsia"/>
          <w:color w:val="000000"/>
          <w:sz w:val="28"/>
          <w:lang w:bidi="ar"/>
        </w:rPr>
        <w:t>相关</w:t>
      </w:r>
      <w:r>
        <w:rPr>
          <w:color w:val="000000"/>
          <w:sz w:val="28"/>
          <w:lang w:bidi="ar"/>
        </w:rPr>
        <w:t>部门考核合格并发放特种作业操作证；该项目相关的</w:t>
      </w:r>
      <w:r>
        <w:rPr>
          <w:rFonts w:hint="eastAsia"/>
          <w:color w:val="000000"/>
          <w:sz w:val="28"/>
          <w:lang w:bidi="ar"/>
        </w:rPr>
        <w:t>特种设备安全管理、移动式压力容器充装</w:t>
      </w:r>
      <w:r>
        <w:rPr>
          <w:color w:val="000000"/>
          <w:sz w:val="28"/>
          <w:lang w:bidi="ar"/>
        </w:rPr>
        <w:t>等</w:t>
      </w:r>
      <w:r>
        <w:rPr>
          <w:rFonts w:hint="eastAsia"/>
          <w:color w:val="000000"/>
          <w:sz w:val="28"/>
          <w:lang w:bidi="ar"/>
        </w:rPr>
        <w:t>人员</w:t>
      </w:r>
      <w:r>
        <w:rPr>
          <w:color w:val="000000"/>
          <w:sz w:val="28"/>
          <w:lang w:bidi="ar"/>
        </w:rPr>
        <w:t>均经</w:t>
      </w:r>
      <w:r>
        <w:rPr>
          <w:rFonts w:hint="eastAsia"/>
          <w:color w:val="000000"/>
          <w:sz w:val="28"/>
          <w:lang w:bidi="ar"/>
        </w:rPr>
        <w:t>相关</w:t>
      </w:r>
      <w:r>
        <w:rPr>
          <w:color w:val="000000"/>
          <w:sz w:val="28"/>
          <w:lang w:bidi="ar"/>
        </w:rPr>
        <w:t>监督管理部门考核合格并发放特种设备作业人员证；其他从业人员经公司内部培训合格后上岗作业。</w:t>
      </w:r>
    </w:p>
    <w:p w14:paraId="75E95202">
      <w:pPr>
        <w:adjustRightInd w:val="0"/>
        <w:snapToGrid w:val="0"/>
        <w:spacing w:line="500" w:lineRule="exact"/>
        <w:ind w:firstLine="560" w:firstLineChars="200"/>
        <w:rPr>
          <w:snapToGrid w:val="0"/>
          <w:color w:val="000000"/>
          <w:kern w:val="0"/>
          <w:sz w:val="28"/>
          <w:szCs w:val="28"/>
        </w:rPr>
      </w:pPr>
      <w:r>
        <w:rPr>
          <w:color w:val="000000"/>
          <w:sz w:val="28"/>
          <w:lang w:bidi="ar"/>
        </w:rPr>
        <w:t>4</w:t>
      </w:r>
      <w:r>
        <w:rPr>
          <w:snapToGrid w:val="0"/>
          <w:color w:val="000000"/>
          <w:kern w:val="0"/>
          <w:sz w:val="28"/>
          <w:szCs w:val="28"/>
          <w:lang w:bidi="ar"/>
        </w:rPr>
        <w:t>.</w:t>
      </w:r>
      <w:r>
        <w:rPr>
          <w:rFonts w:hint="eastAsia"/>
          <w:snapToGrid w:val="0"/>
          <w:color w:val="000000"/>
          <w:kern w:val="0"/>
          <w:sz w:val="28"/>
          <w:szCs w:val="28"/>
          <w:lang w:bidi="ar"/>
        </w:rPr>
        <w:t>该公司</w:t>
      </w:r>
      <w:r>
        <w:rPr>
          <w:snapToGrid w:val="0"/>
          <w:color w:val="000000"/>
          <w:kern w:val="0"/>
          <w:sz w:val="28"/>
          <w:szCs w:val="28"/>
          <w:lang w:bidi="ar"/>
        </w:rPr>
        <w:t>结合</w:t>
      </w:r>
      <w:r>
        <w:rPr>
          <w:rFonts w:hint="eastAsia"/>
          <w:snapToGrid w:val="0"/>
          <w:color w:val="000000"/>
          <w:kern w:val="0"/>
          <w:sz w:val="28"/>
          <w:szCs w:val="28"/>
          <w:lang w:bidi="ar"/>
        </w:rPr>
        <w:t>该</w:t>
      </w:r>
      <w:r>
        <w:rPr>
          <w:snapToGrid w:val="0"/>
          <w:color w:val="000000"/>
          <w:kern w:val="0"/>
          <w:sz w:val="28"/>
          <w:szCs w:val="28"/>
          <w:lang w:bidi="ar"/>
        </w:rPr>
        <w:t>项目</w:t>
      </w:r>
      <w:r>
        <w:rPr>
          <w:rFonts w:hint="eastAsia"/>
          <w:snapToGrid w:val="0"/>
          <w:color w:val="000000"/>
          <w:kern w:val="0"/>
          <w:sz w:val="28"/>
          <w:szCs w:val="28"/>
          <w:lang w:bidi="ar"/>
        </w:rPr>
        <w:t>编制</w:t>
      </w:r>
      <w:r>
        <w:rPr>
          <w:snapToGrid w:val="0"/>
          <w:color w:val="000000"/>
          <w:kern w:val="0"/>
          <w:sz w:val="28"/>
          <w:szCs w:val="28"/>
          <w:lang w:bidi="ar"/>
        </w:rPr>
        <w:t>了事故应急预案，</w:t>
      </w:r>
      <w:r>
        <w:rPr>
          <w:color w:val="000000"/>
          <w:sz w:val="28"/>
          <w:szCs w:val="21"/>
          <w:lang w:bidi="ar"/>
        </w:rPr>
        <w:t>成立了应急救援机构，定期进行</w:t>
      </w:r>
      <w:r>
        <w:rPr>
          <w:snapToGrid w:val="0"/>
          <w:color w:val="000000"/>
          <w:kern w:val="0"/>
          <w:sz w:val="28"/>
          <w:szCs w:val="28"/>
          <w:lang w:bidi="ar"/>
        </w:rPr>
        <w:t>事故应急演练及记录、评估</w:t>
      </w:r>
      <w:r>
        <w:rPr>
          <w:color w:val="000000"/>
          <w:sz w:val="28"/>
          <w:szCs w:val="21"/>
          <w:lang w:bidi="ar"/>
        </w:rPr>
        <w:t>，</w:t>
      </w:r>
      <w:r>
        <w:rPr>
          <w:rFonts w:hint="eastAsia"/>
          <w:color w:val="000000"/>
          <w:sz w:val="28"/>
          <w:szCs w:val="21"/>
          <w:lang w:bidi="ar"/>
        </w:rPr>
        <w:t>按安全设施设计专篇要求</w:t>
      </w:r>
      <w:r>
        <w:rPr>
          <w:color w:val="000000"/>
          <w:sz w:val="28"/>
          <w:szCs w:val="21"/>
          <w:lang w:bidi="ar"/>
        </w:rPr>
        <w:t>配置</w:t>
      </w:r>
      <w:r>
        <w:rPr>
          <w:rFonts w:hint="eastAsia"/>
          <w:color w:val="000000"/>
          <w:sz w:val="28"/>
          <w:szCs w:val="21"/>
          <w:lang w:bidi="ar"/>
        </w:rPr>
        <w:t>了</w:t>
      </w:r>
      <w:r>
        <w:rPr>
          <w:color w:val="000000"/>
          <w:sz w:val="28"/>
          <w:szCs w:val="21"/>
          <w:lang w:bidi="ar"/>
        </w:rPr>
        <w:t>应急救援器材。</w:t>
      </w:r>
    </w:p>
    <w:p w14:paraId="4083BB4A">
      <w:pPr>
        <w:adjustRightInd w:val="0"/>
        <w:snapToGrid w:val="0"/>
        <w:spacing w:line="500" w:lineRule="exact"/>
        <w:ind w:firstLine="560" w:firstLineChars="200"/>
        <w:rPr>
          <w:rFonts w:hint="eastAsia"/>
          <w:snapToGrid w:val="0"/>
          <w:color w:val="000000"/>
          <w:kern w:val="0"/>
          <w:sz w:val="28"/>
          <w:szCs w:val="28"/>
          <w:lang w:bidi="ar"/>
        </w:rPr>
      </w:pPr>
      <w:r>
        <w:rPr>
          <w:snapToGrid w:val="0"/>
          <w:color w:val="000000"/>
          <w:kern w:val="0"/>
          <w:sz w:val="28"/>
          <w:szCs w:val="28"/>
          <w:lang w:bidi="ar"/>
        </w:rPr>
        <w:t>5.</w:t>
      </w:r>
      <w:r>
        <w:rPr>
          <w:rFonts w:hint="eastAsia"/>
          <w:snapToGrid w:val="0"/>
          <w:color w:val="000000"/>
          <w:kern w:val="0"/>
          <w:sz w:val="28"/>
          <w:szCs w:val="28"/>
          <w:lang w:bidi="ar"/>
        </w:rPr>
        <w:t>该公司</w:t>
      </w:r>
      <w:r>
        <w:rPr>
          <w:snapToGrid w:val="0"/>
          <w:color w:val="000000"/>
          <w:kern w:val="0"/>
          <w:sz w:val="28"/>
          <w:szCs w:val="28"/>
          <w:lang w:bidi="ar"/>
        </w:rPr>
        <w:t>为员工购买了工伤保险</w:t>
      </w:r>
      <w:r>
        <w:rPr>
          <w:rFonts w:hint="eastAsia"/>
          <w:snapToGrid w:val="0"/>
          <w:color w:val="000000"/>
          <w:kern w:val="0"/>
          <w:sz w:val="28"/>
          <w:szCs w:val="28"/>
          <w:lang w:bidi="ar"/>
        </w:rPr>
        <w:t>、安全生产责任保险</w:t>
      </w:r>
      <w:r>
        <w:rPr>
          <w:snapToGrid w:val="0"/>
          <w:color w:val="000000"/>
          <w:kern w:val="0"/>
          <w:sz w:val="28"/>
          <w:szCs w:val="28"/>
          <w:lang w:bidi="ar"/>
        </w:rPr>
        <w:t>，并配备了劳动防护用品</w:t>
      </w:r>
      <w:r>
        <w:rPr>
          <w:rFonts w:hint="eastAsia"/>
          <w:snapToGrid w:val="0"/>
          <w:color w:val="000000"/>
          <w:kern w:val="0"/>
          <w:sz w:val="28"/>
          <w:szCs w:val="28"/>
          <w:lang w:bidi="ar"/>
        </w:rPr>
        <w:t>。</w:t>
      </w:r>
    </w:p>
    <w:p w14:paraId="28831846">
      <w:pPr>
        <w:pStyle w:val="5"/>
        <w:keepNext/>
        <w:keepLines/>
        <w:pageBreakBefore w:val="0"/>
        <w:widowControl w:val="0"/>
        <w:numPr>
          <w:ilvl w:val="2"/>
          <w:numId w:val="0"/>
        </w:numPr>
        <w:kinsoku/>
        <w:wordWrap/>
        <w:overflowPunct/>
        <w:topLinePunct w:val="0"/>
        <w:autoSpaceDE/>
        <w:autoSpaceDN/>
        <w:bidi w:val="0"/>
        <w:adjustRightInd/>
        <w:snapToGrid w:val="0"/>
        <w:spacing w:line="360" w:lineRule="auto"/>
        <w:ind w:leftChars="100"/>
        <w:textAlignment w:val="auto"/>
        <w:rPr>
          <w:rFonts w:hint="default" w:ascii="Times New Roman" w:hAnsi="Times New Roman" w:cs="Times New Roman"/>
          <w:snapToGrid w:val="0"/>
          <w:color w:val="000000"/>
          <w:kern w:val="0"/>
          <w:sz w:val="32"/>
          <w:lang w:val="en-US" w:eastAsia="zh-CN"/>
        </w:rPr>
      </w:pPr>
      <w:bookmarkStart w:id="1107" w:name="_Toc29642"/>
      <w:bookmarkStart w:id="1108" w:name="_Toc23703"/>
      <w:r>
        <w:rPr>
          <w:rFonts w:hint="eastAsia" w:ascii="Times New Roman" w:hAnsi="Times New Roman" w:cs="Times New Roman"/>
          <w:snapToGrid w:val="0"/>
          <w:color w:val="000000"/>
          <w:kern w:val="0"/>
          <w:sz w:val="32"/>
          <w:lang w:val="en-US" w:eastAsia="zh-CN"/>
        </w:rPr>
        <w:t>3.2.7</w:t>
      </w:r>
      <w:r>
        <w:rPr>
          <w:rFonts w:hint="default" w:ascii="Times New Roman" w:hAnsi="Times New Roman" w:cs="Times New Roman"/>
          <w:snapToGrid w:val="0"/>
          <w:color w:val="000000"/>
          <w:kern w:val="0"/>
          <w:sz w:val="32"/>
          <w:lang w:val="en-US" w:eastAsia="zh-CN"/>
        </w:rPr>
        <w:t>重大生产安全事故隐患判定单元</w:t>
      </w:r>
      <w:bookmarkEnd w:id="1107"/>
    </w:p>
    <w:p w14:paraId="7E6AB426">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color w:val="000000"/>
          <w:sz w:val="28"/>
        </w:rPr>
      </w:pPr>
      <w:r>
        <w:rPr>
          <w:rFonts w:hint="eastAsia"/>
          <w:color w:val="000000"/>
          <w:sz w:val="28"/>
        </w:rPr>
        <w:t>根据《国家安全监管总局关于印发&lt;化工和危险化学品生产经营单位重大生产安全事故隐患判定标准（试行）&gt;和&lt;烟花爆竹生产经营单位重大生产安全事故隐患判定标准（试行）&gt;的通知》（安监总管三〔2017〕121号）中的要求对该项目进行重大隐患对照检查，具体检查内容如下表所示。</w:t>
      </w:r>
    </w:p>
    <w:p w14:paraId="3787416E">
      <w:pPr>
        <w:adjustRightInd w:val="0"/>
        <w:snapToGrid w:val="0"/>
        <w:spacing w:line="500" w:lineRule="exact"/>
        <w:ind w:firstLine="482" w:firstLineChars="200"/>
        <w:jc w:val="center"/>
        <w:rPr>
          <w:b/>
          <w:bCs/>
          <w:color w:val="000000"/>
          <w:kern w:val="0"/>
          <w:sz w:val="24"/>
        </w:rPr>
      </w:pPr>
      <w:r>
        <w:rPr>
          <w:b/>
          <w:bCs/>
          <w:color w:val="000000"/>
          <w:kern w:val="0"/>
          <w:sz w:val="24"/>
        </w:rPr>
        <w:t>附表</w:t>
      </w:r>
      <w:r>
        <w:rPr>
          <w:rFonts w:hint="eastAsia"/>
          <w:b/>
          <w:bCs/>
          <w:color w:val="000000"/>
          <w:kern w:val="0"/>
          <w:sz w:val="24"/>
        </w:rPr>
        <w:t>3</w:t>
      </w:r>
      <w:r>
        <w:rPr>
          <w:rFonts w:hint="eastAsia"/>
          <w:b/>
          <w:bCs/>
          <w:color w:val="000000"/>
          <w:kern w:val="0"/>
          <w:sz w:val="24"/>
          <w:lang w:val="en-US" w:eastAsia="zh-CN"/>
        </w:rPr>
        <w:t>.2</w:t>
      </w:r>
      <w:r>
        <w:rPr>
          <w:b/>
          <w:bCs/>
          <w:color w:val="000000"/>
          <w:kern w:val="0"/>
          <w:sz w:val="24"/>
        </w:rPr>
        <w:t>-</w:t>
      </w:r>
      <w:r>
        <w:rPr>
          <w:rFonts w:hint="eastAsia"/>
          <w:b/>
          <w:bCs/>
          <w:color w:val="000000"/>
          <w:kern w:val="0"/>
          <w:sz w:val="24"/>
          <w:lang w:val="en-US" w:eastAsia="zh-CN"/>
        </w:rPr>
        <w:t>8</w:t>
      </w:r>
      <w:r>
        <w:rPr>
          <w:b/>
          <w:bCs/>
          <w:color w:val="000000"/>
          <w:kern w:val="0"/>
          <w:sz w:val="24"/>
        </w:rPr>
        <w:t xml:space="preserve"> </w:t>
      </w:r>
      <w:r>
        <w:rPr>
          <w:rFonts w:hint="eastAsia"/>
          <w:b/>
          <w:bCs/>
          <w:color w:val="000000"/>
          <w:kern w:val="0"/>
          <w:sz w:val="24"/>
        </w:rPr>
        <w:t>重大隐患对照</w:t>
      </w:r>
      <w:r>
        <w:rPr>
          <w:b/>
          <w:bCs/>
          <w:color w:val="000000"/>
          <w:kern w:val="0"/>
          <w:sz w:val="24"/>
        </w:rPr>
        <w:t>检查表</w:t>
      </w:r>
    </w:p>
    <w:tbl>
      <w:tblPr>
        <w:tblStyle w:val="8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2855"/>
        <w:gridCol w:w="2693"/>
        <w:gridCol w:w="2213"/>
        <w:gridCol w:w="709"/>
      </w:tblGrid>
      <w:tr w14:paraId="517A2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26C8CF45">
            <w:pPr>
              <w:keepNext w:val="0"/>
              <w:keepLines w:val="0"/>
              <w:pageBreakBefore w:val="0"/>
              <w:widowControl w:val="0"/>
              <w:kinsoku/>
              <w:wordWrap/>
              <w:overflowPunct/>
              <w:topLinePunct w:val="0"/>
              <w:autoSpaceDE/>
              <w:autoSpaceDN/>
              <w:bidi w:val="0"/>
              <w:adjustRightInd/>
              <w:snapToGrid w:val="0"/>
              <w:spacing w:line="240" w:lineRule="auto"/>
              <w:textAlignment w:val="auto"/>
              <w:rPr>
                <w:b/>
                <w:bCs/>
                <w:color w:val="000000"/>
                <w:sz w:val="21"/>
                <w:szCs w:val="21"/>
              </w:rPr>
            </w:pPr>
            <w:r>
              <w:rPr>
                <w:b/>
                <w:bCs/>
                <w:color w:val="000000"/>
                <w:sz w:val="21"/>
                <w:szCs w:val="21"/>
              </w:rPr>
              <w:t>序号</w:t>
            </w:r>
          </w:p>
        </w:tc>
        <w:tc>
          <w:tcPr>
            <w:tcW w:w="2855" w:type="dxa"/>
            <w:tcBorders>
              <w:top w:val="single" w:color="auto" w:sz="4" w:space="0"/>
              <w:left w:val="single" w:color="auto" w:sz="4" w:space="0"/>
              <w:bottom w:val="single" w:color="auto" w:sz="4" w:space="0"/>
              <w:right w:val="single" w:color="auto" w:sz="4" w:space="0"/>
            </w:tcBorders>
            <w:noWrap w:val="0"/>
            <w:vAlign w:val="center"/>
          </w:tcPr>
          <w:p w14:paraId="7ED6AD3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000000"/>
                <w:sz w:val="21"/>
                <w:szCs w:val="21"/>
              </w:rPr>
            </w:pPr>
            <w:r>
              <w:rPr>
                <w:b/>
                <w:bCs/>
                <w:color w:val="000000"/>
                <w:sz w:val="21"/>
                <w:szCs w:val="21"/>
              </w:rPr>
              <w:t>检查内容</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07BB571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000000"/>
                <w:sz w:val="21"/>
                <w:szCs w:val="21"/>
              </w:rPr>
            </w:pPr>
            <w:r>
              <w:rPr>
                <w:b/>
                <w:bCs/>
                <w:color w:val="000000"/>
                <w:sz w:val="21"/>
                <w:szCs w:val="21"/>
              </w:rPr>
              <w:t>检查依据</w:t>
            </w:r>
          </w:p>
        </w:tc>
        <w:tc>
          <w:tcPr>
            <w:tcW w:w="2213" w:type="dxa"/>
            <w:tcBorders>
              <w:top w:val="single" w:color="auto" w:sz="4" w:space="0"/>
              <w:left w:val="single" w:color="auto" w:sz="4" w:space="0"/>
              <w:bottom w:val="single" w:color="auto" w:sz="4" w:space="0"/>
              <w:right w:val="single" w:color="auto" w:sz="4" w:space="0"/>
            </w:tcBorders>
            <w:noWrap w:val="0"/>
            <w:vAlign w:val="center"/>
          </w:tcPr>
          <w:p w14:paraId="412C194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000000"/>
                <w:sz w:val="21"/>
                <w:szCs w:val="21"/>
              </w:rPr>
            </w:pPr>
            <w:r>
              <w:rPr>
                <w:b/>
                <w:bCs/>
                <w:color w:val="000000"/>
                <w:sz w:val="21"/>
                <w:szCs w:val="21"/>
              </w:rPr>
              <w:t>检查记录</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75D9A5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000000"/>
                <w:sz w:val="21"/>
                <w:szCs w:val="21"/>
              </w:rPr>
            </w:pPr>
            <w:r>
              <w:rPr>
                <w:b/>
                <w:bCs/>
                <w:color w:val="000000"/>
                <w:sz w:val="21"/>
                <w:szCs w:val="21"/>
              </w:rPr>
              <w:t>检查结果</w:t>
            </w:r>
          </w:p>
        </w:tc>
      </w:tr>
      <w:tr w14:paraId="59527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0D92529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rPr>
              <w:t>1</w:t>
            </w:r>
          </w:p>
        </w:tc>
        <w:tc>
          <w:tcPr>
            <w:tcW w:w="2855" w:type="dxa"/>
            <w:tcBorders>
              <w:top w:val="single" w:color="auto" w:sz="4" w:space="0"/>
              <w:left w:val="single" w:color="auto" w:sz="4" w:space="0"/>
              <w:bottom w:val="single" w:color="auto" w:sz="4" w:space="0"/>
              <w:right w:val="single" w:color="auto" w:sz="4" w:space="0"/>
            </w:tcBorders>
            <w:noWrap w:val="0"/>
            <w:vAlign w:val="center"/>
          </w:tcPr>
          <w:p w14:paraId="06A6DB8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color w:val="000000"/>
                <w:sz w:val="21"/>
                <w:szCs w:val="21"/>
              </w:rPr>
            </w:pPr>
            <w:r>
              <w:rPr>
                <w:color w:val="000000"/>
                <w:sz w:val="21"/>
                <w:szCs w:val="21"/>
              </w:rPr>
              <w:t>一、危险化学品生产、经营单位主要负责人和安全生产管理人员未依法经考核合格。</w:t>
            </w:r>
          </w:p>
        </w:tc>
        <w:tc>
          <w:tcPr>
            <w:tcW w:w="2693" w:type="dxa"/>
            <w:vMerge w:val="restart"/>
            <w:tcBorders>
              <w:top w:val="single" w:color="auto" w:sz="4" w:space="0"/>
              <w:left w:val="single" w:color="auto" w:sz="4" w:space="0"/>
              <w:right w:val="single" w:color="auto" w:sz="4" w:space="0"/>
            </w:tcBorders>
            <w:noWrap w:val="0"/>
            <w:vAlign w:val="center"/>
          </w:tcPr>
          <w:p w14:paraId="045E4AF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000000"/>
                <w:sz w:val="21"/>
                <w:szCs w:val="21"/>
              </w:rPr>
            </w:pPr>
            <w:r>
              <w:rPr>
                <w:rFonts w:hint="eastAsia"/>
                <w:color w:val="000000"/>
                <w:sz w:val="21"/>
                <w:szCs w:val="21"/>
              </w:rPr>
              <w:t>《国家安全监管总局关于印发&lt;化工和危险化学品生产经营单位重大生产安全事故隐患判定标准（试行）&gt;和&lt;烟花爆竹生产经营单位重大生产安全事故隐患判定标准（试行）&gt;的通知》</w:t>
            </w:r>
          </w:p>
          <w:p w14:paraId="1F7D9E5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rFonts w:hint="eastAsia"/>
                <w:color w:val="000000"/>
                <w:sz w:val="21"/>
                <w:szCs w:val="21"/>
              </w:rPr>
              <w:t>（安监总管三〔2017〕121号）之</w:t>
            </w:r>
          </w:p>
          <w:p w14:paraId="179D5B7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rFonts w:hint="eastAsia"/>
                <w:color w:val="000000"/>
                <w:sz w:val="21"/>
                <w:szCs w:val="21"/>
              </w:rPr>
              <w:t>&lt;化工和危险化学品生产经营单位重大生产安全事故隐患判定标准（试行）&gt;</w:t>
            </w:r>
          </w:p>
        </w:tc>
        <w:tc>
          <w:tcPr>
            <w:tcW w:w="2213" w:type="dxa"/>
            <w:tcBorders>
              <w:top w:val="single" w:color="auto" w:sz="4" w:space="0"/>
              <w:left w:val="single" w:color="auto" w:sz="4" w:space="0"/>
              <w:bottom w:val="single" w:color="auto" w:sz="4" w:space="0"/>
              <w:right w:val="single" w:color="auto" w:sz="4" w:space="0"/>
            </w:tcBorders>
            <w:noWrap w:val="0"/>
            <w:vAlign w:val="center"/>
          </w:tcPr>
          <w:p w14:paraId="349ABE04">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r>
              <w:rPr>
                <w:rFonts w:hint="eastAsia"/>
                <w:color w:val="000000"/>
                <w:sz w:val="21"/>
                <w:szCs w:val="21"/>
              </w:rPr>
              <w:t>主要负责人和安全生产管理人员经考核持证。</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04D94B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rFonts w:hint="eastAsia"/>
                <w:color w:val="000000"/>
                <w:sz w:val="21"/>
                <w:szCs w:val="21"/>
              </w:rPr>
              <w:t>不存在此条重大隐患</w:t>
            </w:r>
          </w:p>
        </w:tc>
      </w:tr>
      <w:tr w14:paraId="6C877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673E760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rPr>
              <w:t>2</w:t>
            </w:r>
          </w:p>
        </w:tc>
        <w:tc>
          <w:tcPr>
            <w:tcW w:w="2855" w:type="dxa"/>
            <w:tcBorders>
              <w:top w:val="single" w:color="auto" w:sz="4" w:space="0"/>
              <w:left w:val="single" w:color="auto" w:sz="4" w:space="0"/>
              <w:bottom w:val="single" w:color="auto" w:sz="4" w:space="0"/>
              <w:right w:val="single" w:color="auto" w:sz="4" w:space="0"/>
            </w:tcBorders>
            <w:noWrap w:val="0"/>
            <w:vAlign w:val="center"/>
          </w:tcPr>
          <w:p w14:paraId="7ED97A1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color w:val="000000"/>
                <w:sz w:val="21"/>
                <w:szCs w:val="21"/>
              </w:rPr>
            </w:pPr>
            <w:r>
              <w:rPr>
                <w:color w:val="000000"/>
                <w:sz w:val="21"/>
                <w:szCs w:val="21"/>
              </w:rPr>
              <w:t>二、特种作业人员未持证上岗。</w:t>
            </w:r>
          </w:p>
        </w:tc>
        <w:tc>
          <w:tcPr>
            <w:tcW w:w="2693" w:type="dxa"/>
            <w:vMerge w:val="continue"/>
            <w:tcBorders>
              <w:left w:val="single" w:color="auto" w:sz="4" w:space="0"/>
              <w:right w:val="single" w:color="auto" w:sz="4" w:space="0"/>
            </w:tcBorders>
            <w:noWrap w:val="0"/>
            <w:vAlign w:val="center"/>
          </w:tcPr>
          <w:p w14:paraId="73C2C8B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p>
        </w:tc>
        <w:tc>
          <w:tcPr>
            <w:tcW w:w="2213" w:type="dxa"/>
            <w:tcBorders>
              <w:top w:val="single" w:color="auto" w:sz="4" w:space="0"/>
              <w:left w:val="single" w:color="auto" w:sz="4" w:space="0"/>
              <w:bottom w:val="single" w:color="auto" w:sz="4" w:space="0"/>
              <w:right w:val="single" w:color="auto" w:sz="4" w:space="0"/>
            </w:tcBorders>
            <w:noWrap w:val="0"/>
            <w:vAlign w:val="center"/>
          </w:tcPr>
          <w:p w14:paraId="01D84367">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r>
              <w:rPr>
                <w:rFonts w:hint="eastAsia"/>
                <w:color w:val="000000"/>
                <w:sz w:val="21"/>
                <w:szCs w:val="21"/>
                <w:lang w:val="en-US" w:eastAsia="zh-CN"/>
              </w:rPr>
              <w:t>本项目</w:t>
            </w:r>
            <w:r>
              <w:rPr>
                <w:rFonts w:hint="eastAsia"/>
                <w:color w:val="000000"/>
                <w:sz w:val="21"/>
                <w:szCs w:val="21"/>
              </w:rPr>
              <w:t>涉及</w:t>
            </w:r>
            <w:r>
              <w:rPr>
                <w:rFonts w:hint="eastAsia"/>
                <w:color w:val="000000"/>
                <w:sz w:val="21"/>
                <w:szCs w:val="21"/>
                <w:lang w:val="en-US" w:eastAsia="zh-CN"/>
              </w:rPr>
              <w:t>特种</w:t>
            </w:r>
            <w:r>
              <w:rPr>
                <w:rFonts w:hint="eastAsia"/>
                <w:color w:val="000000"/>
                <w:sz w:val="21"/>
                <w:szCs w:val="21"/>
              </w:rPr>
              <w:t>作业人员已通过相关部门培训，持证上岗。</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54C737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rFonts w:hint="eastAsia"/>
                <w:color w:val="000000"/>
                <w:sz w:val="21"/>
                <w:szCs w:val="21"/>
              </w:rPr>
              <w:t>不存在此条重大隐患</w:t>
            </w:r>
          </w:p>
        </w:tc>
      </w:tr>
      <w:tr w14:paraId="542D7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503DE19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rPr>
              <w:t>3</w:t>
            </w:r>
          </w:p>
        </w:tc>
        <w:tc>
          <w:tcPr>
            <w:tcW w:w="2855" w:type="dxa"/>
            <w:tcBorders>
              <w:top w:val="single" w:color="auto" w:sz="4" w:space="0"/>
              <w:left w:val="single" w:color="auto" w:sz="4" w:space="0"/>
              <w:bottom w:val="single" w:color="auto" w:sz="4" w:space="0"/>
              <w:right w:val="single" w:color="auto" w:sz="4" w:space="0"/>
            </w:tcBorders>
            <w:noWrap w:val="0"/>
            <w:vAlign w:val="center"/>
          </w:tcPr>
          <w:p w14:paraId="4A09A02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color w:val="000000"/>
                <w:sz w:val="21"/>
                <w:szCs w:val="21"/>
              </w:rPr>
            </w:pPr>
            <w:r>
              <w:rPr>
                <w:color w:val="000000"/>
                <w:sz w:val="21"/>
                <w:szCs w:val="21"/>
              </w:rPr>
              <w:t>三、涉及“两重点一重大”的生产装置、储存设施外部安全防护距离不符合国家标准要求。</w:t>
            </w:r>
          </w:p>
        </w:tc>
        <w:tc>
          <w:tcPr>
            <w:tcW w:w="2693" w:type="dxa"/>
            <w:vMerge w:val="continue"/>
            <w:tcBorders>
              <w:left w:val="single" w:color="auto" w:sz="4" w:space="0"/>
              <w:right w:val="single" w:color="auto" w:sz="4" w:space="0"/>
            </w:tcBorders>
            <w:noWrap w:val="0"/>
            <w:vAlign w:val="center"/>
          </w:tcPr>
          <w:p w14:paraId="444F186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p>
        </w:tc>
        <w:tc>
          <w:tcPr>
            <w:tcW w:w="2213" w:type="dxa"/>
            <w:tcBorders>
              <w:top w:val="single" w:color="auto" w:sz="4" w:space="0"/>
              <w:left w:val="single" w:color="auto" w:sz="4" w:space="0"/>
              <w:bottom w:val="single" w:color="auto" w:sz="4" w:space="0"/>
              <w:right w:val="single" w:color="auto" w:sz="4" w:space="0"/>
            </w:tcBorders>
            <w:noWrap w:val="0"/>
            <w:vAlign w:val="center"/>
          </w:tcPr>
          <w:p w14:paraId="0FB6957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eastAsia="宋体"/>
                <w:color w:val="000000"/>
                <w:sz w:val="21"/>
                <w:szCs w:val="21"/>
                <w:lang w:eastAsia="zh-CN"/>
              </w:rPr>
            </w:pPr>
            <w:r>
              <w:rPr>
                <w:rFonts w:hint="eastAsia"/>
                <w:color w:val="000000"/>
                <w:sz w:val="21"/>
                <w:szCs w:val="21"/>
                <w:lang w:val="en-US" w:eastAsia="zh-CN"/>
              </w:rPr>
              <w:t>不涉及</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B56ABD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000000"/>
                <w:sz w:val="21"/>
                <w:szCs w:val="21"/>
              </w:rPr>
            </w:pPr>
            <w:r>
              <w:rPr>
                <w:color w:val="000000"/>
                <w:sz w:val="21"/>
                <w:szCs w:val="21"/>
              </w:rPr>
              <w:t>不涉及</w:t>
            </w:r>
          </w:p>
        </w:tc>
      </w:tr>
      <w:tr w14:paraId="11115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0D23B3D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rPr>
              <w:t>4</w:t>
            </w:r>
          </w:p>
        </w:tc>
        <w:tc>
          <w:tcPr>
            <w:tcW w:w="2855" w:type="dxa"/>
            <w:tcBorders>
              <w:top w:val="single" w:color="auto" w:sz="4" w:space="0"/>
              <w:left w:val="single" w:color="auto" w:sz="4" w:space="0"/>
              <w:bottom w:val="single" w:color="auto" w:sz="4" w:space="0"/>
              <w:right w:val="single" w:color="auto" w:sz="4" w:space="0"/>
            </w:tcBorders>
            <w:noWrap w:val="0"/>
            <w:vAlign w:val="center"/>
          </w:tcPr>
          <w:p w14:paraId="22B4C14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color w:val="000000"/>
                <w:sz w:val="21"/>
                <w:szCs w:val="21"/>
              </w:rPr>
            </w:pPr>
            <w:r>
              <w:rPr>
                <w:color w:val="000000"/>
                <w:sz w:val="21"/>
                <w:szCs w:val="21"/>
              </w:rPr>
              <w:t>四、涉及重点监管危险化工工艺的装置未实现自动化控制，系统未实现紧急停车功能，装备的自动化控制系统、紧急停车系统未投入使用。</w:t>
            </w:r>
          </w:p>
        </w:tc>
        <w:tc>
          <w:tcPr>
            <w:tcW w:w="2693" w:type="dxa"/>
            <w:vMerge w:val="continue"/>
            <w:tcBorders>
              <w:left w:val="single" w:color="auto" w:sz="4" w:space="0"/>
              <w:right w:val="single" w:color="auto" w:sz="4" w:space="0"/>
            </w:tcBorders>
            <w:noWrap w:val="0"/>
            <w:vAlign w:val="center"/>
          </w:tcPr>
          <w:p w14:paraId="2ED2512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p>
        </w:tc>
        <w:tc>
          <w:tcPr>
            <w:tcW w:w="2213" w:type="dxa"/>
            <w:tcBorders>
              <w:top w:val="single" w:color="auto" w:sz="4" w:space="0"/>
              <w:left w:val="single" w:color="auto" w:sz="4" w:space="0"/>
              <w:bottom w:val="single" w:color="auto" w:sz="4" w:space="0"/>
              <w:right w:val="single" w:color="auto" w:sz="4" w:space="0"/>
            </w:tcBorders>
            <w:noWrap w:val="0"/>
            <w:vAlign w:val="center"/>
          </w:tcPr>
          <w:p w14:paraId="4AC8123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color w:val="000000"/>
                <w:sz w:val="21"/>
                <w:szCs w:val="21"/>
              </w:rPr>
            </w:pPr>
            <w:r>
              <w:rPr>
                <w:rFonts w:hint="eastAsia"/>
                <w:color w:val="000000"/>
                <w:sz w:val="21"/>
                <w:szCs w:val="21"/>
                <w:lang w:val="en-US" w:eastAsia="zh-CN"/>
              </w:rPr>
              <w:t>不涉及</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6DD0B7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rPr>
              <w:t>不涉及</w:t>
            </w:r>
          </w:p>
        </w:tc>
      </w:tr>
      <w:tr w14:paraId="25D51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61D6212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rPr>
              <w:t>5</w:t>
            </w:r>
          </w:p>
        </w:tc>
        <w:tc>
          <w:tcPr>
            <w:tcW w:w="2855" w:type="dxa"/>
            <w:tcBorders>
              <w:top w:val="single" w:color="auto" w:sz="4" w:space="0"/>
              <w:left w:val="single" w:color="auto" w:sz="4" w:space="0"/>
              <w:bottom w:val="single" w:color="auto" w:sz="4" w:space="0"/>
              <w:right w:val="single" w:color="auto" w:sz="4" w:space="0"/>
            </w:tcBorders>
            <w:noWrap w:val="0"/>
            <w:vAlign w:val="center"/>
          </w:tcPr>
          <w:p w14:paraId="4CC60D0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color w:val="000000"/>
                <w:sz w:val="21"/>
                <w:szCs w:val="21"/>
              </w:rPr>
            </w:pPr>
            <w:r>
              <w:rPr>
                <w:color w:val="000000"/>
                <w:sz w:val="21"/>
                <w:szCs w:val="21"/>
              </w:rPr>
              <w:t>五、构成一级、二级重大危险源的危险化学品罐区未实现紧急切断功能；涉及毒性气体、液化气体、剧毒液体的一级、二级重大危险源的危险化学品罐区未配备独立的安全仪表系统。</w:t>
            </w:r>
          </w:p>
        </w:tc>
        <w:tc>
          <w:tcPr>
            <w:tcW w:w="2693" w:type="dxa"/>
            <w:vMerge w:val="continue"/>
            <w:tcBorders>
              <w:left w:val="single" w:color="auto" w:sz="4" w:space="0"/>
              <w:right w:val="single" w:color="auto" w:sz="4" w:space="0"/>
            </w:tcBorders>
            <w:noWrap w:val="0"/>
            <w:vAlign w:val="center"/>
          </w:tcPr>
          <w:p w14:paraId="538FFBC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p>
        </w:tc>
        <w:tc>
          <w:tcPr>
            <w:tcW w:w="2213" w:type="dxa"/>
            <w:tcBorders>
              <w:top w:val="single" w:color="auto" w:sz="4" w:space="0"/>
              <w:left w:val="single" w:color="auto" w:sz="4" w:space="0"/>
              <w:bottom w:val="single" w:color="auto" w:sz="4" w:space="0"/>
              <w:right w:val="single" w:color="auto" w:sz="4" w:space="0"/>
            </w:tcBorders>
            <w:noWrap w:val="0"/>
            <w:vAlign w:val="center"/>
          </w:tcPr>
          <w:p w14:paraId="1C637F5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color w:val="000000"/>
                <w:sz w:val="21"/>
                <w:szCs w:val="21"/>
              </w:rPr>
            </w:pPr>
            <w:r>
              <w:rPr>
                <w:rFonts w:hint="eastAsia"/>
                <w:color w:val="000000"/>
                <w:sz w:val="21"/>
                <w:szCs w:val="21"/>
                <w:lang w:val="en-US" w:eastAsia="zh-CN"/>
              </w:rPr>
              <w:t>不涉及</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B8EC92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000000"/>
                <w:sz w:val="21"/>
                <w:szCs w:val="21"/>
              </w:rPr>
            </w:pPr>
            <w:r>
              <w:rPr>
                <w:color w:val="000000"/>
                <w:sz w:val="21"/>
                <w:szCs w:val="21"/>
              </w:rPr>
              <w:t>不涉及</w:t>
            </w:r>
          </w:p>
        </w:tc>
      </w:tr>
      <w:tr w14:paraId="4F6F6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5939201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rPr>
              <w:t>6</w:t>
            </w:r>
          </w:p>
        </w:tc>
        <w:tc>
          <w:tcPr>
            <w:tcW w:w="2855" w:type="dxa"/>
            <w:tcBorders>
              <w:top w:val="single" w:color="auto" w:sz="4" w:space="0"/>
              <w:left w:val="single" w:color="auto" w:sz="4" w:space="0"/>
              <w:bottom w:val="single" w:color="auto" w:sz="4" w:space="0"/>
              <w:right w:val="single" w:color="auto" w:sz="4" w:space="0"/>
            </w:tcBorders>
            <w:noWrap w:val="0"/>
            <w:vAlign w:val="center"/>
          </w:tcPr>
          <w:p w14:paraId="0C90E52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color w:val="000000"/>
                <w:sz w:val="21"/>
                <w:szCs w:val="21"/>
              </w:rPr>
            </w:pPr>
            <w:r>
              <w:rPr>
                <w:color w:val="000000"/>
                <w:sz w:val="21"/>
                <w:szCs w:val="21"/>
              </w:rPr>
              <w:t>六、全压力式液化烃储罐未按国家标准设置注水措施。</w:t>
            </w:r>
          </w:p>
        </w:tc>
        <w:tc>
          <w:tcPr>
            <w:tcW w:w="2693" w:type="dxa"/>
            <w:vMerge w:val="continue"/>
            <w:tcBorders>
              <w:left w:val="single" w:color="auto" w:sz="4" w:space="0"/>
              <w:right w:val="single" w:color="auto" w:sz="4" w:space="0"/>
            </w:tcBorders>
            <w:noWrap w:val="0"/>
            <w:vAlign w:val="center"/>
          </w:tcPr>
          <w:p w14:paraId="57F518F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p>
        </w:tc>
        <w:tc>
          <w:tcPr>
            <w:tcW w:w="2213" w:type="dxa"/>
            <w:tcBorders>
              <w:top w:val="single" w:color="auto" w:sz="4" w:space="0"/>
              <w:left w:val="single" w:color="auto" w:sz="4" w:space="0"/>
              <w:bottom w:val="single" w:color="auto" w:sz="4" w:space="0"/>
              <w:right w:val="single" w:color="auto" w:sz="4" w:space="0"/>
            </w:tcBorders>
            <w:noWrap w:val="0"/>
            <w:vAlign w:val="center"/>
          </w:tcPr>
          <w:p w14:paraId="4991865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color w:val="000000"/>
                <w:sz w:val="21"/>
                <w:szCs w:val="21"/>
              </w:rPr>
            </w:pPr>
            <w:r>
              <w:rPr>
                <w:rFonts w:hint="eastAsia"/>
                <w:color w:val="000000"/>
                <w:sz w:val="21"/>
                <w:szCs w:val="21"/>
              </w:rPr>
              <w:t>不涉及。</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644B51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000000"/>
                <w:sz w:val="21"/>
                <w:szCs w:val="21"/>
              </w:rPr>
            </w:pPr>
            <w:r>
              <w:rPr>
                <w:rFonts w:hint="eastAsia"/>
                <w:color w:val="000000"/>
                <w:sz w:val="21"/>
                <w:szCs w:val="21"/>
              </w:rPr>
              <w:t>不涉及</w:t>
            </w:r>
          </w:p>
        </w:tc>
      </w:tr>
      <w:tr w14:paraId="524BA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04243E7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rPr>
              <w:t>7</w:t>
            </w:r>
          </w:p>
        </w:tc>
        <w:tc>
          <w:tcPr>
            <w:tcW w:w="2855" w:type="dxa"/>
            <w:tcBorders>
              <w:top w:val="single" w:color="auto" w:sz="4" w:space="0"/>
              <w:left w:val="single" w:color="auto" w:sz="4" w:space="0"/>
              <w:bottom w:val="single" w:color="auto" w:sz="4" w:space="0"/>
              <w:right w:val="single" w:color="auto" w:sz="4" w:space="0"/>
            </w:tcBorders>
            <w:noWrap w:val="0"/>
            <w:vAlign w:val="center"/>
          </w:tcPr>
          <w:p w14:paraId="2D0E826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color w:val="000000"/>
                <w:sz w:val="21"/>
                <w:szCs w:val="21"/>
              </w:rPr>
            </w:pPr>
            <w:r>
              <w:rPr>
                <w:color w:val="000000"/>
                <w:sz w:val="21"/>
                <w:szCs w:val="21"/>
              </w:rPr>
              <w:t>七、液化烃、液氨、液氯等易燃易爆、有毒有害液化气体的充装未使用万向管道充装系统。</w:t>
            </w:r>
          </w:p>
        </w:tc>
        <w:tc>
          <w:tcPr>
            <w:tcW w:w="2693" w:type="dxa"/>
            <w:vMerge w:val="continue"/>
            <w:tcBorders>
              <w:left w:val="single" w:color="auto" w:sz="4" w:space="0"/>
              <w:right w:val="single" w:color="auto" w:sz="4" w:space="0"/>
            </w:tcBorders>
            <w:noWrap w:val="0"/>
            <w:vAlign w:val="center"/>
          </w:tcPr>
          <w:p w14:paraId="2B91322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p>
        </w:tc>
        <w:tc>
          <w:tcPr>
            <w:tcW w:w="2213" w:type="dxa"/>
            <w:tcBorders>
              <w:top w:val="single" w:color="auto" w:sz="4" w:space="0"/>
              <w:left w:val="single" w:color="auto" w:sz="4" w:space="0"/>
              <w:bottom w:val="single" w:color="auto" w:sz="4" w:space="0"/>
              <w:right w:val="single" w:color="auto" w:sz="4" w:space="0"/>
            </w:tcBorders>
            <w:noWrap w:val="0"/>
            <w:vAlign w:val="center"/>
          </w:tcPr>
          <w:p w14:paraId="1C76D4AA">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r>
              <w:rPr>
                <w:rFonts w:hint="eastAsia"/>
                <w:color w:val="000000"/>
                <w:sz w:val="21"/>
                <w:szCs w:val="21"/>
              </w:rPr>
              <w:t>不涉及。</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54EE56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rFonts w:hint="eastAsia"/>
                <w:color w:val="000000"/>
                <w:sz w:val="21"/>
                <w:szCs w:val="21"/>
              </w:rPr>
              <w:t>不涉及</w:t>
            </w:r>
          </w:p>
        </w:tc>
      </w:tr>
      <w:tr w14:paraId="3A1D7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165B75F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rPr>
              <w:t>8</w:t>
            </w:r>
          </w:p>
        </w:tc>
        <w:tc>
          <w:tcPr>
            <w:tcW w:w="2855" w:type="dxa"/>
            <w:tcBorders>
              <w:top w:val="single" w:color="auto" w:sz="4" w:space="0"/>
              <w:left w:val="single" w:color="auto" w:sz="4" w:space="0"/>
              <w:bottom w:val="single" w:color="auto" w:sz="4" w:space="0"/>
              <w:right w:val="single" w:color="auto" w:sz="4" w:space="0"/>
            </w:tcBorders>
            <w:noWrap w:val="0"/>
            <w:vAlign w:val="center"/>
          </w:tcPr>
          <w:p w14:paraId="56BE88A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color w:val="000000"/>
                <w:sz w:val="21"/>
                <w:szCs w:val="21"/>
              </w:rPr>
            </w:pPr>
            <w:r>
              <w:rPr>
                <w:color w:val="000000"/>
                <w:sz w:val="21"/>
                <w:szCs w:val="21"/>
              </w:rPr>
              <w:t>八、光气、氯气等剧毒气体及硫化氢气体管道穿越除厂区（包括化工园区、工业园区）外的公共区域。</w:t>
            </w:r>
          </w:p>
        </w:tc>
        <w:tc>
          <w:tcPr>
            <w:tcW w:w="2693" w:type="dxa"/>
            <w:vMerge w:val="continue"/>
            <w:tcBorders>
              <w:left w:val="single" w:color="auto" w:sz="4" w:space="0"/>
              <w:right w:val="single" w:color="auto" w:sz="4" w:space="0"/>
            </w:tcBorders>
            <w:noWrap w:val="0"/>
            <w:vAlign w:val="center"/>
          </w:tcPr>
          <w:p w14:paraId="7EAB176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p>
        </w:tc>
        <w:tc>
          <w:tcPr>
            <w:tcW w:w="2213" w:type="dxa"/>
            <w:tcBorders>
              <w:top w:val="single" w:color="auto" w:sz="4" w:space="0"/>
              <w:left w:val="single" w:color="auto" w:sz="4" w:space="0"/>
              <w:bottom w:val="single" w:color="auto" w:sz="4" w:space="0"/>
              <w:right w:val="single" w:color="auto" w:sz="4" w:space="0"/>
            </w:tcBorders>
            <w:noWrap w:val="0"/>
            <w:vAlign w:val="center"/>
          </w:tcPr>
          <w:p w14:paraId="42CD5416">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r>
              <w:rPr>
                <w:rFonts w:hint="eastAsia"/>
                <w:color w:val="000000"/>
                <w:sz w:val="21"/>
                <w:szCs w:val="21"/>
              </w:rPr>
              <w:t>不涉及。</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FD1506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rFonts w:hint="eastAsia"/>
                <w:color w:val="000000"/>
                <w:sz w:val="21"/>
                <w:szCs w:val="21"/>
              </w:rPr>
              <w:t>不涉及</w:t>
            </w:r>
          </w:p>
        </w:tc>
      </w:tr>
      <w:tr w14:paraId="60538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30EF626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rPr>
              <w:t>9</w:t>
            </w:r>
          </w:p>
        </w:tc>
        <w:tc>
          <w:tcPr>
            <w:tcW w:w="2855" w:type="dxa"/>
            <w:tcBorders>
              <w:top w:val="single" w:color="auto" w:sz="4" w:space="0"/>
              <w:left w:val="single" w:color="auto" w:sz="4" w:space="0"/>
              <w:bottom w:val="single" w:color="auto" w:sz="4" w:space="0"/>
              <w:right w:val="single" w:color="auto" w:sz="4" w:space="0"/>
            </w:tcBorders>
            <w:noWrap w:val="0"/>
            <w:vAlign w:val="center"/>
          </w:tcPr>
          <w:p w14:paraId="4D7BAB0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color w:val="000000"/>
                <w:sz w:val="21"/>
                <w:szCs w:val="21"/>
              </w:rPr>
            </w:pPr>
            <w:r>
              <w:rPr>
                <w:color w:val="000000"/>
                <w:sz w:val="21"/>
                <w:szCs w:val="21"/>
              </w:rPr>
              <w:t>九、地区架空电力线路穿越生产区且不符合国家标准要求。</w:t>
            </w:r>
          </w:p>
        </w:tc>
        <w:tc>
          <w:tcPr>
            <w:tcW w:w="2693" w:type="dxa"/>
            <w:vMerge w:val="continue"/>
            <w:tcBorders>
              <w:left w:val="single" w:color="auto" w:sz="4" w:space="0"/>
              <w:right w:val="single" w:color="auto" w:sz="4" w:space="0"/>
            </w:tcBorders>
            <w:noWrap w:val="0"/>
            <w:vAlign w:val="center"/>
          </w:tcPr>
          <w:p w14:paraId="4B65AC6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p>
        </w:tc>
        <w:tc>
          <w:tcPr>
            <w:tcW w:w="2213" w:type="dxa"/>
            <w:tcBorders>
              <w:top w:val="single" w:color="auto" w:sz="4" w:space="0"/>
              <w:left w:val="single" w:color="auto" w:sz="4" w:space="0"/>
              <w:bottom w:val="single" w:color="auto" w:sz="4" w:space="0"/>
              <w:right w:val="single" w:color="auto" w:sz="4" w:space="0"/>
            </w:tcBorders>
            <w:noWrap w:val="0"/>
            <w:vAlign w:val="center"/>
          </w:tcPr>
          <w:p w14:paraId="1258F91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color w:val="000000"/>
                <w:sz w:val="21"/>
                <w:szCs w:val="21"/>
              </w:rPr>
            </w:pPr>
            <w:r>
              <w:rPr>
                <w:color w:val="000000"/>
                <w:sz w:val="21"/>
                <w:szCs w:val="21"/>
              </w:rPr>
              <w:t>地区架空电力线路</w:t>
            </w:r>
            <w:r>
              <w:rPr>
                <w:rFonts w:hint="eastAsia"/>
                <w:color w:val="000000"/>
                <w:sz w:val="21"/>
                <w:szCs w:val="21"/>
              </w:rPr>
              <w:t>未</w:t>
            </w:r>
            <w:r>
              <w:rPr>
                <w:color w:val="000000"/>
                <w:sz w:val="21"/>
                <w:szCs w:val="21"/>
              </w:rPr>
              <w:t>穿越生产区</w:t>
            </w:r>
            <w:r>
              <w:rPr>
                <w:rFonts w:hint="eastAsia"/>
                <w:color w:val="000000"/>
                <w:sz w:val="21"/>
                <w:szCs w:val="21"/>
              </w:rPr>
              <w:t>。</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2EF45F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rFonts w:hint="eastAsia"/>
                <w:color w:val="000000"/>
                <w:sz w:val="21"/>
                <w:szCs w:val="21"/>
              </w:rPr>
              <w:t>不存在此条重大隐患</w:t>
            </w:r>
          </w:p>
        </w:tc>
      </w:tr>
      <w:tr w14:paraId="47EC2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712319F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rPr>
              <w:t>10</w:t>
            </w:r>
          </w:p>
        </w:tc>
        <w:tc>
          <w:tcPr>
            <w:tcW w:w="2855" w:type="dxa"/>
            <w:tcBorders>
              <w:top w:val="single" w:color="auto" w:sz="4" w:space="0"/>
              <w:left w:val="single" w:color="auto" w:sz="4" w:space="0"/>
              <w:bottom w:val="single" w:color="auto" w:sz="4" w:space="0"/>
              <w:right w:val="single" w:color="auto" w:sz="4" w:space="0"/>
            </w:tcBorders>
            <w:noWrap w:val="0"/>
            <w:vAlign w:val="center"/>
          </w:tcPr>
          <w:p w14:paraId="01845D6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color w:val="000000"/>
                <w:sz w:val="21"/>
                <w:szCs w:val="21"/>
              </w:rPr>
            </w:pPr>
            <w:r>
              <w:rPr>
                <w:color w:val="000000"/>
                <w:sz w:val="21"/>
                <w:szCs w:val="21"/>
              </w:rPr>
              <w:t>十、在役化工装置未经正规设计且未进行安全设计诊断。</w:t>
            </w:r>
          </w:p>
        </w:tc>
        <w:tc>
          <w:tcPr>
            <w:tcW w:w="2693" w:type="dxa"/>
            <w:vMerge w:val="continue"/>
            <w:tcBorders>
              <w:left w:val="single" w:color="auto" w:sz="4" w:space="0"/>
              <w:right w:val="single" w:color="auto" w:sz="4" w:space="0"/>
            </w:tcBorders>
            <w:noWrap w:val="0"/>
            <w:vAlign w:val="center"/>
          </w:tcPr>
          <w:p w14:paraId="1B16772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p>
        </w:tc>
        <w:tc>
          <w:tcPr>
            <w:tcW w:w="2213" w:type="dxa"/>
            <w:tcBorders>
              <w:top w:val="single" w:color="auto" w:sz="4" w:space="0"/>
              <w:left w:val="single" w:color="auto" w:sz="4" w:space="0"/>
              <w:bottom w:val="single" w:color="auto" w:sz="4" w:space="0"/>
              <w:right w:val="single" w:color="auto" w:sz="4" w:space="0"/>
            </w:tcBorders>
            <w:noWrap w:val="0"/>
            <w:vAlign w:val="center"/>
          </w:tcPr>
          <w:p w14:paraId="74C93C25">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r>
              <w:rPr>
                <w:rFonts w:hint="eastAsia"/>
                <w:color w:val="000000"/>
                <w:sz w:val="21"/>
                <w:szCs w:val="21"/>
              </w:rPr>
              <w:t>不涉及。</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5D9AF7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rFonts w:hint="eastAsia"/>
                <w:color w:val="000000"/>
                <w:sz w:val="21"/>
                <w:szCs w:val="21"/>
              </w:rPr>
              <w:t>不涉及</w:t>
            </w:r>
          </w:p>
        </w:tc>
      </w:tr>
      <w:tr w14:paraId="163A2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2CAC684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rPr>
              <w:t>11</w:t>
            </w:r>
          </w:p>
        </w:tc>
        <w:tc>
          <w:tcPr>
            <w:tcW w:w="2855" w:type="dxa"/>
            <w:tcBorders>
              <w:top w:val="single" w:color="auto" w:sz="4" w:space="0"/>
              <w:left w:val="single" w:color="auto" w:sz="4" w:space="0"/>
              <w:bottom w:val="single" w:color="auto" w:sz="4" w:space="0"/>
              <w:right w:val="single" w:color="auto" w:sz="4" w:space="0"/>
            </w:tcBorders>
            <w:noWrap w:val="0"/>
            <w:vAlign w:val="center"/>
          </w:tcPr>
          <w:p w14:paraId="0A77B80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color w:val="000000"/>
                <w:sz w:val="21"/>
                <w:szCs w:val="21"/>
              </w:rPr>
            </w:pPr>
            <w:r>
              <w:rPr>
                <w:color w:val="000000"/>
                <w:sz w:val="21"/>
                <w:szCs w:val="21"/>
              </w:rPr>
              <w:t>十一、使用淘汰落后安全技术工艺、设备目录列出的工艺、设备。</w:t>
            </w:r>
          </w:p>
        </w:tc>
        <w:tc>
          <w:tcPr>
            <w:tcW w:w="2693" w:type="dxa"/>
            <w:vMerge w:val="continue"/>
            <w:tcBorders>
              <w:left w:val="single" w:color="auto" w:sz="4" w:space="0"/>
              <w:right w:val="single" w:color="auto" w:sz="4" w:space="0"/>
            </w:tcBorders>
            <w:noWrap w:val="0"/>
            <w:vAlign w:val="center"/>
          </w:tcPr>
          <w:p w14:paraId="6E5E264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p>
        </w:tc>
        <w:tc>
          <w:tcPr>
            <w:tcW w:w="2213" w:type="dxa"/>
            <w:tcBorders>
              <w:top w:val="single" w:color="auto" w:sz="4" w:space="0"/>
              <w:left w:val="single" w:color="auto" w:sz="4" w:space="0"/>
              <w:bottom w:val="single" w:color="auto" w:sz="4" w:space="0"/>
              <w:right w:val="single" w:color="auto" w:sz="4" w:space="0"/>
            </w:tcBorders>
            <w:noWrap w:val="0"/>
            <w:vAlign w:val="center"/>
          </w:tcPr>
          <w:p w14:paraId="679E28D8">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r>
              <w:rPr>
                <w:rFonts w:hint="eastAsia"/>
                <w:color w:val="000000"/>
                <w:sz w:val="21"/>
                <w:szCs w:val="21"/>
              </w:rPr>
              <w:t>未</w:t>
            </w:r>
            <w:r>
              <w:rPr>
                <w:color w:val="000000"/>
                <w:sz w:val="21"/>
                <w:szCs w:val="21"/>
              </w:rPr>
              <w:t>使用淘汰落后安全技术工艺、设备目录列出的工艺、设备。</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C716CE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rFonts w:hint="eastAsia"/>
                <w:color w:val="000000"/>
                <w:sz w:val="21"/>
                <w:szCs w:val="21"/>
              </w:rPr>
              <w:t>不存在此条重大隐患</w:t>
            </w:r>
          </w:p>
        </w:tc>
      </w:tr>
      <w:tr w14:paraId="4BCA4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7823A38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rPr>
              <w:t>12</w:t>
            </w:r>
          </w:p>
        </w:tc>
        <w:tc>
          <w:tcPr>
            <w:tcW w:w="2855" w:type="dxa"/>
            <w:tcBorders>
              <w:top w:val="single" w:color="auto" w:sz="4" w:space="0"/>
              <w:left w:val="single" w:color="auto" w:sz="4" w:space="0"/>
              <w:bottom w:val="single" w:color="auto" w:sz="4" w:space="0"/>
              <w:right w:val="single" w:color="auto" w:sz="4" w:space="0"/>
            </w:tcBorders>
            <w:noWrap w:val="0"/>
            <w:vAlign w:val="center"/>
          </w:tcPr>
          <w:p w14:paraId="493B544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color w:val="000000"/>
                <w:sz w:val="21"/>
                <w:szCs w:val="21"/>
              </w:rPr>
            </w:pPr>
            <w:r>
              <w:rPr>
                <w:color w:val="000000"/>
                <w:sz w:val="21"/>
                <w:szCs w:val="21"/>
              </w:rPr>
              <w:t>十二、涉及可燃和有毒有害气体泄漏的场所未按国家标准设置检测报警装置，爆炸危险场所未按国家标准安装使用防爆电气设备。</w:t>
            </w:r>
          </w:p>
        </w:tc>
        <w:tc>
          <w:tcPr>
            <w:tcW w:w="2693" w:type="dxa"/>
            <w:vMerge w:val="continue"/>
            <w:tcBorders>
              <w:left w:val="single" w:color="auto" w:sz="4" w:space="0"/>
              <w:right w:val="single" w:color="auto" w:sz="4" w:space="0"/>
            </w:tcBorders>
            <w:noWrap w:val="0"/>
            <w:vAlign w:val="center"/>
          </w:tcPr>
          <w:p w14:paraId="65F854C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p>
        </w:tc>
        <w:tc>
          <w:tcPr>
            <w:tcW w:w="2213" w:type="dxa"/>
            <w:tcBorders>
              <w:top w:val="single" w:color="auto" w:sz="4" w:space="0"/>
              <w:left w:val="single" w:color="auto" w:sz="4" w:space="0"/>
              <w:bottom w:val="single" w:color="auto" w:sz="4" w:space="0"/>
              <w:right w:val="single" w:color="auto" w:sz="4" w:space="0"/>
            </w:tcBorders>
            <w:noWrap w:val="0"/>
            <w:vAlign w:val="center"/>
          </w:tcPr>
          <w:p w14:paraId="14A93CD5">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r>
              <w:rPr>
                <w:rFonts w:hint="eastAsia"/>
                <w:color w:val="000000"/>
                <w:sz w:val="21"/>
                <w:szCs w:val="21"/>
              </w:rPr>
              <w:t>不涉及。</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CB6757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rFonts w:hint="eastAsia"/>
                <w:color w:val="000000"/>
                <w:sz w:val="21"/>
                <w:szCs w:val="21"/>
              </w:rPr>
              <w:t>不涉及</w:t>
            </w:r>
          </w:p>
        </w:tc>
      </w:tr>
      <w:tr w14:paraId="01D86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386F419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rPr>
              <w:t>13</w:t>
            </w:r>
          </w:p>
        </w:tc>
        <w:tc>
          <w:tcPr>
            <w:tcW w:w="2855" w:type="dxa"/>
            <w:tcBorders>
              <w:top w:val="single" w:color="auto" w:sz="4" w:space="0"/>
              <w:left w:val="single" w:color="auto" w:sz="4" w:space="0"/>
              <w:bottom w:val="single" w:color="auto" w:sz="4" w:space="0"/>
              <w:right w:val="single" w:color="auto" w:sz="4" w:space="0"/>
            </w:tcBorders>
            <w:noWrap w:val="0"/>
            <w:vAlign w:val="center"/>
          </w:tcPr>
          <w:p w14:paraId="156A91B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color w:val="000000"/>
                <w:sz w:val="21"/>
                <w:szCs w:val="21"/>
              </w:rPr>
            </w:pPr>
            <w:r>
              <w:rPr>
                <w:color w:val="000000"/>
                <w:sz w:val="21"/>
                <w:szCs w:val="21"/>
              </w:rPr>
              <w:t>十三、控制室或机柜间面向具有火灾、爆炸危险性装置一侧不满足国家标准关于防火防爆的要求。</w:t>
            </w:r>
          </w:p>
        </w:tc>
        <w:tc>
          <w:tcPr>
            <w:tcW w:w="2693" w:type="dxa"/>
            <w:vMerge w:val="continue"/>
            <w:tcBorders>
              <w:left w:val="single" w:color="auto" w:sz="4" w:space="0"/>
              <w:right w:val="single" w:color="auto" w:sz="4" w:space="0"/>
            </w:tcBorders>
            <w:noWrap w:val="0"/>
            <w:vAlign w:val="center"/>
          </w:tcPr>
          <w:p w14:paraId="7A386B9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p>
        </w:tc>
        <w:tc>
          <w:tcPr>
            <w:tcW w:w="2213" w:type="dxa"/>
            <w:tcBorders>
              <w:top w:val="single" w:color="auto" w:sz="4" w:space="0"/>
              <w:left w:val="single" w:color="auto" w:sz="4" w:space="0"/>
              <w:bottom w:val="single" w:color="auto" w:sz="4" w:space="0"/>
              <w:right w:val="single" w:color="auto" w:sz="4" w:space="0"/>
            </w:tcBorders>
            <w:noWrap w:val="0"/>
            <w:vAlign w:val="center"/>
          </w:tcPr>
          <w:p w14:paraId="26051AA8">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本项目控制室依托云南瓮福祥丰3万吨/年无水氟化氢和2万吨/年电子级氢氟酸项目。中心控制室采用非防爆设计。</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116453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不存在此条重大隐患</w:t>
            </w:r>
          </w:p>
        </w:tc>
      </w:tr>
      <w:tr w14:paraId="16322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2A55AA8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rPr>
              <w:t>14</w:t>
            </w:r>
          </w:p>
        </w:tc>
        <w:tc>
          <w:tcPr>
            <w:tcW w:w="2855" w:type="dxa"/>
            <w:tcBorders>
              <w:top w:val="single" w:color="auto" w:sz="4" w:space="0"/>
              <w:left w:val="single" w:color="auto" w:sz="4" w:space="0"/>
              <w:bottom w:val="single" w:color="auto" w:sz="4" w:space="0"/>
              <w:right w:val="single" w:color="auto" w:sz="4" w:space="0"/>
            </w:tcBorders>
            <w:noWrap w:val="0"/>
            <w:vAlign w:val="center"/>
          </w:tcPr>
          <w:p w14:paraId="73CF92E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color w:val="000000"/>
                <w:sz w:val="21"/>
                <w:szCs w:val="21"/>
              </w:rPr>
            </w:pPr>
            <w:r>
              <w:rPr>
                <w:color w:val="000000"/>
                <w:sz w:val="21"/>
                <w:szCs w:val="21"/>
              </w:rPr>
              <w:t>十四、化工生产装置未按国家标准要求设置双重电源供电，自动化控制系统未设置不间断电源。</w:t>
            </w:r>
          </w:p>
        </w:tc>
        <w:tc>
          <w:tcPr>
            <w:tcW w:w="2693" w:type="dxa"/>
            <w:vMerge w:val="continue"/>
            <w:tcBorders>
              <w:left w:val="single" w:color="auto" w:sz="4" w:space="0"/>
              <w:right w:val="single" w:color="auto" w:sz="4" w:space="0"/>
            </w:tcBorders>
            <w:noWrap w:val="0"/>
            <w:vAlign w:val="center"/>
          </w:tcPr>
          <w:p w14:paraId="0860B2E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p>
        </w:tc>
        <w:tc>
          <w:tcPr>
            <w:tcW w:w="2213" w:type="dxa"/>
            <w:tcBorders>
              <w:top w:val="single" w:color="auto" w:sz="4" w:space="0"/>
              <w:left w:val="single" w:color="auto" w:sz="4" w:space="0"/>
              <w:bottom w:val="single" w:color="auto" w:sz="4" w:space="0"/>
              <w:right w:val="single" w:color="auto" w:sz="4" w:space="0"/>
            </w:tcBorders>
            <w:noWrap w:val="0"/>
            <w:vAlign w:val="center"/>
          </w:tcPr>
          <w:p w14:paraId="49566F4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云南瓮福祥丰氟硅新材料有限公司3万吨/年无水氟化氢和2万吨/年电子级氢氟酸厂外公用工程外管廊工艺物料输送在云南祥丰金麦化工有限公司磷酸厂区设置4台泵（2台氟硅酸泵和2台浓硫酸泵），这4台泵的供电依托云南祥丰金麦化工有限公司原有供电设施。</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FC6CB2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不存在此条重大隐患</w:t>
            </w:r>
          </w:p>
        </w:tc>
      </w:tr>
      <w:tr w14:paraId="5408B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53B8DD8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rPr>
              <w:t>15</w:t>
            </w:r>
          </w:p>
        </w:tc>
        <w:tc>
          <w:tcPr>
            <w:tcW w:w="2855" w:type="dxa"/>
            <w:tcBorders>
              <w:top w:val="single" w:color="auto" w:sz="4" w:space="0"/>
              <w:left w:val="single" w:color="auto" w:sz="4" w:space="0"/>
              <w:bottom w:val="single" w:color="auto" w:sz="4" w:space="0"/>
              <w:right w:val="single" w:color="auto" w:sz="4" w:space="0"/>
            </w:tcBorders>
            <w:noWrap w:val="0"/>
            <w:vAlign w:val="center"/>
          </w:tcPr>
          <w:p w14:paraId="7F264F1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color w:val="000000"/>
                <w:sz w:val="21"/>
                <w:szCs w:val="21"/>
              </w:rPr>
            </w:pPr>
            <w:r>
              <w:rPr>
                <w:color w:val="000000"/>
                <w:sz w:val="21"/>
                <w:szCs w:val="21"/>
              </w:rPr>
              <w:t>十五、安全阀、爆破片等安全附件未正常投用。</w:t>
            </w:r>
          </w:p>
        </w:tc>
        <w:tc>
          <w:tcPr>
            <w:tcW w:w="2693" w:type="dxa"/>
            <w:vMerge w:val="continue"/>
            <w:tcBorders>
              <w:left w:val="single" w:color="auto" w:sz="4" w:space="0"/>
              <w:right w:val="single" w:color="auto" w:sz="4" w:space="0"/>
            </w:tcBorders>
            <w:noWrap w:val="0"/>
            <w:vAlign w:val="center"/>
          </w:tcPr>
          <w:p w14:paraId="12D0DE6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p>
        </w:tc>
        <w:tc>
          <w:tcPr>
            <w:tcW w:w="2213" w:type="dxa"/>
            <w:tcBorders>
              <w:top w:val="single" w:color="auto" w:sz="4" w:space="0"/>
              <w:left w:val="single" w:color="auto" w:sz="4" w:space="0"/>
              <w:bottom w:val="single" w:color="auto" w:sz="4" w:space="0"/>
              <w:right w:val="single" w:color="auto" w:sz="4" w:space="0"/>
            </w:tcBorders>
            <w:noWrap w:val="0"/>
            <w:vAlign w:val="center"/>
          </w:tcPr>
          <w:p w14:paraId="4E2F4B7A">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r>
              <w:rPr>
                <w:rFonts w:hint="eastAsia"/>
                <w:color w:val="000000"/>
                <w:sz w:val="21"/>
                <w:szCs w:val="21"/>
              </w:rPr>
              <w:t>不涉及。</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CC0DF3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rFonts w:hint="eastAsia"/>
                <w:color w:val="000000"/>
                <w:sz w:val="21"/>
                <w:szCs w:val="21"/>
              </w:rPr>
              <w:t>不涉及</w:t>
            </w:r>
          </w:p>
        </w:tc>
      </w:tr>
      <w:tr w14:paraId="42AD6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64221D9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rFonts w:hint="eastAsia"/>
                <w:color w:val="000000"/>
                <w:sz w:val="21"/>
                <w:szCs w:val="21"/>
              </w:rPr>
              <w:t>16</w:t>
            </w:r>
          </w:p>
        </w:tc>
        <w:tc>
          <w:tcPr>
            <w:tcW w:w="2855" w:type="dxa"/>
            <w:tcBorders>
              <w:top w:val="single" w:color="auto" w:sz="4" w:space="0"/>
              <w:left w:val="single" w:color="auto" w:sz="4" w:space="0"/>
              <w:bottom w:val="single" w:color="auto" w:sz="4" w:space="0"/>
              <w:right w:val="single" w:color="auto" w:sz="4" w:space="0"/>
            </w:tcBorders>
            <w:noWrap w:val="0"/>
            <w:vAlign w:val="center"/>
          </w:tcPr>
          <w:p w14:paraId="1E1748B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color w:val="000000"/>
                <w:sz w:val="21"/>
                <w:szCs w:val="21"/>
              </w:rPr>
            </w:pPr>
            <w:r>
              <w:rPr>
                <w:color w:val="000000"/>
                <w:sz w:val="21"/>
                <w:szCs w:val="21"/>
              </w:rPr>
              <w:t>十六、未建立与岗位相匹配的全员安全生产责任制或者未制定实施生产安全事故隐患排查治理制度。</w:t>
            </w:r>
          </w:p>
        </w:tc>
        <w:tc>
          <w:tcPr>
            <w:tcW w:w="2693" w:type="dxa"/>
            <w:vMerge w:val="continue"/>
            <w:tcBorders>
              <w:left w:val="single" w:color="auto" w:sz="4" w:space="0"/>
              <w:right w:val="single" w:color="auto" w:sz="4" w:space="0"/>
            </w:tcBorders>
            <w:noWrap w:val="0"/>
            <w:vAlign w:val="center"/>
          </w:tcPr>
          <w:p w14:paraId="615AA16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p>
        </w:tc>
        <w:tc>
          <w:tcPr>
            <w:tcW w:w="2213" w:type="dxa"/>
            <w:tcBorders>
              <w:top w:val="single" w:color="auto" w:sz="4" w:space="0"/>
              <w:left w:val="single" w:color="auto" w:sz="4" w:space="0"/>
              <w:bottom w:val="single" w:color="auto" w:sz="4" w:space="0"/>
              <w:right w:val="single" w:color="auto" w:sz="4" w:space="0"/>
            </w:tcBorders>
            <w:noWrap w:val="0"/>
            <w:vAlign w:val="center"/>
          </w:tcPr>
          <w:p w14:paraId="1DCEAC5B">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r>
              <w:rPr>
                <w:color w:val="000000"/>
                <w:sz w:val="21"/>
                <w:szCs w:val="21"/>
              </w:rPr>
              <w:t>建立</w:t>
            </w:r>
            <w:r>
              <w:rPr>
                <w:rFonts w:hint="eastAsia"/>
                <w:color w:val="000000"/>
                <w:sz w:val="21"/>
                <w:szCs w:val="21"/>
              </w:rPr>
              <w:t>了</w:t>
            </w:r>
            <w:r>
              <w:rPr>
                <w:color w:val="000000"/>
                <w:sz w:val="21"/>
                <w:szCs w:val="21"/>
              </w:rPr>
              <w:t>与岗位相匹配的全员安全生产责任制</w:t>
            </w:r>
            <w:r>
              <w:rPr>
                <w:rFonts w:hint="eastAsia"/>
                <w:color w:val="000000"/>
                <w:sz w:val="21"/>
                <w:szCs w:val="21"/>
              </w:rPr>
              <w:t>及安全生产隐患排查治理</w:t>
            </w:r>
            <w:r>
              <w:rPr>
                <w:color w:val="000000"/>
                <w:sz w:val="21"/>
                <w:szCs w:val="21"/>
              </w:rPr>
              <w:t>制度。</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677E7F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rFonts w:hint="eastAsia"/>
                <w:color w:val="000000"/>
                <w:sz w:val="21"/>
                <w:szCs w:val="21"/>
              </w:rPr>
              <w:t>不存在此条重大隐患</w:t>
            </w:r>
          </w:p>
        </w:tc>
      </w:tr>
      <w:tr w14:paraId="16820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39C31B9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rFonts w:hint="eastAsia"/>
                <w:color w:val="000000"/>
                <w:sz w:val="21"/>
                <w:szCs w:val="21"/>
              </w:rPr>
              <w:t>17</w:t>
            </w:r>
          </w:p>
        </w:tc>
        <w:tc>
          <w:tcPr>
            <w:tcW w:w="2855" w:type="dxa"/>
            <w:tcBorders>
              <w:top w:val="single" w:color="auto" w:sz="4" w:space="0"/>
              <w:left w:val="single" w:color="auto" w:sz="4" w:space="0"/>
              <w:bottom w:val="single" w:color="auto" w:sz="4" w:space="0"/>
              <w:right w:val="single" w:color="auto" w:sz="4" w:space="0"/>
            </w:tcBorders>
            <w:noWrap w:val="0"/>
            <w:vAlign w:val="center"/>
          </w:tcPr>
          <w:p w14:paraId="598D9C4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color w:val="000000"/>
                <w:sz w:val="21"/>
                <w:szCs w:val="21"/>
              </w:rPr>
            </w:pPr>
            <w:r>
              <w:rPr>
                <w:color w:val="000000"/>
                <w:sz w:val="21"/>
                <w:szCs w:val="21"/>
              </w:rPr>
              <w:t>十七、未制定操作规程和工艺控制指标。</w:t>
            </w:r>
          </w:p>
        </w:tc>
        <w:tc>
          <w:tcPr>
            <w:tcW w:w="2693" w:type="dxa"/>
            <w:vMerge w:val="continue"/>
            <w:tcBorders>
              <w:left w:val="single" w:color="auto" w:sz="4" w:space="0"/>
              <w:right w:val="single" w:color="auto" w:sz="4" w:space="0"/>
            </w:tcBorders>
            <w:noWrap w:val="0"/>
            <w:vAlign w:val="center"/>
          </w:tcPr>
          <w:p w14:paraId="2FFE717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p>
        </w:tc>
        <w:tc>
          <w:tcPr>
            <w:tcW w:w="2213" w:type="dxa"/>
            <w:tcBorders>
              <w:top w:val="single" w:color="auto" w:sz="4" w:space="0"/>
              <w:left w:val="single" w:color="auto" w:sz="4" w:space="0"/>
              <w:bottom w:val="single" w:color="auto" w:sz="4" w:space="0"/>
              <w:right w:val="single" w:color="auto" w:sz="4" w:space="0"/>
            </w:tcBorders>
            <w:noWrap w:val="0"/>
            <w:vAlign w:val="center"/>
          </w:tcPr>
          <w:p w14:paraId="60119926">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r>
              <w:rPr>
                <w:color w:val="000000"/>
                <w:sz w:val="21"/>
                <w:szCs w:val="21"/>
              </w:rPr>
              <w:t>制定</w:t>
            </w:r>
            <w:r>
              <w:rPr>
                <w:rFonts w:hint="eastAsia"/>
                <w:color w:val="000000"/>
                <w:sz w:val="21"/>
                <w:szCs w:val="21"/>
              </w:rPr>
              <w:t>了</w:t>
            </w:r>
            <w:r>
              <w:rPr>
                <w:color w:val="000000"/>
                <w:sz w:val="21"/>
                <w:szCs w:val="21"/>
              </w:rPr>
              <w:t>操作规程和工艺控制指标。</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216CFA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rFonts w:hint="eastAsia"/>
                <w:color w:val="000000"/>
                <w:sz w:val="21"/>
                <w:szCs w:val="21"/>
              </w:rPr>
              <w:t>不存在此条重大隐患</w:t>
            </w:r>
          </w:p>
        </w:tc>
      </w:tr>
      <w:tr w14:paraId="333DD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4D08895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rFonts w:hint="eastAsia"/>
                <w:color w:val="000000"/>
                <w:sz w:val="21"/>
                <w:szCs w:val="21"/>
              </w:rPr>
              <w:t>18</w:t>
            </w:r>
          </w:p>
        </w:tc>
        <w:tc>
          <w:tcPr>
            <w:tcW w:w="2855" w:type="dxa"/>
            <w:tcBorders>
              <w:top w:val="single" w:color="auto" w:sz="4" w:space="0"/>
              <w:left w:val="single" w:color="auto" w:sz="4" w:space="0"/>
              <w:bottom w:val="single" w:color="auto" w:sz="4" w:space="0"/>
              <w:right w:val="single" w:color="auto" w:sz="4" w:space="0"/>
            </w:tcBorders>
            <w:noWrap w:val="0"/>
            <w:vAlign w:val="center"/>
          </w:tcPr>
          <w:p w14:paraId="1197072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color w:val="000000"/>
                <w:sz w:val="21"/>
                <w:szCs w:val="21"/>
              </w:rPr>
            </w:pPr>
            <w:r>
              <w:rPr>
                <w:color w:val="000000"/>
                <w:sz w:val="21"/>
                <w:szCs w:val="21"/>
              </w:rPr>
              <w:t>十八、未按照国家标准制定动火、进入受限空间等特殊作业管理制度，或者制度未有效执行。</w:t>
            </w:r>
          </w:p>
        </w:tc>
        <w:tc>
          <w:tcPr>
            <w:tcW w:w="2693" w:type="dxa"/>
            <w:vMerge w:val="continue"/>
            <w:tcBorders>
              <w:left w:val="single" w:color="auto" w:sz="4" w:space="0"/>
              <w:right w:val="single" w:color="auto" w:sz="4" w:space="0"/>
            </w:tcBorders>
            <w:noWrap w:val="0"/>
            <w:vAlign w:val="center"/>
          </w:tcPr>
          <w:p w14:paraId="6D6F981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p>
        </w:tc>
        <w:tc>
          <w:tcPr>
            <w:tcW w:w="2213" w:type="dxa"/>
            <w:tcBorders>
              <w:top w:val="single" w:color="auto" w:sz="4" w:space="0"/>
              <w:left w:val="single" w:color="auto" w:sz="4" w:space="0"/>
              <w:bottom w:val="single" w:color="auto" w:sz="4" w:space="0"/>
              <w:right w:val="single" w:color="auto" w:sz="4" w:space="0"/>
            </w:tcBorders>
            <w:noWrap w:val="0"/>
            <w:vAlign w:val="center"/>
          </w:tcPr>
          <w:p w14:paraId="1EA2C5FC">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r>
              <w:rPr>
                <w:color w:val="000000"/>
                <w:sz w:val="21"/>
                <w:szCs w:val="21"/>
              </w:rPr>
              <w:t>制定</w:t>
            </w:r>
            <w:r>
              <w:rPr>
                <w:rFonts w:hint="eastAsia"/>
                <w:color w:val="000000"/>
                <w:sz w:val="21"/>
                <w:szCs w:val="21"/>
              </w:rPr>
              <w:t>了</w:t>
            </w:r>
            <w:r>
              <w:rPr>
                <w:color w:val="000000"/>
                <w:sz w:val="21"/>
                <w:szCs w:val="21"/>
              </w:rPr>
              <w:t>动火、进入受限空间等特殊作业管理制度，</w:t>
            </w:r>
            <w:r>
              <w:rPr>
                <w:rFonts w:hint="eastAsia"/>
                <w:color w:val="000000"/>
                <w:sz w:val="21"/>
                <w:szCs w:val="21"/>
              </w:rPr>
              <w:t>按制度</w:t>
            </w:r>
            <w:r>
              <w:rPr>
                <w:color w:val="000000"/>
                <w:sz w:val="21"/>
                <w:szCs w:val="21"/>
              </w:rPr>
              <w:t>执行。</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78DD91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rFonts w:hint="eastAsia"/>
                <w:color w:val="000000"/>
                <w:sz w:val="21"/>
                <w:szCs w:val="21"/>
              </w:rPr>
              <w:t>不存在此条重大隐患</w:t>
            </w:r>
          </w:p>
        </w:tc>
      </w:tr>
      <w:tr w14:paraId="5DEB3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13DE94C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rFonts w:hint="eastAsia"/>
                <w:color w:val="000000"/>
                <w:sz w:val="21"/>
                <w:szCs w:val="21"/>
              </w:rPr>
              <w:t>19</w:t>
            </w:r>
          </w:p>
        </w:tc>
        <w:tc>
          <w:tcPr>
            <w:tcW w:w="2855" w:type="dxa"/>
            <w:tcBorders>
              <w:top w:val="single" w:color="auto" w:sz="4" w:space="0"/>
              <w:left w:val="single" w:color="auto" w:sz="4" w:space="0"/>
              <w:bottom w:val="single" w:color="auto" w:sz="4" w:space="0"/>
              <w:right w:val="single" w:color="auto" w:sz="4" w:space="0"/>
            </w:tcBorders>
            <w:noWrap w:val="0"/>
            <w:vAlign w:val="center"/>
          </w:tcPr>
          <w:p w14:paraId="36CC46A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color w:val="000000"/>
                <w:sz w:val="21"/>
                <w:szCs w:val="21"/>
              </w:rPr>
            </w:pPr>
            <w:r>
              <w:rPr>
                <w:color w:val="000000"/>
                <w:sz w:val="21"/>
                <w:szCs w:val="21"/>
              </w:rPr>
              <w:t>十九、新开发的危险化学品生产工艺未经小试、中试、工业化试验直接进行工业化生产；国内首次使用的化工工艺未经过省级人民政府有关部门组织的安全可靠性论证；新建装置未制定试生产方案投料开车；精细化工企业未按规范性文件要求开展反应安全风险评估。</w:t>
            </w:r>
          </w:p>
        </w:tc>
        <w:tc>
          <w:tcPr>
            <w:tcW w:w="2693" w:type="dxa"/>
            <w:vMerge w:val="continue"/>
            <w:tcBorders>
              <w:left w:val="single" w:color="auto" w:sz="4" w:space="0"/>
              <w:right w:val="single" w:color="auto" w:sz="4" w:space="0"/>
            </w:tcBorders>
            <w:noWrap w:val="0"/>
            <w:vAlign w:val="center"/>
          </w:tcPr>
          <w:p w14:paraId="2862194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p>
        </w:tc>
        <w:tc>
          <w:tcPr>
            <w:tcW w:w="2213" w:type="dxa"/>
            <w:tcBorders>
              <w:top w:val="single" w:color="auto" w:sz="4" w:space="0"/>
              <w:left w:val="single" w:color="auto" w:sz="4" w:space="0"/>
              <w:bottom w:val="single" w:color="auto" w:sz="4" w:space="0"/>
              <w:right w:val="single" w:color="auto" w:sz="4" w:space="0"/>
            </w:tcBorders>
            <w:noWrap w:val="0"/>
            <w:vAlign w:val="center"/>
          </w:tcPr>
          <w:p w14:paraId="1B237CF8">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color w:val="000000"/>
                <w:sz w:val="21"/>
                <w:szCs w:val="21"/>
              </w:rPr>
            </w:pPr>
            <w:r>
              <w:rPr>
                <w:rFonts w:hint="eastAsia"/>
                <w:color w:val="000000"/>
                <w:sz w:val="21"/>
                <w:szCs w:val="21"/>
              </w:rPr>
              <w:t>不涉及。</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FB0845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000000"/>
                <w:sz w:val="21"/>
                <w:szCs w:val="21"/>
              </w:rPr>
            </w:pPr>
            <w:r>
              <w:rPr>
                <w:rFonts w:hint="eastAsia"/>
                <w:color w:val="000000"/>
                <w:sz w:val="21"/>
                <w:szCs w:val="21"/>
              </w:rPr>
              <w:t>不涉及</w:t>
            </w:r>
          </w:p>
        </w:tc>
      </w:tr>
      <w:tr w14:paraId="73D02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tcBorders>
              <w:top w:val="single" w:color="auto" w:sz="4" w:space="0"/>
              <w:left w:val="single" w:color="auto" w:sz="4" w:space="0"/>
              <w:bottom w:val="single" w:color="auto" w:sz="4" w:space="0"/>
              <w:right w:val="single" w:color="auto" w:sz="4" w:space="0"/>
            </w:tcBorders>
            <w:noWrap w:val="0"/>
            <w:vAlign w:val="center"/>
          </w:tcPr>
          <w:p w14:paraId="3105ED4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rFonts w:hint="eastAsia"/>
                <w:color w:val="000000"/>
                <w:sz w:val="21"/>
                <w:szCs w:val="21"/>
              </w:rPr>
              <w:t>20</w:t>
            </w:r>
          </w:p>
        </w:tc>
        <w:tc>
          <w:tcPr>
            <w:tcW w:w="2855" w:type="dxa"/>
            <w:tcBorders>
              <w:top w:val="single" w:color="auto" w:sz="4" w:space="0"/>
              <w:left w:val="single" w:color="auto" w:sz="4" w:space="0"/>
              <w:bottom w:val="single" w:color="auto" w:sz="4" w:space="0"/>
              <w:right w:val="single" w:color="auto" w:sz="4" w:space="0"/>
            </w:tcBorders>
            <w:noWrap w:val="0"/>
            <w:vAlign w:val="center"/>
          </w:tcPr>
          <w:p w14:paraId="3209E66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color w:val="000000"/>
                <w:sz w:val="21"/>
                <w:szCs w:val="21"/>
              </w:rPr>
            </w:pPr>
            <w:r>
              <w:rPr>
                <w:color w:val="000000"/>
                <w:sz w:val="21"/>
                <w:szCs w:val="21"/>
              </w:rPr>
              <w:t>二十、未按国家标准分区分类储存危险化学品，超量、超品种储存危险化学品，相互禁配物质混放混存。</w:t>
            </w:r>
          </w:p>
        </w:tc>
        <w:tc>
          <w:tcPr>
            <w:tcW w:w="2693" w:type="dxa"/>
            <w:vMerge w:val="continue"/>
            <w:tcBorders>
              <w:left w:val="single" w:color="auto" w:sz="4" w:space="0"/>
              <w:bottom w:val="single" w:color="auto" w:sz="4" w:space="0"/>
              <w:right w:val="single" w:color="auto" w:sz="4" w:space="0"/>
            </w:tcBorders>
            <w:noWrap w:val="0"/>
            <w:vAlign w:val="center"/>
          </w:tcPr>
          <w:p w14:paraId="1B331A4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p>
        </w:tc>
        <w:tc>
          <w:tcPr>
            <w:tcW w:w="2213" w:type="dxa"/>
            <w:tcBorders>
              <w:top w:val="single" w:color="auto" w:sz="4" w:space="0"/>
              <w:left w:val="single" w:color="auto" w:sz="4" w:space="0"/>
              <w:bottom w:val="single" w:color="auto" w:sz="4" w:space="0"/>
              <w:right w:val="single" w:color="auto" w:sz="4" w:space="0"/>
            </w:tcBorders>
            <w:noWrap w:val="0"/>
            <w:vAlign w:val="center"/>
          </w:tcPr>
          <w:p w14:paraId="0ABE2B68">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本项目为管架及附属设施，不涉及生产装置和储存设施，不涉及工艺反应。</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6B1663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不存在此条重大隐患</w:t>
            </w:r>
          </w:p>
        </w:tc>
      </w:tr>
    </w:tbl>
    <w:p w14:paraId="75C34703">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b/>
          <w:bCs/>
          <w:color w:val="000000"/>
          <w:sz w:val="28"/>
        </w:rPr>
      </w:pPr>
      <w:r>
        <w:rPr>
          <w:color w:val="000000"/>
          <w:sz w:val="28"/>
        </w:rPr>
        <w:t>由上述安全检查表结果可知，该项目</w:t>
      </w:r>
      <w:r>
        <w:rPr>
          <w:rFonts w:hint="eastAsia"/>
          <w:color w:val="000000"/>
          <w:sz w:val="28"/>
        </w:rPr>
        <w:t>不涉及《国家安全监管总局关于印发&lt;化工和危险化学品生产经营单位重大生产安全事故隐患判定标准（试行）&gt;和&lt;烟花爆竹生产经营单位重大生产安全事故隐患判定标准（试行）&gt;的通知》（安监总管三〔2017〕121号）中的重大隐患。</w:t>
      </w:r>
    </w:p>
    <w:bookmarkEnd w:id="1108"/>
    <w:p w14:paraId="4F22257B">
      <w:pPr>
        <w:pStyle w:val="5"/>
        <w:keepNext/>
        <w:keepLines/>
        <w:pageBreakBefore w:val="0"/>
        <w:widowControl w:val="0"/>
        <w:numPr>
          <w:ilvl w:val="2"/>
          <w:numId w:val="0"/>
        </w:numPr>
        <w:kinsoku/>
        <w:wordWrap/>
        <w:overflowPunct/>
        <w:topLinePunct w:val="0"/>
        <w:autoSpaceDE/>
        <w:autoSpaceDN/>
        <w:bidi w:val="0"/>
        <w:adjustRightInd/>
        <w:snapToGrid w:val="0"/>
        <w:spacing w:line="360" w:lineRule="auto"/>
        <w:ind w:leftChars="100"/>
        <w:textAlignment w:val="auto"/>
        <w:rPr>
          <w:rFonts w:hint="default" w:ascii="Times New Roman" w:hAnsi="Times New Roman" w:cs="Times New Roman"/>
          <w:snapToGrid w:val="0"/>
          <w:color w:val="000000"/>
          <w:kern w:val="0"/>
          <w:sz w:val="32"/>
          <w:lang w:val="en-US" w:eastAsia="zh-CN"/>
        </w:rPr>
      </w:pPr>
      <w:bookmarkStart w:id="1109" w:name="_Toc4371"/>
      <w:bookmarkStart w:id="1110" w:name="_Toc3953"/>
      <w:bookmarkStart w:id="1111" w:name="_Toc94336396"/>
      <w:bookmarkStart w:id="1112" w:name="_Toc179687217"/>
      <w:bookmarkStart w:id="1113" w:name="_Toc235379161"/>
      <w:bookmarkStart w:id="1114" w:name="_Toc98586257"/>
      <w:bookmarkStart w:id="1115" w:name="_Toc460364977"/>
      <w:bookmarkStart w:id="1116" w:name="_Toc138077493"/>
      <w:bookmarkStart w:id="1117" w:name="_Toc164611263"/>
      <w:r>
        <w:rPr>
          <w:rFonts w:hint="default" w:ascii="Times New Roman" w:hAnsi="Times New Roman" w:cs="Times New Roman"/>
          <w:snapToGrid w:val="0"/>
          <w:color w:val="000000"/>
          <w:kern w:val="0"/>
          <w:sz w:val="32"/>
          <w:lang w:val="en-US" w:eastAsia="zh-CN"/>
        </w:rPr>
        <w:t>3.2.</w:t>
      </w:r>
      <w:r>
        <w:rPr>
          <w:rFonts w:hint="eastAsia" w:ascii="Times New Roman" w:hAnsi="Times New Roman" w:cs="Times New Roman"/>
          <w:snapToGrid w:val="0"/>
          <w:color w:val="000000"/>
          <w:kern w:val="0"/>
          <w:sz w:val="32"/>
          <w:lang w:val="en-US" w:eastAsia="zh-CN"/>
        </w:rPr>
        <w:t>8</w:t>
      </w:r>
      <w:r>
        <w:rPr>
          <w:rFonts w:hint="default" w:ascii="Times New Roman" w:hAnsi="Times New Roman" w:cs="Times New Roman"/>
          <w:snapToGrid w:val="0"/>
          <w:color w:val="000000"/>
          <w:kern w:val="0"/>
          <w:sz w:val="32"/>
          <w:lang w:val="en-US" w:eastAsia="zh-CN"/>
        </w:rPr>
        <w:t>“三同时”符合性评价单元</w:t>
      </w:r>
      <w:bookmarkEnd w:id="1109"/>
      <w:bookmarkEnd w:id="1110"/>
    </w:p>
    <w:p w14:paraId="040FA566">
      <w:pPr>
        <w:pStyle w:val="6"/>
        <w:keepNext/>
        <w:keepLines/>
        <w:pageBreakBefore w:val="0"/>
        <w:widowControl w:val="0"/>
        <w:numPr>
          <w:ilvl w:val="2"/>
          <w:numId w:val="0"/>
        </w:numPr>
        <w:tabs>
          <w:tab w:val="left" w:pos="931"/>
        </w:tabs>
        <w:kinsoku/>
        <w:wordWrap/>
        <w:overflowPunct/>
        <w:topLinePunct w:val="0"/>
        <w:autoSpaceDE/>
        <w:autoSpaceDN/>
        <w:bidi w:val="0"/>
        <w:adjustRightInd/>
        <w:snapToGrid w:val="0"/>
        <w:spacing w:line="360" w:lineRule="auto"/>
        <w:ind w:leftChars="100"/>
        <w:textAlignment w:val="auto"/>
        <w:outlineLvl w:val="3"/>
        <w:rPr>
          <w:rFonts w:hint="eastAsia" w:ascii="Times New Roman" w:hAnsi="Times New Roman" w:cs="Times New Roman"/>
          <w:snapToGrid w:val="0"/>
          <w:color w:val="000000"/>
          <w:kern w:val="0"/>
          <w:sz w:val="28"/>
          <w:szCs w:val="28"/>
          <w:lang w:val="en-US" w:eastAsia="zh-CN"/>
        </w:rPr>
      </w:pPr>
      <w:bookmarkStart w:id="1118" w:name="_Toc523055234"/>
      <w:bookmarkStart w:id="1119" w:name="_Toc469730734"/>
      <w:bookmarkStart w:id="1120" w:name="_Toc384729796"/>
      <w:bookmarkStart w:id="1121" w:name="_Toc502666825"/>
      <w:bookmarkStart w:id="1122" w:name="_Toc6513"/>
      <w:r>
        <w:rPr>
          <w:rFonts w:hint="eastAsia" w:ascii="Times New Roman" w:hAnsi="Times New Roman" w:cs="Times New Roman"/>
          <w:snapToGrid w:val="0"/>
          <w:color w:val="000000"/>
          <w:kern w:val="0"/>
          <w:sz w:val="28"/>
          <w:szCs w:val="28"/>
          <w:lang w:val="en-US" w:eastAsia="zh-CN"/>
        </w:rPr>
        <w:t>3.2.8.1“三同时”符合性</w:t>
      </w:r>
      <w:bookmarkEnd w:id="1118"/>
      <w:bookmarkEnd w:id="1119"/>
      <w:bookmarkEnd w:id="1120"/>
      <w:bookmarkEnd w:id="1121"/>
      <w:r>
        <w:rPr>
          <w:rFonts w:hint="eastAsia" w:ascii="Times New Roman" w:hAnsi="Times New Roman" w:cs="Times New Roman"/>
          <w:snapToGrid w:val="0"/>
          <w:color w:val="000000"/>
          <w:kern w:val="0"/>
          <w:sz w:val="28"/>
          <w:szCs w:val="28"/>
          <w:lang w:val="en-US" w:eastAsia="zh-CN"/>
        </w:rPr>
        <w:t>安全评价子单元</w:t>
      </w:r>
      <w:bookmarkEnd w:id="1122"/>
    </w:p>
    <w:p w14:paraId="4B5DD840">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color w:val="000000"/>
          <w:sz w:val="28"/>
          <w:szCs w:val="28"/>
          <w:lang w:bidi="ar"/>
        </w:rPr>
      </w:pPr>
      <w:r>
        <w:rPr>
          <w:color w:val="000000"/>
          <w:sz w:val="28"/>
          <w:szCs w:val="28"/>
          <w:lang w:bidi="ar"/>
        </w:rPr>
        <w:t>根据《中华人民共和国安全生产法》</w:t>
      </w:r>
      <w:r>
        <w:rPr>
          <w:rFonts w:hint="eastAsia"/>
          <w:color w:val="000000"/>
          <w:sz w:val="28"/>
          <w:szCs w:val="28"/>
          <w:lang w:bidi="ar"/>
        </w:rPr>
        <w:t>（中华人民共和国主席令第13号，根据中华人民共和国主席令第88号修订，2021年09月01日施行）</w:t>
      </w:r>
      <w:r>
        <w:rPr>
          <w:color w:val="000000"/>
          <w:sz w:val="28"/>
          <w:szCs w:val="28"/>
          <w:lang w:bidi="ar"/>
        </w:rPr>
        <w:t>、</w:t>
      </w:r>
      <w:r>
        <w:rPr>
          <w:snapToGrid w:val="0"/>
          <w:color w:val="000000"/>
          <w:kern w:val="0"/>
          <w:sz w:val="28"/>
          <w:szCs w:val="28"/>
          <w:lang w:bidi="ar"/>
        </w:rPr>
        <w:t>《危险化学品建设项目安全监督管理办法</w:t>
      </w:r>
      <w:r>
        <w:rPr>
          <w:color w:val="000000"/>
          <w:sz w:val="28"/>
          <w:szCs w:val="28"/>
          <w:lang w:bidi="ar"/>
        </w:rPr>
        <w:t>》（2012年1月30日国家安全监管总局令第45号公布，根据2015年5月27日国家安全监管总局令第79号修正）</w:t>
      </w:r>
      <w:r>
        <w:rPr>
          <w:rFonts w:hint="eastAsia"/>
          <w:color w:val="000000"/>
          <w:sz w:val="28"/>
          <w:szCs w:val="28"/>
          <w:lang w:bidi="ar"/>
        </w:rPr>
        <w:t>、《关于印发&lt;危险化学品生产建设项目安全风险防控指南（试行）&gt;的通知》（应急〔2022〕52号）</w:t>
      </w:r>
      <w:r>
        <w:rPr>
          <w:snapToGrid w:val="0"/>
          <w:color w:val="000000"/>
          <w:kern w:val="0"/>
          <w:sz w:val="28"/>
          <w:szCs w:val="28"/>
          <w:lang w:bidi="ar"/>
        </w:rPr>
        <w:t>等</w:t>
      </w:r>
      <w:r>
        <w:rPr>
          <w:color w:val="000000"/>
          <w:sz w:val="28"/>
          <w:szCs w:val="28"/>
          <w:lang w:bidi="ar"/>
        </w:rPr>
        <w:t>法律、法规、文件的要求，对该项目进行“三同时”符合性评价，具体情况如下表所示。</w:t>
      </w:r>
    </w:p>
    <w:p w14:paraId="5A4C493C">
      <w:pPr>
        <w:spacing w:line="500" w:lineRule="exact"/>
        <w:jc w:val="center"/>
        <w:rPr>
          <w:b/>
          <w:bCs/>
          <w:color w:val="000000"/>
          <w:sz w:val="24"/>
        </w:rPr>
      </w:pPr>
      <w:r>
        <w:rPr>
          <w:b/>
          <w:bCs/>
          <w:color w:val="000000"/>
          <w:sz w:val="24"/>
          <w:lang w:bidi="ar"/>
        </w:rPr>
        <w:t>附表3</w:t>
      </w:r>
      <w:r>
        <w:rPr>
          <w:rFonts w:hint="eastAsia"/>
          <w:b/>
          <w:bCs/>
          <w:color w:val="000000"/>
          <w:sz w:val="24"/>
          <w:lang w:val="en-US" w:eastAsia="zh-CN" w:bidi="ar"/>
        </w:rPr>
        <w:t>.2</w:t>
      </w:r>
      <w:r>
        <w:rPr>
          <w:b/>
          <w:bCs/>
          <w:color w:val="000000"/>
          <w:sz w:val="24"/>
          <w:lang w:bidi="ar"/>
        </w:rPr>
        <w:t>-</w:t>
      </w:r>
      <w:r>
        <w:rPr>
          <w:rFonts w:hint="eastAsia"/>
          <w:b/>
          <w:bCs/>
          <w:color w:val="000000"/>
          <w:sz w:val="24"/>
          <w:lang w:val="en-US" w:eastAsia="zh-CN" w:bidi="ar"/>
        </w:rPr>
        <w:t>9</w:t>
      </w:r>
      <w:r>
        <w:rPr>
          <w:rFonts w:hint="eastAsia"/>
          <w:b/>
          <w:bCs/>
          <w:color w:val="000000"/>
          <w:sz w:val="24"/>
          <w:lang w:bidi="ar"/>
        </w:rPr>
        <w:t xml:space="preserve"> </w:t>
      </w:r>
      <w:r>
        <w:rPr>
          <w:b/>
          <w:bCs/>
          <w:color w:val="000000"/>
          <w:sz w:val="24"/>
          <w:lang w:bidi="ar"/>
        </w:rPr>
        <w:t>“三同时”符合性安全检查表</w:t>
      </w:r>
    </w:p>
    <w:tbl>
      <w:tblPr>
        <w:tblStyle w:val="80"/>
        <w:tblW w:w="5000" w:type="pct"/>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546"/>
        <w:gridCol w:w="2622"/>
        <w:gridCol w:w="2185"/>
        <w:gridCol w:w="3260"/>
        <w:gridCol w:w="787"/>
      </w:tblGrid>
      <w:tr w14:paraId="17C122C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67" w:hRule="atLeast"/>
          <w:jc w:val="center"/>
        </w:trPr>
        <w:tc>
          <w:tcPr>
            <w:tcW w:w="546" w:type="dxa"/>
            <w:tcBorders>
              <w:top w:val="single" w:color="auto" w:sz="4" w:space="0"/>
              <w:left w:val="single" w:color="auto" w:sz="4" w:space="0"/>
              <w:bottom w:val="single" w:color="auto" w:sz="4" w:space="0"/>
              <w:right w:val="single" w:color="auto" w:sz="4" w:space="0"/>
            </w:tcBorders>
            <w:noWrap w:val="0"/>
            <w:vAlign w:val="center"/>
          </w:tcPr>
          <w:p w14:paraId="5CFDA68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000000"/>
                <w:sz w:val="21"/>
                <w:szCs w:val="21"/>
              </w:rPr>
            </w:pPr>
            <w:bookmarkStart w:id="1123" w:name="_Toc469730735"/>
            <w:bookmarkStart w:id="1124" w:name="_Toc502666826"/>
            <w:bookmarkStart w:id="1125" w:name="_Toc384729797"/>
            <w:r>
              <w:rPr>
                <w:b/>
                <w:bCs/>
                <w:color w:val="000000"/>
                <w:sz w:val="21"/>
                <w:szCs w:val="21"/>
                <w:lang w:bidi="ar"/>
              </w:rPr>
              <w:t>序号</w:t>
            </w:r>
          </w:p>
        </w:tc>
        <w:tc>
          <w:tcPr>
            <w:tcW w:w="2622" w:type="dxa"/>
            <w:tcBorders>
              <w:top w:val="single" w:color="auto" w:sz="4" w:space="0"/>
              <w:left w:val="single" w:color="auto" w:sz="4" w:space="0"/>
              <w:bottom w:val="single" w:color="auto" w:sz="4" w:space="0"/>
              <w:right w:val="single" w:color="auto" w:sz="4" w:space="0"/>
            </w:tcBorders>
            <w:noWrap w:val="0"/>
            <w:vAlign w:val="center"/>
          </w:tcPr>
          <w:p w14:paraId="2D86D96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000000"/>
                <w:sz w:val="21"/>
                <w:szCs w:val="21"/>
              </w:rPr>
            </w:pPr>
            <w:r>
              <w:rPr>
                <w:b/>
                <w:bCs/>
                <w:color w:val="000000"/>
                <w:sz w:val="21"/>
                <w:szCs w:val="21"/>
                <w:lang w:bidi="ar"/>
              </w:rPr>
              <w:t>检查内容</w:t>
            </w:r>
          </w:p>
        </w:tc>
        <w:tc>
          <w:tcPr>
            <w:tcW w:w="2185" w:type="dxa"/>
            <w:tcBorders>
              <w:top w:val="single" w:color="auto" w:sz="4" w:space="0"/>
              <w:left w:val="single" w:color="auto" w:sz="4" w:space="0"/>
              <w:bottom w:val="single" w:color="auto" w:sz="4" w:space="0"/>
              <w:right w:val="single" w:color="auto" w:sz="4" w:space="0"/>
            </w:tcBorders>
            <w:noWrap w:val="0"/>
            <w:vAlign w:val="center"/>
          </w:tcPr>
          <w:p w14:paraId="73E3FE6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000000"/>
                <w:sz w:val="21"/>
                <w:szCs w:val="21"/>
              </w:rPr>
            </w:pPr>
            <w:r>
              <w:rPr>
                <w:b/>
                <w:bCs/>
                <w:color w:val="000000"/>
                <w:sz w:val="21"/>
                <w:szCs w:val="21"/>
                <w:lang w:bidi="ar"/>
              </w:rPr>
              <w:t>检查依据</w:t>
            </w:r>
          </w:p>
        </w:tc>
        <w:tc>
          <w:tcPr>
            <w:tcW w:w="3260" w:type="dxa"/>
            <w:tcBorders>
              <w:top w:val="single" w:color="auto" w:sz="4" w:space="0"/>
              <w:left w:val="single" w:color="auto" w:sz="4" w:space="0"/>
              <w:bottom w:val="single" w:color="auto" w:sz="4" w:space="0"/>
              <w:right w:val="single" w:color="auto" w:sz="4" w:space="0"/>
            </w:tcBorders>
            <w:noWrap w:val="0"/>
            <w:vAlign w:val="center"/>
          </w:tcPr>
          <w:p w14:paraId="2399731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000000"/>
                <w:sz w:val="21"/>
                <w:szCs w:val="21"/>
              </w:rPr>
            </w:pPr>
            <w:r>
              <w:rPr>
                <w:b/>
                <w:bCs/>
                <w:color w:val="000000"/>
                <w:sz w:val="21"/>
                <w:szCs w:val="21"/>
                <w:lang w:bidi="ar"/>
              </w:rPr>
              <w:t>检查记录</w:t>
            </w:r>
          </w:p>
        </w:tc>
        <w:tc>
          <w:tcPr>
            <w:tcW w:w="787" w:type="dxa"/>
            <w:tcBorders>
              <w:top w:val="single" w:color="auto" w:sz="4" w:space="0"/>
              <w:left w:val="single" w:color="auto" w:sz="4" w:space="0"/>
              <w:bottom w:val="single" w:color="auto" w:sz="4" w:space="0"/>
              <w:right w:val="single" w:color="auto" w:sz="4" w:space="0"/>
            </w:tcBorders>
            <w:noWrap w:val="0"/>
            <w:vAlign w:val="center"/>
          </w:tcPr>
          <w:p w14:paraId="058C095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000000"/>
                <w:sz w:val="21"/>
                <w:szCs w:val="21"/>
              </w:rPr>
            </w:pPr>
            <w:r>
              <w:rPr>
                <w:b/>
                <w:bCs/>
                <w:color w:val="000000"/>
                <w:sz w:val="21"/>
                <w:szCs w:val="21"/>
                <w:lang w:bidi="ar"/>
              </w:rPr>
              <w:t>检查结果</w:t>
            </w:r>
          </w:p>
        </w:tc>
      </w:tr>
      <w:tr w14:paraId="6544FD4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67" w:hRule="atLeast"/>
          <w:jc w:val="center"/>
        </w:trPr>
        <w:tc>
          <w:tcPr>
            <w:tcW w:w="546" w:type="dxa"/>
            <w:tcBorders>
              <w:top w:val="single" w:color="auto" w:sz="4" w:space="0"/>
              <w:left w:val="single" w:color="auto" w:sz="4" w:space="0"/>
              <w:bottom w:val="single" w:color="auto" w:sz="4" w:space="0"/>
              <w:right w:val="single" w:color="auto" w:sz="4" w:space="0"/>
            </w:tcBorders>
            <w:noWrap w:val="0"/>
            <w:vAlign w:val="center"/>
          </w:tcPr>
          <w:p w14:paraId="252C67B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lang w:bidi="ar"/>
              </w:rPr>
              <w:t>1</w:t>
            </w:r>
          </w:p>
        </w:tc>
        <w:tc>
          <w:tcPr>
            <w:tcW w:w="2622" w:type="dxa"/>
            <w:tcBorders>
              <w:top w:val="single" w:color="auto" w:sz="4" w:space="0"/>
              <w:left w:val="single" w:color="auto" w:sz="4" w:space="0"/>
              <w:bottom w:val="single" w:color="auto" w:sz="4" w:space="0"/>
              <w:right w:val="single" w:color="auto" w:sz="4" w:space="0"/>
            </w:tcBorders>
            <w:noWrap w:val="0"/>
            <w:vAlign w:val="center"/>
          </w:tcPr>
          <w:p w14:paraId="04E60124">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r>
              <w:rPr>
                <w:color w:val="000000"/>
                <w:sz w:val="21"/>
                <w:szCs w:val="21"/>
                <w:lang w:bidi="ar"/>
              </w:rPr>
              <w:t>生产经营单位新建、改建、扩建工程项目（以下统称建设项目）的安全设施，必须与主体工程同时设计、同时施工、同时投入生产和使用。安全设施投资应当纳入建设项目概算。</w:t>
            </w:r>
          </w:p>
        </w:tc>
        <w:tc>
          <w:tcPr>
            <w:tcW w:w="2185" w:type="dxa"/>
            <w:tcBorders>
              <w:top w:val="single" w:color="auto" w:sz="4" w:space="0"/>
              <w:left w:val="single" w:color="auto" w:sz="4" w:space="0"/>
              <w:bottom w:val="single" w:color="auto" w:sz="4" w:space="0"/>
              <w:right w:val="single" w:color="auto" w:sz="4" w:space="0"/>
            </w:tcBorders>
            <w:noWrap w:val="0"/>
            <w:vAlign w:val="center"/>
          </w:tcPr>
          <w:p w14:paraId="591D924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color w:val="000000"/>
                <w:sz w:val="21"/>
                <w:szCs w:val="21"/>
              </w:rPr>
            </w:pPr>
            <w:r>
              <w:rPr>
                <w:color w:val="000000"/>
                <w:sz w:val="21"/>
                <w:szCs w:val="21"/>
                <w:lang w:bidi="ar"/>
              </w:rPr>
              <w:t>《中华人民共和国安全生产法》</w:t>
            </w:r>
            <w:r>
              <w:rPr>
                <w:rFonts w:hint="eastAsia"/>
                <w:color w:val="000000"/>
                <w:sz w:val="21"/>
                <w:szCs w:val="21"/>
                <w:lang w:bidi="ar"/>
              </w:rPr>
              <w:t>（中华人民共和国主席令第13号，根据中华人民共和国主席令第88号修订，2021年09月01日施行）</w:t>
            </w:r>
          </w:p>
          <w:p w14:paraId="04C42A7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lang w:bidi="ar"/>
              </w:rPr>
              <w:t>第二十八条</w:t>
            </w:r>
          </w:p>
        </w:tc>
        <w:tc>
          <w:tcPr>
            <w:tcW w:w="3260" w:type="dxa"/>
            <w:tcBorders>
              <w:top w:val="single" w:color="auto" w:sz="4" w:space="0"/>
              <w:left w:val="single" w:color="auto" w:sz="4" w:space="0"/>
              <w:bottom w:val="single" w:color="auto" w:sz="4" w:space="0"/>
              <w:right w:val="single" w:color="auto" w:sz="4" w:space="0"/>
            </w:tcBorders>
            <w:noWrap w:val="0"/>
            <w:vAlign w:val="center"/>
          </w:tcPr>
          <w:p w14:paraId="5F5D2FC8">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r>
              <w:rPr>
                <w:color w:val="000000"/>
                <w:sz w:val="21"/>
                <w:szCs w:val="21"/>
                <w:lang w:bidi="ar"/>
              </w:rPr>
              <w:t>该项目的安全设施，与主体工程同时设计、同时施工、同时投入生产和使用。安全设施投资纳入了建设项目概算。</w:t>
            </w:r>
          </w:p>
        </w:tc>
        <w:tc>
          <w:tcPr>
            <w:tcW w:w="787" w:type="dxa"/>
            <w:tcBorders>
              <w:top w:val="single" w:color="auto" w:sz="4" w:space="0"/>
              <w:left w:val="single" w:color="auto" w:sz="4" w:space="0"/>
              <w:bottom w:val="single" w:color="auto" w:sz="4" w:space="0"/>
              <w:right w:val="single" w:color="auto" w:sz="4" w:space="0"/>
            </w:tcBorders>
            <w:noWrap w:val="0"/>
            <w:vAlign w:val="center"/>
          </w:tcPr>
          <w:p w14:paraId="522B496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lang w:bidi="ar"/>
              </w:rPr>
              <w:t>符合</w:t>
            </w:r>
          </w:p>
        </w:tc>
      </w:tr>
      <w:tr w14:paraId="52E39B9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67" w:hRule="atLeast"/>
          <w:jc w:val="center"/>
        </w:trPr>
        <w:tc>
          <w:tcPr>
            <w:tcW w:w="546" w:type="dxa"/>
            <w:tcBorders>
              <w:top w:val="single" w:color="auto" w:sz="4" w:space="0"/>
              <w:left w:val="single" w:color="auto" w:sz="4" w:space="0"/>
              <w:bottom w:val="single" w:color="auto" w:sz="4" w:space="0"/>
              <w:right w:val="single" w:color="auto" w:sz="4" w:space="0"/>
            </w:tcBorders>
            <w:noWrap w:val="0"/>
            <w:vAlign w:val="center"/>
          </w:tcPr>
          <w:p w14:paraId="193721C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lang w:bidi="ar"/>
              </w:rPr>
              <w:t>2</w:t>
            </w:r>
          </w:p>
        </w:tc>
        <w:tc>
          <w:tcPr>
            <w:tcW w:w="2622" w:type="dxa"/>
            <w:tcBorders>
              <w:top w:val="single" w:color="auto" w:sz="4" w:space="0"/>
              <w:left w:val="single" w:color="auto" w:sz="4" w:space="0"/>
              <w:bottom w:val="single" w:color="auto" w:sz="4" w:space="0"/>
              <w:right w:val="single" w:color="auto" w:sz="4" w:space="0"/>
            </w:tcBorders>
            <w:noWrap w:val="0"/>
            <w:vAlign w:val="center"/>
          </w:tcPr>
          <w:p w14:paraId="26EF3247">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r>
              <w:rPr>
                <w:color w:val="000000"/>
                <w:sz w:val="21"/>
                <w:szCs w:val="21"/>
                <w:lang w:bidi="ar"/>
              </w:rPr>
              <w:t>建设项目的设计、施工、监理单位和安全评价机构应当具备相应的资质，并对其工作成果负责。涉及重点监管危险化工工艺、重点监管危险化学品或者危险化学品重大危险源的建设项目，应当由具有石油化工医药行业相应资质的设计单位设计。</w:t>
            </w:r>
          </w:p>
        </w:tc>
        <w:tc>
          <w:tcPr>
            <w:tcW w:w="2185" w:type="dxa"/>
            <w:tcBorders>
              <w:top w:val="single" w:color="auto" w:sz="4" w:space="0"/>
              <w:left w:val="single" w:color="auto" w:sz="4" w:space="0"/>
              <w:bottom w:val="single" w:color="auto" w:sz="4" w:space="0"/>
              <w:right w:val="single" w:color="auto" w:sz="4" w:space="0"/>
            </w:tcBorders>
            <w:noWrap w:val="0"/>
            <w:vAlign w:val="center"/>
          </w:tcPr>
          <w:p w14:paraId="48663291">
            <w:pPr>
              <w:keepNext w:val="0"/>
              <w:keepLines w:val="0"/>
              <w:pageBreakBefore w:val="0"/>
              <w:widowControl w:val="0"/>
              <w:kinsoku/>
              <w:wordWrap/>
              <w:overflowPunct/>
              <w:topLinePunct w:val="0"/>
              <w:autoSpaceDE/>
              <w:autoSpaceDN/>
              <w:bidi w:val="0"/>
              <w:adjustRightInd/>
              <w:snapToGrid w:val="0"/>
              <w:spacing w:line="240" w:lineRule="auto"/>
              <w:textAlignment w:val="auto"/>
              <w:rPr>
                <w:bCs/>
                <w:color w:val="000000"/>
                <w:sz w:val="21"/>
                <w:szCs w:val="21"/>
              </w:rPr>
            </w:pPr>
            <w:r>
              <w:rPr>
                <w:bCs/>
                <w:color w:val="000000"/>
                <w:sz w:val="21"/>
                <w:szCs w:val="21"/>
                <w:lang w:bidi="ar"/>
              </w:rPr>
              <w:t>《危险化学品建设项目安全监督管理办法》（</w:t>
            </w:r>
            <w:r>
              <w:rPr>
                <w:color w:val="000000"/>
                <w:sz w:val="21"/>
                <w:szCs w:val="21"/>
                <w:lang w:bidi="ar"/>
              </w:rPr>
              <w:t>2011年8月5日国家安全监管总局令第45号公布根据2015年5月27日国家安全监管总局令第79号修正</w:t>
            </w:r>
            <w:r>
              <w:rPr>
                <w:bCs/>
                <w:color w:val="000000"/>
                <w:sz w:val="21"/>
                <w:szCs w:val="21"/>
                <w:lang w:bidi="ar"/>
              </w:rPr>
              <w:t>）</w:t>
            </w:r>
          </w:p>
          <w:p w14:paraId="4AA0EAD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lang w:bidi="ar"/>
              </w:rPr>
              <w:t>第七条</w:t>
            </w:r>
          </w:p>
        </w:tc>
        <w:tc>
          <w:tcPr>
            <w:tcW w:w="3260" w:type="dxa"/>
            <w:tcBorders>
              <w:top w:val="single" w:color="auto" w:sz="4" w:space="0"/>
              <w:left w:val="single" w:color="auto" w:sz="4" w:space="0"/>
              <w:bottom w:val="single" w:color="auto" w:sz="4" w:space="0"/>
              <w:right w:val="single" w:color="auto" w:sz="4" w:space="0"/>
            </w:tcBorders>
            <w:noWrap w:val="0"/>
            <w:vAlign w:val="center"/>
          </w:tcPr>
          <w:p w14:paraId="44DECFA9">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r>
              <w:rPr>
                <w:color w:val="000000"/>
                <w:sz w:val="21"/>
                <w:szCs w:val="21"/>
                <w:lang w:bidi="ar"/>
              </w:rPr>
              <w:t>该项目的安全设施设计专篇的编制单位是</w:t>
            </w:r>
            <w:r>
              <w:rPr>
                <w:rFonts w:hint="eastAsia"/>
                <w:color w:val="000000"/>
                <w:sz w:val="21"/>
                <w:szCs w:val="21"/>
                <w:lang w:bidi="ar"/>
              </w:rPr>
              <w:t>华陆工程科技有限责任公司</w:t>
            </w:r>
            <w:r>
              <w:rPr>
                <w:color w:val="000000"/>
                <w:sz w:val="21"/>
                <w:szCs w:val="21"/>
                <w:lang w:bidi="ar"/>
              </w:rPr>
              <w:t>具有</w:t>
            </w:r>
            <w:r>
              <w:rPr>
                <w:rFonts w:hint="eastAsia"/>
                <w:color w:val="000000"/>
                <w:sz w:val="21"/>
                <w:szCs w:val="21"/>
              </w:rPr>
              <w:t>工程设计综合资质甲级</w:t>
            </w:r>
            <w:r>
              <w:rPr>
                <w:color w:val="000000"/>
                <w:sz w:val="21"/>
                <w:szCs w:val="21"/>
                <w:lang w:bidi="ar"/>
              </w:rPr>
              <w:t>；该项目的施工、监理单位及安全预评价单位均具有相关资质，具体情况详见报告“2.</w:t>
            </w:r>
            <w:r>
              <w:rPr>
                <w:rFonts w:hint="eastAsia"/>
                <w:color w:val="000000"/>
                <w:sz w:val="21"/>
                <w:szCs w:val="21"/>
                <w:lang w:val="en-US" w:eastAsia="zh-CN" w:bidi="ar"/>
              </w:rPr>
              <w:t>2.3</w:t>
            </w:r>
            <w:r>
              <w:rPr>
                <w:color w:val="000000"/>
                <w:sz w:val="21"/>
                <w:szCs w:val="21"/>
                <w:lang w:bidi="ar"/>
              </w:rPr>
              <w:t>项目涉及单位情况”。</w:t>
            </w:r>
          </w:p>
        </w:tc>
        <w:tc>
          <w:tcPr>
            <w:tcW w:w="787" w:type="dxa"/>
            <w:tcBorders>
              <w:top w:val="single" w:color="auto" w:sz="4" w:space="0"/>
              <w:left w:val="single" w:color="auto" w:sz="4" w:space="0"/>
              <w:bottom w:val="single" w:color="auto" w:sz="4" w:space="0"/>
              <w:right w:val="single" w:color="auto" w:sz="4" w:space="0"/>
            </w:tcBorders>
            <w:noWrap w:val="0"/>
            <w:vAlign w:val="center"/>
          </w:tcPr>
          <w:p w14:paraId="330B752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lang w:bidi="ar"/>
              </w:rPr>
              <w:t>符合</w:t>
            </w:r>
          </w:p>
        </w:tc>
      </w:tr>
      <w:tr w14:paraId="5FA2091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67" w:hRule="atLeast"/>
          <w:jc w:val="center"/>
        </w:trPr>
        <w:tc>
          <w:tcPr>
            <w:tcW w:w="546" w:type="dxa"/>
            <w:tcBorders>
              <w:top w:val="single" w:color="auto" w:sz="4" w:space="0"/>
              <w:left w:val="single" w:color="auto" w:sz="4" w:space="0"/>
              <w:bottom w:val="single" w:color="auto" w:sz="4" w:space="0"/>
              <w:right w:val="single" w:color="auto" w:sz="4" w:space="0"/>
            </w:tcBorders>
            <w:noWrap w:val="0"/>
            <w:vAlign w:val="center"/>
          </w:tcPr>
          <w:p w14:paraId="0CF4E9B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lang w:bidi="ar"/>
              </w:rPr>
              <w:t>3</w:t>
            </w:r>
          </w:p>
        </w:tc>
        <w:tc>
          <w:tcPr>
            <w:tcW w:w="2622" w:type="dxa"/>
            <w:tcBorders>
              <w:top w:val="single" w:color="auto" w:sz="4" w:space="0"/>
              <w:left w:val="single" w:color="auto" w:sz="4" w:space="0"/>
              <w:bottom w:val="single" w:color="auto" w:sz="4" w:space="0"/>
              <w:right w:val="single" w:color="auto" w:sz="4" w:space="0"/>
            </w:tcBorders>
            <w:noWrap w:val="0"/>
            <w:vAlign w:val="center"/>
          </w:tcPr>
          <w:p w14:paraId="35BF6817">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r>
              <w:rPr>
                <w:color w:val="000000"/>
                <w:kern w:val="0"/>
                <w:sz w:val="21"/>
                <w:szCs w:val="21"/>
                <w:lang w:bidi="ar"/>
              </w:rPr>
              <w:t>建设单位应当在建设项目的可行性研究阶段，委托具备相应资质的安全评价机构对建设项目进行安全评价。</w:t>
            </w:r>
          </w:p>
        </w:tc>
        <w:tc>
          <w:tcPr>
            <w:tcW w:w="2185" w:type="dxa"/>
            <w:tcBorders>
              <w:top w:val="single" w:color="auto" w:sz="4" w:space="0"/>
              <w:left w:val="single" w:color="auto" w:sz="4" w:space="0"/>
              <w:bottom w:val="single" w:color="auto" w:sz="4" w:space="0"/>
              <w:right w:val="single" w:color="auto" w:sz="4" w:space="0"/>
            </w:tcBorders>
            <w:noWrap w:val="0"/>
            <w:vAlign w:val="center"/>
          </w:tcPr>
          <w:p w14:paraId="11B4A948">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kern w:val="0"/>
                <w:sz w:val="21"/>
                <w:szCs w:val="21"/>
              </w:rPr>
            </w:pPr>
            <w:r>
              <w:rPr>
                <w:color w:val="000000"/>
                <w:kern w:val="0"/>
                <w:sz w:val="21"/>
                <w:szCs w:val="21"/>
                <w:lang w:bidi="ar"/>
              </w:rPr>
              <w:t>《危险化学品建设项目安全监督管理办法》（2012年1月30日国家安全监管总局令第45号公布，根据2015年5月27日国家安全监管总局令第79号修正）</w:t>
            </w:r>
          </w:p>
          <w:p w14:paraId="7D5E785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kern w:val="0"/>
                <w:sz w:val="21"/>
                <w:szCs w:val="21"/>
              </w:rPr>
            </w:pPr>
            <w:r>
              <w:rPr>
                <w:color w:val="000000"/>
                <w:sz w:val="21"/>
                <w:szCs w:val="21"/>
                <w:lang w:bidi="ar"/>
              </w:rPr>
              <w:t>第</w:t>
            </w:r>
            <w:r>
              <w:rPr>
                <w:color w:val="000000"/>
                <w:kern w:val="0"/>
                <w:sz w:val="21"/>
                <w:szCs w:val="21"/>
                <w:lang w:bidi="ar"/>
              </w:rPr>
              <w:t>八条</w:t>
            </w:r>
          </w:p>
        </w:tc>
        <w:tc>
          <w:tcPr>
            <w:tcW w:w="3260" w:type="dxa"/>
            <w:tcBorders>
              <w:top w:val="single" w:color="auto" w:sz="4" w:space="0"/>
              <w:left w:val="single" w:color="auto" w:sz="4" w:space="0"/>
              <w:bottom w:val="single" w:color="auto" w:sz="4" w:space="0"/>
              <w:right w:val="single" w:color="auto" w:sz="4" w:space="0"/>
            </w:tcBorders>
            <w:noWrap w:val="0"/>
            <w:vAlign w:val="center"/>
          </w:tcPr>
          <w:p w14:paraId="764AFB43">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r>
              <w:rPr>
                <w:color w:val="000000"/>
                <w:sz w:val="21"/>
                <w:szCs w:val="21"/>
                <w:lang w:bidi="ar"/>
              </w:rPr>
              <w:t>该项目已经</w:t>
            </w:r>
            <w:r>
              <w:rPr>
                <w:rFonts w:hint="eastAsia"/>
                <w:color w:val="000000"/>
                <w:sz w:val="21"/>
                <w:szCs w:val="21"/>
                <w:lang w:bidi="ar"/>
              </w:rPr>
              <w:t>云南恒然安全技术有限公司</w:t>
            </w:r>
            <w:r>
              <w:rPr>
                <w:color w:val="000000"/>
                <w:sz w:val="21"/>
                <w:szCs w:val="21"/>
                <w:lang w:bidi="ar"/>
              </w:rPr>
              <w:t>编制了安全预评价报告，该公司</w:t>
            </w:r>
            <w:r>
              <w:rPr>
                <w:rFonts w:hint="eastAsia"/>
                <w:color w:val="000000"/>
                <w:sz w:val="21"/>
                <w:szCs w:val="21"/>
                <w:lang w:bidi="ar"/>
              </w:rPr>
              <w:t>具有相应资质</w:t>
            </w:r>
            <w:r>
              <w:rPr>
                <w:color w:val="000000"/>
                <w:sz w:val="21"/>
                <w:szCs w:val="21"/>
                <w:lang w:bidi="ar"/>
              </w:rPr>
              <w:t>。</w:t>
            </w:r>
          </w:p>
        </w:tc>
        <w:tc>
          <w:tcPr>
            <w:tcW w:w="787" w:type="dxa"/>
            <w:tcBorders>
              <w:top w:val="single" w:color="auto" w:sz="4" w:space="0"/>
              <w:left w:val="single" w:color="auto" w:sz="4" w:space="0"/>
              <w:bottom w:val="single" w:color="auto" w:sz="4" w:space="0"/>
              <w:right w:val="single" w:color="auto" w:sz="4" w:space="0"/>
            </w:tcBorders>
            <w:noWrap w:val="0"/>
            <w:vAlign w:val="center"/>
          </w:tcPr>
          <w:p w14:paraId="681F9E5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lang w:bidi="ar"/>
              </w:rPr>
              <w:t>符合</w:t>
            </w:r>
          </w:p>
        </w:tc>
      </w:tr>
      <w:tr w14:paraId="0BAE087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67" w:hRule="atLeast"/>
          <w:jc w:val="center"/>
        </w:trPr>
        <w:tc>
          <w:tcPr>
            <w:tcW w:w="546" w:type="dxa"/>
            <w:tcBorders>
              <w:top w:val="single" w:color="auto" w:sz="4" w:space="0"/>
              <w:left w:val="single" w:color="auto" w:sz="4" w:space="0"/>
              <w:bottom w:val="single" w:color="auto" w:sz="4" w:space="0"/>
              <w:right w:val="single" w:color="auto" w:sz="4" w:space="0"/>
            </w:tcBorders>
            <w:noWrap w:val="0"/>
            <w:vAlign w:val="center"/>
          </w:tcPr>
          <w:p w14:paraId="1853A6F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kern w:val="0"/>
                <w:sz w:val="21"/>
                <w:szCs w:val="21"/>
              </w:rPr>
            </w:pPr>
            <w:r>
              <w:rPr>
                <w:color w:val="000000"/>
                <w:kern w:val="0"/>
                <w:sz w:val="21"/>
                <w:szCs w:val="21"/>
                <w:lang w:bidi="ar"/>
              </w:rPr>
              <w:t>4</w:t>
            </w:r>
          </w:p>
        </w:tc>
        <w:tc>
          <w:tcPr>
            <w:tcW w:w="2622" w:type="dxa"/>
            <w:tcBorders>
              <w:top w:val="single" w:color="auto" w:sz="4" w:space="0"/>
              <w:left w:val="single" w:color="auto" w:sz="4" w:space="0"/>
              <w:bottom w:val="single" w:color="auto" w:sz="4" w:space="0"/>
              <w:right w:val="single" w:color="auto" w:sz="4" w:space="0"/>
            </w:tcBorders>
            <w:noWrap w:val="0"/>
            <w:vAlign w:val="center"/>
          </w:tcPr>
          <w:p w14:paraId="75497E64">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kern w:val="0"/>
                <w:sz w:val="21"/>
                <w:szCs w:val="21"/>
              </w:rPr>
            </w:pPr>
            <w:r>
              <w:rPr>
                <w:color w:val="000000"/>
                <w:kern w:val="0"/>
                <w:sz w:val="21"/>
                <w:szCs w:val="21"/>
                <w:lang w:bidi="ar"/>
              </w:rPr>
              <w:t>建设单位应当在建设项目开始初步设计前，向与本办法第四条、第五条规定相应的安全生产监督管理部门申请建设项目安全条件审查。</w:t>
            </w:r>
          </w:p>
        </w:tc>
        <w:tc>
          <w:tcPr>
            <w:tcW w:w="2185" w:type="dxa"/>
            <w:tcBorders>
              <w:top w:val="single" w:color="auto" w:sz="4" w:space="0"/>
              <w:left w:val="single" w:color="auto" w:sz="4" w:space="0"/>
              <w:bottom w:val="single" w:color="auto" w:sz="4" w:space="0"/>
              <w:right w:val="single" w:color="auto" w:sz="4" w:space="0"/>
            </w:tcBorders>
            <w:noWrap w:val="0"/>
            <w:vAlign w:val="center"/>
          </w:tcPr>
          <w:p w14:paraId="0703F56E">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kern w:val="0"/>
                <w:sz w:val="21"/>
                <w:szCs w:val="21"/>
              </w:rPr>
            </w:pPr>
            <w:r>
              <w:rPr>
                <w:color w:val="000000"/>
                <w:kern w:val="0"/>
                <w:sz w:val="21"/>
                <w:szCs w:val="21"/>
                <w:lang w:bidi="ar"/>
              </w:rPr>
              <w:t>《危险化学品建设项目安全监督管理办法》（2012年1月30日国家安全监管总局令第45号公布，根据2015年5月27日国家安全监管总局令第79号修正）</w:t>
            </w:r>
          </w:p>
          <w:p w14:paraId="277F18E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kern w:val="0"/>
                <w:sz w:val="21"/>
                <w:szCs w:val="21"/>
              </w:rPr>
            </w:pPr>
            <w:r>
              <w:rPr>
                <w:color w:val="000000"/>
                <w:sz w:val="21"/>
                <w:szCs w:val="21"/>
                <w:lang w:bidi="ar"/>
              </w:rPr>
              <w:t>第十</w:t>
            </w:r>
            <w:r>
              <w:rPr>
                <w:color w:val="000000"/>
                <w:kern w:val="0"/>
                <w:sz w:val="21"/>
                <w:szCs w:val="21"/>
                <w:lang w:bidi="ar"/>
              </w:rPr>
              <w:t>条</w:t>
            </w:r>
          </w:p>
        </w:tc>
        <w:tc>
          <w:tcPr>
            <w:tcW w:w="3260" w:type="dxa"/>
            <w:tcBorders>
              <w:top w:val="single" w:color="auto" w:sz="4" w:space="0"/>
              <w:left w:val="single" w:color="auto" w:sz="4" w:space="0"/>
              <w:bottom w:val="single" w:color="auto" w:sz="4" w:space="0"/>
              <w:right w:val="single" w:color="auto" w:sz="4" w:space="0"/>
            </w:tcBorders>
            <w:noWrap w:val="0"/>
            <w:vAlign w:val="center"/>
          </w:tcPr>
          <w:p w14:paraId="20057B25">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宋体" w:hAnsi="Times New Roman" w:eastAsia="宋体" w:cs="宋体"/>
                <w:color w:val="000000"/>
                <w:sz w:val="21"/>
                <w:szCs w:val="21"/>
                <w:lang w:bidi="ar"/>
              </w:rPr>
            </w:pPr>
            <w:r>
              <w:rPr>
                <w:rFonts w:ascii="宋体" w:hAnsi="Times New Roman" w:eastAsia="宋体" w:cs="宋体"/>
                <w:color w:val="000000"/>
                <w:sz w:val="21"/>
                <w:szCs w:val="21"/>
                <w:lang w:bidi="ar"/>
              </w:rPr>
              <w:t>该项目已经通过安全</w:t>
            </w:r>
            <w:r>
              <w:rPr>
                <w:rFonts w:hint="eastAsia" w:ascii="宋体" w:hAnsi="Times New Roman" w:eastAsia="宋体" w:cs="宋体"/>
                <w:color w:val="000000"/>
                <w:sz w:val="21"/>
                <w:szCs w:val="21"/>
                <w:lang w:bidi="ar"/>
              </w:rPr>
              <w:t>条件审查，并于于202</w:t>
            </w:r>
            <w:r>
              <w:rPr>
                <w:rFonts w:hint="eastAsia" w:ascii="宋体" w:hAnsi="Times New Roman" w:eastAsia="宋体" w:cs="宋体"/>
                <w:color w:val="000000"/>
                <w:sz w:val="21"/>
                <w:szCs w:val="21"/>
                <w:lang w:val="en-US" w:eastAsia="zh-CN" w:bidi="ar"/>
              </w:rPr>
              <w:t>4</w:t>
            </w:r>
            <w:r>
              <w:rPr>
                <w:rFonts w:hint="eastAsia" w:ascii="宋体" w:hAnsi="Times New Roman" w:eastAsia="宋体" w:cs="宋体"/>
                <w:color w:val="000000"/>
                <w:sz w:val="21"/>
                <w:szCs w:val="21"/>
                <w:lang w:bidi="ar"/>
              </w:rPr>
              <w:t>年</w:t>
            </w:r>
            <w:r>
              <w:rPr>
                <w:rFonts w:hint="eastAsia" w:ascii="宋体" w:hAnsi="Times New Roman" w:eastAsia="宋体" w:cs="宋体"/>
                <w:color w:val="000000"/>
                <w:sz w:val="21"/>
                <w:szCs w:val="21"/>
                <w:lang w:val="en-US" w:eastAsia="zh-CN" w:bidi="ar"/>
              </w:rPr>
              <w:t>8</w:t>
            </w:r>
            <w:r>
              <w:rPr>
                <w:rFonts w:hint="eastAsia" w:ascii="宋体" w:hAnsi="Times New Roman" w:eastAsia="宋体" w:cs="宋体"/>
                <w:color w:val="000000"/>
                <w:sz w:val="21"/>
                <w:szCs w:val="21"/>
                <w:lang w:bidi="ar"/>
              </w:rPr>
              <w:t>月</w:t>
            </w:r>
            <w:r>
              <w:rPr>
                <w:rFonts w:hint="eastAsia" w:ascii="宋体" w:hAnsi="Times New Roman" w:eastAsia="宋体" w:cs="宋体"/>
                <w:color w:val="000000"/>
                <w:sz w:val="21"/>
                <w:szCs w:val="21"/>
                <w:lang w:val="en-US" w:eastAsia="zh-CN" w:bidi="ar"/>
              </w:rPr>
              <w:t>09</w:t>
            </w:r>
            <w:r>
              <w:rPr>
                <w:rFonts w:hint="eastAsia" w:ascii="宋体" w:hAnsi="Times New Roman" w:eastAsia="宋体" w:cs="宋体"/>
                <w:color w:val="000000"/>
                <w:sz w:val="21"/>
                <w:szCs w:val="21"/>
                <w:lang w:bidi="ar"/>
              </w:rPr>
              <w:t>日取得昆明市应急管理局出具的《危险化学品建设项目安全条件审查意见书》（昆应急危化项目安条审字[202</w:t>
            </w:r>
            <w:r>
              <w:rPr>
                <w:rFonts w:hint="eastAsia" w:ascii="宋体" w:hAnsi="Times New Roman" w:eastAsia="宋体" w:cs="宋体"/>
                <w:color w:val="000000"/>
                <w:sz w:val="21"/>
                <w:szCs w:val="21"/>
                <w:lang w:val="en-US" w:eastAsia="zh-CN" w:bidi="ar"/>
              </w:rPr>
              <w:t>4</w:t>
            </w:r>
            <w:r>
              <w:rPr>
                <w:rFonts w:hint="eastAsia" w:ascii="宋体" w:hAnsi="Times New Roman" w:eastAsia="宋体" w:cs="宋体"/>
                <w:color w:val="000000"/>
                <w:sz w:val="21"/>
                <w:szCs w:val="21"/>
                <w:lang w:bidi="ar"/>
              </w:rPr>
              <w:t>]</w:t>
            </w:r>
            <w:r>
              <w:rPr>
                <w:rFonts w:hint="eastAsia" w:ascii="宋体" w:hAnsi="Times New Roman" w:eastAsia="宋体" w:cs="宋体"/>
                <w:color w:val="000000"/>
                <w:sz w:val="21"/>
                <w:szCs w:val="21"/>
                <w:lang w:val="en-US" w:eastAsia="zh-CN" w:bidi="ar"/>
              </w:rPr>
              <w:t>4</w:t>
            </w:r>
            <w:r>
              <w:rPr>
                <w:rFonts w:hint="eastAsia" w:ascii="宋体" w:hAnsi="Times New Roman" w:eastAsia="宋体" w:cs="宋体"/>
                <w:color w:val="000000"/>
                <w:sz w:val="21"/>
                <w:szCs w:val="21"/>
                <w:lang w:bidi="ar"/>
              </w:rPr>
              <w:t>号）。</w:t>
            </w:r>
          </w:p>
        </w:tc>
        <w:tc>
          <w:tcPr>
            <w:tcW w:w="787" w:type="dxa"/>
            <w:tcBorders>
              <w:top w:val="single" w:color="auto" w:sz="4" w:space="0"/>
              <w:left w:val="single" w:color="auto" w:sz="4" w:space="0"/>
              <w:bottom w:val="single" w:color="auto" w:sz="4" w:space="0"/>
              <w:right w:val="single" w:color="auto" w:sz="4" w:space="0"/>
            </w:tcBorders>
            <w:noWrap w:val="0"/>
            <w:vAlign w:val="center"/>
          </w:tcPr>
          <w:p w14:paraId="50B8122A">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宋体" w:hAnsi="Times New Roman" w:eastAsia="宋体" w:cs="宋体"/>
                <w:color w:val="000000"/>
                <w:sz w:val="21"/>
                <w:szCs w:val="21"/>
                <w:lang w:bidi="ar"/>
              </w:rPr>
            </w:pPr>
            <w:r>
              <w:rPr>
                <w:rFonts w:ascii="宋体" w:hAnsi="Times New Roman" w:eastAsia="宋体" w:cs="宋体"/>
                <w:color w:val="000000"/>
                <w:sz w:val="21"/>
                <w:szCs w:val="21"/>
                <w:lang w:bidi="ar"/>
              </w:rPr>
              <w:t>符合</w:t>
            </w:r>
          </w:p>
        </w:tc>
      </w:tr>
      <w:tr w14:paraId="04DBF0C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67" w:hRule="atLeast"/>
          <w:jc w:val="center"/>
        </w:trPr>
        <w:tc>
          <w:tcPr>
            <w:tcW w:w="546" w:type="dxa"/>
            <w:tcBorders>
              <w:top w:val="single" w:color="auto" w:sz="4" w:space="0"/>
              <w:left w:val="single" w:color="auto" w:sz="4" w:space="0"/>
              <w:bottom w:val="single" w:color="auto" w:sz="4" w:space="0"/>
              <w:right w:val="single" w:color="auto" w:sz="4" w:space="0"/>
            </w:tcBorders>
            <w:noWrap w:val="0"/>
            <w:vAlign w:val="center"/>
          </w:tcPr>
          <w:p w14:paraId="0AF3615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kern w:val="0"/>
                <w:sz w:val="21"/>
                <w:szCs w:val="21"/>
              </w:rPr>
            </w:pPr>
            <w:r>
              <w:rPr>
                <w:color w:val="000000"/>
                <w:kern w:val="0"/>
                <w:sz w:val="21"/>
                <w:szCs w:val="21"/>
                <w:lang w:bidi="ar"/>
              </w:rPr>
              <w:t>5</w:t>
            </w:r>
          </w:p>
        </w:tc>
        <w:tc>
          <w:tcPr>
            <w:tcW w:w="2622" w:type="dxa"/>
            <w:tcBorders>
              <w:top w:val="single" w:color="auto" w:sz="4" w:space="0"/>
              <w:left w:val="single" w:color="auto" w:sz="4" w:space="0"/>
              <w:bottom w:val="single" w:color="auto" w:sz="4" w:space="0"/>
              <w:right w:val="single" w:color="auto" w:sz="4" w:space="0"/>
            </w:tcBorders>
            <w:noWrap w:val="0"/>
            <w:vAlign w:val="center"/>
          </w:tcPr>
          <w:p w14:paraId="1C247FE0">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kern w:val="0"/>
                <w:sz w:val="21"/>
                <w:szCs w:val="21"/>
              </w:rPr>
            </w:pPr>
            <w:r>
              <w:rPr>
                <w:bCs/>
                <w:color w:val="000000"/>
                <w:sz w:val="21"/>
                <w:szCs w:val="21"/>
                <w:lang w:bidi="ar"/>
              </w:rPr>
              <w:t>已经通过安全条件审查的建设项目有下列情形之一的，建设单位应当重新进行安全评价，并申请审查：（一）建设项目周边条件发生重大变化的；（二）变更建设地址的；（三）主要技术、工艺路线、产品方案或者装置规模发生重大变化的；（四）建设项目在安全条件审查意见书有效期内未开工建设，期限届满后需要开工建设的。</w:t>
            </w:r>
          </w:p>
        </w:tc>
        <w:tc>
          <w:tcPr>
            <w:tcW w:w="2185" w:type="dxa"/>
            <w:tcBorders>
              <w:top w:val="single" w:color="auto" w:sz="4" w:space="0"/>
              <w:left w:val="single" w:color="auto" w:sz="4" w:space="0"/>
              <w:bottom w:val="single" w:color="auto" w:sz="4" w:space="0"/>
              <w:right w:val="single" w:color="auto" w:sz="4" w:space="0"/>
            </w:tcBorders>
            <w:noWrap w:val="0"/>
            <w:vAlign w:val="center"/>
          </w:tcPr>
          <w:p w14:paraId="3E028AE8">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kern w:val="0"/>
                <w:sz w:val="21"/>
                <w:szCs w:val="21"/>
              </w:rPr>
            </w:pPr>
            <w:r>
              <w:rPr>
                <w:color w:val="000000"/>
                <w:sz w:val="21"/>
                <w:szCs w:val="21"/>
                <w:lang w:bidi="ar"/>
              </w:rPr>
              <w:t>《危险化学品建设项目安全监督管理办法》（2011年8月5日国家安全监管总局令第45号公布根据2015年5月27日国家安全监管总局令第79号修正）第十四条</w:t>
            </w:r>
          </w:p>
        </w:tc>
        <w:tc>
          <w:tcPr>
            <w:tcW w:w="3260" w:type="dxa"/>
            <w:tcBorders>
              <w:top w:val="single" w:color="auto" w:sz="4" w:space="0"/>
              <w:left w:val="single" w:color="auto" w:sz="4" w:space="0"/>
              <w:bottom w:val="single" w:color="auto" w:sz="4" w:space="0"/>
              <w:right w:val="single" w:color="auto" w:sz="4" w:space="0"/>
            </w:tcBorders>
            <w:noWrap w:val="0"/>
            <w:vAlign w:val="center"/>
          </w:tcPr>
          <w:p w14:paraId="5EE5619A">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r>
              <w:rPr>
                <w:color w:val="000000"/>
                <w:sz w:val="21"/>
                <w:szCs w:val="21"/>
                <w:lang w:bidi="ar"/>
              </w:rPr>
              <w:t>该项目建设过程中，</w:t>
            </w:r>
            <w:r>
              <w:rPr>
                <w:bCs/>
                <w:color w:val="000000"/>
                <w:sz w:val="21"/>
                <w:szCs w:val="21"/>
                <w:lang w:bidi="ar"/>
              </w:rPr>
              <w:t>建设项目周边条件未发生重大变化、建设地址未变更、主要技术、工艺路线、产品方案或者装置规模未发生重大变化</w:t>
            </w:r>
            <w:r>
              <w:rPr>
                <w:color w:val="000000"/>
                <w:sz w:val="21"/>
                <w:szCs w:val="21"/>
                <w:lang w:bidi="ar"/>
              </w:rPr>
              <w:t>。</w:t>
            </w:r>
          </w:p>
        </w:tc>
        <w:tc>
          <w:tcPr>
            <w:tcW w:w="787" w:type="dxa"/>
            <w:tcBorders>
              <w:top w:val="single" w:color="auto" w:sz="4" w:space="0"/>
              <w:left w:val="single" w:color="auto" w:sz="4" w:space="0"/>
              <w:bottom w:val="single" w:color="auto" w:sz="4" w:space="0"/>
              <w:right w:val="single" w:color="auto" w:sz="4" w:space="0"/>
            </w:tcBorders>
            <w:noWrap w:val="0"/>
            <w:vAlign w:val="center"/>
          </w:tcPr>
          <w:p w14:paraId="2F83C63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lang w:bidi="ar"/>
              </w:rPr>
              <w:t>符合</w:t>
            </w:r>
          </w:p>
        </w:tc>
      </w:tr>
      <w:tr w14:paraId="0E55644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67" w:hRule="atLeast"/>
          <w:jc w:val="center"/>
        </w:trPr>
        <w:tc>
          <w:tcPr>
            <w:tcW w:w="546" w:type="dxa"/>
            <w:tcBorders>
              <w:top w:val="single" w:color="auto" w:sz="4" w:space="0"/>
              <w:left w:val="single" w:color="auto" w:sz="4" w:space="0"/>
              <w:bottom w:val="single" w:color="auto" w:sz="4" w:space="0"/>
              <w:right w:val="single" w:color="auto" w:sz="4" w:space="0"/>
            </w:tcBorders>
            <w:noWrap w:val="0"/>
            <w:vAlign w:val="center"/>
          </w:tcPr>
          <w:p w14:paraId="7A25666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lang w:bidi="ar"/>
              </w:rPr>
              <w:t>6</w:t>
            </w:r>
          </w:p>
        </w:tc>
        <w:tc>
          <w:tcPr>
            <w:tcW w:w="2622" w:type="dxa"/>
            <w:tcBorders>
              <w:top w:val="single" w:color="auto" w:sz="4" w:space="0"/>
              <w:left w:val="single" w:color="auto" w:sz="4" w:space="0"/>
              <w:bottom w:val="single" w:color="auto" w:sz="4" w:space="0"/>
              <w:right w:val="single" w:color="auto" w:sz="4" w:space="0"/>
            </w:tcBorders>
            <w:noWrap w:val="0"/>
            <w:vAlign w:val="center"/>
          </w:tcPr>
          <w:p w14:paraId="333E95EC">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r>
              <w:rPr>
                <w:color w:val="000000"/>
                <w:sz w:val="21"/>
                <w:szCs w:val="21"/>
                <w:lang w:bidi="ar"/>
              </w:rPr>
              <w:t>设计单位应当根据有关安全生产的法律、法规、规章和国家标准、行业标准以及建设项目安全条件审查意见书，按照《化工建设项目安全设计管理导则》（AQ/T3033），对建设项目安全设施进行设计，并编制建设项目安全设施设计专篇。建设项目安全设施设计专篇应当符合《危险化学品建设项目安全设施设计专篇编制导则》的要求。</w:t>
            </w:r>
          </w:p>
        </w:tc>
        <w:tc>
          <w:tcPr>
            <w:tcW w:w="2185" w:type="dxa"/>
            <w:tcBorders>
              <w:top w:val="single" w:color="auto" w:sz="4" w:space="0"/>
              <w:left w:val="single" w:color="auto" w:sz="4" w:space="0"/>
              <w:bottom w:val="single" w:color="auto" w:sz="4" w:space="0"/>
              <w:right w:val="single" w:color="auto" w:sz="4" w:space="0"/>
            </w:tcBorders>
            <w:noWrap w:val="0"/>
            <w:vAlign w:val="center"/>
          </w:tcPr>
          <w:p w14:paraId="19EEBD52">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r>
              <w:rPr>
                <w:color w:val="000000"/>
                <w:sz w:val="21"/>
                <w:szCs w:val="21"/>
                <w:lang w:bidi="ar"/>
              </w:rPr>
              <w:t>《危险化学品建设项目安全监督管理办法》（</w:t>
            </w:r>
            <w:r>
              <w:rPr>
                <w:color w:val="000000"/>
                <w:kern w:val="0"/>
                <w:sz w:val="21"/>
                <w:szCs w:val="21"/>
                <w:lang w:bidi="ar"/>
              </w:rPr>
              <w:t>2012年1月30日国家安全监管总局令第45号公布，根据2015年5月27日国家安全监管总局令第79号修正</w:t>
            </w:r>
            <w:r>
              <w:rPr>
                <w:color w:val="000000"/>
                <w:sz w:val="21"/>
                <w:szCs w:val="21"/>
                <w:lang w:bidi="ar"/>
              </w:rPr>
              <w:t>）</w:t>
            </w:r>
          </w:p>
          <w:p w14:paraId="1666454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lang w:bidi="ar"/>
              </w:rPr>
              <w:t>第十五条</w:t>
            </w:r>
          </w:p>
        </w:tc>
        <w:tc>
          <w:tcPr>
            <w:tcW w:w="3260" w:type="dxa"/>
            <w:tcBorders>
              <w:top w:val="single" w:color="auto" w:sz="4" w:space="0"/>
              <w:left w:val="single" w:color="auto" w:sz="4" w:space="0"/>
              <w:bottom w:val="single" w:color="auto" w:sz="4" w:space="0"/>
              <w:right w:val="single" w:color="auto" w:sz="4" w:space="0"/>
            </w:tcBorders>
            <w:noWrap w:val="0"/>
            <w:vAlign w:val="center"/>
          </w:tcPr>
          <w:p w14:paraId="4D26BB39">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r>
              <w:rPr>
                <w:color w:val="000000"/>
                <w:sz w:val="21"/>
                <w:szCs w:val="21"/>
                <w:lang w:bidi="ar"/>
              </w:rPr>
              <w:t>该项目的安全设施设计专篇的编制符合要求，已经</w:t>
            </w:r>
            <w:r>
              <w:rPr>
                <w:rFonts w:hint="eastAsia"/>
                <w:color w:val="000000"/>
                <w:sz w:val="21"/>
                <w:szCs w:val="21"/>
                <w:lang w:bidi="ar"/>
              </w:rPr>
              <w:t>专家</w:t>
            </w:r>
            <w:r>
              <w:rPr>
                <w:color w:val="000000"/>
                <w:sz w:val="21"/>
                <w:szCs w:val="21"/>
                <w:lang w:bidi="ar"/>
              </w:rPr>
              <w:t>审查</w:t>
            </w:r>
            <w:r>
              <w:rPr>
                <w:rFonts w:hint="eastAsia"/>
                <w:color w:val="000000"/>
                <w:sz w:val="21"/>
                <w:szCs w:val="21"/>
                <w:lang w:bidi="ar"/>
              </w:rPr>
              <w:t>通过</w:t>
            </w:r>
            <w:r>
              <w:rPr>
                <w:color w:val="000000"/>
                <w:sz w:val="21"/>
                <w:szCs w:val="21"/>
                <w:lang w:bidi="ar"/>
              </w:rPr>
              <w:t>。</w:t>
            </w:r>
          </w:p>
        </w:tc>
        <w:tc>
          <w:tcPr>
            <w:tcW w:w="787" w:type="dxa"/>
            <w:tcBorders>
              <w:top w:val="single" w:color="auto" w:sz="4" w:space="0"/>
              <w:left w:val="single" w:color="auto" w:sz="4" w:space="0"/>
              <w:bottom w:val="single" w:color="auto" w:sz="4" w:space="0"/>
              <w:right w:val="single" w:color="auto" w:sz="4" w:space="0"/>
            </w:tcBorders>
            <w:noWrap w:val="0"/>
            <w:vAlign w:val="center"/>
          </w:tcPr>
          <w:p w14:paraId="33BD9F6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lang w:bidi="ar"/>
              </w:rPr>
              <w:t>符合</w:t>
            </w:r>
          </w:p>
        </w:tc>
      </w:tr>
      <w:tr w14:paraId="58EC2D2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67" w:hRule="atLeast"/>
          <w:jc w:val="center"/>
        </w:trPr>
        <w:tc>
          <w:tcPr>
            <w:tcW w:w="546" w:type="dxa"/>
            <w:tcBorders>
              <w:top w:val="single" w:color="auto" w:sz="4" w:space="0"/>
              <w:left w:val="single" w:color="auto" w:sz="4" w:space="0"/>
              <w:bottom w:val="single" w:color="auto" w:sz="4" w:space="0"/>
              <w:right w:val="single" w:color="auto" w:sz="4" w:space="0"/>
            </w:tcBorders>
            <w:noWrap w:val="0"/>
            <w:vAlign w:val="center"/>
          </w:tcPr>
          <w:p w14:paraId="7B6C9D3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lang w:bidi="ar"/>
              </w:rPr>
              <w:t>7</w:t>
            </w:r>
          </w:p>
        </w:tc>
        <w:tc>
          <w:tcPr>
            <w:tcW w:w="2622" w:type="dxa"/>
            <w:tcBorders>
              <w:top w:val="single" w:color="auto" w:sz="4" w:space="0"/>
              <w:left w:val="single" w:color="auto" w:sz="4" w:space="0"/>
              <w:bottom w:val="single" w:color="auto" w:sz="4" w:space="0"/>
              <w:right w:val="single" w:color="auto" w:sz="4" w:space="0"/>
            </w:tcBorders>
            <w:noWrap w:val="0"/>
            <w:vAlign w:val="center"/>
          </w:tcPr>
          <w:p w14:paraId="74781CEB">
            <w:pPr>
              <w:keepNext w:val="0"/>
              <w:keepLines w:val="0"/>
              <w:pageBreakBefore w:val="0"/>
              <w:widowControl w:val="0"/>
              <w:kinsoku/>
              <w:wordWrap/>
              <w:overflowPunct/>
              <w:topLinePunct w:val="0"/>
              <w:autoSpaceDE/>
              <w:autoSpaceDN/>
              <w:bidi w:val="0"/>
              <w:adjustRightInd/>
              <w:snapToGrid w:val="0"/>
              <w:spacing w:line="240" w:lineRule="auto"/>
              <w:textAlignment w:val="auto"/>
              <w:rPr>
                <w:bCs/>
                <w:color w:val="000000"/>
                <w:sz w:val="21"/>
                <w:szCs w:val="21"/>
              </w:rPr>
            </w:pPr>
            <w:r>
              <w:rPr>
                <w:bCs/>
                <w:color w:val="000000"/>
                <w:sz w:val="21"/>
                <w:szCs w:val="21"/>
                <w:lang w:bidi="ar"/>
              </w:rPr>
              <w:t>建设单位应当在建设项目初步设计完成后、详细设计开始前，向出具建设项目安全条件审查意见书的安全生产监督管理部门申请建设项目安全设施设计审查。</w:t>
            </w:r>
          </w:p>
        </w:tc>
        <w:tc>
          <w:tcPr>
            <w:tcW w:w="2185" w:type="dxa"/>
            <w:tcBorders>
              <w:top w:val="single" w:color="auto" w:sz="4" w:space="0"/>
              <w:left w:val="single" w:color="auto" w:sz="4" w:space="0"/>
              <w:bottom w:val="single" w:color="auto" w:sz="4" w:space="0"/>
              <w:right w:val="single" w:color="auto" w:sz="4" w:space="0"/>
            </w:tcBorders>
            <w:noWrap w:val="0"/>
            <w:vAlign w:val="center"/>
          </w:tcPr>
          <w:p w14:paraId="3F319902">
            <w:pPr>
              <w:keepNext w:val="0"/>
              <w:keepLines w:val="0"/>
              <w:pageBreakBefore w:val="0"/>
              <w:widowControl w:val="0"/>
              <w:kinsoku/>
              <w:wordWrap/>
              <w:overflowPunct/>
              <w:topLinePunct w:val="0"/>
              <w:autoSpaceDE/>
              <w:autoSpaceDN/>
              <w:bidi w:val="0"/>
              <w:adjustRightInd/>
              <w:snapToGrid w:val="0"/>
              <w:spacing w:line="240" w:lineRule="auto"/>
              <w:textAlignment w:val="auto"/>
              <w:rPr>
                <w:bCs/>
                <w:color w:val="000000"/>
                <w:sz w:val="21"/>
                <w:szCs w:val="21"/>
              </w:rPr>
            </w:pPr>
            <w:r>
              <w:rPr>
                <w:bCs/>
                <w:color w:val="000000"/>
                <w:sz w:val="21"/>
                <w:szCs w:val="21"/>
                <w:lang w:bidi="ar"/>
              </w:rPr>
              <w:t>《危险化学品建设项目安全监督管理办法》（</w:t>
            </w:r>
            <w:r>
              <w:rPr>
                <w:color w:val="000000"/>
                <w:sz w:val="21"/>
                <w:szCs w:val="21"/>
                <w:lang w:bidi="ar"/>
              </w:rPr>
              <w:t>2011年8月5日国家安全监管总局令第45号公布根据2015年5月27日国家安全监管总局令第79号修正</w:t>
            </w:r>
            <w:r>
              <w:rPr>
                <w:bCs/>
                <w:color w:val="000000"/>
                <w:sz w:val="21"/>
                <w:szCs w:val="21"/>
                <w:lang w:bidi="ar"/>
              </w:rPr>
              <w:t>）</w:t>
            </w:r>
          </w:p>
          <w:p w14:paraId="063BEFF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000000"/>
                <w:sz w:val="21"/>
                <w:szCs w:val="21"/>
              </w:rPr>
            </w:pPr>
            <w:r>
              <w:rPr>
                <w:bCs/>
                <w:color w:val="000000"/>
                <w:sz w:val="21"/>
                <w:szCs w:val="21"/>
                <w:lang w:bidi="ar"/>
              </w:rPr>
              <w:t>第十六条</w:t>
            </w:r>
          </w:p>
        </w:tc>
        <w:tc>
          <w:tcPr>
            <w:tcW w:w="3260" w:type="dxa"/>
            <w:tcBorders>
              <w:top w:val="single" w:color="auto" w:sz="4" w:space="0"/>
              <w:left w:val="single" w:color="auto" w:sz="4" w:space="0"/>
              <w:bottom w:val="single" w:color="auto" w:sz="4" w:space="0"/>
              <w:right w:val="single" w:color="auto" w:sz="4" w:space="0"/>
            </w:tcBorders>
            <w:noWrap w:val="0"/>
            <w:vAlign w:val="center"/>
          </w:tcPr>
          <w:p w14:paraId="7143D12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Times New Roman" w:eastAsia="宋体" w:cs="宋体"/>
                <w:color w:val="000000"/>
                <w:sz w:val="21"/>
                <w:szCs w:val="21"/>
                <w:lang w:bidi="ar"/>
              </w:rPr>
            </w:pPr>
            <w:r>
              <w:rPr>
                <w:rFonts w:ascii="宋体" w:hAnsi="Times New Roman" w:eastAsia="宋体" w:cs="宋体"/>
                <w:color w:val="000000"/>
                <w:sz w:val="21"/>
                <w:szCs w:val="21"/>
                <w:lang w:bidi="ar"/>
              </w:rPr>
              <w:t>该项目已</w:t>
            </w:r>
            <w:r>
              <w:rPr>
                <w:rFonts w:hint="eastAsia" w:ascii="宋体" w:hAnsi="Times New Roman" w:eastAsia="宋体" w:cs="宋体"/>
                <w:color w:val="000000"/>
                <w:sz w:val="21"/>
                <w:szCs w:val="21"/>
                <w:lang w:bidi="ar"/>
              </w:rPr>
              <w:t>通过</w:t>
            </w:r>
            <w:r>
              <w:rPr>
                <w:rFonts w:ascii="宋体" w:hAnsi="Times New Roman" w:eastAsia="宋体" w:cs="宋体"/>
                <w:color w:val="000000"/>
                <w:sz w:val="21"/>
                <w:szCs w:val="21"/>
                <w:lang w:bidi="ar"/>
              </w:rPr>
              <w:t>安全设施设计</w:t>
            </w:r>
            <w:r>
              <w:rPr>
                <w:rFonts w:hint="eastAsia" w:ascii="宋体" w:hAnsi="Times New Roman" w:eastAsia="宋体" w:cs="宋体"/>
                <w:color w:val="000000"/>
                <w:sz w:val="21"/>
                <w:szCs w:val="21"/>
                <w:lang w:bidi="ar"/>
              </w:rPr>
              <w:t>审查，于2024年</w:t>
            </w:r>
            <w:r>
              <w:rPr>
                <w:rFonts w:hint="eastAsia" w:ascii="宋体" w:hAnsi="Times New Roman" w:eastAsia="宋体" w:cs="宋体"/>
                <w:color w:val="000000"/>
                <w:sz w:val="21"/>
                <w:szCs w:val="21"/>
                <w:lang w:val="en-US" w:eastAsia="zh-CN" w:bidi="ar"/>
              </w:rPr>
              <w:t>11</w:t>
            </w:r>
            <w:r>
              <w:rPr>
                <w:rFonts w:hint="eastAsia" w:ascii="宋体" w:hAnsi="Times New Roman" w:eastAsia="宋体" w:cs="宋体"/>
                <w:color w:val="000000"/>
                <w:sz w:val="21"/>
                <w:szCs w:val="21"/>
                <w:lang w:bidi="ar"/>
              </w:rPr>
              <w:t>月</w:t>
            </w:r>
            <w:r>
              <w:rPr>
                <w:rFonts w:hint="eastAsia" w:ascii="宋体" w:hAnsi="Times New Roman" w:eastAsia="宋体" w:cs="宋体"/>
                <w:color w:val="000000"/>
                <w:sz w:val="21"/>
                <w:szCs w:val="21"/>
                <w:lang w:val="en-US" w:eastAsia="zh-CN" w:bidi="ar"/>
              </w:rPr>
              <w:t>04</w:t>
            </w:r>
            <w:r>
              <w:rPr>
                <w:rFonts w:hint="eastAsia" w:ascii="宋体" w:hAnsi="Times New Roman" w:eastAsia="宋体" w:cs="宋体"/>
                <w:color w:val="000000"/>
                <w:sz w:val="21"/>
                <w:szCs w:val="21"/>
                <w:lang w:bidi="ar"/>
              </w:rPr>
              <w:t>日取得昆明市应急管理局出具的《危险化学品建设项目安全设施设计审查意见书》（昆危化项目安设审字[2024]0</w:t>
            </w:r>
            <w:r>
              <w:rPr>
                <w:rFonts w:hint="eastAsia" w:ascii="宋体" w:hAnsi="Times New Roman" w:eastAsia="宋体" w:cs="宋体"/>
                <w:color w:val="000000"/>
                <w:sz w:val="21"/>
                <w:szCs w:val="21"/>
                <w:lang w:val="en-US" w:eastAsia="zh-CN" w:bidi="ar"/>
              </w:rPr>
              <w:t>9</w:t>
            </w:r>
            <w:r>
              <w:rPr>
                <w:rFonts w:hint="eastAsia" w:ascii="宋体" w:hAnsi="Times New Roman" w:eastAsia="宋体" w:cs="宋体"/>
                <w:color w:val="000000"/>
                <w:sz w:val="21"/>
                <w:szCs w:val="21"/>
                <w:lang w:bidi="ar"/>
              </w:rPr>
              <w:t>号）。</w:t>
            </w:r>
          </w:p>
        </w:tc>
        <w:tc>
          <w:tcPr>
            <w:tcW w:w="787" w:type="dxa"/>
            <w:tcBorders>
              <w:top w:val="single" w:color="auto" w:sz="4" w:space="0"/>
              <w:left w:val="single" w:color="auto" w:sz="4" w:space="0"/>
              <w:bottom w:val="single" w:color="auto" w:sz="4" w:space="0"/>
              <w:right w:val="single" w:color="auto" w:sz="4" w:space="0"/>
            </w:tcBorders>
            <w:noWrap w:val="0"/>
            <w:vAlign w:val="center"/>
          </w:tcPr>
          <w:p w14:paraId="069AD69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Times New Roman" w:eastAsia="宋体" w:cs="宋体"/>
                <w:color w:val="000000"/>
                <w:sz w:val="21"/>
                <w:szCs w:val="21"/>
                <w:lang w:bidi="ar"/>
              </w:rPr>
            </w:pPr>
            <w:r>
              <w:rPr>
                <w:rFonts w:ascii="宋体" w:hAnsi="Times New Roman" w:eastAsia="宋体" w:cs="宋体"/>
                <w:color w:val="000000"/>
                <w:sz w:val="21"/>
                <w:szCs w:val="21"/>
                <w:lang w:bidi="ar"/>
              </w:rPr>
              <w:t>符合</w:t>
            </w:r>
          </w:p>
        </w:tc>
      </w:tr>
      <w:tr w14:paraId="2C1497B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67" w:hRule="atLeast"/>
          <w:jc w:val="center"/>
        </w:trPr>
        <w:tc>
          <w:tcPr>
            <w:tcW w:w="546" w:type="dxa"/>
            <w:tcBorders>
              <w:top w:val="single" w:color="auto" w:sz="4" w:space="0"/>
              <w:left w:val="single" w:color="auto" w:sz="4" w:space="0"/>
              <w:bottom w:val="single" w:color="auto" w:sz="4" w:space="0"/>
              <w:right w:val="single" w:color="auto" w:sz="4" w:space="0"/>
            </w:tcBorders>
            <w:noWrap w:val="0"/>
            <w:vAlign w:val="center"/>
          </w:tcPr>
          <w:p w14:paraId="712ECDA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lang w:bidi="ar"/>
              </w:rPr>
              <w:t>8</w:t>
            </w:r>
          </w:p>
        </w:tc>
        <w:tc>
          <w:tcPr>
            <w:tcW w:w="2622" w:type="dxa"/>
            <w:tcBorders>
              <w:top w:val="single" w:color="auto" w:sz="4" w:space="0"/>
              <w:left w:val="single" w:color="auto" w:sz="4" w:space="0"/>
              <w:bottom w:val="single" w:color="auto" w:sz="4" w:space="0"/>
              <w:right w:val="single" w:color="auto" w:sz="4" w:space="0"/>
            </w:tcBorders>
            <w:noWrap w:val="0"/>
            <w:vAlign w:val="center"/>
          </w:tcPr>
          <w:p w14:paraId="13DF46B3">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r>
              <w:rPr>
                <w:color w:val="000000"/>
                <w:kern w:val="0"/>
                <w:sz w:val="21"/>
                <w:szCs w:val="21"/>
                <w:lang w:bidi="ar"/>
              </w:rPr>
              <w:t>建设项目安全设施施工完成后，建设单位应当按照有关安全生产法律、法规、规章和国家标准、行业标准的规定，对建设项目安全设施进行检验、检测，保证建设项目安全设施满足危险化学品生产、储存的安全要求，并处于正常适用状态</w:t>
            </w:r>
            <w:r>
              <w:rPr>
                <w:color w:val="000000"/>
                <w:sz w:val="21"/>
                <w:szCs w:val="21"/>
                <w:lang w:bidi="ar"/>
              </w:rPr>
              <w:t>。</w:t>
            </w:r>
          </w:p>
        </w:tc>
        <w:tc>
          <w:tcPr>
            <w:tcW w:w="2185" w:type="dxa"/>
            <w:tcBorders>
              <w:top w:val="single" w:color="auto" w:sz="4" w:space="0"/>
              <w:left w:val="single" w:color="auto" w:sz="4" w:space="0"/>
              <w:bottom w:val="single" w:color="auto" w:sz="4" w:space="0"/>
              <w:right w:val="single" w:color="auto" w:sz="4" w:space="0"/>
            </w:tcBorders>
            <w:noWrap w:val="0"/>
            <w:vAlign w:val="center"/>
          </w:tcPr>
          <w:p w14:paraId="69140F5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lang w:bidi="ar"/>
              </w:rPr>
              <w:t>《危险化学品建设项目安全监督管理办法》（</w:t>
            </w:r>
            <w:r>
              <w:rPr>
                <w:color w:val="000000"/>
                <w:kern w:val="0"/>
                <w:sz w:val="21"/>
                <w:szCs w:val="21"/>
                <w:lang w:bidi="ar"/>
              </w:rPr>
              <w:t>2012年1月30日国家安全监管总局令第45号公布，根据2015年5月27日国家安全监管总局令第79号修正</w:t>
            </w:r>
            <w:r>
              <w:rPr>
                <w:color w:val="000000"/>
                <w:sz w:val="21"/>
                <w:szCs w:val="21"/>
                <w:lang w:bidi="ar"/>
              </w:rPr>
              <w:t>）</w:t>
            </w:r>
          </w:p>
          <w:p w14:paraId="37ECB13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kern w:val="0"/>
                <w:sz w:val="21"/>
                <w:szCs w:val="21"/>
              </w:rPr>
            </w:pPr>
            <w:r>
              <w:rPr>
                <w:color w:val="000000"/>
                <w:sz w:val="21"/>
                <w:szCs w:val="21"/>
                <w:lang w:bidi="ar"/>
              </w:rPr>
              <w:t>第二十一条</w:t>
            </w:r>
          </w:p>
        </w:tc>
        <w:tc>
          <w:tcPr>
            <w:tcW w:w="3260" w:type="dxa"/>
            <w:tcBorders>
              <w:top w:val="single" w:color="auto" w:sz="4" w:space="0"/>
              <w:left w:val="single" w:color="auto" w:sz="4" w:space="0"/>
              <w:bottom w:val="single" w:color="auto" w:sz="4" w:space="0"/>
              <w:right w:val="single" w:color="auto" w:sz="4" w:space="0"/>
            </w:tcBorders>
            <w:noWrap w:val="0"/>
            <w:vAlign w:val="center"/>
          </w:tcPr>
          <w:p w14:paraId="26FC2902">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r>
              <w:rPr>
                <w:color w:val="000000"/>
                <w:sz w:val="21"/>
                <w:szCs w:val="21"/>
                <w:lang w:bidi="ar"/>
              </w:rPr>
              <w:t>该项目竣工后，对</w:t>
            </w:r>
            <w:r>
              <w:rPr>
                <w:rFonts w:hint="eastAsia"/>
                <w:color w:val="000000"/>
                <w:sz w:val="21"/>
                <w:szCs w:val="21"/>
                <w:lang w:bidi="ar"/>
              </w:rPr>
              <w:t>管道</w:t>
            </w:r>
            <w:r>
              <w:rPr>
                <w:color w:val="000000"/>
                <w:sz w:val="21"/>
                <w:szCs w:val="21"/>
                <w:lang w:bidi="ar"/>
              </w:rPr>
              <w:t>进行</w:t>
            </w:r>
            <w:r>
              <w:rPr>
                <w:rFonts w:hint="eastAsia"/>
                <w:color w:val="000000"/>
                <w:sz w:val="21"/>
                <w:szCs w:val="21"/>
                <w:lang w:bidi="ar"/>
              </w:rPr>
              <w:t>压力</w:t>
            </w:r>
            <w:r>
              <w:rPr>
                <w:color w:val="000000"/>
                <w:sz w:val="21"/>
                <w:szCs w:val="21"/>
                <w:lang w:bidi="ar"/>
              </w:rPr>
              <w:t>、</w:t>
            </w:r>
            <w:r>
              <w:rPr>
                <w:rFonts w:hint="eastAsia"/>
                <w:color w:val="000000"/>
                <w:sz w:val="21"/>
                <w:szCs w:val="21"/>
                <w:lang w:bidi="ar"/>
              </w:rPr>
              <w:t>严密性</w:t>
            </w:r>
            <w:r>
              <w:rPr>
                <w:color w:val="000000"/>
                <w:sz w:val="21"/>
                <w:szCs w:val="21"/>
                <w:lang w:bidi="ar"/>
              </w:rPr>
              <w:t>等测试和检验合格。</w:t>
            </w:r>
          </w:p>
        </w:tc>
        <w:tc>
          <w:tcPr>
            <w:tcW w:w="787" w:type="dxa"/>
            <w:tcBorders>
              <w:top w:val="single" w:color="auto" w:sz="4" w:space="0"/>
              <w:left w:val="single" w:color="auto" w:sz="4" w:space="0"/>
              <w:bottom w:val="single" w:color="auto" w:sz="4" w:space="0"/>
              <w:right w:val="single" w:color="auto" w:sz="4" w:space="0"/>
            </w:tcBorders>
            <w:noWrap w:val="0"/>
            <w:vAlign w:val="center"/>
          </w:tcPr>
          <w:p w14:paraId="5AC8E50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lang w:bidi="ar"/>
              </w:rPr>
              <w:t>符合</w:t>
            </w:r>
          </w:p>
        </w:tc>
      </w:tr>
      <w:tr w14:paraId="0F01F65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67" w:hRule="atLeast"/>
          <w:jc w:val="center"/>
        </w:trPr>
        <w:tc>
          <w:tcPr>
            <w:tcW w:w="546" w:type="dxa"/>
            <w:tcBorders>
              <w:top w:val="single" w:color="auto" w:sz="4" w:space="0"/>
              <w:left w:val="single" w:color="auto" w:sz="4" w:space="0"/>
              <w:bottom w:val="single" w:color="auto" w:sz="4" w:space="0"/>
              <w:right w:val="single" w:color="auto" w:sz="4" w:space="0"/>
            </w:tcBorders>
            <w:noWrap w:val="0"/>
            <w:vAlign w:val="center"/>
          </w:tcPr>
          <w:p w14:paraId="1837E3D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lang w:bidi="ar"/>
              </w:rPr>
              <w:t>9</w:t>
            </w:r>
          </w:p>
        </w:tc>
        <w:tc>
          <w:tcPr>
            <w:tcW w:w="2622" w:type="dxa"/>
            <w:tcBorders>
              <w:top w:val="single" w:color="auto" w:sz="4" w:space="0"/>
              <w:left w:val="single" w:color="auto" w:sz="4" w:space="0"/>
              <w:bottom w:val="single" w:color="auto" w:sz="4" w:space="0"/>
              <w:right w:val="single" w:color="auto" w:sz="4" w:space="0"/>
            </w:tcBorders>
            <w:noWrap w:val="0"/>
            <w:vAlign w:val="center"/>
          </w:tcPr>
          <w:p w14:paraId="090451CD">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kern w:val="0"/>
                <w:sz w:val="21"/>
                <w:szCs w:val="21"/>
              </w:rPr>
            </w:pPr>
            <w:r>
              <w:rPr>
                <w:color w:val="000000"/>
                <w:kern w:val="0"/>
                <w:sz w:val="21"/>
                <w:szCs w:val="21"/>
                <w:lang w:bidi="ar"/>
              </w:rPr>
              <w:t>建设单位应当组织建设项目的设计、施工、监理等有关单位和专家，研究提出建设项目试生产（使用）（以下简称试生产〈使用〉）可能出现的安全问题及对策，并按照有关安全生产法律、法规、规章和国家标准、行业标准的规定，制定周密的试生产（使用）方案</w:t>
            </w:r>
          </w:p>
        </w:tc>
        <w:tc>
          <w:tcPr>
            <w:tcW w:w="2185" w:type="dxa"/>
            <w:tcBorders>
              <w:top w:val="single" w:color="auto" w:sz="4" w:space="0"/>
              <w:left w:val="single" w:color="auto" w:sz="4" w:space="0"/>
              <w:bottom w:val="single" w:color="auto" w:sz="4" w:space="0"/>
              <w:right w:val="single" w:color="auto" w:sz="4" w:space="0"/>
            </w:tcBorders>
            <w:noWrap w:val="0"/>
            <w:vAlign w:val="center"/>
          </w:tcPr>
          <w:p w14:paraId="1A26BA5D">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kern w:val="0"/>
                <w:sz w:val="21"/>
                <w:szCs w:val="21"/>
              </w:rPr>
            </w:pPr>
            <w:r>
              <w:rPr>
                <w:color w:val="000000"/>
                <w:kern w:val="0"/>
                <w:sz w:val="21"/>
                <w:szCs w:val="21"/>
                <w:lang w:bidi="ar"/>
              </w:rPr>
              <w:t>《危险化学品建设项目安全监督管理办法》（2011年8月5日国家安全监管总局令第45号公布根据2015年5月27日国家安全监管总局令第79号修正）</w:t>
            </w:r>
          </w:p>
          <w:p w14:paraId="0C23892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kern w:val="0"/>
                <w:sz w:val="21"/>
                <w:szCs w:val="21"/>
              </w:rPr>
            </w:pPr>
            <w:r>
              <w:rPr>
                <w:color w:val="000000"/>
                <w:kern w:val="0"/>
                <w:sz w:val="21"/>
                <w:szCs w:val="21"/>
                <w:lang w:bidi="ar"/>
              </w:rPr>
              <w:t>第二十二条</w:t>
            </w:r>
          </w:p>
        </w:tc>
        <w:tc>
          <w:tcPr>
            <w:tcW w:w="3260" w:type="dxa"/>
            <w:tcBorders>
              <w:top w:val="single" w:color="auto" w:sz="4" w:space="0"/>
              <w:left w:val="single" w:color="auto" w:sz="4" w:space="0"/>
              <w:bottom w:val="single" w:color="auto" w:sz="4" w:space="0"/>
              <w:right w:val="single" w:color="auto" w:sz="4" w:space="0"/>
            </w:tcBorders>
            <w:noWrap w:val="0"/>
            <w:vAlign w:val="center"/>
          </w:tcPr>
          <w:p w14:paraId="3F2CC132">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kern w:val="0"/>
                <w:sz w:val="21"/>
                <w:szCs w:val="21"/>
              </w:rPr>
            </w:pPr>
            <w:r>
              <w:rPr>
                <w:color w:val="000000"/>
                <w:kern w:val="0"/>
                <w:sz w:val="21"/>
                <w:szCs w:val="21"/>
                <w:lang w:bidi="ar"/>
              </w:rPr>
              <w:t>该项目竣工后，根据项目的实际情况编制了</w:t>
            </w:r>
            <w:r>
              <w:rPr>
                <w:rFonts w:hint="eastAsia"/>
                <w:color w:val="000000"/>
                <w:kern w:val="0"/>
                <w:sz w:val="21"/>
                <w:szCs w:val="21"/>
                <w:lang w:bidi="ar"/>
              </w:rPr>
              <w:t>试车方案</w:t>
            </w:r>
            <w:r>
              <w:rPr>
                <w:color w:val="000000"/>
                <w:kern w:val="0"/>
                <w:sz w:val="21"/>
                <w:szCs w:val="21"/>
                <w:lang w:bidi="ar"/>
              </w:rPr>
              <w:t>，方案已经</w:t>
            </w:r>
            <w:r>
              <w:rPr>
                <w:rFonts w:hint="eastAsia"/>
                <w:color w:val="000000"/>
                <w:kern w:val="0"/>
                <w:sz w:val="21"/>
                <w:szCs w:val="21"/>
                <w:lang w:bidi="ar"/>
              </w:rPr>
              <w:t>相关</w:t>
            </w:r>
            <w:r>
              <w:rPr>
                <w:color w:val="000000"/>
                <w:kern w:val="0"/>
                <w:sz w:val="21"/>
                <w:szCs w:val="21"/>
                <w:lang w:bidi="ar"/>
              </w:rPr>
              <w:t>专家审查通过，并出具了审查意见</w:t>
            </w:r>
            <w:r>
              <w:rPr>
                <w:rFonts w:hint="eastAsia"/>
                <w:color w:val="000000"/>
                <w:kern w:val="0"/>
                <w:sz w:val="21"/>
                <w:szCs w:val="21"/>
                <w:lang w:bidi="ar"/>
              </w:rPr>
              <w:t>，报安宁市应急管理局备案，取得安宁市应急管理局出具的《危险化学品建设项目试生产（使用）方案备案告知书》（安应急危化项目备字[2024]012号）</w:t>
            </w:r>
            <w:r>
              <w:rPr>
                <w:color w:val="000000"/>
                <w:kern w:val="0"/>
                <w:sz w:val="21"/>
                <w:szCs w:val="21"/>
                <w:lang w:bidi="ar"/>
              </w:rPr>
              <w:t>。</w:t>
            </w:r>
          </w:p>
        </w:tc>
        <w:tc>
          <w:tcPr>
            <w:tcW w:w="787" w:type="dxa"/>
            <w:tcBorders>
              <w:top w:val="single" w:color="auto" w:sz="4" w:space="0"/>
              <w:left w:val="single" w:color="auto" w:sz="4" w:space="0"/>
              <w:bottom w:val="single" w:color="auto" w:sz="4" w:space="0"/>
              <w:right w:val="single" w:color="auto" w:sz="4" w:space="0"/>
            </w:tcBorders>
            <w:noWrap w:val="0"/>
            <w:vAlign w:val="center"/>
          </w:tcPr>
          <w:p w14:paraId="69D94E6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kern w:val="0"/>
                <w:sz w:val="21"/>
                <w:szCs w:val="21"/>
              </w:rPr>
            </w:pPr>
            <w:r>
              <w:rPr>
                <w:color w:val="000000"/>
                <w:kern w:val="0"/>
                <w:sz w:val="21"/>
                <w:szCs w:val="21"/>
                <w:lang w:bidi="ar"/>
              </w:rPr>
              <w:t>符合</w:t>
            </w:r>
          </w:p>
        </w:tc>
      </w:tr>
      <w:tr w14:paraId="4E723B1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67" w:hRule="atLeast"/>
          <w:jc w:val="center"/>
        </w:trPr>
        <w:tc>
          <w:tcPr>
            <w:tcW w:w="546" w:type="dxa"/>
            <w:tcBorders>
              <w:top w:val="single" w:color="auto" w:sz="4" w:space="0"/>
              <w:left w:val="single" w:color="auto" w:sz="4" w:space="0"/>
              <w:bottom w:val="single" w:color="auto" w:sz="4" w:space="0"/>
              <w:right w:val="single" w:color="auto" w:sz="4" w:space="0"/>
            </w:tcBorders>
            <w:noWrap w:val="0"/>
            <w:vAlign w:val="center"/>
          </w:tcPr>
          <w:p w14:paraId="74EFF1B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lang w:bidi="ar"/>
              </w:rPr>
              <w:t>10</w:t>
            </w:r>
          </w:p>
        </w:tc>
        <w:tc>
          <w:tcPr>
            <w:tcW w:w="2622" w:type="dxa"/>
            <w:tcBorders>
              <w:top w:val="single" w:color="auto" w:sz="4" w:space="0"/>
              <w:left w:val="single" w:color="auto" w:sz="4" w:space="0"/>
              <w:bottom w:val="single" w:color="auto" w:sz="4" w:space="0"/>
              <w:right w:val="single" w:color="auto" w:sz="4" w:space="0"/>
            </w:tcBorders>
            <w:noWrap w:val="0"/>
            <w:vAlign w:val="center"/>
          </w:tcPr>
          <w:p w14:paraId="791913F5">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r>
              <w:rPr>
                <w:color w:val="000000"/>
                <w:sz w:val="21"/>
                <w:szCs w:val="21"/>
                <w:lang w:bidi="ar"/>
              </w:rPr>
              <w:t>建设单位在采取有效安全生产措施后，方可将建设项目安全设施与生产、储存、使用的主体装置、设施同时进行试生产（使用）。</w:t>
            </w:r>
          </w:p>
          <w:p w14:paraId="254F534A">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r>
              <w:rPr>
                <w:color w:val="000000"/>
                <w:sz w:val="21"/>
                <w:szCs w:val="21"/>
                <w:lang w:bidi="ar"/>
              </w:rPr>
              <w:t>试生产（使用）前，建设单位应当组织专家对试生产（使用）方案进行审查。试生产（使用）时，建设单位应当组织专家对试生产（使用）条件进行确认，对试生产（使用）过程进行技术指导。</w:t>
            </w:r>
          </w:p>
        </w:tc>
        <w:tc>
          <w:tcPr>
            <w:tcW w:w="2185" w:type="dxa"/>
            <w:tcBorders>
              <w:top w:val="single" w:color="auto" w:sz="4" w:space="0"/>
              <w:left w:val="single" w:color="auto" w:sz="4" w:space="0"/>
              <w:bottom w:val="single" w:color="auto" w:sz="4" w:space="0"/>
              <w:right w:val="single" w:color="auto" w:sz="4" w:space="0"/>
            </w:tcBorders>
            <w:noWrap w:val="0"/>
            <w:vAlign w:val="center"/>
          </w:tcPr>
          <w:p w14:paraId="6D8D17B8">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r>
              <w:rPr>
                <w:color w:val="000000"/>
                <w:sz w:val="21"/>
                <w:szCs w:val="21"/>
                <w:lang w:bidi="ar"/>
              </w:rPr>
              <w:t>《危险化学品建设项目安全监督管理办法》（2011年8月5日国家安全监管总局令第45号公布根据2015年5月27日国家安全监管总局令第79号修正）</w:t>
            </w:r>
          </w:p>
          <w:p w14:paraId="3FB1051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lang w:bidi="ar"/>
              </w:rPr>
              <w:t>第二十三条</w:t>
            </w:r>
          </w:p>
        </w:tc>
        <w:tc>
          <w:tcPr>
            <w:tcW w:w="3260" w:type="dxa"/>
            <w:tcBorders>
              <w:top w:val="single" w:color="auto" w:sz="4" w:space="0"/>
              <w:left w:val="single" w:color="auto" w:sz="4" w:space="0"/>
              <w:bottom w:val="single" w:color="auto" w:sz="4" w:space="0"/>
              <w:right w:val="single" w:color="auto" w:sz="4" w:space="0"/>
            </w:tcBorders>
            <w:noWrap w:val="0"/>
            <w:vAlign w:val="center"/>
          </w:tcPr>
          <w:p w14:paraId="75D16791">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r>
              <w:rPr>
                <w:color w:val="000000"/>
                <w:kern w:val="0"/>
                <w:sz w:val="21"/>
                <w:szCs w:val="21"/>
                <w:lang w:bidi="ar"/>
              </w:rPr>
              <w:t>该项目竣工后，根据项目的实际情况编制了</w:t>
            </w:r>
            <w:r>
              <w:rPr>
                <w:rFonts w:hint="eastAsia"/>
                <w:color w:val="000000"/>
                <w:kern w:val="0"/>
                <w:sz w:val="21"/>
                <w:szCs w:val="21"/>
                <w:lang w:bidi="ar"/>
              </w:rPr>
              <w:t>试车方案</w:t>
            </w:r>
            <w:r>
              <w:rPr>
                <w:color w:val="000000"/>
                <w:kern w:val="0"/>
                <w:sz w:val="21"/>
                <w:szCs w:val="21"/>
                <w:lang w:bidi="ar"/>
              </w:rPr>
              <w:t>，方案已经</w:t>
            </w:r>
            <w:r>
              <w:rPr>
                <w:rFonts w:hint="eastAsia"/>
                <w:color w:val="000000"/>
                <w:kern w:val="0"/>
                <w:sz w:val="21"/>
                <w:szCs w:val="21"/>
                <w:lang w:bidi="ar"/>
              </w:rPr>
              <w:t>相关</w:t>
            </w:r>
            <w:r>
              <w:rPr>
                <w:color w:val="000000"/>
                <w:kern w:val="0"/>
                <w:sz w:val="21"/>
                <w:szCs w:val="21"/>
                <w:lang w:bidi="ar"/>
              </w:rPr>
              <w:t>专家审查通过，并出具了审查意见</w:t>
            </w:r>
            <w:r>
              <w:rPr>
                <w:rFonts w:hint="eastAsia"/>
                <w:color w:val="000000"/>
                <w:kern w:val="0"/>
                <w:sz w:val="21"/>
                <w:szCs w:val="21"/>
                <w:lang w:bidi="ar"/>
              </w:rPr>
              <w:t>，报安宁市应急管理局备案，取得安宁市应急管理局出具的《危险化学品建设项目试生产（使用）方案备案告知书》（安应急危化项目备字[2024]012号）</w:t>
            </w:r>
            <w:r>
              <w:rPr>
                <w:color w:val="000000"/>
                <w:kern w:val="0"/>
                <w:sz w:val="21"/>
                <w:szCs w:val="21"/>
                <w:lang w:bidi="ar"/>
              </w:rPr>
              <w:t>。</w:t>
            </w:r>
          </w:p>
        </w:tc>
        <w:tc>
          <w:tcPr>
            <w:tcW w:w="787" w:type="dxa"/>
            <w:tcBorders>
              <w:top w:val="single" w:color="auto" w:sz="4" w:space="0"/>
              <w:left w:val="single" w:color="auto" w:sz="4" w:space="0"/>
              <w:bottom w:val="single" w:color="auto" w:sz="4" w:space="0"/>
              <w:right w:val="single" w:color="auto" w:sz="4" w:space="0"/>
            </w:tcBorders>
            <w:noWrap w:val="0"/>
            <w:vAlign w:val="center"/>
          </w:tcPr>
          <w:p w14:paraId="6B89759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lang w:bidi="ar"/>
              </w:rPr>
              <w:t>符合</w:t>
            </w:r>
          </w:p>
        </w:tc>
      </w:tr>
      <w:tr w14:paraId="570FB41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67" w:hRule="atLeast"/>
          <w:jc w:val="center"/>
        </w:trPr>
        <w:tc>
          <w:tcPr>
            <w:tcW w:w="546" w:type="dxa"/>
            <w:tcBorders>
              <w:top w:val="single" w:color="auto" w:sz="4" w:space="0"/>
              <w:left w:val="single" w:color="auto" w:sz="4" w:space="0"/>
              <w:bottom w:val="single" w:color="auto" w:sz="4" w:space="0"/>
              <w:right w:val="single" w:color="auto" w:sz="4" w:space="0"/>
            </w:tcBorders>
            <w:noWrap w:val="0"/>
            <w:vAlign w:val="center"/>
          </w:tcPr>
          <w:p w14:paraId="309F2DD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lang w:bidi="ar"/>
              </w:rPr>
              <w:t>11</w:t>
            </w:r>
          </w:p>
        </w:tc>
        <w:tc>
          <w:tcPr>
            <w:tcW w:w="2622" w:type="dxa"/>
            <w:tcBorders>
              <w:top w:val="single" w:color="auto" w:sz="4" w:space="0"/>
              <w:left w:val="single" w:color="auto" w:sz="4" w:space="0"/>
              <w:bottom w:val="single" w:color="auto" w:sz="4" w:space="0"/>
              <w:right w:val="single" w:color="auto" w:sz="4" w:space="0"/>
            </w:tcBorders>
            <w:noWrap w:val="0"/>
            <w:vAlign w:val="center"/>
          </w:tcPr>
          <w:p w14:paraId="04D2DD19">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r>
              <w:rPr>
                <w:color w:val="000000"/>
                <w:sz w:val="21"/>
                <w:szCs w:val="21"/>
                <w:lang w:bidi="ar"/>
              </w:rPr>
              <w:t>建设项目安全设施施工完成后，施工单位应当编制建设项目安全设施施工情况报告。建设项目安全设施施工情况报告应当包括下列内容：（一）施工单位的基本情况，包括施工单位以往所承担的建设项目施工情况；（二）施工单位的资质情况（提供相关资质证明材料复印件）；（三）施工依据和执行的有关法律、法规、规章和国家标准、行业标准；（四）施工质量控制情况；（五）施工变更情况，包括建设项目在施工和试生产期间有关安全生产的设施改动情况。</w:t>
            </w:r>
          </w:p>
        </w:tc>
        <w:tc>
          <w:tcPr>
            <w:tcW w:w="2185" w:type="dxa"/>
            <w:tcBorders>
              <w:top w:val="single" w:color="auto" w:sz="4" w:space="0"/>
              <w:left w:val="single" w:color="auto" w:sz="4" w:space="0"/>
              <w:bottom w:val="single" w:color="auto" w:sz="4" w:space="0"/>
              <w:right w:val="single" w:color="auto" w:sz="4" w:space="0"/>
            </w:tcBorders>
            <w:noWrap w:val="0"/>
            <w:vAlign w:val="center"/>
          </w:tcPr>
          <w:p w14:paraId="6FB20BB2">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r>
              <w:rPr>
                <w:color w:val="000000"/>
                <w:sz w:val="21"/>
                <w:szCs w:val="21"/>
                <w:lang w:bidi="ar"/>
              </w:rPr>
              <w:t>《危险化学品建设项目安全监督管理办法》（2011年8月5日国家安全监管总局令第45号公布根据2015年5月27日国家安全监管总局令第79号修正）</w:t>
            </w:r>
          </w:p>
          <w:p w14:paraId="1F4B291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lang w:bidi="ar"/>
              </w:rPr>
              <w:t>第二十四条</w:t>
            </w:r>
          </w:p>
        </w:tc>
        <w:tc>
          <w:tcPr>
            <w:tcW w:w="3260" w:type="dxa"/>
            <w:tcBorders>
              <w:top w:val="single" w:color="auto" w:sz="4" w:space="0"/>
              <w:left w:val="single" w:color="auto" w:sz="4" w:space="0"/>
              <w:bottom w:val="single" w:color="auto" w:sz="4" w:space="0"/>
              <w:right w:val="single" w:color="auto" w:sz="4" w:space="0"/>
            </w:tcBorders>
            <w:noWrap w:val="0"/>
            <w:vAlign w:val="center"/>
          </w:tcPr>
          <w:p w14:paraId="2B5C68FB">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r>
              <w:rPr>
                <w:color w:val="000000"/>
                <w:sz w:val="21"/>
                <w:szCs w:val="21"/>
                <w:lang w:bidi="ar"/>
              </w:rPr>
              <w:t>该项目竣工后，由</w:t>
            </w:r>
            <w:r>
              <w:rPr>
                <w:rFonts w:hint="eastAsia"/>
                <w:color w:val="000000"/>
                <w:sz w:val="21"/>
                <w:szCs w:val="21"/>
                <w:lang w:bidi="ar"/>
              </w:rPr>
              <w:t>施工</w:t>
            </w:r>
            <w:r>
              <w:rPr>
                <w:color w:val="000000"/>
                <w:sz w:val="21"/>
                <w:szCs w:val="21"/>
                <w:lang w:bidi="ar"/>
              </w:rPr>
              <w:t>单位</w:t>
            </w:r>
            <w:r>
              <w:rPr>
                <w:rFonts w:hint="eastAsia"/>
                <w:color w:val="000000"/>
                <w:sz w:val="21"/>
                <w:szCs w:val="21"/>
                <w:lang w:bidi="ar"/>
              </w:rPr>
              <w:t>出具</w:t>
            </w:r>
            <w:r>
              <w:rPr>
                <w:color w:val="000000"/>
                <w:sz w:val="21"/>
                <w:szCs w:val="21"/>
                <w:lang w:bidi="ar"/>
              </w:rPr>
              <w:t>了安全设施施工情况报告，安全设施施工情况报告</w:t>
            </w:r>
            <w:r>
              <w:rPr>
                <w:rFonts w:hint="eastAsia"/>
                <w:color w:val="000000"/>
                <w:sz w:val="21"/>
                <w:szCs w:val="21"/>
                <w:lang w:bidi="ar"/>
              </w:rPr>
              <w:t>内容包括所述内容</w:t>
            </w:r>
            <w:r>
              <w:rPr>
                <w:color w:val="000000"/>
                <w:sz w:val="21"/>
                <w:szCs w:val="21"/>
                <w:lang w:bidi="ar"/>
              </w:rPr>
              <w:t>。</w:t>
            </w:r>
          </w:p>
        </w:tc>
        <w:tc>
          <w:tcPr>
            <w:tcW w:w="787" w:type="dxa"/>
            <w:tcBorders>
              <w:top w:val="single" w:color="auto" w:sz="4" w:space="0"/>
              <w:left w:val="single" w:color="auto" w:sz="4" w:space="0"/>
              <w:bottom w:val="single" w:color="auto" w:sz="4" w:space="0"/>
              <w:right w:val="single" w:color="auto" w:sz="4" w:space="0"/>
            </w:tcBorders>
            <w:noWrap w:val="0"/>
            <w:vAlign w:val="center"/>
          </w:tcPr>
          <w:p w14:paraId="234606C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000000"/>
                <w:sz w:val="21"/>
                <w:szCs w:val="21"/>
              </w:rPr>
            </w:pPr>
            <w:r>
              <w:rPr>
                <w:rFonts w:hint="eastAsia"/>
                <w:color w:val="000000"/>
                <w:sz w:val="21"/>
                <w:szCs w:val="21"/>
                <w:lang w:bidi="ar"/>
              </w:rPr>
              <w:t>符合</w:t>
            </w:r>
          </w:p>
        </w:tc>
      </w:tr>
      <w:tr w14:paraId="424C480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67" w:hRule="atLeast"/>
          <w:jc w:val="center"/>
        </w:trPr>
        <w:tc>
          <w:tcPr>
            <w:tcW w:w="546" w:type="dxa"/>
            <w:tcBorders>
              <w:top w:val="single" w:color="auto" w:sz="4" w:space="0"/>
              <w:left w:val="single" w:color="auto" w:sz="4" w:space="0"/>
              <w:bottom w:val="single" w:color="auto" w:sz="4" w:space="0"/>
              <w:right w:val="single" w:color="auto" w:sz="4" w:space="0"/>
            </w:tcBorders>
            <w:noWrap w:val="0"/>
            <w:vAlign w:val="center"/>
          </w:tcPr>
          <w:p w14:paraId="0464144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lang w:bidi="ar"/>
              </w:rPr>
              <w:t>12</w:t>
            </w:r>
          </w:p>
        </w:tc>
        <w:tc>
          <w:tcPr>
            <w:tcW w:w="2622" w:type="dxa"/>
            <w:tcBorders>
              <w:top w:val="single" w:color="auto" w:sz="4" w:space="0"/>
              <w:left w:val="single" w:color="auto" w:sz="4" w:space="0"/>
              <w:bottom w:val="single" w:color="auto" w:sz="4" w:space="0"/>
              <w:right w:val="single" w:color="auto" w:sz="4" w:space="0"/>
            </w:tcBorders>
            <w:noWrap w:val="0"/>
            <w:vAlign w:val="center"/>
          </w:tcPr>
          <w:p w14:paraId="7B844F6C">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r>
              <w:rPr>
                <w:color w:val="000000"/>
                <w:kern w:val="0"/>
                <w:sz w:val="21"/>
                <w:szCs w:val="21"/>
                <w:lang w:bidi="ar"/>
              </w:rPr>
              <w:t>建设项目试生产期间，建设单位应当按照本办法的规定委托有相应资质的安全评价机构对建设项目及其安全设施试生产（使用）情况进行安全验收评价，且不得委托在可行性研究阶段进行安全评价的同一安全评价机构。</w:t>
            </w:r>
          </w:p>
        </w:tc>
        <w:tc>
          <w:tcPr>
            <w:tcW w:w="2185" w:type="dxa"/>
            <w:tcBorders>
              <w:top w:val="single" w:color="auto" w:sz="4" w:space="0"/>
              <w:left w:val="single" w:color="auto" w:sz="4" w:space="0"/>
              <w:bottom w:val="single" w:color="auto" w:sz="4" w:space="0"/>
              <w:right w:val="single" w:color="auto" w:sz="4" w:space="0"/>
            </w:tcBorders>
            <w:noWrap w:val="0"/>
            <w:vAlign w:val="center"/>
          </w:tcPr>
          <w:p w14:paraId="59EFEE04">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r>
              <w:rPr>
                <w:color w:val="000000"/>
                <w:sz w:val="21"/>
                <w:szCs w:val="21"/>
                <w:lang w:bidi="ar"/>
              </w:rPr>
              <w:t>《危险化学品建设项目安全监督管理办法》（</w:t>
            </w:r>
            <w:r>
              <w:rPr>
                <w:color w:val="000000"/>
                <w:kern w:val="0"/>
                <w:sz w:val="21"/>
                <w:szCs w:val="21"/>
                <w:lang w:bidi="ar"/>
              </w:rPr>
              <w:t>2012年1月30日国家安全监管总局令第45号公布，根据2015年5月27日国家安全监管总局令第79号修正</w:t>
            </w:r>
            <w:r>
              <w:rPr>
                <w:color w:val="000000"/>
                <w:sz w:val="21"/>
                <w:szCs w:val="21"/>
                <w:lang w:bidi="ar"/>
              </w:rPr>
              <w:t>）</w:t>
            </w:r>
          </w:p>
          <w:p w14:paraId="68DC9E8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lang w:bidi="ar"/>
              </w:rPr>
              <w:t>第</w:t>
            </w:r>
            <w:r>
              <w:rPr>
                <w:rFonts w:hint="eastAsia"/>
                <w:color w:val="000000"/>
                <w:sz w:val="21"/>
                <w:szCs w:val="21"/>
                <w:lang w:bidi="ar"/>
              </w:rPr>
              <w:t>二十五</w:t>
            </w:r>
            <w:r>
              <w:rPr>
                <w:color w:val="000000"/>
                <w:sz w:val="21"/>
                <w:szCs w:val="21"/>
                <w:lang w:bidi="ar"/>
              </w:rPr>
              <w:t>条</w:t>
            </w:r>
          </w:p>
        </w:tc>
        <w:tc>
          <w:tcPr>
            <w:tcW w:w="3260" w:type="dxa"/>
            <w:tcBorders>
              <w:top w:val="single" w:color="auto" w:sz="4" w:space="0"/>
              <w:left w:val="single" w:color="auto" w:sz="4" w:space="0"/>
              <w:bottom w:val="single" w:color="auto" w:sz="4" w:space="0"/>
              <w:right w:val="single" w:color="auto" w:sz="4" w:space="0"/>
            </w:tcBorders>
            <w:noWrap w:val="0"/>
            <w:vAlign w:val="center"/>
          </w:tcPr>
          <w:p w14:paraId="1777F387">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r>
              <w:rPr>
                <w:color w:val="000000"/>
                <w:sz w:val="21"/>
                <w:szCs w:val="21"/>
                <w:lang w:bidi="ar"/>
              </w:rPr>
              <w:t>该项目的安全预评价报告编制单位是</w:t>
            </w:r>
            <w:r>
              <w:rPr>
                <w:rFonts w:hint="eastAsia"/>
                <w:color w:val="000000"/>
                <w:sz w:val="21"/>
                <w:szCs w:val="21"/>
                <w:lang w:bidi="ar"/>
              </w:rPr>
              <w:t>云南恒然安全技术有限公司</w:t>
            </w:r>
            <w:r>
              <w:rPr>
                <w:color w:val="000000"/>
                <w:sz w:val="21"/>
                <w:szCs w:val="21"/>
                <w:lang w:bidi="ar"/>
              </w:rPr>
              <w:t>；</w:t>
            </w:r>
            <w:r>
              <w:rPr>
                <w:rFonts w:hint="eastAsia"/>
                <w:color w:val="000000"/>
                <w:sz w:val="21"/>
                <w:szCs w:val="21"/>
                <w:lang w:bidi="ar"/>
              </w:rPr>
              <w:t>安全验收评价报告</w:t>
            </w:r>
            <w:r>
              <w:rPr>
                <w:color w:val="000000"/>
                <w:sz w:val="21"/>
                <w:szCs w:val="21"/>
                <w:lang w:bidi="ar"/>
              </w:rPr>
              <w:t>编制单位是</w:t>
            </w:r>
            <w:r>
              <w:rPr>
                <w:rFonts w:hint="eastAsia"/>
                <w:color w:val="000000"/>
                <w:sz w:val="21"/>
                <w:szCs w:val="21"/>
                <w:lang w:eastAsia="zh-CN" w:bidi="ar"/>
              </w:rPr>
              <w:t>昭通市鼎安科技有限公司</w:t>
            </w:r>
            <w:r>
              <w:rPr>
                <w:color w:val="000000"/>
                <w:sz w:val="21"/>
                <w:szCs w:val="21"/>
                <w:lang w:bidi="ar"/>
              </w:rPr>
              <w:t>，其</w:t>
            </w:r>
            <w:r>
              <w:rPr>
                <w:rFonts w:hint="eastAsia"/>
                <w:color w:val="000000"/>
                <w:sz w:val="21"/>
                <w:szCs w:val="21"/>
                <w:lang w:bidi="ar"/>
              </w:rPr>
              <w:t>均具有相应</w:t>
            </w:r>
            <w:r>
              <w:rPr>
                <w:color w:val="000000"/>
                <w:sz w:val="21"/>
                <w:szCs w:val="21"/>
                <w:lang w:bidi="ar"/>
              </w:rPr>
              <w:t>资质，业务范围均</w:t>
            </w:r>
            <w:r>
              <w:rPr>
                <w:rFonts w:hint="eastAsia"/>
                <w:color w:val="000000"/>
                <w:sz w:val="21"/>
                <w:szCs w:val="21"/>
                <w:lang w:bidi="ar"/>
              </w:rPr>
              <w:t>包括</w:t>
            </w:r>
            <w:r>
              <w:rPr>
                <w:color w:val="000000"/>
                <w:sz w:val="21"/>
                <w:szCs w:val="21"/>
                <w:lang w:bidi="ar"/>
              </w:rPr>
              <w:t>石油加工业；化学原料、化学品及医药制造业等，没有委托同一家评价单位。</w:t>
            </w:r>
          </w:p>
        </w:tc>
        <w:tc>
          <w:tcPr>
            <w:tcW w:w="787" w:type="dxa"/>
            <w:tcBorders>
              <w:top w:val="single" w:color="auto" w:sz="4" w:space="0"/>
              <w:left w:val="single" w:color="auto" w:sz="4" w:space="0"/>
              <w:bottom w:val="single" w:color="auto" w:sz="4" w:space="0"/>
              <w:right w:val="single" w:color="auto" w:sz="4" w:space="0"/>
            </w:tcBorders>
            <w:noWrap w:val="0"/>
            <w:vAlign w:val="center"/>
          </w:tcPr>
          <w:p w14:paraId="1B4C104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lang w:bidi="ar"/>
              </w:rPr>
              <w:t>符合</w:t>
            </w:r>
          </w:p>
        </w:tc>
      </w:tr>
      <w:tr w14:paraId="2AD9BAE3">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67" w:hRule="atLeast"/>
          <w:jc w:val="center"/>
        </w:trPr>
        <w:tc>
          <w:tcPr>
            <w:tcW w:w="546" w:type="dxa"/>
            <w:tcBorders>
              <w:top w:val="single" w:color="auto" w:sz="4" w:space="0"/>
              <w:left w:val="single" w:color="auto" w:sz="4" w:space="0"/>
              <w:bottom w:val="single" w:color="auto" w:sz="4" w:space="0"/>
              <w:right w:val="single" w:color="auto" w:sz="4" w:space="0"/>
            </w:tcBorders>
            <w:noWrap w:val="0"/>
            <w:vAlign w:val="center"/>
          </w:tcPr>
          <w:p w14:paraId="16628F8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lang w:bidi="ar"/>
              </w:rPr>
            </w:pPr>
            <w:r>
              <w:rPr>
                <w:rFonts w:hint="eastAsia"/>
                <w:color w:val="000000"/>
                <w:sz w:val="21"/>
                <w:szCs w:val="21"/>
                <w:lang w:bidi="ar"/>
              </w:rPr>
              <w:t>13</w:t>
            </w:r>
          </w:p>
        </w:tc>
        <w:tc>
          <w:tcPr>
            <w:tcW w:w="2622" w:type="dxa"/>
            <w:tcBorders>
              <w:top w:val="single" w:color="auto" w:sz="4" w:space="0"/>
              <w:left w:val="single" w:color="auto" w:sz="4" w:space="0"/>
              <w:bottom w:val="single" w:color="auto" w:sz="4" w:space="0"/>
              <w:right w:val="single" w:color="auto" w:sz="4" w:space="0"/>
            </w:tcBorders>
            <w:noWrap w:val="0"/>
            <w:vAlign w:val="center"/>
          </w:tcPr>
          <w:p w14:paraId="586FD80D">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kern w:val="0"/>
                <w:sz w:val="21"/>
                <w:szCs w:val="21"/>
              </w:rPr>
            </w:pPr>
            <w:r>
              <w:rPr>
                <w:color w:val="000000"/>
                <w:kern w:val="0"/>
                <w:sz w:val="21"/>
                <w:szCs w:val="21"/>
              </w:rPr>
              <w:t>生产经营单位新建、改建、扩建工程项目的，安全设施应当与主体工程同时设计、同时施工、同时投入生产和使用，安全设施投资应当纳入建设项目概算。</w:t>
            </w:r>
          </w:p>
          <w:p w14:paraId="63312454">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kern w:val="0"/>
                <w:sz w:val="21"/>
                <w:szCs w:val="21"/>
              </w:rPr>
            </w:pPr>
            <w:r>
              <w:rPr>
                <w:color w:val="000000"/>
                <w:kern w:val="0"/>
                <w:sz w:val="21"/>
                <w:szCs w:val="21"/>
              </w:rPr>
              <w:t>建设项目设计单位在编制项目设计文件时，应当同时编制安全设施设计文件或者在设计文件中包含安全设施设计内容。需要报经主管部门批准的建设项目，安全设施设计文件应当随项目设计文件一并审批。</w:t>
            </w:r>
          </w:p>
          <w:p w14:paraId="3DC30D67">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kern w:val="0"/>
                <w:sz w:val="21"/>
                <w:szCs w:val="21"/>
              </w:rPr>
            </w:pPr>
            <w:r>
              <w:rPr>
                <w:color w:val="000000"/>
                <w:kern w:val="0"/>
                <w:sz w:val="21"/>
                <w:szCs w:val="21"/>
              </w:rPr>
              <w:t>建设项目施工单位应当按照批准的安全设施施工图纸和设计要求施工，不得擅自改变安全设施设计。</w:t>
            </w:r>
          </w:p>
          <w:p w14:paraId="69EC2744">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kern w:val="0"/>
                <w:sz w:val="21"/>
                <w:szCs w:val="21"/>
                <w:lang w:bidi="ar"/>
              </w:rPr>
            </w:pPr>
            <w:r>
              <w:rPr>
                <w:color w:val="000000"/>
                <w:kern w:val="0"/>
                <w:sz w:val="21"/>
                <w:szCs w:val="21"/>
              </w:rPr>
              <w:t>建设单位应当依法组织对安全设施进行验收，验收合格方可投入生产和使用。</w:t>
            </w:r>
          </w:p>
        </w:tc>
        <w:tc>
          <w:tcPr>
            <w:tcW w:w="2185" w:type="dxa"/>
            <w:tcBorders>
              <w:top w:val="single" w:color="auto" w:sz="4" w:space="0"/>
              <w:left w:val="single" w:color="auto" w:sz="4" w:space="0"/>
              <w:bottom w:val="single" w:color="auto" w:sz="4" w:space="0"/>
              <w:right w:val="single" w:color="auto" w:sz="4" w:space="0"/>
            </w:tcBorders>
            <w:noWrap w:val="0"/>
            <w:vAlign w:val="center"/>
          </w:tcPr>
          <w:p w14:paraId="35DD1DD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kern w:val="0"/>
                <w:sz w:val="21"/>
                <w:szCs w:val="21"/>
              </w:rPr>
              <w:t>《云南省安全生产条例》（云南省第十二届人民代表大会常务委员会63号公告，2018年1月1日起施行》第14条</w:t>
            </w:r>
          </w:p>
        </w:tc>
        <w:tc>
          <w:tcPr>
            <w:tcW w:w="3260" w:type="dxa"/>
            <w:tcBorders>
              <w:top w:val="single" w:color="auto" w:sz="4" w:space="0"/>
              <w:left w:val="single" w:color="auto" w:sz="4" w:space="0"/>
              <w:bottom w:val="single" w:color="auto" w:sz="4" w:space="0"/>
              <w:right w:val="single" w:color="auto" w:sz="4" w:space="0"/>
            </w:tcBorders>
            <w:noWrap w:val="0"/>
            <w:vAlign w:val="center"/>
          </w:tcPr>
          <w:p w14:paraId="17DA4DD2">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r>
              <w:rPr>
                <w:color w:val="000000"/>
                <w:sz w:val="21"/>
                <w:szCs w:val="21"/>
              </w:rPr>
              <w:t>该项目安全设施已与主体工程同时设计、同时施工、同时投入生产和使用。安全设施投资纳入了建设项目概算。</w:t>
            </w:r>
          </w:p>
          <w:p w14:paraId="199B931E">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r>
              <w:rPr>
                <w:color w:val="000000"/>
                <w:sz w:val="21"/>
                <w:szCs w:val="21"/>
              </w:rPr>
              <w:t>该项目编制了《安全设施设计</w:t>
            </w:r>
            <w:r>
              <w:rPr>
                <w:rFonts w:hint="eastAsia"/>
                <w:color w:val="000000"/>
                <w:sz w:val="21"/>
                <w:szCs w:val="21"/>
              </w:rPr>
              <w:t>专篇</w:t>
            </w:r>
            <w:r>
              <w:rPr>
                <w:color w:val="000000"/>
                <w:sz w:val="21"/>
                <w:szCs w:val="21"/>
              </w:rPr>
              <w:t>》。该项目施工单位已按</w:t>
            </w:r>
            <w:r>
              <w:rPr>
                <w:color w:val="000000"/>
                <w:kern w:val="0"/>
                <w:sz w:val="21"/>
                <w:szCs w:val="21"/>
              </w:rPr>
              <w:t>批准的安全设施施工图纸和设计</w:t>
            </w:r>
            <w:r>
              <w:rPr>
                <w:rFonts w:hint="eastAsia"/>
                <w:color w:val="000000"/>
                <w:kern w:val="0"/>
                <w:sz w:val="21"/>
                <w:szCs w:val="21"/>
              </w:rPr>
              <w:t>及设计变更</w:t>
            </w:r>
            <w:r>
              <w:rPr>
                <w:color w:val="000000"/>
                <w:kern w:val="0"/>
                <w:sz w:val="21"/>
                <w:szCs w:val="21"/>
              </w:rPr>
              <w:t>要求施工</w:t>
            </w:r>
            <w:r>
              <w:rPr>
                <w:color w:val="000000"/>
                <w:sz w:val="21"/>
                <w:szCs w:val="21"/>
              </w:rPr>
              <w:t>，施工过程中未</w:t>
            </w:r>
            <w:r>
              <w:rPr>
                <w:color w:val="000000"/>
                <w:kern w:val="0"/>
                <w:sz w:val="21"/>
                <w:szCs w:val="21"/>
              </w:rPr>
              <w:t>擅自改变安全设施设计。</w:t>
            </w:r>
          </w:p>
          <w:p w14:paraId="267171E7">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lang w:bidi="ar"/>
              </w:rPr>
            </w:pPr>
            <w:r>
              <w:rPr>
                <w:color w:val="000000"/>
                <w:kern w:val="0"/>
                <w:sz w:val="21"/>
                <w:szCs w:val="21"/>
              </w:rPr>
              <w:t>该项目建设单位按照相关要求进行了安全设施验收评价。</w:t>
            </w:r>
          </w:p>
        </w:tc>
        <w:tc>
          <w:tcPr>
            <w:tcW w:w="787" w:type="dxa"/>
            <w:tcBorders>
              <w:top w:val="single" w:color="auto" w:sz="4" w:space="0"/>
              <w:left w:val="single" w:color="auto" w:sz="4" w:space="0"/>
              <w:bottom w:val="single" w:color="auto" w:sz="4" w:space="0"/>
              <w:right w:val="single" w:color="auto" w:sz="4" w:space="0"/>
            </w:tcBorders>
            <w:noWrap w:val="0"/>
            <w:vAlign w:val="center"/>
          </w:tcPr>
          <w:p w14:paraId="62E1929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000000"/>
                <w:sz w:val="21"/>
                <w:szCs w:val="21"/>
                <w:lang w:bidi="ar"/>
              </w:rPr>
            </w:pPr>
            <w:r>
              <w:rPr>
                <w:color w:val="000000"/>
                <w:sz w:val="21"/>
                <w:szCs w:val="21"/>
              </w:rPr>
              <w:t>符合</w:t>
            </w:r>
          </w:p>
        </w:tc>
      </w:tr>
      <w:tr w14:paraId="7442B08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67" w:hRule="atLeast"/>
          <w:jc w:val="center"/>
        </w:trPr>
        <w:tc>
          <w:tcPr>
            <w:tcW w:w="546" w:type="dxa"/>
            <w:tcBorders>
              <w:top w:val="single" w:color="auto" w:sz="4" w:space="0"/>
              <w:left w:val="single" w:color="auto" w:sz="4" w:space="0"/>
              <w:bottom w:val="single" w:color="auto" w:sz="4" w:space="0"/>
              <w:right w:val="single" w:color="auto" w:sz="4" w:space="0"/>
            </w:tcBorders>
            <w:noWrap w:val="0"/>
            <w:vAlign w:val="center"/>
          </w:tcPr>
          <w:p w14:paraId="4E77C75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lang w:bidi="ar"/>
              </w:rPr>
            </w:pPr>
            <w:r>
              <w:rPr>
                <w:rFonts w:hint="eastAsia"/>
                <w:color w:val="000000"/>
                <w:sz w:val="21"/>
                <w:szCs w:val="21"/>
                <w:lang w:bidi="ar"/>
              </w:rPr>
              <w:t>14</w:t>
            </w:r>
          </w:p>
        </w:tc>
        <w:tc>
          <w:tcPr>
            <w:tcW w:w="2622" w:type="dxa"/>
            <w:tcBorders>
              <w:top w:val="single" w:color="auto" w:sz="4" w:space="0"/>
              <w:left w:val="single" w:color="auto" w:sz="4" w:space="0"/>
              <w:bottom w:val="single" w:color="auto" w:sz="4" w:space="0"/>
              <w:right w:val="single" w:color="auto" w:sz="4" w:space="0"/>
            </w:tcBorders>
            <w:noWrap w:val="0"/>
            <w:vAlign w:val="center"/>
          </w:tcPr>
          <w:p w14:paraId="7C1FBC0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color w:val="000000"/>
                <w:kern w:val="0"/>
                <w:sz w:val="21"/>
                <w:szCs w:val="21"/>
                <w:lang w:bidi="ar"/>
              </w:rPr>
            </w:pPr>
            <w:r>
              <w:rPr>
                <w:rFonts w:hint="eastAsia"/>
                <w:color w:val="000000"/>
                <w:kern w:val="0"/>
                <w:sz w:val="21"/>
                <w:szCs w:val="21"/>
                <w:lang w:bidi="ar"/>
              </w:rPr>
              <w:t xml:space="preserve">建设单位作为项目的总牵头单位和工程质量第一责任人，依法对工程质量全面负责。建设单位应严格按照《建设项目安全设施“三同时”监督管理暂行办法》有关要求，组织设计、施工、监理等单位，严格按照安全设施设计和国家工程建设有关法律法规要求，进行安全设施建设施工，确保工程质量符合国家法律法规、工程建设强制性标准要求。建设过程中特别要落实以下风险防控措施： </w:t>
            </w:r>
          </w:p>
          <w:p w14:paraId="53A7E70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color w:val="000000"/>
                <w:kern w:val="0"/>
                <w:sz w:val="21"/>
                <w:szCs w:val="21"/>
                <w:lang w:bidi="ar"/>
              </w:rPr>
            </w:pPr>
            <w:r>
              <w:rPr>
                <w:rFonts w:hint="eastAsia"/>
                <w:color w:val="000000"/>
                <w:kern w:val="0"/>
                <w:sz w:val="21"/>
                <w:szCs w:val="21"/>
                <w:lang w:bidi="ar"/>
              </w:rPr>
              <w:t xml:space="preserve">（1）严格设备及材料供应商的选择，加强设备采购及交验管理。 </w:t>
            </w:r>
          </w:p>
          <w:p w14:paraId="00EB965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color w:val="000000"/>
                <w:kern w:val="0"/>
                <w:sz w:val="21"/>
                <w:szCs w:val="21"/>
                <w:lang w:bidi="ar"/>
              </w:rPr>
            </w:pPr>
            <w:r>
              <w:rPr>
                <w:rFonts w:hint="eastAsia"/>
                <w:color w:val="000000"/>
                <w:kern w:val="0"/>
                <w:sz w:val="21"/>
                <w:szCs w:val="21"/>
                <w:lang w:bidi="ar"/>
              </w:rPr>
              <w:t xml:space="preserve">（2）严格把控施工、监理、设备出租等相关单位和人员的资质。 </w:t>
            </w:r>
          </w:p>
          <w:p w14:paraId="3663E685">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color w:val="000000"/>
                <w:kern w:val="0"/>
                <w:sz w:val="21"/>
                <w:szCs w:val="21"/>
                <w:lang w:bidi="ar"/>
              </w:rPr>
            </w:pPr>
            <w:r>
              <w:rPr>
                <w:rFonts w:hint="eastAsia"/>
                <w:color w:val="000000"/>
                <w:kern w:val="0"/>
                <w:sz w:val="21"/>
                <w:szCs w:val="21"/>
                <w:lang w:bidi="ar"/>
              </w:rPr>
              <w:t xml:space="preserve">（3）确保预防事故设施、控制事故设施、减少与消除事故影响设施等安全设施，符合国家法律法规和标准规范的技术与检测检验要求，符合安全设施设计专篇要求。 </w:t>
            </w:r>
          </w:p>
          <w:p w14:paraId="23B2A88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color w:val="000000"/>
                <w:kern w:val="0"/>
                <w:sz w:val="21"/>
                <w:szCs w:val="21"/>
                <w:lang w:bidi="ar"/>
              </w:rPr>
            </w:pPr>
            <w:r>
              <w:rPr>
                <w:rFonts w:hint="eastAsia"/>
                <w:color w:val="000000"/>
                <w:kern w:val="0"/>
                <w:sz w:val="21"/>
                <w:szCs w:val="21"/>
                <w:lang w:bidi="ar"/>
              </w:rPr>
              <w:t xml:space="preserve">（4）生产装置和储存设施按要求实现自动化控制，仪表和电气设备安装后应进行调试，调试结果应满足相关设计文件中参数设定、系统控制逻辑及相关标准规范的要求。 </w:t>
            </w:r>
          </w:p>
          <w:p w14:paraId="4346635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color w:val="000000"/>
                <w:kern w:val="0"/>
                <w:sz w:val="21"/>
                <w:szCs w:val="21"/>
                <w:lang w:bidi="ar"/>
              </w:rPr>
            </w:pPr>
            <w:r>
              <w:rPr>
                <w:rFonts w:hint="eastAsia"/>
                <w:color w:val="000000"/>
                <w:kern w:val="0"/>
                <w:sz w:val="21"/>
                <w:szCs w:val="21"/>
                <w:lang w:bidi="ar"/>
              </w:rPr>
              <w:t xml:space="preserve">（5）可燃和有毒有害气体泄漏场所的检测报警装置设置应符合国家标准规范要求，爆炸危险场所的防爆电气设备安装使用应符合国家标准规范要求。 </w:t>
            </w:r>
          </w:p>
          <w:p w14:paraId="496C5B2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color w:val="000000"/>
                <w:kern w:val="0"/>
                <w:sz w:val="21"/>
                <w:szCs w:val="21"/>
                <w:lang w:bidi="ar"/>
              </w:rPr>
            </w:pPr>
            <w:r>
              <w:rPr>
                <w:rFonts w:hint="eastAsia"/>
                <w:color w:val="000000"/>
                <w:kern w:val="0"/>
                <w:sz w:val="21"/>
                <w:szCs w:val="21"/>
                <w:lang w:bidi="ar"/>
              </w:rPr>
              <w:t>（6）工艺管道、压力管道、脆性材料以及输送极度危害、高度危害流体和可燃流体的管道，应按相关标准规范和设计文件要求，进行强度试验、气密性试验、耐压试验、泄漏试</w:t>
            </w:r>
          </w:p>
          <w:p w14:paraId="75E710B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color w:val="000000"/>
                <w:kern w:val="0"/>
                <w:sz w:val="21"/>
                <w:szCs w:val="21"/>
                <w:lang w:bidi="ar"/>
              </w:rPr>
            </w:pPr>
            <w:r>
              <w:rPr>
                <w:rFonts w:hint="eastAsia"/>
                <w:color w:val="000000"/>
                <w:kern w:val="0"/>
                <w:sz w:val="21"/>
                <w:szCs w:val="21"/>
                <w:lang w:bidi="ar"/>
              </w:rPr>
              <w:t>验，并按标准规范和设计文件的规定进行吹扫或者清洗。</w:t>
            </w:r>
          </w:p>
        </w:tc>
        <w:tc>
          <w:tcPr>
            <w:tcW w:w="2185" w:type="dxa"/>
            <w:tcBorders>
              <w:top w:val="single" w:color="auto" w:sz="4" w:space="0"/>
              <w:left w:val="single" w:color="auto" w:sz="4" w:space="0"/>
              <w:bottom w:val="single" w:color="auto" w:sz="4" w:space="0"/>
              <w:right w:val="single" w:color="auto" w:sz="4" w:space="0"/>
            </w:tcBorders>
            <w:noWrap w:val="0"/>
            <w:vAlign w:val="center"/>
          </w:tcPr>
          <w:p w14:paraId="5A3FFB3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lang w:bidi="ar"/>
              </w:rPr>
            </w:pPr>
            <w:r>
              <w:rPr>
                <w:rFonts w:hint="eastAsia"/>
                <w:color w:val="000000"/>
                <w:sz w:val="21"/>
                <w:szCs w:val="21"/>
                <w:lang w:bidi="ar"/>
              </w:rPr>
              <w:t>《关于印发&lt;危险化学品生产建设项目安全风险防控指南（试行）&gt;的通知》（应急〔2022〕52号）8.2 安全设施建设风险防控要点</w:t>
            </w:r>
          </w:p>
        </w:tc>
        <w:tc>
          <w:tcPr>
            <w:tcW w:w="3260" w:type="dxa"/>
            <w:tcBorders>
              <w:top w:val="single" w:color="auto" w:sz="4" w:space="0"/>
              <w:left w:val="single" w:color="auto" w:sz="4" w:space="0"/>
              <w:bottom w:val="single" w:color="auto" w:sz="4" w:space="0"/>
              <w:right w:val="single" w:color="auto" w:sz="4" w:space="0"/>
            </w:tcBorders>
            <w:noWrap w:val="0"/>
            <w:vAlign w:val="center"/>
          </w:tcPr>
          <w:p w14:paraId="1733C09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color w:val="000000"/>
                <w:kern w:val="0"/>
                <w:sz w:val="21"/>
                <w:szCs w:val="21"/>
                <w:lang w:bidi="ar"/>
              </w:rPr>
            </w:pPr>
            <w:r>
              <w:rPr>
                <w:rFonts w:hint="eastAsia"/>
                <w:color w:val="000000"/>
                <w:kern w:val="0"/>
                <w:sz w:val="21"/>
                <w:szCs w:val="21"/>
                <w:lang w:bidi="ar"/>
              </w:rPr>
              <w:t xml:space="preserve">（1）设备均有产品合格证及开箱检验记录等相关资料。 </w:t>
            </w:r>
          </w:p>
          <w:p w14:paraId="1A3AAFC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color w:val="000000"/>
                <w:kern w:val="0"/>
                <w:sz w:val="21"/>
                <w:szCs w:val="21"/>
                <w:lang w:bidi="ar"/>
              </w:rPr>
            </w:pPr>
            <w:r>
              <w:rPr>
                <w:rFonts w:hint="eastAsia"/>
                <w:color w:val="000000"/>
                <w:kern w:val="0"/>
                <w:sz w:val="21"/>
                <w:szCs w:val="21"/>
                <w:lang w:bidi="ar"/>
              </w:rPr>
              <w:t xml:space="preserve">（2）施工、监理等相关单位和人员具有相应的资质。 </w:t>
            </w:r>
          </w:p>
          <w:p w14:paraId="22D4C8D8">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color w:val="000000"/>
                <w:kern w:val="0"/>
                <w:sz w:val="21"/>
                <w:szCs w:val="21"/>
                <w:lang w:bidi="ar"/>
              </w:rPr>
            </w:pPr>
            <w:r>
              <w:rPr>
                <w:rFonts w:hint="eastAsia"/>
                <w:color w:val="000000"/>
                <w:kern w:val="0"/>
                <w:sz w:val="21"/>
                <w:szCs w:val="21"/>
                <w:lang w:bidi="ar"/>
              </w:rPr>
              <w:t xml:space="preserve">（3）安全设施，符合国家法律法规和标准规范的技术与检测检验要求，符合安全设施设计专篇及设计变更的要求。 </w:t>
            </w:r>
          </w:p>
          <w:p w14:paraId="5A6DB6A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color w:val="000000"/>
                <w:sz w:val="21"/>
                <w:szCs w:val="21"/>
                <w:lang w:bidi="ar"/>
              </w:rPr>
            </w:pPr>
            <w:r>
              <w:rPr>
                <w:rFonts w:hint="eastAsia"/>
                <w:color w:val="000000"/>
                <w:kern w:val="0"/>
                <w:sz w:val="21"/>
                <w:szCs w:val="21"/>
                <w:lang w:bidi="ar"/>
              </w:rPr>
              <w:t>（</w:t>
            </w:r>
            <w:r>
              <w:rPr>
                <w:rFonts w:hint="eastAsia"/>
                <w:color w:val="000000"/>
                <w:kern w:val="0"/>
                <w:sz w:val="21"/>
                <w:szCs w:val="21"/>
                <w:lang w:val="en-US" w:eastAsia="zh-CN" w:bidi="ar"/>
              </w:rPr>
              <w:t>4</w:t>
            </w:r>
            <w:r>
              <w:rPr>
                <w:rFonts w:hint="eastAsia"/>
                <w:color w:val="000000"/>
                <w:kern w:val="0"/>
                <w:sz w:val="21"/>
                <w:szCs w:val="21"/>
                <w:lang w:bidi="ar"/>
              </w:rPr>
              <w:t>）工艺管道、压力管道，按相关标准规范和设计文件要求，进行压力试验、泄漏型/真空试验，并按标准规范和设计文件的规定进行了吹扫/清洗。</w:t>
            </w:r>
          </w:p>
        </w:tc>
        <w:tc>
          <w:tcPr>
            <w:tcW w:w="787" w:type="dxa"/>
            <w:tcBorders>
              <w:top w:val="single" w:color="auto" w:sz="4" w:space="0"/>
              <w:left w:val="single" w:color="auto" w:sz="4" w:space="0"/>
              <w:bottom w:val="single" w:color="auto" w:sz="4" w:space="0"/>
              <w:right w:val="single" w:color="auto" w:sz="4" w:space="0"/>
            </w:tcBorders>
            <w:noWrap w:val="0"/>
            <w:vAlign w:val="center"/>
          </w:tcPr>
          <w:p w14:paraId="1759BBF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000000"/>
                <w:sz w:val="21"/>
                <w:szCs w:val="21"/>
              </w:rPr>
            </w:pPr>
            <w:r>
              <w:rPr>
                <w:rFonts w:hint="eastAsia"/>
                <w:color w:val="000000"/>
                <w:sz w:val="21"/>
                <w:szCs w:val="21"/>
              </w:rPr>
              <w:t>符合</w:t>
            </w:r>
          </w:p>
        </w:tc>
      </w:tr>
    </w:tbl>
    <w:p w14:paraId="71A1CE66">
      <w:pPr>
        <w:spacing w:line="500" w:lineRule="exact"/>
        <w:ind w:firstLine="560" w:firstLineChars="200"/>
        <w:rPr>
          <w:color w:val="000000"/>
          <w:sz w:val="28"/>
          <w:szCs w:val="21"/>
        </w:rPr>
      </w:pPr>
      <w:r>
        <w:rPr>
          <w:color w:val="000000"/>
          <w:sz w:val="28"/>
          <w:szCs w:val="21"/>
          <w:lang w:bidi="ar"/>
        </w:rPr>
        <w:t>由上表检查结果可知，该项目在设计、施工、验收等过程中，按照国家相关的安全生产法律、法规的要求履行了建设程序，该项目安全设施做到了与主体工程同时设计、同时施工、同时投入生产和使用，符合国家法律、法规对建设项目“三同时”的要求。</w:t>
      </w:r>
    </w:p>
    <w:p w14:paraId="309190BD">
      <w:pPr>
        <w:pStyle w:val="6"/>
        <w:keepNext/>
        <w:keepLines/>
        <w:pageBreakBefore w:val="0"/>
        <w:widowControl w:val="0"/>
        <w:numPr>
          <w:ilvl w:val="2"/>
          <w:numId w:val="0"/>
        </w:numPr>
        <w:tabs>
          <w:tab w:val="left" w:pos="931"/>
        </w:tabs>
        <w:kinsoku/>
        <w:wordWrap/>
        <w:overflowPunct/>
        <w:topLinePunct w:val="0"/>
        <w:autoSpaceDE/>
        <w:autoSpaceDN/>
        <w:bidi w:val="0"/>
        <w:adjustRightInd/>
        <w:snapToGrid w:val="0"/>
        <w:spacing w:line="360" w:lineRule="auto"/>
        <w:ind w:leftChars="100"/>
        <w:textAlignment w:val="auto"/>
        <w:outlineLvl w:val="3"/>
        <w:rPr>
          <w:rFonts w:hint="eastAsia" w:ascii="Times New Roman" w:hAnsi="Times New Roman" w:cs="Times New Roman"/>
          <w:snapToGrid w:val="0"/>
          <w:color w:val="000000"/>
          <w:kern w:val="0"/>
          <w:sz w:val="28"/>
          <w:szCs w:val="28"/>
          <w:lang w:val="en-US" w:eastAsia="zh-CN"/>
        </w:rPr>
      </w:pPr>
      <w:bookmarkStart w:id="1126" w:name="_Toc523055235"/>
      <w:bookmarkStart w:id="1127" w:name="_Toc9207"/>
      <w:r>
        <w:rPr>
          <w:rFonts w:hint="eastAsia" w:ascii="Times New Roman" w:hAnsi="Times New Roman" w:cs="Times New Roman"/>
          <w:snapToGrid w:val="0"/>
          <w:color w:val="000000"/>
          <w:kern w:val="0"/>
          <w:sz w:val="28"/>
          <w:szCs w:val="28"/>
          <w:lang w:val="en-US" w:eastAsia="zh-CN"/>
        </w:rPr>
        <w:t>3.2.8.2</w:t>
      </w:r>
      <w:bookmarkEnd w:id="1123"/>
      <w:bookmarkEnd w:id="1124"/>
      <w:bookmarkEnd w:id="1125"/>
      <w:r>
        <w:rPr>
          <w:rFonts w:hint="eastAsia" w:ascii="Times New Roman" w:hAnsi="Times New Roman" w:cs="Times New Roman"/>
          <w:snapToGrid w:val="0"/>
          <w:color w:val="000000"/>
          <w:kern w:val="0"/>
          <w:sz w:val="28"/>
          <w:szCs w:val="28"/>
          <w:lang w:val="en-US" w:eastAsia="zh-CN"/>
        </w:rPr>
        <w:t>建设项目采取（用）的安全设施</w:t>
      </w:r>
      <w:bookmarkEnd w:id="1126"/>
      <w:r>
        <w:rPr>
          <w:rFonts w:hint="eastAsia" w:ascii="Times New Roman" w:hAnsi="Times New Roman" w:cs="Times New Roman"/>
          <w:snapToGrid w:val="0"/>
          <w:color w:val="000000"/>
          <w:kern w:val="0"/>
          <w:sz w:val="28"/>
          <w:szCs w:val="28"/>
          <w:lang w:val="en-US" w:eastAsia="zh-CN"/>
        </w:rPr>
        <w:t>安全评价子单元</w:t>
      </w:r>
      <w:bookmarkEnd w:id="1127"/>
    </w:p>
    <w:p w14:paraId="34547DE5">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color w:val="000000"/>
          <w:sz w:val="28"/>
          <w:szCs w:val="28"/>
        </w:rPr>
      </w:pPr>
      <w:r>
        <w:rPr>
          <w:color w:val="000000"/>
          <w:sz w:val="28"/>
          <w:szCs w:val="21"/>
          <w:lang w:bidi="ar"/>
        </w:rPr>
        <w:t>该项目安全设施设计专篇对安全预评价报告中提出的对策措施予以了</w:t>
      </w:r>
      <w:r>
        <w:rPr>
          <w:rFonts w:hint="eastAsia"/>
          <w:color w:val="000000"/>
          <w:sz w:val="28"/>
          <w:szCs w:val="21"/>
          <w:lang w:bidi="ar"/>
        </w:rPr>
        <w:t>回应</w:t>
      </w:r>
      <w:r>
        <w:rPr>
          <w:color w:val="000000"/>
          <w:sz w:val="28"/>
          <w:szCs w:val="21"/>
          <w:lang w:bidi="ar"/>
        </w:rPr>
        <w:t>，</w:t>
      </w:r>
      <w:r>
        <w:rPr>
          <w:color w:val="000000"/>
          <w:sz w:val="28"/>
          <w:szCs w:val="21"/>
        </w:rPr>
        <w:t>安全设施设计</w:t>
      </w:r>
      <w:r>
        <w:rPr>
          <w:rFonts w:hint="eastAsia"/>
          <w:color w:val="000000"/>
          <w:sz w:val="28"/>
          <w:szCs w:val="21"/>
        </w:rPr>
        <w:t>专篇</w:t>
      </w:r>
      <w:r>
        <w:rPr>
          <w:color w:val="000000"/>
          <w:sz w:val="28"/>
          <w:szCs w:val="21"/>
        </w:rPr>
        <w:t>经过</w:t>
      </w:r>
      <w:r>
        <w:rPr>
          <w:rFonts w:hint="eastAsia"/>
          <w:color w:val="000000"/>
          <w:sz w:val="28"/>
          <w:szCs w:val="21"/>
        </w:rPr>
        <w:t>专家审查</w:t>
      </w:r>
      <w:r>
        <w:rPr>
          <w:color w:val="000000"/>
          <w:sz w:val="28"/>
          <w:szCs w:val="21"/>
        </w:rPr>
        <w:t>通过。</w:t>
      </w:r>
    </w:p>
    <w:p w14:paraId="3ACF5F22">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snapToGrid w:val="0"/>
          <w:color w:val="000000"/>
          <w:kern w:val="0"/>
          <w:sz w:val="28"/>
          <w:szCs w:val="28"/>
          <w:lang w:bidi="ar"/>
        </w:rPr>
      </w:pPr>
      <w:r>
        <w:rPr>
          <w:color w:val="000000"/>
          <w:sz w:val="28"/>
          <w:szCs w:val="28"/>
          <w:lang w:bidi="ar"/>
        </w:rPr>
        <w:t>根据该项目安全设施设计专篇中的要求，对安全设施设计专篇</w:t>
      </w:r>
      <w:r>
        <w:rPr>
          <w:rFonts w:hint="eastAsia"/>
          <w:color w:val="000000"/>
          <w:sz w:val="28"/>
          <w:szCs w:val="28"/>
          <w:lang w:bidi="ar"/>
        </w:rPr>
        <w:t>“</w:t>
      </w:r>
      <w:bookmarkStart w:id="1128" w:name="_Toc151641110"/>
      <w:r>
        <w:rPr>
          <w:rFonts w:hint="eastAsia"/>
          <w:color w:val="000000"/>
          <w:sz w:val="28"/>
          <w:szCs w:val="28"/>
          <w:lang w:bidi="ar"/>
        </w:rPr>
        <w:t>4 设计采用的安全设施</w:t>
      </w:r>
      <w:bookmarkEnd w:id="1128"/>
      <w:r>
        <w:rPr>
          <w:rFonts w:hint="eastAsia"/>
          <w:color w:val="000000"/>
          <w:sz w:val="28"/>
          <w:szCs w:val="28"/>
          <w:lang w:bidi="ar"/>
        </w:rPr>
        <w:t>”</w:t>
      </w:r>
      <w:r>
        <w:rPr>
          <w:color w:val="000000"/>
          <w:sz w:val="28"/>
          <w:szCs w:val="28"/>
          <w:lang w:bidi="ar"/>
        </w:rPr>
        <w:t>中提出的安全对策措施</w:t>
      </w:r>
      <w:r>
        <w:rPr>
          <w:snapToGrid w:val="0"/>
          <w:color w:val="000000"/>
          <w:kern w:val="0"/>
          <w:sz w:val="28"/>
          <w:szCs w:val="28"/>
          <w:lang w:bidi="ar"/>
        </w:rPr>
        <w:t>落实情况检查如下</w:t>
      </w:r>
      <w:r>
        <w:rPr>
          <w:rFonts w:hint="eastAsia"/>
          <w:snapToGrid w:val="0"/>
          <w:color w:val="000000"/>
          <w:kern w:val="0"/>
          <w:sz w:val="28"/>
          <w:szCs w:val="28"/>
          <w:lang w:bidi="ar"/>
        </w:rPr>
        <w:t>。</w:t>
      </w:r>
    </w:p>
    <w:p w14:paraId="25B21CDA">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snapToGrid w:val="0"/>
          <w:color w:val="000000"/>
          <w:kern w:val="0"/>
          <w:sz w:val="28"/>
          <w:szCs w:val="28"/>
        </w:rPr>
      </w:pPr>
      <w:r>
        <w:rPr>
          <w:rFonts w:hint="eastAsia"/>
          <w:snapToGrid w:val="0"/>
          <w:color w:val="000000"/>
          <w:kern w:val="0"/>
          <w:sz w:val="28"/>
          <w:szCs w:val="28"/>
          <w:lang w:bidi="ar"/>
        </w:rPr>
        <w:t>1.《</w:t>
      </w:r>
      <w:r>
        <w:rPr>
          <w:rFonts w:hint="eastAsia"/>
          <w:snapToGrid w:val="0"/>
          <w:color w:val="000000"/>
          <w:sz w:val="28"/>
          <w:szCs w:val="28"/>
        </w:rPr>
        <w:t>云南瓮福祥丰氟硅新材料有限公司3万吨/年无水氟化氢和2万吨/年电子级氢氟酸</w:t>
      </w:r>
      <w:r>
        <w:rPr>
          <w:rFonts w:hint="eastAsia" w:ascii="新宋体" w:hAnsi="新宋体" w:eastAsia="新宋体" w:cs="新宋体"/>
          <w:color w:val="auto"/>
          <w:szCs w:val="28"/>
        </w:rPr>
        <w:t>厂外公用工程管架建设</w:t>
      </w:r>
      <w:r>
        <w:rPr>
          <w:rFonts w:hint="eastAsia"/>
          <w:snapToGrid w:val="0"/>
          <w:color w:val="000000"/>
          <w:sz w:val="28"/>
          <w:szCs w:val="28"/>
        </w:rPr>
        <w:t>项目</w:t>
      </w:r>
      <w:r>
        <w:rPr>
          <w:snapToGrid w:val="0"/>
          <w:color w:val="000000"/>
          <w:sz w:val="28"/>
          <w:szCs w:val="28"/>
        </w:rPr>
        <w:t>安全设施设计专篇</w:t>
      </w:r>
      <w:r>
        <w:rPr>
          <w:rFonts w:hint="eastAsia"/>
          <w:snapToGrid w:val="0"/>
          <w:color w:val="000000"/>
          <w:sz w:val="28"/>
          <w:szCs w:val="28"/>
          <w:lang w:eastAsia="zh-CN"/>
        </w:rPr>
        <w:t>》</w:t>
      </w:r>
      <w:r>
        <w:rPr>
          <w:rFonts w:hint="eastAsia"/>
          <w:snapToGrid w:val="0"/>
          <w:color w:val="000000"/>
          <w:kern w:val="0"/>
          <w:sz w:val="28"/>
          <w:szCs w:val="28"/>
          <w:lang w:eastAsia="zh-CN" w:bidi="ar"/>
        </w:rPr>
        <w:t>（</w:t>
      </w:r>
      <w:r>
        <w:rPr>
          <w:rFonts w:hint="eastAsia"/>
          <w:snapToGrid w:val="0"/>
          <w:color w:val="000000"/>
          <w:kern w:val="0"/>
          <w:sz w:val="28"/>
          <w:szCs w:val="28"/>
          <w:lang w:bidi="ar"/>
        </w:rPr>
        <w:t>2024年1</w:t>
      </w:r>
      <w:r>
        <w:rPr>
          <w:rFonts w:hint="eastAsia"/>
          <w:snapToGrid w:val="0"/>
          <w:color w:val="000000"/>
          <w:kern w:val="0"/>
          <w:sz w:val="28"/>
          <w:szCs w:val="28"/>
          <w:lang w:val="en-US" w:eastAsia="zh-CN" w:bidi="ar"/>
        </w:rPr>
        <w:t>0</w:t>
      </w:r>
      <w:r>
        <w:rPr>
          <w:rFonts w:hint="eastAsia"/>
          <w:snapToGrid w:val="0"/>
          <w:color w:val="000000"/>
          <w:kern w:val="0"/>
          <w:sz w:val="28"/>
          <w:szCs w:val="28"/>
          <w:lang w:bidi="ar"/>
        </w:rPr>
        <w:t>月）的</w:t>
      </w:r>
      <w:r>
        <w:rPr>
          <w:rFonts w:hint="eastAsia"/>
          <w:color w:val="000000"/>
          <w:sz w:val="28"/>
          <w:szCs w:val="28"/>
          <w:lang w:bidi="ar"/>
        </w:rPr>
        <w:t>“4 设计采用的安全设施”</w:t>
      </w:r>
      <w:r>
        <w:rPr>
          <w:color w:val="000000"/>
          <w:sz w:val="28"/>
          <w:szCs w:val="28"/>
          <w:lang w:bidi="ar"/>
        </w:rPr>
        <w:t>中提出的安全对策措施</w:t>
      </w:r>
      <w:r>
        <w:rPr>
          <w:snapToGrid w:val="0"/>
          <w:color w:val="000000"/>
          <w:kern w:val="0"/>
          <w:sz w:val="28"/>
          <w:szCs w:val="28"/>
          <w:lang w:bidi="ar"/>
        </w:rPr>
        <w:t>落实情况检查。</w:t>
      </w:r>
    </w:p>
    <w:p w14:paraId="22FF181D">
      <w:pPr>
        <w:spacing w:line="500" w:lineRule="exact"/>
        <w:ind w:firstLine="482" w:firstLineChars="200"/>
        <w:jc w:val="center"/>
        <w:rPr>
          <w:rFonts w:hint="eastAsia"/>
          <w:b/>
          <w:bCs/>
          <w:color w:val="000000"/>
          <w:sz w:val="24"/>
        </w:rPr>
      </w:pPr>
      <w:r>
        <w:rPr>
          <w:b/>
          <w:bCs/>
          <w:color w:val="000000"/>
          <w:sz w:val="24"/>
          <w:lang w:bidi="ar"/>
        </w:rPr>
        <w:t>附表3</w:t>
      </w:r>
      <w:r>
        <w:rPr>
          <w:rFonts w:hint="eastAsia"/>
          <w:b/>
          <w:bCs/>
          <w:color w:val="000000"/>
          <w:sz w:val="24"/>
          <w:lang w:val="en-US" w:eastAsia="zh-CN" w:bidi="ar"/>
        </w:rPr>
        <w:t>.2</w:t>
      </w:r>
      <w:r>
        <w:rPr>
          <w:b/>
          <w:bCs/>
          <w:color w:val="000000"/>
          <w:sz w:val="24"/>
          <w:lang w:bidi="ar"/>
        </w:rPr>
        <w:t>-</w:t>
      </w:r>
      <w:r>
        <w:rPr>
          <w:rFonts w:hint="eastAsia"/>
          <w:b/>
          <w:bCs/>
          <w:color w:val="000000"/>
          <w:sz w:val="24"/>
          <w:lang w:val="en-US" w:eastAsia="zh-CN" w:bidi="ar"/>
        </w:rPr>
        <w:t>1</w:t>
      </w:r>
      <w:r>
        <w:rPr>
          <w:rFonts w:hint="eastAsia"/>
          <w:b/>
          <w:bCs/>
          <w:color w:val="000000"/>
          <w:sz w:val="24"/>
          <w:lang w:bidi="ar"/>
        </w:rPr>
        <w:t>0</w:t>
      </w:r>
      <w:r>
        <w:rPr>
          <w:b/>
          <w:bCs/>
          <w:color w:val="000000"/>
          <w:sz w:val="24"/>
          <w:lang w:bidi="ar"/>
        </w:rPr>
        <w:t xml:space="preserve"> 安全设施设计专篇中安全对策措施落实情况检查表</w:t>
      </w:r>
      <w:r>
        <w:rPr>
          <w:rFonts w:hint="eastAsia"/>
          <w:b/>
          <w:bCs/>
          <w:color w:val="000000"/>
          <w:sz w:val="24"/>
          <w:lang w:bidi="ar"/>
        </w:rPr>
        <w:t>1</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5705"/>
        <w:gridCol w:w="2253"/>
        <w:gridCol w:w="729"/>
      </w:tblGrid>
      <w:tr w14:paraId="10745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8" w:type="dxa"/>
            <w:gridSpan w:val="2"/>
            <w:tcBorders>
              <w:top w:val="single" w:color="auto" w:sz="4" w:space="0"/>
              <w:left w:val="single" w:color="auto" w:sz="4" w:space="0"/>
              <w:bottom w:val="single" w:color="auto" w:sz="4" w:space="0"/>
              <w:right w:val="single" w:color="auto" w:sz="4" w:space="0"/>
            </w:tcBorders>
            <w:noWrap w:val="0"/>
            <w:vAlign w:val="center"/>
          </w:tcPr>
          <w:p w14:paraId="1D84240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bCs/>
                <w:color w:val="000000"/>
                <w:kern w:val="0"/>
                <w:sz w:val="21"/>
                <w:szCs w:val="21"/>
              </w:rPr>
            </w:pPr>
            <w:r>
              <w:rPr>
                <w:b/>
                <w:bCs/>
                <w:color w:val="000000"/>
                <w:kern w:val="0"/>
                <w:sz w:val="21"/>
                <w:szCs w:val="21"/>
                <w:lang w:bidi="ar"/>
              </w:rPr>
              <w:t>安全设施设计专篇中采取的安全对策措施</w:t>
            </w:r>
          </w:p>
        </w:tc>
        <w:tc>
          <w:tcPr>
            <w:tcW w:w="2253" w:type="dxa"/>
            <w:tcBorders>
              <w:top w:val="single" w:color="auto" w:sz="4" w:space="0"/>
              <w:left w:val="single" w:color="auto" w:sz="4" w:space="0"/>
              <w:bottom w:val="single" w:color="auto" w:sz="4" w:space="0"/>
              <w:right w:val="single" w:color="auto" w:sz="4" w:space="0"/>
            </w:tcBorders>
            <w:noWrap w:val="0"/>
            <w:vAlign w:val="center"/>
          </w:tcPr>
          <w:p w14:paraId="7BBEC6A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000000"/>
                <w:sz w:val="21"/>
                <w:szCs w:val="21"/>
              </w:rPr>
            </w:pPr>
            <w:r>
              <w:rPr>
                <w:b/>
                <w:bCs/>
                <w:color w:val="000000"/>
                <w:sz w:val="21"/>
                <w:szCs w:val="21"/>
                <w:lang w:bidi="ar"/>
              </w:rPr>
              <w:t>检查情况</w:t>
            </w:r>
          </w:p>
        </w:tc>
        <w:tc>
          <w:tcPr>
            <w:tcW w:w="729" w:type="dxa"/>
            <w:tcBorders>
              <w:top w:val="single" w:color="auto" w:sz="4" w:space="0"/>
              <w:left w:val="single" w:color="auto" w:sz="4" w:space="0"/>
              <w:bottom w:val="single" w:color="auto" w:sz="4" w:space="0"/>
              <w:right w:val="single" w:color="auto" w:sz="4" w:space="0"/>
            </w:tcBorders>
            <w:noWrap w:val="0"/>
            <w:vAlign w:val="center"/>
          </w:tcPr>
          <w:p w14:paraId="724C7AC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000000"/>
                <w:sz w:val="21"/>
                <w:szCs w:val="21"/>
              </w:rPr>
            </w:pPr>
            <w:r>
              <w:rPr>
                <w:b/>
                <w:bCs/>
                <w:color w:val="000000"/>
                <w:sz w:val="21"/>
                <w:szCs w:val="21"/>
                <w:lang w:bidi="ar"/>
              </w:rPr>
              <w:t>结论</w:t>
            </w:r>
          </w:p>
        </w:tc>
      </w:tr>
      <w:tr w14:paraId="3A782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dxa"/>
            <w:vMerge w:val="restart"/>
            <w:tcBorders>
              <w:top w:val="single" w:color="auto" w:sz="4" w:space="0"/>
              <w:left w:val="single" w:color="auto" w:sz="4" w:space="0"/>
              <w:bottom w:val="single" w:color="auto" w:sz="4" w:space="0"/>
              <w:right w:val="single" w:color="auto" w:sz="4" w:space="0"/>
            </w:tcBorders>
            <w:noWrap w:val="0"/>
            <w:vAlign w:val="center"/>
          </w:tcPr>
          <w:p w14:paraId="5D5B8F4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rFonts w:hint="eastAsia"/>
                <w:color w:val="000000"/>
                <w:sz w:val="21"/>
                <w:szCs w:val="21"/>
                <w:lang w:bidi="ar"/>
              </w:rPr>
              <w:t>4.1</w:t>
            </w:r>
            <w:r>
              <w:rPr>
                <w:color w:val="000000"/>
                <w:sz w:val="21"/>
                <w:szCs w:val="21"/>
                <w:lang w:bidi="ar"/>
              </w:rPr>
              <w:t>工艺系统</w:t>
            </w:r>
          </w:p>
        </w:tc>
        <w:tc>
          <w:tcPr>
            <w:tcW w:w="5705" w:type="dxa"/>
            <w:tcBorders>
              <w:top w:val="single" w:color="auto" w:sz="4" w:space="0"/>
              <w:left w:val="single" w:color="auto" w:sz="4" w:space="0"/>
              <w:bottom w:val="single" w:color="auto" w:sz="4" w:space="0"/>
              <w:right w:val="single" w:color="auto" w:sz="4" w:space="0"/>
            </w:tcBorders>
            <w:noWrap w:val="0"/>
            <w:vAlign w:val="center"/>
          </w:tcPr>
          <w:p w14:paraId="67F7F21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4.1.1工艺过程采取的防泄漏、防火、防爆、防毒、防腐蚀等主要措施：</w:t>
            </w:r>
          </w:p>
          <w:p w14:paraId="054020D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lang w:val="en-US" w:eastAsia="zh-CN"/>
              </w:rPr>
              <w:t>4.1.1.1</w:t>
            </w:r>
            <w:r>
              <w:rPr>
                <w:rFonts w:hint="eastAsia" w:ascii="宋体" w:hAnsi="Times New Roman" w:eastAsia="宋体" w:cs="宋体"/>
                <w:color w:val="000000"/>
                <w:sz w:val="21"/>
                <w:szCs w:val="21"/>
              </w:rPr>
              <w:t>防毒</w:t>
            </w:r>
          </w:p>
          <w:p w14:paraId="24BBBC0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氟硅酸受热分解放出有毒的氟化物气体。具有较强的腐蚀性。对于有毒性危险的物料，原则上不在外管调节、切换、减压等阀门，有需要调节、切换以及减压的，在各个用户厂区内设置。</w:t>
            </w:r>
          </w:p>
          <w:p w14:paraId="24E1561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lang w:val="en-US" w:eastAsia="zh-CN"/>
              </w:rPr>
              <w:t>4.1.1.2</w:t>
            </w:r>
            <w:r>
              <w:rPr>
                <w:rFonts w:hint="eastAsia" w:ascii="宋体" w:hAnsi="Times New Roman" w:eastAsia="宋体" w:cs="宋体"/>
                <w:color w:val="000000"/>
                <w:sz w:val="21"/>
                <w:szCs w:val="21"/>
              </w:rPr>
              <w:t>防泄漏</w:t>
            </w:r>
          </w:p>
          <w:p w14:paraId="1659B0C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（1）为防止超压、泄漏，浓硫酸的输送管道采用不锈钢材质，弯头采用钢衬PTFE材质，阀门选用密封性能好的不锈钢球阀，输送泵选型磁力泵。</w:t>
            </w:r>
          </w:p>
          <w:p w14:paraId="2D254D1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2）对输送有毒液体的泵类，选择无泄漏泵，对所有有毒介质的管道、法兰、阀门，按照规范要求选则密封性能好的旋塞阀和球阀等专用阀门，并配以耐温密封材料和零泄漏设计，防止泄漏事故的发生。阀门材质等于或高于相应管线。</w:t>
            </w:r>
          </w:p>
          <w:p w14:paraId="011482B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（3）在管线的排放口加装盲板、丝堵、管帽、双阀等措施，减少泄漏的可能性。</w:t>
            </w:r>
          </w:p>
          <w:p w14:paraId="314AB759">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（4）管道走向的布置在经济性的原则下，尽量进行柔性设计，以减少设备管口的受力，防止法兰泄露。</w:t>
            </w:r>
          </w:p>
          <w:p w14:paraId="2BBDDA99">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（5）输送腐蚀性介质的管道上的法兰设置法兰套，以避免腐蚀性介质泄露后对现场作业人员的伤害。</w:t>
            </w:r>
          </w:p>
          <w:p w14:paraId="7C7055D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（6）根据管线内物料的特性要求，管线上按规定设置相应的排气、泄压、稳压、缓冲、放液等安全装置。</w:t>
            </w:r>
          </w:p>
          <w:p w14:paraId="72D7B63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（7）流体采用管道输送时，对于液体管道流速控制在1～3m/s，蒸汽输送流速控制在15～20m/s。</w:t>
            </w:r>
          </w:p>
          <w:p w14:paraId="6A59355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（8）浓硫酸、稀硫酸、氟硅酸在泵区配备喷淋洗眼装置。</w:t>
            </w:r>
          </w:p>
          <w:p w14:paraId="11D11445">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（9）本项目管道的设计输送能力应满足上游和下游连接设施不同操作工况下的输送要求，设计压力、设计温度、设计寿命等设计参数不低于上游和下游设施的连接管道。</w:t>
            </w:r>
          </w:p>
          <w:p w14:paraId="521A39F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10）管廊上热力管道为蒸汽管道（DN250），操作温度压力：192℃，1.2MPa。蒸汽管道全部采用自然补偿方式，管道沿程每不超过90m设一处固定管架，每两个固定管架之间设π形膨胀弯，有足够的臂长吸收管道热膨胀。其余管道为常温管道，利用管廊本身翻高、翻低、拐弯处弯头吸收热位移，实现自然补偿。</w:t>
            </w:r>
          </w:p>
          <w:p w14:paraId="3561F11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（11）对于蒸汽管道，根据管材绝热规定进行保温。</w:t>
            </w:r>
          </w:p>
          <w:p w14:paraId="2C7362E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lang w:val="en-US" w:eastAsia="zh-CN"/>
              </w:rPr>
              <w:t>4.1.1.3</w:t>
            </w:r>
            <w:r>
              <w:rPr>
                <w:rFonts w:hint="eastAsia" w:ascii="宋体" w:hAnsi="Times New Roman" w:eastAsia="宋体" w:cs="宋体"/>
                <w:color w:val="000000"/>
                <w:sz w:val="21"/>
                <w:szCs w:val="21"/>
              </w:rPr>
              <w:t>防腐蚀</w:t>
            </w:r>
          </w:p>
          <w:p w14:paraId="78069978">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为防腐蚀，如浓硫酸管线采用不锈钢材质，弯头采用钢衬PTFE材质；稀硫酸管线采用钢骨架材质；氟硅酸管线采用钢衬超高分子量聚乙烯材质；渣浆水、再浆水管线采用钢骨架材质。</w:t>
            </w:r>
          </w:p>
          <w:p w14:paraId="2D9999A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p>
        </w:tc>
        <w:tc>
          <w:tcPr>
            <w:tcW w:w="2253" w:type="dxa"/>
            <w:tcBorders>
              <w:top w:val="single" w:color="auto" w:sz="4" w:space="0"/>
              <w:left w:val="single" w:color="auto" w:sz="4" w:space="0"/>
              <w:bottom w:val="single" w:color="auto" w:sz="4" w:space="0"/>
              <w:right w:val="single" w:color="auto" w:sz="4" w:space="0"/>
            </w:tcBorders>
            <w:noWrap w:val="0"/>
            <w:vAlign w:val="center"/>
          </w:tcPr>
          <w:p w14:paraId="0804B649">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eastAsia="zh-CN"/>
              </w:rPr>
            </w:pPr>
            <w:r>
              <w:rPr>
                <w:rFonts w:hint="eastAsia" w:ascii="宋体" w:hAnsi="Times New Roman" w:eastAsia="宋体" w:cs="宋体"/>
                <w:color w:val="000000"/>
                <w:sz w:val="21"/>
                <w:szCs w:val="21"/>
              </w:rPr>
              <w:t>4.1.1.1防</w:t>
            </w:r>
            <w:r>
              <w:rPr>
                <w:rFonts w:hint="eastAsia" w:ascii="宋体" w:hAnsi="Times New Roman" w:eastAsia="宋体" w:cs="宋体"/>
                <w:color w:val="000000"/>
                <w:sz w:val="21"/>
                <w:szCs w:val="21"/>
                <w:lang w:val="en-US" w:eastAsia="zh-CN"/>
              </w:rPr>
              <w:t>毒</w:t>
            </w:r>
          </w:p>
          <w:p w14:paraId="0FD46B8A">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根据竣工资料，</w:t>
            </w:r>
            <w:r>
              <w:rPr>
                <w:rFonts w:hint="eastAsia" w:cs="宋体"/>
                <w:color w:val="000000"/>
                <w:sz w:val="21"/>
                <w:szCs w:val="21"/>
                <w:lang w:val="en-US" w:eastAsia="zh-CN"/>
              </w:rPr>
              <w:t>对于</w:t>
            </w:r>
            <w:r>
              <w:rPr>
                <w:rFonts w:hint="eastAsia" w:ascii="宋体" w:hAnsi="Times New Roman" w:eastAsia="宋体" w:cs="宋体"/>
                <w:color w:val="000000"/>
                <w:sz w:val="21"/>
                <w:szCs w:val="21"/>
              </w:rPr>
              <w:t>毒性危险的物料，原则上不在外管调节、切换、减压等阀门，有需要调节、切换以及减压的，在各个用户厂区内设置。</w:t>
            </w:r>
          </w:p>
          <w:p w14:paraId="7595C4F9">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eastAsia="zh-CN"/>
              </w:rPr>
            </w:pPr>
            <w:r>
              <w:rPr>
                <w:rFonts w:hint="eastAsia" w:ascii="宋体" w:hAnsi="Times New Roman" w:eastAsia="宋体" w:cs="宋体"/>
                <w:color w:val="000000"/>
                <w:sz w:val="21"/>
                <w:szCs w:val="21"/>
              </w:rPr>
              <w:t>4.1.1.2防</w:t>
            </w:r>
            <w:r>
              <w:rPr>
                <w:rFonts w:hint="eastAsia" w:ascii="宋体" w:hAnsi="Times New Roman" w:eastAsia="宋体" w:cs="宋体"/>
                <w:color w:val="000000"/>
                <w:sz w:val="21"/>
                <w:szCs w:val="21"/>
                <w:lang w:val="en-US" w:eastAsia="zh-CN"/>
              </w:rPr>
              <w:t>泄漏</w:t>
            </w:r>
          </w:p>
          <w:p w14:paraId="56897630">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eastAsia="zh-CN"/>
              </w:rPr>
            </w:pPr>
            <w:r>
              <w:rPr>
                <w:rFonts w:hint="eastAsia" w:ascii="宋体" w:hAnsi="Times New Roman" w:eastAsia="宋体" w:cs="宋体"/>
                <w:color w:val="000000"/>
                <w:sz w:val="21"/>
                <w:szCs w:val="21"/>
              </w:rPr>
              <w:t>（1）根据竣工资料</w:t>
            </w:r>
            <w:r>
              <w:rPr>
                <w:rFonts w:hint="eastAsia" w:ascii="宋体" w:hAnsi="Times New Roman" w:eastAsia="宋体" w:cs="宋体"/>
                <w:color w:val="000000"/>
                <w:sz w:val="21"/>
                <w:szCs w:val="21"/>
                <w:lang w:eastAsia="zh-CN"/>
              </w:rPr>
              <w:t>，</w:t>
            </w:r>
            <w:r>
              <w:rPr>
                <w:rFonts w:hint="eastAsia" w:ascii="宋体" w:hAnsi="Times New Roman" w:eastAsia="宋体" w:cs="宋体"/>
                <w:color w:val="000000"/>
                <w:sz w:val="21"/>
                <w:szCs w:val="21"/>
              </w:rPr>
              <w:t>输送管道采用不锈钢材质，弯头采用钢衬PTFE材质，阀门选用密封性能好的不锈钢球阀，输送泵选型磁力泵</w:t>
            </w:r>
            <w:r>
              <w:rPr>
                <w:rFonts w:hint="eastAsia" w:ascii="宋体" w:hAnsi="Times New Roman" w:eastAsia="宋体" w:cs="宋体"/>
                <w:color w:val="000000"/>
                <w:sz w:val="21"/>
                <w:szCs w:val="21"/>
                <w:lang w:eastAsia="zh-CN"/>
              </w:rPr>
              <w:t>。</w:t>
            </w:r>
          </w:p>
          <w:p w14:paraId="1C25B488">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（2）根据竣工资料</w:t>
            </w:r>
            <w:r>
              <w:rPr>
                <w:rFonts w:hint="eastAsia" w:ascii="宋体" w:hAnsi="Times New Roman" w:eastAsia="宋体" w:cs="宋体"/>
                <w:color w:val="000000"/>
                <w:sz w:val="21"/>
                <w:szCs w:val="21"/>
                <w:lang w:eastAsia="zh-CN"/>
              </w:rPr>
              <w:t>，</w:t>
            </w:r>
            <w:r>
              <w:rPr>
                <w:rFonts w:hint="eastAsia" w:ascii="宋体" w:hAnsi="Times New Roman" w:eastAsia="宋体" w:cs="宋体"/>
                <w:color w:val="000000"/>
                <w:sz w:val="21"/>
                <w:szCs w:val="21"/>
              </w:rPr>
              <w:t>输送有毒液体的泵类，选择无泄漏泵，对所有有毒介质的管道、法兰、阀门，按照规范要求选则密封性能好的旋塞阀和球阀等专用阀门，并配以耐温密封材料和零泄漏设计。</w:t>
            </w:r>
          </w:p>
          <w:p w14:paraId="140EFD0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（3）根据</w:t>
            </w:r>
            <w:r>
              <w:rPr>
                <w:rFonts w:hint="eastAsia" w:ascii="宋体" w:hAnsi="Times New Roman" w:eastAsia="宋体" w:cs="宋体"/>
                <w:color w:val="000000"/>
                <w:sz w:val="21"/>
                <w:szCs w:val="21"/>
                <w:lang w:val="en-US" w:eastAsia="zh-CN"/>
              </w:rPr>
              <w:t>施工、</w:t>
            </w:r>
            <w:r>
              <w:rPr>
                <w:rFonts w:hint="eastAsia" w:ascii="宋体" w:hAnsi="Times New Roman" w:eastAsia="宋体" w:cs="宋体"/>
                <w:color w:val="000000"/>
                <w:sz w:val="21"/>
                <w:szCs w:val="21"/>
              </w:rPr>
              <w:t>竣工</w:t>
            </w:r>
            <w:r>
              <w:rPr>
                <w:rFonts w:hint="eastAsia" w:cs="宋体"/>
                <w:color w:val="000000"/>
                <w:sz w:val="21"/>
                <w:szCs w:val="21"/>
                <w:lang w:val="en-US" w:eastAsia="zh-CN"/>
              </w:rPr>
              <w:t>资料及现场核实</w:t>
            </w:r>
            <w:r>
              <w:rPr>
                <w:rFonts w:hint="eastAsia" w:ascii="宋体" w:hAnsi="Times New Roman" w:eastAsia="宋体" w:cs="宋体"/>
                <w:color w:val="000000"/>
                <w:sz w:val="21"/>
                <w:szCs w:val="21"/>
              </w:rPr>
              <w:t>管线</w:t>
            </w:r>
            <w:r>
              <w:rPr>
                <w:rFonts w:hint="eastAsia" w:cs="宋体"/>
                <w:color w:val="000000"/>
                <w:sz w:val="21"/>
                <w:szCs w:val="21"/>
                <w:lang w:val="en-US" w:eastAsia="zh-CN"/>
              </w:rPr>
              <w:t>在</w:t>
            </w:r>
            <w:r>
              <w:rPr>
                <w:rFonts w:hint="eastAsia" w:ascii="宋体" w:hAnsi="Times New Roman" w:eastAsia="宋体" w:cs="宋体"/>
                <w:color w:val="000000"/>
                <w:sz w:val="21"/>
                <w:szCs w:val="21"/>
              </w:rPr>
              <w:t>排放口加装</w:t>
            </w:r>
            <w:r>
              <w:rPr>
                <w:rFonts w:hint="eastAsia" w:cs="宋体"/>
                <w:color w:val="000000"/>
                <w:sz w:val="21"/>
                <w:szCs w:val="21"/>
                <w:lang w:val="en-US" w:eastAsia="zh-CN"/>
              </w:rPr>
              <w:t>了</w:t>
            </w:r>
            <w:r>
              <w:rPr>
                <w:rFonts w:hint="eastAsia" w:ascii="宋体" w:hAnsi="Times New Roman" w:eastAsia="宋体" w:cs="宋体"/>
                <w:color w:val="000000"/>
                <w:sz w:val="21"/>
                <w:szCs w:val="21"/>
              </w:rPr>
              <w:t>盲板、丝堵、管帽、双阀。</w:t>
            </w:r>
          </w:p>
          <w:p w14:paraId="22A4734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（4）</w:t>
            </w:r>
            <w:r>
              <w:rPr>
                <w:rFonts w:hint="eastAsia" w:ascii="宋体" w:hAnsi="Times New Roman" w:eastAsia="宋体" w:cs="宋体"/>
                <w:color w:val="000000"/>
                <w:sz w:val="21"/>
                <w:szCs w:val="21"/>
                <w:lang w:val="en-US" w:eastAsia="zh-CN"/>
              </w:rPr>
              <w:t>根据</w:t>
            </w:r>
            <w:r>
              <w:rPr>
                <w:rFonts w:hint="eastAsia" w:cs="宋体"/>
                <w:color w:val="000000"/>
                <w:sz w:val="21"/>
                <w:szCs w:val="21"/>
                <w:lang w:val="en-US" w:eastAsia="zh-CN"/>
              </w:rPr>
              <w:t>竣工图及现场核查</w:t>
            </w:r>
            <w:r>
              <w:rPr>
                <w:rFonts w:hint="eastAsia" w:ascii="宋体" w:hAnsi="Times New Roman" w:eastAsia="宋体" w:cs="宋体"/>
                <w:color w:val="000000"/>
                <w:sz w:val="21"/>
                <w:szCs w:val="21"/>
                <w:lang w:val="en-US" w:eastAsia="zh-CN"/>
              </w:rPr>
              <w:t>，</w:t>
            </w:r>
            <w:r>
              <w:rPr>
                <w:rFonts w:hint="default" w:ascii="Times New Roman" w:hAnsi="Times New Roman" w:eastAsia="宋体" w:cs="Times New Roman"/>
                <w:sz w:val="21"/>
                <w:szCs w:val="21"/>
                <w:highlight w:val="none"/>
              </w:rPr>
              <w:t>本项目管线敷设方式经技术经济比较后综合确定，项目涉及硫酸、氟硅酸等腐蚀性介质，采用地上敷设</w:t>
            </w:r>
            <w:r>
              <w:rPr>
                <w:rFonts w:hint="eastAsia" w:ascii="宋体" w:hAnsi="Times New Roman" w:eastAsia="宋体" w:cs="宋体"/>
                <w:color w:val="000000"/>
                <w:sz w:val="21"/>
                <w:szCs w:val="21"/>
              </w:rPr>
              <w:t>。</w:t>
            </w:r>
          </w:p>
          <w:p w14:paraId="0B8A5E78">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（5）根据</w:t>
            </w:r>
            <w:r>
              <w:rPr>
                <w:rFonts w:hint="eastAsia" w:ascii="宋体" w:hAnsi="Times New Roman" w:eastAsia="宋体" w:cs="宋体"/>
                <w:color w:val="000000"/>
                <w:sz w:val="21"/>
                <w:szCs w:val="21"/>
                <w:lang w:val="en-US" w:eastAsia="zh-CN"/>
              </w:rPr>
              <w:t>施工、</w:t>
            </w:r>
            <w:r>
              <w:rPr>
                <w:rFonts w:hint="eastAsia" w:ascii="宋体" w:hAnsi="Times New Roman" w:eastAsia="宋体" w:cs="宋体"/>
                <w:color w:val="000000"/>
                <w:sz w:val="21"/>
                <w:szCs w:val="21"/>
              </w:rPr>
              <w:t>竣工</w:t>
            </w:r>
            <w:r>
              <w:rPr>
                <w:rFonts w:hint="eastAsia" w:ascii="宋体" w:hAnsi="Times New Roman" w:eastAsia="宋体" w:cs="宋体"/>
                <w:color w:val="000000"/>
                <w:sz w:val="21"/>
                <w:szCs w:val="21"/>
                <w:lang w:val="en-US" w:eastAsia="zh-CN"/>
              </w:rPr>
              <w:t>资料，</w:t>
            </w:r>
            <w:r>
              <w:rPr>
                <w:rFonts w:hint="eastAsia" w:ascii="宋体" w:hAnsi="Times New Roman" w:eastAsia="宋体" w:cs="宋体"/>
                <w:color w:val="000000"/>
                <w:sz w:val="21"/>
                <w:szCs w:val="21"/>
              </w:rPr>
              <w:t>输送腐蚀性介质的管道上的法兰</w:t>
            </w:r>
            <w:r>
              <w:rPr>
                <w:rFonts w:hint="eastAsia" w:ascii="宋体" w:hAnsi="Times New Roman" w:eastAsia="宋体" w:cs="宋体"/>
                <w:color w:val="000000"/>
                <w:sz w:val="21"/>
                <w:szCs w:val="21"/>
                <w:lang w:val="en-US" w:eastAsia="zh-CN"/>
              </w:rPr>
              <w:t>了</w:t>
            </w:r>
            <w:r>
              <w:rPr>
                <w:rFonts w:hint="eastAsia" w:ascii="宋体" w:hAnsi="Times New Roman" w:eastAsia="宋体" w:cs="宋体"/>
                <w:color w:val="000000"/>
                <w:sz w:val="21"/>
                <w:szCs w:val="21"/>
              </w:rPr>
              <w:t>设置法兰套。</w:t>
            </w:r>
          </w:p>
          <w:p w14:paraId="7F745FF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（6）根据</w:t>
            </w:r>
            <w:r>
              <w:rPr>
                <w:rFonts w:hint="eastAsia" w:ascii="宋体" w:hAnsi="Times New Roman" w:eastAsia="宋体" w:cs="宋体"/>
                <w:color w:val="000000"/>
                <w:sz w:val="21"/>
                <w:szCs w:val="21"/>
                <w:lang w:val="en-US" w:eastAsia="zh-CN"/>
              </w:rPr>
              <w:t>现场及施工、竣工资料，</w:t>
            </w:r>
            <w:r>
              <w:rPr>
                <w:rFonts w:hint="eastAsia" w:ascii="宋体" w:hAnsi="Times New Roman" w:eastAsia="宋体" w:cs="宋体"/>
                <w:color w:val="000000"/>
                <w:sz w:val="21"/>
                <w:szCs w:val="21"/>
              </w:rPr>
              <w:t>管线上按规定设置</w:t>
            </w:r>
            <w:r>
              <w:rPr>
                <w:rFonts w:hint="eastAsia" w:ascii="宋体" w:hAnsi="Times New Roman" w:eastAsia="宋体" w:cs="宋体"/>
                <w:color w:val="000000"/>
                <w:sz w:val="21"/>
                <w:szCs w:val="21"/>
                <w:lang w:val="en-US" w:eastAsia="zh-CN"/>
              </w:rPr>
              <w:t>了</w:t>
            </w:r>
            <w:r>
              <w:rPr>
                <w:rFonts w:hint="eastAsia" w:ascii="宋体" w:hAnsi="Times New Roman" w:eastAsia="宋体" w:cs="宋体"/>
                <w:color w:val="000000"/>
                <w:sz w:val="21"/>
                <w:szCs w:val="21"/>
              </w:rPr>
              <w:t>相应的排气、泄压、稳压、缓冲、放液等安全装置。</w:t>
            </w:r>
          </w:p>
          <w:p w14:paraId="26586B2A">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（7）</w:t>
            </w:r>
            <w:r>
              <w:rPr>
                <w:rFonts w:hint="eastAsia" w:ascii="宋体" w:hAnsi="Times New Roman" w:eastAsia="宋体" w:cs="宋体"/>
                <w:color w:val="000000"/>
                <w:sz w:val="21"/>
                <w:szCs w:val="21"/>
                <w:lang w:val="en-US" w:eastAsia="zh-CN"/>
              </w:rPr>
              <w:t>根据实际操作数据，</w:t>
            </w:r>
            <w:r>
              <w:rPr>
                <w:rFonts w:hint="eastAsia" w:ascii="宋体" w:hAnsi="Times New Roman" w:eastAsia="宋体" w:cs="宋体"/>
                <w:color w:val="000000"/>
                <w:sz w:val="21"/>
                <w:szCs w:val="21"/>
              </w:rPr>
              <w:t>流体采用管道输送时，</w:t>
            </w:r>
            <w:r>
              <w:rPr>
                <w:rFonts w:hint="eastAsia" w:ascii="宋体" w:hAnsi="Times New Roman" w:eastAsia="宋体" w:cs="宋体"/>
                <w:color w:val="000000"/>
                <w:sz w:val="21"/>
                <w:szCs w:val="21"/>
                <w:lang w:val="en-US" w:eastAsia="zh-CN"/>
              </w:rPr>
              <w:t>其输送量符合相应要求</w:t>
            </w:r>
            <w:r>
              <w:rPr>
                <w:rFonts w:hint="eastAsia" w:ascii="宋体" w:hAnsi="Times New Roman" w:eastAsia="宋体" w:cs="宋体"/>
                <w:color w:val="000000"/>
                <w:sz w:val="21"/>
                <w:szCs w:val="21"/>
              </w:rPr>
              <w:t>。</w:t>
            </w:r>
          </w:p>
          <w:p w14:paraId="2621944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（8）</w:t>
            </w:r>
            <w:r>
              <w:rPr>
                <w:rFonts w:hint="eastAsia" w:ascii="宋体" w:hAnsi="Times New Roman" w:eastAsia="宋体" w:cs="宋体"/>
                <w:color w:val="000000"/>
                <w:sz w:val="21"/>
                <w:szCs w:val="21"/>
                <w:lang w:val="en-US" w:eastAsia="zh-CN"/>
              </w:rPr>
              <w:t>根据现场，</w:t>
            </w:r>
            <w:r>
              <w:rPr>
                <w:rFonts w:hint="eastAsia" w:ascii="宋体" w:hAnsi="Times New Roman" w:eastAsia="宋体" w:cs="宋体"/>
                <w:color w:val="000000"/>
                <w:sz w:val="21"/>
                <w:szCs w:val="21"/>
              </w:rPr>
              <w:t>浓硫酸、稀硫酸、氟硅酸在泵区配备喷淋洗眼装置。</w:t>
            </w:r>
          </w:p>
          <w:p w14:paraId="4F07AB55">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（9）</w:t>
            </w:r>
            <w:r>
              <w:rPr>
                <w:rFonts w:hint="eastAsia" w:ascii="宋体" w:hAnsi="Times New Roman" w:eastAsia="宋体" w:cs="宋体"/>
                <w:color w:val="000000"/>
                <w:sz w:val="21"/>
                <w:szCs w:val="21"/>
                <w:lang w:val="en-US" w:eastAsia="zh-CN"/>
              </w:rPr>
              <w:t>根据前文外管廊管道设计参数—</w:t>
            </w:r>
            <w:r>
              <w:rPr>
                <w:rFonts w:hint="eastAsia" w:ascii="宋体" w:hAnsi="Times New Roman" w:eastAsia="宋体" w:cs="宋体"/>
                <w:color w:val="000000"/>
                <w:sz w:val="21"/>
                <w:szCs w:val="21"/>
              </w:rPr>
              <w:t>本项目管道的设计输送能力满足上游和下游连接设施不同操作工况下的输送要求，设计压力、设计温度、设计寿命等设计参数不低于上游和下游设施的连接管道。</w:t>
            </w:r>
          </w:p>
          <w:p w14:paraId="4C586CC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（10）</w:t>
            </w:r>
            <w:r>
              <w:rPr>
                <w:rFonts w:hint="eastAsia" w:ascii="宋体" w:hAnsi="Times New Roman" w:eastAsia="宋体" w:cs="宋体"/>
                <w:color w:val="000000"/>
                <w:sz w:val="21"/>
                <w:szCs w:val="21"/>
                <w:lang w:val="en-US" w:eastAsia="zh-CN"/>
              </w:rPr>
              <w:t>根据竣工资料—</w:t>
            </w:r>
            <w:r>
              <w:rPr>
                <w:rFonts w:hint="eastAsia" w:ascii="宋体" w:hAnsi="Times New Roman" w:eastAsia="宋体" w:cs="宋体"/>
                <w:color w:val="000000"/>
                <w:sz w:val="21"/>
                <w:szCs w:val="21"/>
              </w:rPr>
              <w:t>管廊上热力管道为蒸汽管道（DN250），操作温度压力：192℃，1.2MPa。蒸汽管道全部采用自然补偿方式，管道沿程每不超过90m设一处固定管架，每两个固定管架之间设π形膨胀弯，有足够的臂长吸收管道热膨胀。其余管道为常温管道，利用管廊本身翻高、翻低、拐弯处弯头吸收热位移，实现自然补偿。</w:t>
            </w:r>
          </w:p>
          <w:p w14:paraId="15FB2D9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eastAsia="zh-CN"/>
              </w:rPr>
            </w:pPr>
            <w:r>
              <w:rPr>
                <w:rFonts w:hint="eastAsia" w:ascii="宋体" w:hAnsi="Times New Roman" w:eastAsia="宋体" w:cs="宋体"/>
                <w:color w:val="000000"/>
                <w:sz w:val="21"/>
                <w:szCs w:val="21"/>
              </w:rPr>
              <w:t>（11）</w:t>
            </w:r>
            <w:r>
              <w:rPr>
                <w:rFonts w:hint="eastAsia" w:ascii="宋体" w:hAnsi="Times New Roman" w:eastAsia="宋体" w:cs="宋体"/>
                <w:color w:val="000000"/>
                <w:sz w:val="21"/>
                <w:szCs w:val="21"/>
                <w:lang w:val="en-US" w:eastAsia="zh-CN"/>
              </w:rPr>
              <w:t>根据竣工资料，</w:t>
            </w:r>
            <w:r>
              <w:rPr>
                <w:rFonts w:hint="eastAsia" w:ascii="宋体" w:hAnsi="Times New Roman" w:eastAsia="宋体" w:cs="宋体"/>
                <w:color w:val="000000"/>
                <w:sz w:val="21"/>
                <w:szCs w:val="21"/>
              </w:rPr>
              <w:t>对于蒸汽管道，根据管材绝热规定进行保温</w:t>
            </w:r>
            <w:r>
              <w:rPr>
                <w:rFonts w:hint="eastAsia" w:ascii="宋体" w:hAnsi="Times New Roman" w:eastAsia="宋体" w:cs="宋体"/>
                <w:color w:val="000000"/>
                <w:sz w:val="21"/>
                <w:szCs w:val="21"/>
                <w:lang w:eastAsia="zh-CN"/>
              </w:rPr>
              <w:t>。</w:t>
            </w:r>
          </w:p>
          <w:p w14:paraId="33AADF5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lang w:val="en-US" w:eastAsia="zh-CN"/>
              </w:rPr>
              <w:t>4.1.1.3</w:t>
            </w:r>
            <w:r>
              <w:rPr>
                <w:rFonts w:hint="eastAsia" w:ascii="宋体" w:hAnsi="Times New Roman" w:eastAsia="宋体" w:cs="宋体"/>
                <w:color w:val="000000"/>
                <w:sz w:val="21"/>
                <w:szCs w:val="21"/>
              </w:rPr>
              <w:t>防腐蚀</w:t>
            </w:r>
          </w:p>
          <w:p w14:paraId="620ACF0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lang w:val="en-US" w:eastAsia="zh-CN"/>
              </w:rPr>
              <w:t>根据竣工资料，</w:t>
            </w:r>
            <w:r>
              <w:rPr>
                <w:rFonts w:hint="eastAsia" w:ascii="宋体" w:hAnsi="Times New Roman" w:eastAsia="宋体" w:cs="宋体"/>
                <w:color w:val="000000"/>
                <w:sz w:val="21"/>
                <w:szCs w:val="21"/>
              </w:rPr>
              <w:t>浓硫酸管线采用不锈钢材质，弯头采用钢衬PTFE材质；稀硫酸管线采用钢骨架材质；氟硅酸管线采用钢衬超高分子量聚乙烯材质；渣浆水、再浆水管线采用钢骨架材质。</w:t>
            </w:r>
          </w:p>
        </w:tc>
        <w:tc>
          <w:tcPr>
            <w:tcW w:w="729" w:type="dxa"/>
            <w:tcBorders>
              <w:top w:val="single" w:color="auto" w:sz="4" w:space="0"/>
              <w:left w:val="single" w:color="auto" w:sz="4" w:space="0"/>
              <w:bottom w:val="single" w:color="auto" w:sz="4" w:space="0"/>
              <w:right w:val="single" w:color="auto" w:sz="4" w:space="0"/>
            </w:tcBorders>
            <w:noWrap w:val="0"/>
            <w:vAlign w:val="center"/>
          </w:tcPr>
          <w:p w14:paraId="4B027EC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lang w:bidi="ar"/>
              </w:rPr>
              <w:t>符合</w:t>
            </w:r>
          </w:p>
        </w:tc>
      </w:tr>
      <w:tr w14:paraId="3E154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dxa"/>
            <w:vMerge w:val="continue"/>
            <w:tcBorders>
              <w:left w:val="single" w:color="auto" w:sz="4" w:space="0"/>
              <w:right w:val="single" w:color="auto" w:sz="4" w:space="0"/>
            </w:tcBorders>
            <w:noWrap w:val="0"/>
            <w:vAlign w:val="center"/>
          </w:tcPr>
          <w:p w14:paraId="3C4AAA1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lang w:bidi="ar"/>
              </w:rPr>
            </w:pPr>
          </w:p>
        </w:tc>
        <w:tc>
          <w:tcPr>
            <w:tcW w:w="5705" w:type="dxa"/>
            <w:tcBorders>
              <w:top w:val="single" w:color="auto" w:sz="4" w:space="0"/>
              <w:left w:val="single" w:color="auto" w:sz="4" w:space="0"/>
              <w:bottom w:val="single" w:color="auto" w:sz="4" w:space="0"/>
              <w:right w:val="single" w:color="auto" w:sz="4" w:space="0"/>
            </w:tcBorders>
            <w:noWrap w:val="0"/>
            <w:vAlign w:val="center"/>
          </w:tcPr>
          <w:p w14:paraId="57D66EE5">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4.1.2正常工况与非正常工况下危险物料的安全控制措施</w:t>
            </w:r>
          </w:p>
          <w:p w14:paraId="46220A1A">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（1）稀硫酸近磷酸厂管线设置远传流量计与流量调节阀进行流量控制；其他介质均设置远传流量计并有累积功能；氟硅酸及浓硫酸流量异常时可通过控制室远程停泵。</w:t>
            </w:r>
          </w:p>
          <w:p w14:paraId="60D3B46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（2）储槽设置液位高高关进料阀，储槽液位低低停输送泵。</w:t>
            </w:r>
          </w:p>
          <w:p w14:paraId="66192D6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p>
        </w:tc>
        <w:tc>
          <w:tcPr>
            <w:tcW w:w="2253" w:type="dxa"/>
            <w:tcBorders>
              <w:top w:val="single" w:color="auto" w:sz="4" w:space="0"/>
              <w:left w:val="single" w:color="auto" w:sz="4" w:space="0"/>
              <w:bottom w:val="single" w:color="auto" w:sz="4" w:space="0"/>
              <w:right w:val="single" w:color="auto" w:sz="4" w:space="0"/>
            </w:tcBorders>
            <w:noWrap w:val="0"/>
            <w:vAlign w:val="center"/>
          </w:tcPr>
          <w:p w14:paraId="7F6F1B25">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（1）稀硫酸近磷酸厂管线设置远传流量计与流量调节阀进行流量控制；其他介质均设置远传流量计并有累积功能；氟硅酸及浓硫酸流量异常时可通过控制室远程停泵。</w:t>
            </w:r>
          </w:p>
          <w:p w14:paraId="305E638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（2）储槽设置液位高高关进料阀，储槽液位低低停输送泵。</w:t>
            </w:r>
          </w:p>
        </w:tc>
        <w:tc>
          <w:tcPr>
            <w:tcW w:w="729" w:type="dxa"/>
            <w:tcBorders>
              <w:top w:val="single" w:color="auto" w:sz="4" w:space="0"/>
              <w:left w:val="single" w:color="auto" w:sz="4" w:space="0"/>
              <w:bottom w:val="single" w:color="auto" w:sz="4" w:space="0"/>
              <w:right w:val="single" w:color="auto" w:sz="4" w:space="0"/>
            </w:tcBorders>
            <w:noWrap w:val="0"/>
            <w:vAlign w:val="center"/>
          </w:tcPr>
          <w:p w14:paraId="6F65529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000000"/>
                <w:sz w:val="21"/>
                <w:szCs w:val="21"/>
                <w:lang w:bidi="ar"/>
              </w:rPr>
            </w:pPr>
            <w:r>
              <w:rPr>
                <w:rFonts w:hint="eastAsia"/>
                <w:color w:val="000000"/>
                <w:sz w:val="21"/>
                <w:szCs w:val="21"/>
                <w:lang w:bidi="ar"/>
              </w:rPr>
              <w:t>符合</w:t>
            </w:r>
          </w:p>
        </w:tc>
      </w:tr>
      <w:tr w14:paraId="70D72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dxa"/>
            <w:vMerge w:val="continue"/>
            <w:tcBorders>
              <w:top w:val="single" w:color="auto" w:sz="4" w:space="0"/>
              <w:left w:val="single" w:color="auto" w:sz="4" w:space="0"/>
              <w:bottom w:val="single" w:color="auto" w:sz="4" w:space="0"/>
              <w:right w:val="single" w:color="auto" w:sz="4" w:space="0"/>
            </w:tcBorders>
            <w:noWrap w:val="0"/>
            <w:vAlign w:val="center"/>
          </w:tcPr>
          <w:p w14:paraId="26092119">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p>
        </w:tc>
        <w:tc>
          <w:tcPr>
            <w:tcW w:w="5705" w:type="dxa"/>
            <w:tcBorders>
              <w:top w:val="single" w:color="auto" w:sz="4" w:space="0"/>
              <w:left w:val="single" w:color="auto" w:sz="4" w:space="0"/>
              <w:bottom w:val="single" w:color="auto" w:sz="4" w:space="0"/>
              <w:right w:val="single" w:color="auto" w:sz="4" w:space="0"/>
            </w:tcBorders>
            <w:noWrap w:val="0"/>
            <w:vAlign w:val="center"/>
          </w:tcPr>
          <w:p w14:paraId="398B082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kern w:val="0"/>
                <w:sz w:val="21"/>
                <w:szCs w:val="21"/>
              </w:rPr>
            </w:pPr>
            <w:r>
              <w:rPr>
                <w:rFonts w:hint="eastAsia" w:ascii="宋体" w:hAnsi="Times New Roman" w:eastAsia="宋体" w:cs="宋体"/>
                <w:color w:val="000000"/>
                <w:kern w:val="0"/>
                <w:sz w:val="21"/>
                <w:szCs w:val="21"/>
              </w:rPr>
              <w:t>4.1.3采取的其他工艺安全措施</w:t>
            </w:r>
          </w:p>
          <w:p w14:paraId="216D380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kern w:val="0"/>
                <w:sz w:val="21"/>
                <w:szCs w:val="21"/>
              </w:rPr>
            </w:pPr>
            <w:r>
              <w:rPr>
                <w:rFonts w:hint="eastAsia" w:ascii="宋体" w:hAnsi="Times New Roman" w:eastAsia="宋体" w:cs="宋体"/>
                <w:color w:val="000000"/>
                <w:kern w:val="0"/>
                <w:sz w:val="21"/>
                <w:szCs w:val="21"/>
              </w:rPr>
              <w:t>如果有泄漏发生，通过外管廊低点排放至吨桶中，回收后送回装置。</w:t>
            </w:r>
          </w:p>
        </w:tc>
        <w:tc>
          <w:tcPr>
            <w:tcW w:w="2253" w:type="dxa"/>
            <w:tcBorders>
              <w:top w:val="single" w:color="auto" w:sz="4" w:space="0"/>
              <w:left w:val="single" w:color="auto" w:sz="4" w:space="0"/>
              <w:bottom w:val="single" w:color="auto" w:sz="4" w:space="0"/>
              <w:right w:val="single" w:color="auto" w:sz="4" w:space="0"/>
            </w:tcBorders>
            <w:noWrap w:val="0"/>
            <w:vAlign w:val="center"/>
          </w:tcPr>
          <w:p w14:paraId="18276CC5">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kern w:val="0"/>
                <w:sz w:val="21"/>
                <w:szCs w:val="21"/>
              </w:rPr>
            </w:pPr>
            <w:r>
              <w:rPr>
                <w:rFonts w:hint="eastAsia" w:ascii="宋体" w:hAnsi="Times New Roman" w:eastAsia="宋体" w:cs="宋体"/>
                <w:color w:val="000000"/>
                <w:kern w:val="0"/>
                <w:sz w:val="21"/>
                <w:szCs w:val="21"/>
              </w:rPr>
              <w:t>如果有泄漏发生，通过外管廊低点排放至吨桶中，回收后送回装置。</w:t>
            </w:r>
          </w:p>
        </w:tc>
        <w:tc>
          <w:tcPr>
            <w:tcW w:w="729" w:type="dxa"/>
            <w:tcBorders>
              <w:top w:val="single" w:color="auto" w:sz="4" w:space="0"/>
              <w:left w:val="single" w:color="auto" w:sz="4" w:space="0"/>
              <w:bottom w:val="single" w:color="auto" w:sz="4" w:space="0"/>
              <w:right w:val="single" w:color="auto" w:sz="4" w:space="0"/>
            </w:tcBorders>
            <w:noWrap w:val="0"/>
            <w:vAlign w:val="center"/>
          </w:tcPr>
          <w:p w14:paraId="52FE38D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lang w:bidi="ar"/>
              </w:rPr>
              <w:t>符合</w:t>
            </w:r>
          </w:p>
        </w:tc>
      </w:tr>
      <w:tr w14:paraId="33CF5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dxa"/>
            <w:vMerge w:val="restart"/>
            <w:tcBorders>
              <w:top w:val="single" w:color="auto" w:sz="4" w:space="0"/>
              <w:left w:val="single" w:color="auto" w:sz="4" w:space="0"/>
              <w:bottom w:val="single" w:color="auto" w:sz="4" w:space="0"/>
              <w:right w:val="single" w:color="auto" w:sz="4" w:space="0"/>
            </w:tcBorders>
            <w:noWrap w:val="0"/>
            <w:vAlign w:val="center"/>
          </w:tcPr>
          <w:p w14:paraId="7DD465B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rFonts w:hint="eastAsia"/>
                <w:color w:val="000000"/>
                <w:sz w:val="21"/>
                <w:szCs w:val="21"/>
                <w:lang w:bidi="ar"/>
              </w:rPr>
              <w:t>4.2</w:t>
            </w:r>
            <w:r>
              <w:rPr>
                <w:color w:val="000000"/>
                <w:sz w:val="21"/>
                <w:szCs w:val="21"/>
                <w:lang w:bidi="ar"/>
              </w:rPr>
              <w:t>总</w:t>
            </w:r>
            <w:r>
              <w:rPr>
                <w:rFonts w:hint="eastAsia"/>
                <w:color w:val="000000"/>
                <w:sz w:val="21"/>
                <w:szCs w:val="21"/>
                <w:lang w:bidi="ar"/>
              </w:rPr>
              <w:t>平面</w:t>
            </w:r>
            <w:r>
              <w:rPr>
                <w:color w:val="000000"/>
                <w:sz w:val="21"/>
                <w:szCs w:val="21"/>
                <w:lang w:bidi="ar"/>
              </w:rPr>
              <w:t>布置</w:t>
            </w:r>
          </w:p>
        </w:tc>
        <w:tc>
          <w:tcPr>
            <w:tcW w:w="5705" w:type="dxa"/>
            <w:tcBorders>
              <w:top w:val="single" w:color="auto" w:sz="4" w:space="0"/>
              <w:left w:val="single" w:color="auto" w:sz="4" w:space="0"/>
              <w:bottom w:val="single" w:color="auto" w:sz="4" w:space="0"/>
              <w:right w:val="single" w:color="auto" w:sz="4" w:space="0"/>
            </w:tcBorders>
            <w:noWrap w:val="0"/>
            <w:vAlign w:val="center"/>
          </w:tcPr>
          <w:p w14:paraId="69574E6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kern w:val="18"/>
                <w:sz w:val="21"/>
                <w:szCs w:val="21"/>
              </w:rPr>
            </w:pPr>
            <w:r>
              <w:rPr>
                <w:rFonts w:hint="eastAsia" w:ascii="宋体" w:hAnsi="Times New Roman" w:eastAsia="宋体" w:cs="宋体"/>
                <w:color w:val="000000"/>
                <w:kern w:val="18"/>
                <w:sz w:val="21"/>
                <w:szCs w:val="21"/>
              </w:rPr>
              <w:t>4.2.1建设项目与厂/界外设施的主要间距、标准规范符合性及采取的防护措施</w:t>
            </w:r>
          </w:p>
          <w:p w14:paraId="3DF48AA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kern w:val="18"/>
                <w:sz w:val="21"/>
                <w:szCs w:val="21"/>
              </w:rPr>
            </w:pPr>
            <w:r>
              <w:rPr>
                <w:rFonts w:hint="eastAsia" w:ascii="宋体" w:hAnsi="Times New Roman" w:eastAsia="宋体" w:cs="宋体"/>
                <w:color w:val="000000"/>
                <w:kern w:val="18"/>
                <w:sz w:val="21"/>
                <w:szCs w:val="21"/>
              </w:rPr>
              <w:t>云南瓮福祥丰氟硅新材料有限公司3万吨/年无水氟化氢和2万吨/年电子级氢氟酸厂外公用工程外管廊用地主要为林地，地势高差较大，管廊从云南瓮福祥丰氟硅新材料有限公司厂区向北出厂区用地红线，跨安丰营片区1号次干道东延长线，爬升进入林地范围，向北、向西绕行云南祥丰石化有限公司北侧林地，由西侧进入云南祥丰石化有限公司厂区内，再向南进入云南祥丰金麦化工有限公司磷酸装置区，接磷酸装置原有管廊。本项目管廊距离与周边环境情况满足要求，详见2.9节。</w:t>
            </w:r>
          </w:p>
          <w:p w14:paraId="03A1AB45">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kern w:val="18"/>
                <w:sz w:val="21"/>
                <w:szCs w:val="21"/>
              </w:rPr>
            </w:pPr>
            <w:r>
              <w:rPr>
                <w:rFonts w:hint="eastAsia" w:ascii="宋体" w:hAnsi="Times New Roman" w:eastAsia="宋体" w:cs="宋体"/>
                <w:color w:val="000000"/>
                <w:kern w:val="18"/>
                <w:sz w:val="21"/>
                <w:szCs w:val="21"/>
              </w:rPr>
              <w:t>根据《110～750kV架空输电线路设计技术规范》（GB50545-2012）第13.0.11条架空电力线路与弱电线路、电力线路、特殊管道之间的最小垂直距离和水平距离，各架空电力线与管架水平间距满足要求。本厂外公用工程管架建设输送物料不涉及特殊管道和电力线路。</w:t>
            </w:r>
          </w:p>
          <w:p w14:paraId="516FC24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kern w:val="18"/>
                <w:sz w:val="21"/>
                <w:szCs w:val="21"/>
              </w:rPr>
            </w:pPr>
            <w:r>
              <w:rPr>
                <w:rFonts w:hint="eastAsia" w:ascii="宋体" w:hAnsi="Times New Roman" w:eastAsia="宋体" w:cs="宋体"/>
                <w:color w:val="000000"/>
                <w:kern w:val="18"/>
                <w:sz w:val="21"/>
                <w:szCs w:val="21"/>
              </w:rPr>
              <w:t>根据《66kV及以下架空电力线路设计规范》（GB50061-2010）第12.0.16条架空电力线路规定了各架空电力线与特殊管道、电力线路、一般管道之间的最小垂直距离和水平间距，其中特殊管道至输送易燃、易爆物的管道。本厂外公用工程管架建设输送物料不涉及特殊管道和电力线路，只包含一般管道，一般管道与各架空电力线的垂直距离和水平间距满足规范第12.0.16条相关要求。</w:t>
            </w:r>
          </w:p>
        </w:tc>
        <w:tc>
          <w:tcPr>
            <w:tcW w:w="2253" w:type="dxa"/>
            <w:tcBorders>
              <w:top w:val="single" w:color="auto" w:sz="4" w:space="0"/>
              <w:left w:val="single" w:color="auto" w:sz="4" w:space="0"/>
              <w:bottom w:val="single" w:color="auto" w:sz="4" w:space="0"/>
              <w:right w:val="single" w:color="auto" w:sz="4" w:space="0"/>
            </w:tcBorders>
            <w:noWrap w:val="0"/>
            <w:vAlign w:val="center"/>
          </w:tcPr>
          <w:p w14:paraId="6033748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kern w:val="18"/>
                <w:sz w:val="21"/>
                <w:szCs w:val="21"/>
              </w:rPr>
            </w:pPr>
            <w:r>
              <w:rPr>
                <w:rFonts w:hint="eastAsia" w:ascii="宋体" w:hAnsi="Times New Roman" w:eastAsia="宋体" w:cs="宋体"/>
                <w:color w:val="000000"/>
                <w:kern w:val="18"/>
                <w:sz w:val="21"/>
                <w:szCs w:val="21"/>
              </w:rPr>
              <w:t>该项目与厂/界外设施的主要间距满足相关规范的要求。</w:t>
            </w:r>
          </w:p>
        </w:tc>
        <w:tc>
          <w:tcPr>
            <w:tcW w:w="729" w:type="dxa"/>
            <w:tcBorders>
              <w:top w:val="single" w:color="auto" w:sz="4" w:space="0"/>
              <w:left w:val="single" w:color="auto" w:sz="4" w:space="0"/>
              <w:bottom w:val="single" w:color="auto" w:sz="4" w:space="0"/>
              <w:right w:val="single" w:color="auto" w:sz="4" w:space="0"/>
            </w:tcBorders>
            <w:noWrap w:val="0"/>
            <w:vAlign w:val="center"/>
          </w:tcPr>
          <w:p w14:paraId="0D0A09C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lang w:bidi="ar"/>
              </w:rPr>
              <w:t>符合</w:t>
            </w:r>
          </w:p>
        </w:tc>
      </w:tr>
      <w:tr w14:paraId="03A0D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dxa"/>
            <w:vMerge w:val="continue"/>
            <w:tcBorders>
              <w:top w:val="single" w:color="auto" w:sz="4" w:space="0"/>
              <w:left w:val="single" w:color="auto" w:sz="4" w:space="0"/>
              <w:bottom w:val="single" w:color="auto" w:sz="4" w:space="0"/>
              <w:right w:val="single" w:color="auto" w:sz="4" w:space="0"/>
            </w:tcBorders>
            <w:noWrap w:val="0"/>
            <w:vAlign w:val="center"/>
          </w:tcPr>
          <w:p w14:paraId="02FF33B2">
            <w:pPr>
              <w:keepNext w:val="0"/>
              <w:keepLines w:val="0"/>
              <w:pageBreakBefore w:val="0"/>
              <w:widowControl w:val="0"/>
              <w:kinsoku/>
              <w:wordWrap/>
              <w:overflowPunct/>
              <w:topLinePunct w:val="0"/>
              <w:autoSpaceDE/>
              <w:autoSpaceDN/>
              <w:bidi w:val="0"/>
              <w:adjustRightInd/>
              <w:snapToGrid w:val="0"/>
              <w:spacing w:line="240" w:lineRule="auto"/>
              <w:textAlignment w:val="auto"/>
              <w:outlineLvl w:val="9"/>
              <w:rPr>
                <w:color w:val="000000"/>
                <w:sz w:val="21"/>
                <w:szCs w:val="21"/>
              </w:rPr>
            </w:pPr>
          </w:p>
        </w:tc>
        <w:tc>
          <w:tcPr>
            <w:tcW w:w="5705" w:type="dxa"/>
            <w:tcBorders>
              <w:top w:val="single" w:color="auto" w:sz="4" w:space="0"/>
              <w:left w:val="single" w:color="auto" w:sz="4" w:space="0"/>
              <w:bottom w:val="single" w:color="auto" w:sz="4" w:space="0"/>
              <w:right w:val="single" w:color="auto" w:sz="4" w:space="0"/>
            </w:tcBorders>
            <w:noWrap w:val="0"/>
            <w:vAlign w:val="center"/>
          </w:tcPr>
          <w:p w14:paraId="51DDD5FC">
            <w:pPr>
              <w:pageBreakBefore w:val="0"/>
              <w:widowControl w:val="0"/>
              <w:numPr>
                <w:ilvl w:val="0"/>
                <w:numId w:val="0"/>
              </w:numPr>
              <w:tabs>
                <w:tab w:val="left" w:pos="931"/>
              </w:tabs>
              <w:kinsoku/>
              <w:wordWrap/>
              <w:overflowPunct/>
              <w:topLinePunct w:val="0"/>
              <w:autoSpaceDE/>
              <w:autoSpaceDN/>
              <w:bidi w:val="0"/>
              <w:adjustRightInd/>
              <w:snapToGrid w:val="0"/>
              <w:spacing w:line="240" w:lineRule="auto"/>
              <w:ind w:leftChars="0"/>
              <w:textAlignment w:val="auto"/>
              <w:outlineLvl w:val="9"/>
              <w:rPr>
                <w:rFonts w:hint="eastAsia" w:ascii="宋体" w:hAnsi="Times New Roman" w:eastAsia="宋体" w:cs="宋体"/>
                <w:b w:val="0"/>
                <w:bCs w:val="0"/>
                <w:color w:val="000000"/>
                <w:kern w:val="18"/>
                <w:sz w:val="21"/>
                <w:szCs w:val="21"/>
                <w:lang w:val="en-US" w:eastAsia="zh-CN" w:bidi="ar-SA"/>
              </w:rPr>
            </w:pPr>
            <w:r>
              <w:rPr>
                <w:rFonts w:hint="eastAsia" w:ascii="宋体" w:hAnsi="Times New Roman" w:eastAsia="宋体" w:cs="宋体"/>
                <w:b w:val="0"/>
                <w:bCs w:val="0"/>
                <w:color w:val="000000"/>
                <w:kern w:val="18"/>
                <w:sz w:val="21"/>
                <w:szCs w:val="21"/>
                <w:lang w:val="en-US" w:eastAsia="zh-CN" w:bidi="ar-SA"/>
              </w:rPr>
              <w:t>4.2.2全厂及装置（设施）平面及竖向布置</w:t>
            </w:r>
          </w:p>
          <w:p w14:paraId="6272A11E">
            <w:pPr>
              <w:pageBreakBefore w:val="0"/>
              <w:widowControl w:val="0"/>
              <w:kinsoku/>
              <w:wordWrap/>
              <w:overflowPunct/>
              <w:topLinePunct w:val="0"/>
              <w:autoSpaceDE/>
              <w:autoSpaceDN/>
              <w:bidi w:val="0"/>
              <w:adjustRightInd/>
              <w:snapToGrid w:val="0"/>
              <w:spacing w:line="240" w:lineRule="auto"/>
              <w:ind w:firstLine="560"/>
              <w:textAlignment w:val="auto"/>
              <w:outlineLvl w:val="9"/>
              <w:rPr>
                <w:rFonts w:hint="eastAsia" w:ascii="宋体" w:hAnsi="Times New Roman" w:eastAsia="宋体" w:cs="宋体"/>
                <w:b w:val="0"/>
                <w:bCs w:val="0"/>
                <w:color w:val="000000"/>
                <w:kern w:val="18"/>
                <w:sz w:val="21"/>
                <w:szCs w:val="21"/>
                <w:lang w:val="en-US" w:eastAsia="zh-CN" w:bidi="ar-SA"/>
              </w:rPr>
            </w:pPr>
            <w:r>
              <w:rPr>
                <w:rFonts w:hint="eastAsia" w:ascii="宋体" w:hAnsi="Times New Roman" w:eastAsia="宋体" w:cs="宋体"/>
                <w:b w:val="0"/>
                <w:bCs w:val="0"/>
                <w:color w:val="000000"/>
                <w:kern w:val="18"/>
                <w:sz w:val="21"/>
                <w:szCs w:val="21"/>
                <w:lang w:val="en-US" w:eastAsia="zh-CN" w:bidi="ar-SA"/>
              </w:rPr>
              <w:t>本项目外管廊从云南瓮福祥丰氟硅新材料有限公司厂区向北出厂区用地红线，跨安丰营片区1号次干道东延长线，爬升进入林地范围，向北、向西绕行云南祥丰石化有限公司北侧林地，由西侧进入云南祥丰石化有限公司厂区内，再向南进入云南祥丰金麦化工有限公司磷酸装置区，接磷酸装置原有管廊。</w:t>
            </w:r>
          </w:p>
          <w:p w14:paraId="4EB6B1BC">
            <w:pPr>
              <w:pageBreakBefore w:val="0"/>
              <w:widowControl w:val="0"/>
              <w:kinsoku/>
              <w:wordWrap/>
              <w:overflowPunct/>
              <w:topLinePunct w:val="0"/>
              <w:autoSpaceDE/>
              <w:autoSpaceDN/>
              <w:bidi w:val="0"/>
              <w:adjustRightInd/>
              <w:snapToGrid w:val="0"/>
              <w:spacing w:line="240" w:lineRule="auto"/>
              <w:ind w:firstLine="560"/>
              <w:textAlignment w:val="auto"/>
              <w:outlineLvl w:val="9"/>
              <w:rPr>
                <w:rFonts w:hint="eastAsia" w:ascii="宋体" w:hAnsi="Times New Roman" w:eastAsia="宋体" w:cs="宋体"/>
                <w:b w:val="0"/>
                <w:bCs w:val="0"/>
                <w:color w:val="000000"/>
                <w:kern w:val="18"/>
                <w:sz w:val="21"/>
                <w:szCs w:val="21"/>
                <w:lang w:val="en-US" w:eastAsia="zh-CN" w:bidi="ar-SA"/>
              </w:rPr>
            </w:pPr>
            <w:r>
              <w:rPr>
                <w:rFonts w:hint="eastAsia" w:ascii="宋体" w:hAnsi="Times New Roman" w:eastAsia="宋体" w:cs="宋体"/>
                <w:b w:val="0"/>
                <w:bCs w:val="0"/>
                <w:color w:val="000000"/>
                <w:kern w:val="18"/>
                <w:sz w:val="21"/>
                <w:szCs w:val="21"/>
                <w:lang w:val="en-US" w:eastAsia="zh-CN" w:bidi="ar-SA"/>
              </w:rPr>
              <w:t>氟硅酸来自云南祥丰金麦公司磷酸装置氟硅酸槽，去往云南瓮福祥丰氟硅新材料有限公司AHF厂区两个2000m3氟硅酸槽；</w:t>
            </w:r>
          </w:p>
          <w:p w14:paraId="1BBE99CB">
            <w:pPr>
              <w:pageBreakBefore w:val="0"/>
              <w:widowControl w:val="0"/>
              <w:kinsoku/>
              <w:wordWrap/>
              <w:overflowPunct/>
              <w:topLinePunct w:val="0"/>
              <w:autoSpaceDE/>
              <w:autoSpaceDN/>
              <w:bidi w:val="0"/>
              <w:adjustRightInd/>
              <w:snapToGrid w:val="0"/>
              <w:spacing w:line="240" w:lineRule="auto"/>
              <w:ind w:firstLine="560"/>
              <w:textAlignment w:val="auto"/>
              <w:outlineLvl w:val="9"/>
              <w:rPr>
                <w:rFonts w:hint="eastAsia" w:ascii="宋体" w:hAnsi="Times New Roman" w:eastAsia="宋体" w:cs="宋体"/>
                <w:b w:val="0"/>
                <w:bCs w:val="0"/>
                <w:color w:val="000000"/>
                <w:kern w:val="18"/>
                <w:sz w:val="21"/>
                <w:szCs w:val="21"/>
                <w:lang w:val="en-US" w:eastAsia="zh-CN" w:bidi="ar-SA"/>
              </w:rPr>
            </w:pPr>
            <w:r>
              <w:rPr>
                <w:rFonts w:hint="eastAsia" w:ascii="宋体" w:hAnsi="Times New Roman" w:eastAsia="宋体" w:cs="宋体"/>
                <w:b w:val="0"/>
                <w:bCs w:val="0"/>
                <w:color w:val="000000"/>
                <w:kern w:val="18"/>
                <w:sz w:val="21"/>
                <w:szCs w:val="21"/>
                <w:lang w:val="en-US" w:eastAsia="zh-CN" w:bidi="ar-SA"/>
              </w:rPr>
              <w:t>浓硫酸来自云南祥丰金麦公司磷酸装置浓硫酸槽，去往云南瓮福祥丰氟硅新材料有限公司AHF厂区1000m3的浓硫酸槽；</w:t>
            </w:r>
          </w:p>
          <w:p w14:paraId="3E5F1B66">
            <w:pPr>
              <w:pageBreakBefore w:val="0"/>
              <w:widowControl w:val="0"/>
              <w:kinsoku/>
              <w:wordWrap/>
              <w:overflowPunct/>
              <w:topLinePunct w:val="0"/>
              <w:autoSpaceDE/>
              <w:autoSpaceDN/>
              <w:bidi w:val="0"/>
              <w:adjustRightInd/>
              <w:snapToGrid w:val="0"/>
              <w:spacing w:line="240" w:lineRule="auto"/>
              <w:ind w:firstLine="560"/>
              <w:textAlignment w:val="auto"/>
              <w:outlineLvl w:val="9"/>
              <w:rPr>
                <w:rFonts w:hint="eastAsia" w:ascii="宋体" w:hAnsi="Times New Roman" w:eastAsia="宋体" w:cs="宋体"/>
                <w:b w:val="0"/>
                <w:bCs w:val="0"/>
                <w:color w:val="000000"/>
                <w:kern w:val="18"/>
                <w:sz w:val="21"/>
                <w:szCs w:val="21"/>
                <w:lang w:val="en-US" w:eastAsia="zh-CN" w:bidi="ar-SA"/>
              </w:rPr>
            </w:pPr>
            <w:r>
              <w:rPr>
                <w:rFonts w:hint="eastAsia" w:ascii="宋体" w:hAnsi="Times New Roman" w:eastAsia="宋体" w:cs="宋体"/>
                <w:b w:val="0"/>
                <w:bCs w:val="0"/>
                <w:color w:val="000000"/>
                <w:kern w:val="18"/>
                <w:sz w:val="21"/>
                <w:szCs w:val="21"/>
                <w:lang w:val="en-US" w:eastAsia="zh-CN" w:bidi="ar-SA"/>
              </w:rPr>
              <w:t>再浆水来自云南祥丰金麦公司磷酸装置管廊架（水处理厂北侧）渣浆水管道，去往云南瓮福祥丰氟硅新材料有限公司AHF厂区二氧化硅再浆槽；</w:t>
            </w:r>
          </w:p>
          <w:p w14:paraId="1C781AB1">
            <w:pPr>
              <w:pageBreakBefore w:val="0"/>
              <w:widowControl w:val="0"/>
              <w:kinsoku/>
              <w:wordWrap/>
              <w:overflowPunct/>
              <w:topLinePunct w:val="0"/>
              <w:autoSpaceDE/>
              <w:autoSpaceDN/>
              <w:bidi w:val="0"/>
              <w:adjustRightInd/>
              <w:snapToGrid w:val="0"/>
              <w:spacing w:line="240" w:lineRule="auto"/>
              <w:ind w:firstLine="560"/>
              <w:textAlignment w:val="auto"/>
              <w:outlineLvl w:val="9"/>
              <w:rPr>
                <w:rFonts w:hint="eastAsia" w:ascii="宋体" w:hAnsi="Times New Roman" w:eastAsia="宋体" w:cs="宋体"/>
                <w:b w:val="0"/>
                <w:bCs w:val="0"/>
                <w:color w:val="000000"/>
                <w:kern w:val="18"/>
                <w:sz w:val="21"/>
                <w:szCs w:val="21"/>
                <w:lang w:val="en-US" w:eastAsia="zh-CN" w:bidi="ar-SA"/>
              </w:rPr>
            </w:pPr>
            <w:r>
              <w:rPr>
                <w:rFonts w:hint="eastAsia" w:ascii="宋体" w:hAnsi="Times New Roman" w:eastAsia="宋体" w:cs="宋体"/>
                <w:b w:val="0"/>
                <w:bCs w:val="0"/>
                <w:color w:val="000000"/>
                <w:kern w:val="18"/>
                <w:sz w:val="21"/>
                <w:szCs w:val="21"/>
                <w:lang w:val="en-US" w:eastAsia="zh-CN" w:bidi="ar-SA"/>
              </w:rPr>
              <w:t>脱盐水来自云南祥丰石化有限公司氨罐区东角脱盐水管道，去往云南瓮福祥丰氟硅新材料有限公司AHF厂区脱盐水槽；</w:t>
            </w:r>
          </w:p>
          <w:p w14:paraId="2AD83E90">
            <w:pPr>
              <w:pageBreakBefore w:val="0"/>
              <w:widowControl w:val="0"/>
              <w:kinsoku/>
              <w:wordWrap/>
              <w:overflowPunct/>
              <w:topLinePunct w:val="0"/>
              <w:autoSpaceDE/>
              <w:autoSpaceDN/>
              <w:bidi w:val="0"/>
              <w:adjustRightInd/>
              <w:snapToGrid w:val="0"/>
              <w:spacing w:line="240" w:lineRule="auto"/>
              <w:ind w:firstLine="560"/>
              <w:textAlignment w:val="auto"/>
              <w:outlineLvl w:val="9"/>
              <w:rPr>
                <w:rFonts w:hint="eastAsia" w:ascii="宋体" w:hAnsi="Times New Roman" w:eastAsia="宋体" w:cs="宋体"/>
                <w:b w:val="0"/>
                <w:bCs w:val="0"/>
                <w:color w:val="000000"/>
                <w:kern w:val="18"/>
                <w:sz w:val="21"/>
                <w:szCs w:val="21"/>
                <w:lang w:val="en-US" w:eastAsia="zh-CN" w:bidi="ar-SA"/>
              </w:rPr>
            </w:pPr>
            <w:r>
              <w:rPr>
                <w:rFonts w:hint="eastAsia" w:ascii="宋体" w:hAnsi="Times New Roman" w:eastAsia="宋体" w:cs="宋体"/>
                <w:b w:val="0"/>
                <w:bCs w:val="0"/>
                <w:color w:val="000000"/>
                <w:kern w:val="18"/>
                <w:sz w:val="21"/>
                <w:szCs w:val="21"/>
                <w:lang w:val="en-US" w:eastAsia="zh-CN" w:bidi="ar-SA"/>
              </w:rPr>
              <w:t>饱和蒸汽来自云南祥丰石化公司合成氨装置西南侧饱和蒸汽管道，去往云南瓮福祥丰氟硅新材料有限公司AHF厂区HF再沸器及汽提塔；</w:t>
            </w:r>
          </w:p>
          <w:p w14:paraId="22772BE3">
            <w:pPr>
              <w:pageBreakBefore w:val="0"/>
              <w:widowControl w:val="0"/>
              <w:kinsoku/>
              <w:wordWrap/>
              <w:overflowPunct/>
              <w:topLinePunct w:val="0"/>
              <w:autoSpaceDE/>
              <w:autoSpaceDN/>
              <w:bidi w:val="0"/>
              <w:adjustRightInd/>
              <w:snapToGrid w:val="0"/>
              <w:spacing w:line="240" w:lineRule="auto"/>
              <w:ind w:firstLine="560"/>
              <w:textAlignment w:val="auto"/>
              <w:outlineLvl w:val="9"/>
              <w:rPr>
                <w:rFonts w:hint="eastAsia" w:ascii="宋体" w:hAnsi="Times New Roman" w:eastAsia="宋体" w:cs="宋体"/>
                <w:b w:val="0"/>
                <w:bCs w:val="0"/>
                <w:color w:val="000000"/>
                <w:kern w:val="18"/>
                <w:sz w:val="21"/>
                <w:szCs w:val="21"/>
                <w:lang w:val="en-US" w:eastAsia="zh-CN" w:bidi="ar-SA"/>
              </w:rPr>
            </w:pPr>
            <w:r>
              <w:rPr>
                <w:rFonts w:hint="eastAsia" w:ascii="宋体" w:hAnsi="Times New Roman" w:eastAsia="宋体" w:cs="宋体"/>
                <w:b w:val="0"/>
                <w:bCs w:val="0"/>
                <w:color w:val="000000"/>
                <w:kern w:val="18"/>
                <w:sz w:val="21"/>
                <w:szCs w:val="21"/>
                <w:lang w:val="en-US" w:eastAsia="zh-CN" w:bidi="ar-SA"/>
              </w:rPr>
              <w:t>工艺水来自云南祥丰石化公司合成氨装置东北侧（祥丰石化循环水池右后侧）工艺水管道，去往云南瓮福祥丰氟硅新材料有限公司AHF厂区循环水池及机封水使用管道；</w:t>
            </w:r>
          </w:p>
          <w:p w14:paraId="760BD3CE">
            <w:pPr>
              <w:pageBreakBefore w:val="0"/>
              <w:widowControl w:val="0"/>
              <w:kinsoku/>
              <w:wordWrap/>
              <w:overflowPunct/>
              <w:topLinePunct w:val="0"/>
              <w:autoSpaceDE/>
              <w:autoSpaceDN/>
              <w:bidi w:val="0"/>
              <w:adjustRightInd/>
              <w:snapToGrid w:val="0"/>
              <w:spacing w:line="240" w:lineRule="auto"/>
              <w:ind w:firstLine="560"/>
              <w:textAlignment w:val="auto"/>
              <w:outlineLvl w:val="9"/>
              <w:rPr>
                <w:rFonts w:hint="eastAsia" w:ascii="宋体" w:hAnsi="Times New Roman" w:eastAsia="宋体" w:cs="宋体"/>
                <w:b w:val="0"/>
                <w:bCs w:val="0"/>
                <w:color w:val="000000"/>
                <w:kern w:val="18"/>
                <w:sz w:val="21"/>
                <w:szCs w:val="21"/>
                <w:lang w:val="en-US" w:eastAsia="zh-CN" w:bidi="ar-SA"/>
              </w:rPr>
            </w:pPr>
            <w:r>
              <w:rPr>
                <w:rFonts w:hint="eastAsia" w:ascii="宋体" w:hAnsi="Times New Roman" w:eastAsia="宋体" w:cs="宋体"/>
                <w:b w:val="0"/>
                <w:bCs w:val="0"/>
                <w:color w:val="000000"/>
                <w:kern w:val="18"/>
                <w:sz w:val="21"/>
                <w:szCs w:val="21"/>
                <w:lang w:val="en-US" w:eastAsia="zh-CN" w:bidi="ar-SA"/>
              </w:rPr>
              <w:t>生活水来自云南祥丰石化公司绿化带（祥丰石化消防站门口涵洞处）生活水管道，去往云南瓮福祥丰氟硅新材料有限公司AHF厂区生活水槽；</w:t>
            </w:r>
          </w:p>
          <w:p w14:paraId="171E891C">
            <w:pPr>
              <w:pageBreakBefore w:val="0"/>
              <w:widowControl w:val="0"/>
              <w:kinsoku/>
              <w:wordWrap/>
              <w:overflowPunct/>
              <w:topLinePunct w:val="0"/>
              <w:autoSpaceDE/>
              <w:autoSpaceDN/>
              <w:bidi w:val="0"/>
              <w:adjustRightInd/>
              <w:snapToGrid w:val="0"/>
              <w:spacing w:line="240" w:lineRule="auto"/>
              <w:ind w:firstLine="560"/>
              <w:textAlignment w:val="auto"/>
              <w:outlineLvl w:val="9"/>
              <w:rPr>
                <w:rFonts w:hint="eastAsia" w:ascii="宋体" w:hAnsi="Times New Roman" w:eastAsia="宋体" w:cs="宋体"/>
                <w:b w:val="0"/>
                <w:bCs w:val="0"/>
                <w:color w:val="000000"/>
                <w:kern w:val="18"/>
                <w:sz w:val="21"/>
                <w:szCs w:val="21"/>
                <w:lang w:val="en-US" w:eastAsia="zh-CN" w:bidi="ar-SA"/>
              </w:rPr>
            </w:pPr>
            <w:r>
              <w:rPr>
                <w:rFonts w:hint="eastAsia" w:ascii="宋体" w:hAnsi="Times New Roman" w:eastAsia="宋体" w:cs="宋体"/>
                <w:b w:val="0"/>
                <w:bCs w:val="0"/>
                <w:color w:val="000000"/>
                <w:kern w:val="18"/>
                <w:sz w:val="21"/>
                <w:szCs w:val="21"/>
                <w:lang w:val="en-US" w:eastAsia="zh-CN" w:bidi="ar-SA"/>
              </w:rPr>
              <w:t>消防水来自云南祥丰石化公司仓库区北侧消防水管和云南祥丰石化公司氨罐区消防水管道，去往云南瓮福祥丰氟硅新材料有限公司AHF厂区消防栓；</w:t>
            </w:r>
          </w:p>
          <w:p w14:paraId="4BC59ADA">
            <w:pPr>
              <w:pageBreakBefore w:val="0"/>
              <w:widowControl w:val="0"/>
              <w:kinsoku/>
              <w:wordWrap/>
              <w:overflowPunct/>
              <w:topLinePunct w:val="0"/>
              <w:autoSpaceDE/>
              <w:autoSpaceDN/>
              <w:bidi w:val="0"/>
              <w:adjustRightInd/>
              <w:snapToGrid w:val="0"/>
              <w:spacing w:line="240" w:lineRule="auto"/>
              <w:ind w:firstLine="560"/>
              <w:textAlignment w:val="auto"/>
              <w:outlineLvl w:val="9"/>
              <w:rPr>
                <w:rFonts w:hint="eastAsia" w:ascii="宋体" w:hAnsi="Times New Roman" w:eastAsia="宋体" w:cs="宋体"/>
                <w:b w:val="0"/>
                <w:bCs w:val="0"/>
                <w:color w:val="000000"/>
                <w:kern w:val="18"/>
                <w:sz w:val="21"/>
                <w:szCs w:val="21"/>
                <w:lang w:val="en-US" w:eastAsia="zh-CN" w:bidi="ar-SA"/>
              </w:rPr>
            </w:pPr>
            <w:r>
              <w:rPr>
                <w:rFonts w:hint="eastAsia" w:ascii="宋体" w:hAnsi="Times New Roman" w:eastAsia="宋体" w:cs="宋体"/>
                <w:b w:val="0"/>
                <w:bCs w:val="0"/>
                <w:color w:val="000000"/>
                <w:kern w:val="18"/>
                <w:sz w:val="21"/>
                <w:szCs w:val="21"/>
                <w:lang w:val="en-US" w:eastAsia="zh-CN" w:bidi="ar-SA"/>
              </w:rPr>
              <w:t>稀硫酸来自云南瓮福祥丰氟硅新材料有限公司AHF厂区稀硫酸槽，去往云南祥丰金麦公司磷酸装置两个反应萃取槽顶部混合器；</w:t>
            </w:r>
          </w:p>
          <w:p w14:paraId="45D6B616">
            <w:pPr>
              <w:pageBreakBefore w:val="0"/>
              <w:widowControl w:val="0"/>
              <w:kinsoku/>
              <w:wordWrap/>
              <w:overflowPunct/>
              <w:topLinePunct w:val="0"/>
              <w:autoSpaceDE/>
              <w:autoSpaceDN/>
              <w:bidi w:val="0"/>
              <w:adjustRightInd/>
              <w:snapToGrid w:val="0"/>
              <w:spacing w:line="240" w:lineRule="auto"/>
              <w:ind w:firstLine="560"/>
              <w:textAlignment w:val="auto"/>
              <w:outlineLvl w:val="9"/>
              <w:rPr>
                <w:rFonts w:hint="eastAsia" w:ascii="宋体" w:hAnsi="Times New Roman" w:eastAsia="宋体" w:cs="宋体"/>
                <w:b w:val="0"/>
                <w:bCs w:val="0"/>
                <w:color w:val="000000"/>
                <w:kern w:val="18"/>
                <w:sz w:val="21"/>
                <w:szCs w:val="21"/>
                <w:lang w:val="en-US" w:eastAsia="zh-CN" w:bidi="ar-SA"/>
              </w:rPr>
            </w:pPr>
            <w:r>
              <w:rPr>
                <w:rFonts w:hint="eastAsia" w:ascii="宋体" w:hAnsi="Times New Roman" w:eastAsia="宋体" w:cs="宋体"/>
                <w:b w:val="0"/>
                <w:bCs w:val="0"/>
                <w:color w:val="000000"/>
                <w:kern w:val="18"/>
                <w:sz w:val="21"/>
                <w:szCs w:val="21"/>
                <w:lang w:val="en-US" w:eastAsia="zh-CN" w:bidi="ar-SA"/>
              </w:rPr>
              <w:t>过滤机洗水来自云南瓮福祥丰氟硅新材料有限公司AHF厂区过滤机洗水槽，去往云南祥丰金麦公司磷酸装置氟吸收塔；</w:t>
            </w:r>
          </w:p>
          <w:p w14:paraId="3FAB4D3C">
            <w:pPr>
              <w:pageBreakBefore w:val="0"/>
              <w:widowControl w:val="0"/>
              <w:kinsoku/>
              <w:wordWrap/>
              <w:overflowPunct/>
              <w:topLinePunct w:val="0"/>
              <w:autoSpaceDE/>
              <w:autoSpaceDN/>
              <w:bidi w:val="0"/>
              <w:adjustRightInd/>
              <w:snapToGrid w:val="0"/>
              <w:spacing w:line="240" w:lineRule="auto"/>
              <w:ind w:firstLine="560"/>
              <w:textAlignment w:val="auto"/>
              <w:outlineLvl w:val="9"/>
              <w:rPr>
                <w:rFonts w:hint="eastAsia" w:ascii="宋体" w:hAnsi="Times New Roman" w:eastAsia="宋体" w:cs="宋体"/>
                <w:b w:val="0"/>
                <w:bCs w:val="0"/>
                <w:color w:val="000000"/>
                <w:kern w:val="18"/>
                <w:sz w:val="21"/>
                <w:szCs w:val="21"/>
                <w:lang w:val="en-US" w:eastAsia="zh-CN" w:bidi="ar-SA"/>
              </w:rPr>
            </w:pPr>
            <w:r>
              <w:rPr>
                <w:rFonts w:hint="eastAsia" w:ascii="宋体" w:hAnsi="Times New Roman" w:eastAsia="宋体" w:cs="宋体"/>
                <w:b w:val="0"/>
                <w:bCs w:val="0"/>
                <w:color w:val="000000"/>
                <w:kern w:val="18"/>
                <w:sz w:val="21"/>
                <w:szCs w:val="21"/>
                <w:lang w:val="en-US" w:eastAsia="zh-CN" w:bidi="ar-SA"/>
              </w:rPr>
              <w:t>渣浆水来自云南瓮福祥丰氟硅新材料有限公司AHF厂区二氧化硅再浆槽，去往云南祥丰金麦公司磷酸装置磷酸再浆槽）。该外管廊未经过人口密集区、学校、水源保护区、名胜古迹、风景游览区等。</w:t>
            </w:r>
          </w:p>
        </w:tc>
        <w:tc>
          <w:tcPr>
            <w:tcW w:w="2253" w:type="dxa"/>
            <w:tcBorders>
              <w:top w:val="single" w:color="auto" w:sz="4" w:space="0"/>
              <w:left w:val="single" w:color="auto" w:sz="4" w:space="0"/>
              <w:bottom w:val="single" w:color="auto" w:sz="4" w:space="0"/>
              <w:right w:val="single" w:color="auto" w:sz="4" w:space="0"/>
            </w:tcBorders>
            <w:noWrap w:val="0"/>
            <w:vAlign w:val="center"/>
          </w:tcPr>
          <w:p w14:paraId="10847C3D">
            <w:pPr>
              <w:keepNext w:val="0"/>
              <w:keepLines w:val="0"/>
              <w:pageBreakBefore w:val="0"/>
              <w:widowControl w:val="0"/>
              <w:kinsoku/>
              <w:wordWrap/>
              <w:overflowPunct/>
              <w:topLinePunct w:val="0"/>
              <w:autoSpaceDE/>
              <w:autoSpaceDN/>
              <w:bidi w:val="0"/>
              <w:adjustRightInd/>
              <w:snapToGrid w:val="0"/>
              <w:spacing w:line="240" w:lineRule="auto"/>
              <w:textAlignment w:val="auto"/>
              <w:outlineLvl w:val="9"/>
              <w:rPr>
                <w:rFonts w:hint="eastAsia" w:ascii="宋体" w:hAnsi="Times New Roman" w:eastAsia="宋体" w:cs="宋体"/>
                <w:b w:val="0"/>
                <w:bCs w:val="0"/>
                <w:color w:val="000000"/>
                <w:kern w:val="18"/>
                <w:sz w:val="21"/>
                <w:szCs w:val="21"/>
                <w:lang w:val="en-US" w:eastAsia="zh-CN" w:bidi="ar-SA"/>
              </w:rPr>
            </w:pPr>
            <w:r>
              <w:rPr>
                <w:rFonts w:hint="eastAsia" w:ascii="宋体" w:hAnsi="Times New Roman" w:eastAsia="宋体" w:cs="宋体"/>
                <w:b w:val="0"/>
                <w:bCs w:val="0"/>
                <w:color w:val="000000"/>
                <w:kern w:val="18"/>
                <w:sz w:val="21"/>
                <w:szCs w:val="21"/>
                <w:lang w:val="en-US" w:eastAsia="zh-CN" w:bidi="ar-SA"/>
              </w:rPr>
              <w:t>4.2.2.1总平面布置</w:t>
            </w:r>
          </w:p>
          <w:p w14:paraId="3C5A2112">
            <w:pPr>
              <w:keepNext w:val="0"/>
              <w:keepLines w:val="0"/>
              <w:pageBreakBefore w:val="0"/>
              <w:widowControl w:val="0"/>
              <w:kinsoku/>
              <w:wordWrap/>
              <w:overflowPunct/>
              <w:topLinePunct w:val="0"/>
              <w:autoSpaceDE/>
              <w:autoSpaceDN/>
              <w:bidi w:val="0"/>
              <w:adjustRightInd/>
              <w:snapToGrid w:val="0"/>
              <w:spacing w:line="240" w:lineRule="auto"/>
              <w:textAlignment w:val="auto"/>
              <w:outlineLvl w:val="9"/>
              <w:rPr>
                <w:rFonts w:hint="eastAsia" w:ascii="宋体" w:hAnsi="Times New Roman" w:eastAsia="宋体" w:cs="宋体"/>
                <w:b w:val="0"/>
                <w:bCs w:val="0"/>
                <w:color w:val="000000"/>
                <w:kern w:val="18"/>
                <w:sz w:val="21"/>
                <w:szCs w:val="21"/>
                <w:lang w:val="en-US" w:eastAsia="zh-CN" w:bidi="ar-SA"/>
              </w:rPr>
            </w:pPr>
            <w:r>
              <w:rPr>
                <w:rFonts w:hint="eastAsia" w:ascii="宋体" w:hAnsi="Times New Roman" w:eastAsia="宋体" w:cs="宋体"/>
                <w:b w:val="0"/>
                <w:bCs w:val="0"/>
                <w:color w:val="000000"/>
                <w:kern w:val="18"/>
                <w:sz w:val="21"/>
                <w:szCs w:val="21"/>
                <w:lang w:val="en-US" w:eastAsia="zh-CN" w:bidi="ar-SA"/>
              </w:rPr>
              <w:t>装置设施的平面布置与《总平面布置图》一致。</w:t>
            </w:r>
          </w:p>
          <w:p w14:paraId="4013FC1C">
            <w:pPr>
              <w:keepNext w:val="0"/>
              <w:keepLines w:val="0"/>
              <w:pageBreakBefore w:val="0"/>
              <w:widowControl w:val="0"/>
              <w:kinsoku/>
              <w:wordWrap/>
              <w:overflowPunct/>
              <w:topLinePunct w:val="0"/>
              <w:autoSpaceDE/>
              <w:autoSpaceDN/>
              <w:bidi w:val="0"/>
              <w:adjustRightInd/>
              <w:snapToGrid w:val="0"/>
              <w:spacing w:line="240" w:lineRule="auto"/>
              <w:textAlignment w:val="auto"/>
              <w:outlineLvl w:val="9"/>
              <w:rPr>
                <w:rFonts w:hint="eastAsia" w:ascii="宋体" w:hAnsi="Times New Roman" w:eastAsia="宋体" w:cs="宋体"/>
                <w:b w:val="0"/>
                <w:bCs w:val="0"/>
                <w:color w:val="000000"/>
                <w:kern w:val="18"/>
                <w:sz w:val="21"/>
                <w:szCs w:val="21"/>
                <w:lang w:val="en-US" w:eastAsia="zh-CN" w:bidi="ar-SA"/>
              </w:rPr>
            </w:pPr>
            <w:r>
              <w:rPr>
                <w:rFonts w:hint="eastAsia" w:ascii="宋体" w:hAnsi="Times New Roman" w:eastAsia="宋体" w:cs="宋体"/>
                <w:b w:val="0"/>
                <w:bCs w:val="0"/>
                <w:color w:val="000000"/>
                <w:kern w:val="18"/>
                <w:sz w:val="21"/>
                <w:szCs w:val="21"/>
                <w:lang w:val="en-US" w:eastAsia="zh-CN" w:bidi="ar-SA"/>
              </w:rPr>
              <w:t>4.2.2.2竖向布置</w:t>
            </w:r>
          </w:p>
          <w:p w14:paraId="6038C19F">
            <w:pPr>
              <w:keepNext w:val="0"/>
              <w:keepLines w:val="0"/>
              <w:pageBreakBefore w:val="0"/>
              <w:widowControl w:val="0"/>
              <w:kinsoku/>
              <w:wordWrap/>
              <w:overflowPunct/>
              <w:topLinePunct w:val="0"/>
              <w:autoSpaceDE/>
              <w:autoSpaceDN/>
              <w:bidi w:val="0"/>
              <w:adjustRightInd/>
              <w:snapToGrid w:val="0"/>
              <w:spacing w:line="240" w:lineRule="auto"/>
              <w:textAlignment w:val="auto"/>
              <w:outlineLvl w:val="9"/>
              <w:rPr>
                <w:rFonts w:hint="eastAsia" w:ascii="宋体" w:hAnsi="Times New Roman" w:eastAsia="宋体" w:cs="宋体"/>
                <w:b w:val="0"/>
                <w:bCs w:val="0"/>
                <w:color w:val="000000"/>
                <w:kern w:val="18"/>
                <w:sz w:val="21"/>
                <w:szCs w:val="21"/>
                <w:lang w:val="en-US" w:eastAsia="zh-CN" w:bidi="ar-SA"/>
              </w:rPr>
            </w:pPr>
            <w:r>
              <w:rPr>
                <w:rFonts w:hint="eastAsia" w:ascii="宋体" w:hAnsi="Times New Roman" w:eastAsia="宋体" w:cs="宋体"/>
                <w:b w:val="0"/>
                <w:bCs w:val="0"/>
                <w:color w:val="000000"/>
                <w:kern w:val="18"/>
                <w:sz w:val="21"/>
                <w:szCs w:val="21"/>
                <w:lang w:val="en-US" w:eastAsia="zh-CN" w:bidi="ar-SA"/>
              </w:rPr>
              <w:t>采用平坡式布置。</w:t>
            </w:r>
          </w:p>
        </w:tc>
        <w:tc>
          <w:tcPr>
            <w:tcW w:w="729" w:type="dxa"/>
            <w:tcBorders>
              <w:top w:val="single" w:color="auto" w:sz="4" w:space="0"/>
              <w:left w:val="single" w:color="auto" w:sz="4" w:space="0"/>
              <w:bottom w:val="single" w:color="auto" w:sz="4" w:space="0"/>
              <w:right w:val="single" w:color="auto" w:sz="4" w:space="0"/>
            </w:tcBorders>
            <w:noWrap w:val="0"/>
            <w:vAlign w:val="center"/>
          </w:tcPr>
          <w:p w14:paraId="1AFDF17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color w:val="000000"/>
                <w:sz w:val="21"/>
                <w:szCs w:val="21"/>
              </w:rPr>
            </w:pPr>
            <w:r>
              <w:rPr>
                <w:color w:val="000000"/>
                <w:sz w:val="21"/>
                <w:szCs w:val="21"/>
                <w:lang w:bidi="ar"/>
              </w:rPr>
              <w:t>符合</w:t>
            </w:r>
          </w:p>
        </w:tc>
      </w:tr>
      <w:tr w14:paraId="36577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dxa"/>
            <w:vMerge w:val="continue"/>
            <w:tcBorders>
              <w:top w:val="single" w:color="auto" w:sz="4" w:space="0"/>
              <w:left w:val="single" w:color="auto" w:sz="4" w:space="0"/>
              <w:bottom w:val="single" w:color="auto" w:sz="4" w:space="0"/>
              <w:right w:val="single" w:color="auto" w:sz="4" w:space="0"/>
            </w:tcBorders>
            <w:noWrap w:val="0"/>
            <w:vAlign w:val="center"/>
          </w:tcPr>
          <w:p w14:paraId="393DF7F7">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p>
        </w:tc>
        <w:tc>
          <w:tcPr>
            <w:tcW w:w="5705" w:type="dxa"/>
            <w:tcBorders>
              <w:top w:val="single" w:color="auto" w:sz="4" w:space="0"/>
              <w:left w:val="single" w:color="auto" w:sz="4" w:space="0"/>
              <w:bottom w:val="single" w:color="auto" w:sz="4" w:space="0"/>
              <w:right w:val="single" w:color="auto" w:sz="4" w:space="0"/>
            </w:tcBorders>
            <w:noWrap w:val="0"/>
            <w:vAlign w:val="center"/>
          </w:tcPr>
          <w:p w14:paraId="43C6D30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en-US" w:eastAsia="zh-CN"/>
              </w:rPr>
            </w:pPr>
            <w:r>
              <w:rPr>
                <w:rFonts w:hint="eastAsia" w:ascii="宋体" w:hAnsi="Times New Roman" w:eastAsia="宋体" w:cs="宋体"/>
                <w:color w:val="000000"/>
                <w:sz w:val="21"/>
                <w:szCs w:val="21"/>
                <w:lang w:val="en-US" w:eastAsia="zh-CN"/>
              </w:rPr>
              <w:t>4.2.3平面布置的主要防火间距及标准规范符合情况</w:t>
            </w:r>
          </w:p>
          <w:p w14:paraId="4B62D60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en-US" w:eastAsia="zh-CN"/>
              </w:rPr>
            </w:pPr>
            <w:r>
              <w:rPr>
                <w:rFonts w:hint="eastAsia" w:ascii="宋体" w:hAnsi="Times New Roman" w:eastAsia="宋体" w:cs="宋体"/>
                <w:color w:val="000000"/>
                <w:sz w:val="21"/>
                <w:szCs w:val="21"/>
                <w:lang w:val="en-US" w:eastAsia="zh-CN"/>
              </w:rPr>
              <w:t>本项目装置之间、设施之间、以及装置与各生产设施之间的防火间距完全按照《工业金属管道设计规范》</w:t>
            </w:r>
          </w:p>
          <w:p w14:paraId="4AFE1BC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en-US" w:eastAsia="zh-CN"/>
              </w:rPr>
            </w:pPr>
            <w:r>
              <w:rPr>
                <w:rFonts w:hint="eastAsia" w:ascii="宋体" w:hAnsi="Times New Roman" w:eastAsia="宋体" w:cs="宋体"/>
                <w:color w:val="000000"/>
                <w:sz w:val="21"/>
                <w:szCs w:val="21"/>
                <w:lang w:val="en-US" w:eastAsia="zh-CN"/>
              </w:rPr>
              <w:t>GB50316-2000（2008年版）《化工企业总图运输设计规范》GB50489-2009等规范进行设计。</w:t>
            </w:r>
          </w:p>
          <w:p w14:paraId="165F905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en-US" w:eastAsia="zh-CN"/>
              </w:rPr>
            </w:pPr>
            <w:r>
              <w:rPr>
                <w:rFonts w:hint="eastAsia" w:ascii="宋体" w:hAnsi="Times New Roman" w:eastAsia="宋体" w:cs="宋体"/>
                <w:color w:val="000000"/>
                <w:sz w:val="21"/>
                <w:szCs w:val="21"/>
                <w:lang w:val="en-US" w:eastAsia="zh-CN"/>
              </w:rPr>
              <w:t>本项目装置内部及与周边设施防火间距检查详见专篇表4-1。</w:t>
            </w:r>
          </w:p>
        </w:tc>
        <w:tc>
          <w:tcPr>
            <w:tcW w:w="2253" w:type="dxa"/>
            <w:tcBorders>
              <w:top w:val="single" w:color="auto" w:sz="4" w:space="0"/>
              <w:left w:val="single" w:color="auto" w:sz="4" w:space="0"/>
              <w:bottom w:val="single" w:color="auto" w:sz="4" w:space="0"/>
              <w:right w:val="single" w:color="auto" w:sz="4" w:space="0"/>
            </w:tcBorders>
            <w:noWrap w:val="0"/>
            <w:vAlign w:val="center"/>
          </w:tcPr>
          <w:p w14:paraId="478FFFB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en-US" w:eastAsia="zh-CN"/>
              </w:rPr>
            </w:pPr>
            <w:r>
              <w:rPr>
                <w:rFonts w:hint="eastAsia" w:ascii="宋体" w:hAnsi="Times New Roman" w:eastAsia="宋体" w:cs="宋体"/>
                <w:color w:val="000000"/>
                <w:sz w:val="21"/>
                <w:szCs w:val="21"/>
                <w:lang w:val="en-US" w:eastAsia="zh-CN"/>
              </w:rPr>
              <w:t>本项目装置内部及与周边设施防火间距满足规范要求。</w:t>
            </w:r>
          </w:p>
        </w:tc>
        <w:tc>
          <w:tcPr>
            <w:tcW w:w="729" w:type="dxa"/>
            <w:tcBorders>
              <w:top w:val="single" w:color="auto" w:sz="4" w:space="0"/>
              <w:left w:val="single" w:color="auto" w:sz="4" w:space="0"/>
              <w:bottom w:val="single" w:color="auto" w:sz="4" w:space="0"/>
              <w:right w:val="single" w:color="auto" w:sz="4" w:space="0"/>
            </w:tcBorders>
            <w:noWrap w:val="0"/>
            <w:vAlign w:val="center"/>
          </w:tcPr>
          <w:p w14:paraId="7033C51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lang w:bidi="ar"/>
              </w:rPr>
              <w:t>符合</w:t>
            </w:r>
          </w:p>
        </w:tc>
      </w:tr>
      <w:tr w14:paraId="452BA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dxa"/>
            <w:vMerge w:val="continue"/>
            <w:tcBorders>
              <w:top w:val="single" w:color="auto" w:sz="4" w:space="0"/>
              <w:left w:val="single" w:color="auto" w:sz="4" w:space="0"/>
              <w:bottom w:val="single" w:color="auto" w:sz="4" w:space="0"/>
              <w:right w:val="single" w:color="auto" w:sz="4" w:space="0"/>
            </w:tcBorders>
            <w:noWrap w:val="0"/>
            <w:vAlign w:val="center"/>
          </w:tcPr>
          <w:p w14:paraId="0EBD29FF">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p>
        </w:tc>
        <w:tc>
          <w:tcPr>
            <w:tcW w:w="5705" w:type="dxa"/>
            <w:tcBorders>
              <w:top w:val="single" w:color="auto" w:sz="4" w:space="0"/>
              <w:left w:val="single" w:color="auto" w:sz="4" w:space="0"/>
              <w:bottom w:val="single" w:color="auto" w:sz="4" w:space="0"/>
              <w:right w:val="single" w:color="auto" w:sz="4" w:space="0"/>
            </w:tcBorders>
            <w:noWrap w:val="0"/>
            <w:vAlign w:val="center"/>
          </w:tcPr>
          <w:p w14:paraId="421FEBF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4.2.4厂区消防道路、安全疏散道路及出入口的设置</w:t>
            </w:r>
          </w:p>
          <w:p w14:paraId="08C46C6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eastAsia="zh-CN"/>
              </w:rPr>
            </w:pPr>
            <w:r>
              <w:rPr>
                <w:rFonts w:hint="eastAsia" w:ascii="宋体" w:hAnsi="Times New Roman" w:eastAsia="宋体" w:cs="宋体"/>
                <w:color w:val="000000"/>
                <w:sz w:val="21"/>
                <w:szCs w:val="21"/>
              </w:rPr>
              <w:t>本项目厂外管廊体量小，管廊上不设置巡检通道，通过沿管廊的道路可满足巡检要求</w:t>
            </w:r>
            <w:r>
              <w:rPr>
                <w:rFonts w:hint="eastAsia" w:ascii="宋体" w:hAnsi="Times New Roman" w:eastAsia="宋体" w:cs="宋体"/>
                <w:color w:val="000000"/>
                <w:sz w:val="21"/>
                <w:szCs w:val="21"/>
                <w:lang w:eastAsia="zh-CN"/>
              </w:rPr>
              <w:t>。</w:t>
            </w:r>
          </w:p>
        </w:tc>
        <w:tc>
          <w:tcPr>
            <w:tcW w:w="2253" w:type="dxa"/>
            <w:tcBorders>
              <w:top w:val="single" w:color="auto" w:sz="4" w:space="0"/>
              <w:left w:val="single" w:color="auto" w:sz="4" w:space="0"/>
              <w:bottom w:val="single" w:color="auto" w:sz="4" w:space="0"/>
              <w:right w:val="single" w:color="auto" w:sz="4" w:space="0"/>
            </w:tcBorders>
            <w:noWrap w:val="0"/>
            <w:vAlign w:val="center"/>
          </w:tcPr>
          <w:p w14:paraId="5426486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lang w:val="en-US" w:eastAsia="zh-CN"/>
              </w:rPr>
              <w:t>根据现场及竣工图，</w:t>
            </w:r>
            <w:r>
              <w:rPr>
                <w:rFonts w:hint="eastAsia" w:ascii="宋体" w:hAnsi="Times New Roman" w:eastAsia="宋体" w:cs="宋体"/>
                <w:color w:val="000000"/>
                <w:sz w:val="21"/>
                <w:szCs w:val="21"/>
              </w:rPr>
              <w:t>本项目厂外管廊体量小，管廊上不设置巡检通道，通过沿管廊的道路可满足巡检要求。</w:t>
            </w:r>
          </w:p>
        </w:tc>
        <w:tc>
          <w:tcPr>
            <w:tcW w:w="729" w:type="dxa"/>
            <w:tcBorders>
              <w:top w:val="single" w:color="auto" w:sz="4" w:space="0"/>
              <w:left w:val="single" w:color="auto" w:sz="4" w:space="0"/>
              <w:bottom w:val="single" w:color="auto" w:sz="4" w:space="0"/>
              <w:right w:val="single" w:color="auto" w:sz="4" w:space="0"/>
            </w:tcBorders>
            <w:noWrap w:val="0"/>
            <w:vAlign w:val="center"/>
          </w:tcPr>
          <w:p w14:paraId="7CFC341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000000"/>
                <w:sz w:val="21"/>
                <w:szCs w:val="21"/>
                <w:lang w:bidi="ar"/>
              </w:rPr>
            </w:pPr>
            <w:r>
              <w:rPr>
                <w:rFonts w:hint="eastAsia"/>
                <w:color w:val="000000"/>
                <w:sz w:val="21"/>
                <w:szCs w:val="21"/>
                <w:lang w:bidi="ar"/>
              </w:rPr>
              <w:t>符合</w:t>
            </w:r>
          </w:p>
        </w:tc>
      </w:tr>
      <w:tr w14:paraId="2759F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dxa"/>
            <w:vMerge w:val="restart"/>
            <w:tcBorders>
              <w:top w:val="single" w:color="auto" w:sz="4" w:space="0"/>
              <w:left w:val="single" w:color="auto" w:sz="4" w:space="0"/>
              <w:bottom w:val="single" w:color="auto" w:sz="4" w:space="0"/>
              <w:right w:val="single" w:color="auto" w:sz="4" w:space="0"/>
            </w:tcBorders>
            <w:noWrap w:val="0"/>
            <w:vAlign w:val="center"/>
          </w:tcPr>
          <w:p w14:paraId="01F85E7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rFonts w:hint="eastAsia"/>
                <w:color w:val="000000"/>
                <w:sz w:val="21"/>
                <w:szCs w:val="21"/>
                <w:lang w:bidi="ar"/>
              </w:rPr>
              <w:t>4.3</w:t>
            </w:r>
            <w:r>
              <w:rPr>
                <w:color w:val="000000"/>
                <w:sz w:val="21"/>
                <w:szCs w:val="21"/>
                <w:lang w:bidi="ar"/>
              </w:rPr>
              <w:t>设备及管道</w:t>
            </w:r>
          </w:p>
        </w:tc>
        <w:tc>
          <w:tcPr>
            <w:tcW w:w="5705" w:type="dxa"/>
            <w:tcBorders>
              <w:top w:val="single" w:color="auto" w:sz="4" w:space="0"/>
              <w:left w:val="single" w:color="auto" w:sz="4" w:space="0"/>
              <w:bottom w:val="single" w:color="auto" w:sz="4" w:space="0"/>
              <w:right w:val="single" w:color="auto" w:sz="4" w:space="0"/>
            </w:tcBorders>
            <w:noWrap w:val="0"/>
            <w:vAlign w:val="center"/>
          </w:tcPr>
          <w:p w14:paraId="16B60A4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4.3.1压力容器、设备及管道设计与国家法规及标准的符合性，包括进口压力容器满足国家强制性规定的情况</w:t>
            </w:r>
          </w:p>
          <w:p w14:paraId="7DBEEB9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本项目为管架及附属设施，不涉及工艺设备。本项目的压力管道详见附表管道表。</w:t>
            </w:r>
          </w:p>
        </w:tc>
        <w:tc>
          <w:tcPr>
            <w:tcW w:w="2253" w:type="dxa"/>
            <w:tcBorders>
              <w:top w:val="single" w:color="auto" w:sz="4" w:space="0"/>
              <w:left w:val="single" w:color="auto" w:sz="4" w:space="0"/>
              <w:bottom w:val="single" w:color="auto" w:sz="4" w:space="0"/>
              <w:right w:val="single" w:color="auto" w:sz="4" w:space="0"/>
            </w:tcBorders>
            <w:noWrap w:val="0"/>
            <w:vAlign w:val="center"/>
          </w:tcPr>
          <w:p w14:paraId="5711589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该项目涉及的压力管道等特种设备由施工单位出具了安装质量证明书，压力管道安装前施工单位已报安装监督检验，经安装监督检验合格</w:t>
            </w:r>
            <w:r>
              <w:rPr>
                <w:rFonts w:hint="eastAsia" w:ascii="宋体" w:hAnsi="Times New Roman" w:eastAsia="宋体" w:cs="宋体"/>
                <w:color w:val="000000"/>
                <w:sz w:val="21"/>
                <w:szCs w:val="21"/>
                <w:lang w:eastAsia="zh-CN"/>
              </w:rPr>
              <w:t>，</w:t>
            </w:r>
            <w:r>
              <w:rPr>
                <w:rFonts w:hint="eastAsia" w:ascii="宋体" w:hAnsi="Times New Roman" w:eastAsia="宋体" w:cs="宋体"/>
                <w:color w:val="000000"/>
                <w:sz w:val="21"/>
                <w:szCs w:val="21"/>
                <w:lang w:val="en-US" w:eastAsia="zh-CN"/>
              </w:rPr>
              <w:t>并出具安装监督检验报告</w:t>
            </w:r>
            <w:r>
              <w:rPr>
                <w:rFonts w:hint="eastAsia" w:ascii="宋体" w:hAnsi="Times New Roman" w:eastAsia="宋体" w:cs="宋体"/>
                <w:color w:val="000000"/>
                <w:sz w:val="21"/>
                <w:szCs w:val="21"/>
              </w:rPr>
              <w:t>。压力管道使用登记证正在办理。</w:t>
            </w:r>
          </w:p>
        </w:tc>
        <w:tc>
          <w:tcPr>
            <w:tcW w:w="729" w:type="dxa"/>
            <w:tcBorders>
              <w:top w:val="single" w:color="auto" w:sz="4" w:space="0"/>
              <w:left w:val="single" w:color="auto" w:sz="4" w:space="0"/>
              <w:bottom w:val="single" w:color="auto" w:sz="4" w:space="0"/>
              <w:right w:val="single" w:color="auto" w:sz="4" w:space="0"/>
            </w:tcBorders>
            <w:noWrap w:val="0"/>
            <w:vAlign w:val="center"/>
          </w:tcPr>
          <w:p w14:paraId="3979E04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符合</w:t>
            </w:r>
          </w:p>
        </w:tc>
      </w:tr>
      <w:tr w14:paraId="49792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dxa"/>
            <w:vMerge w:val="continue"/>
            <w:tcBorders>
              <w:left w:val="single" w:color="auto" w:sz="4" w:space="0"/>
              <w:right w:val="single" w:color="auto" w:sz="4" w:space="0"/>
            </w:tcBorders>
            <w:noWrap w:val="0"/>
            <w:vAlign w:val="center"/>
          </w:tcPr>
          <w:p w14:paraId="6926010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lang w:bidi="ar"/>
              </w:rPr>
            </w:pPr>
          </w:p>
        </w:tc>
        <w:tc>
          <w:tcPr>
            <w:tcW w:w="5705" w:type="dxa"/>
            <w:tcBorders>
              <w:top w:val="single" w:color="auto" w:sz="4" w:space="0"/>
              <w:left w:val="single" w:color="auto" w:sz="4" w:space="0"/>
              <w:bottom w:val="single" w:color="auto" w:sz="4" w:space="0"/>
              <w:right w:val="single" w:color="auto" w:sz="4" w:space="0"/>
            </w:tcBorders>
            <w:noWrap w:val="0"/>
            <w:vAlign w:val="center"/>
          </w:tcPr>
          <w:p w14:paraId="3BC7435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en-US" w:eastAsia="zh-CN"/>
              </w:rPr>
            </w:pPr>
            <w:r>
              <w:rPr>
                <w:rFonts w:hint="eastAsia" w:ascii="宋体" w:hAnsi="Times New Roman" w:eastAsia="宋体" w:cs="宋体"/>
                <w:color w:val="000000"/>
                <w:sz w:val="21"/>
                <w:szCs w:val="21"/>
                <w:lang w:val="zh-CN"/>
              </w:rPr>
              <w:t>4.3.2</w:t>
            </w:r>
            <w:r>
              <w:rPr>
                <w:rFonts w:hint="eastAsia" w:ascii="宋体" w:hAnsi="Times New Roman" w:eastAsia="宋体" w:cs="宋体"/>
                <w:color w:val="000000"/>
                <w:sz w:val="21"/>
                <w:szCs w:val="21"/>
                <w:lang w:val="en-US" w:eastAsia="zh-CN"/>
              </w:rPr>
              <w:t>主要设备、</w:t>
            </w:r>
            <w:r>
              <w:rPr>
                <w:rFonts w:hint="eastAsia" w:ascii="宋体" w:hAnsi="Times New Roman" w:eastAsia="宋体" w:cs="宋体"/>
                <w:color w:val="000000"/>
                <w:sz w:val="21"/>
                <w:szCs w:val="21"/>
                <w:lang w:val="zh-CN"/>
              </w:rPr>
              <w:t>管道材料的选择和防护</w:t>
            </w:r>
            <w:r>
              <w:rPr>
                <w:rFonts w:hint="eastAsia" w:ascii="宋体" w:hAnsi="Times New Roman" w:eastAsia="宋体" w:cs="宋体"/>
                <w:color w:val="000000"/>
                <w:sz w:val="21"/>
                <w:szCs w:val="21"/>
                <w:lang w:val="en-US" w:eastAsia="zh-CN"/>
              </w:rPr>
              <w:t>措施</w:t>
            </w:r>
          </w:p>
          <w:p w14:paraId="7F3CF645">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管道材料的选择和防护措施</w:t>
            </w:r>
          </w:p>
          <w:p w14:paraId="1D35E1A9">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（1）管道材料等级索引见附表《管道材料等级索引》。</w:t>
            </w:r>
          </w:p>
          <w:p w14:paraId="4AA9113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2）管道材料选择原则为根据管道级别、设计温度、设计压力和介质特殊要求等设计条件，以及材料加工工艺性能、焊接性能和经济合理性等选用。无腐蚀、无特殊要求且操作温度高于-20℃工艺物料及公用工程介质的管线选用碳钢；具有洁净要求的管线选用不同牌号的不锈钢材料；具有腐蚀性的物料管线选用不同牌号的非金属材料或钢衬塑料。</w:t>
            </w:r>
          </w:p>
          <w:p w14:paraId="652E2C2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（3）管道主要材料为碳钢、普通奥氏体不锈钢、钢衬塑料及PPH、钢骨架PE等非金属管道。</w:t>
            </w:r>
          </w:p>
          <w:p w14:paraId="61A67AA8">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（4）原则上，本项目全部采用国标材料，管道材料设计和选用按 GB/T 20801-2020《压力管道规范 工业管道》执行。</w:t>
            </w:r>
          </w:p>
          <w:p w14:paraId="2FC4647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（5）管子</w:t>
            </w:r>
          </w:p>
          <w:p w14:paraId="736899DA">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管子外径和壁厚符合《石油化工钢管尺寸系列》HG/T20553-2011标准中Ia系列的规定。</w:t>
            </w:r>
          </w:p>
          <w:p w14:paraId="0880D13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（6）管件</w:t>
            </w:r>
          </w:p>
          <w:p w14:paraId="05E32F5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a) 对焊管件的端部壁厚大于等于相连接的管子的壁厚。对焊管件的结构尺寸和技术要求符合现行GB/T12459-2017及GB/T13401-2017的规定。</w:t>
            </w:r>
          </w:p>
          <w:p w14:paraId="0AEAA02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b) 锻制承插焊管件的使用范围为 DN15～40。管道选用钢制锻造承插焊管件时，规格和技术要求符合GB/T14383-2021的规定。</w:t>
            </w:r>
          </w:p>
          <w:p w14:paraId="6CDD259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（7）法兰、垫片、紧固件</w:t>
            </w:r>
          </w:p>
          <w:p w14:paraId="2AECEAD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a) 为了防止泄漏，将法兰、垫片和紧固件作为一个整体来考虑，选用时三者匹配。</w:t>
            </w:r>
          </w:p>
          <w:p w14:paraId="5CD375F9">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b) 垫片选用根据垫片的密封性能、操作压力、操作温度、工作介质特性及密封要求等因素确定。垫片标准均符合HG相关标准规定，具体见附表《管道材料等级索引》。</w:t>
            </w:r>
          </w:p>
          <w:p w14:paraId="40FF89E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c）本项目所有压力级别的管线法兰密封面采用RF面，有洁净度要求的管线垫片采用缠绕PTFE垫片，其余管道垫片采用缠绕石墨垫片。法兰、垫片等的具体选型见附表《管道材料等级索引》。</w:t>
            </w:r>
          </w:p>
          <w:p w14:paraId="7BAD8A19">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（8）阀门</w:t>
            </w:r>
          </w:p>
          <w:p w14:paraId="514834C8">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a) 阀门选用 GB阀门，阀门类型与 PID 图一致。</w:t>
            </w:r>
          </w:p>
          <w:p w14:paraId="5BD7E6D9">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b) 阀门的制造要求符合相应的 GB标准的规定，阀门的压力温度等级应按《钢制阀门 一般要求》GB/T12224 的规定。</w:t>
            </w:r>
          </w:p>
          <w:p w14:paraId="0FB1777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c) 除非另有说明，阀门结构长度符合《金属阀门结构长度》GB/T12221 的规定。</w:t>
            </w:r>
          </w:p>
          <w:p w14:paraId="1358D6D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d) 本项目中所有球阀采用全通径结构。</w:t>
            </w:r>
          </w:p>
          <w:p w14:paraId="2505DE6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（9）防潮</w:t>
            </w:r>
          </w:p>
          <w:p w14:paraId="7609223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设备及管道的保温、防烫层外不加防潮层，但设备及管道的保冷层外表面，埋地或地沟内敷设管道的保温层外表面均加防潮层，以防止大气中的水蒸汽或地沟中潮湿气进入绝热层而影响绝热效果。</w:t>
            </w:r>
          </w:p>
          <w:p w14:paraId="4D2E9AD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（10）防腐</w:t>
            </w:r>
          </w:p>
          <w:p w14:paraId="3639F45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设备、管道保温前，其外表面必须做加强的防锈处理，喷涂合适的防腐涂料，以避免设备管道的外表面腐蚀。设备及管道的防腐材料选用符合SH/T 3022《石油化工设备和管道涂料防腐蚀设计标准》的规定。管道及设备防腐施工按SH/T 3606《石油化工涂料防腐蚀工程施工技术规程》执行。</w:t>
            </w:r>
          </w:p>
          <w:p w14:paraId="3F56287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（11）绝热</w:t>
            </w:r>
          </w:p>
          <w:p w14:paraId="724CFAF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绝热设计符合减少散热损失、节约能源、满足工艺要求、保持生产能力、提高经济效益、改善工作环境、防止烫伤等基本原则。</w:t>
            </w:r>
          </w:p>
          <w:p w14:paraId="7A165CE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a) 为了防止操作人员被热表面烫伤，在介质温度高于60℃而又不要求绝热时，对操作人员可能触及的范围，距通道或操作平台0.75m以内以及距地面或操作平台小于2.1m的设备和管道进行防烫绝热处理。</w:t>
            </w:r>
          </w:p>
          <w:p w14:paraId="5E0E33E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b) 所有需绝热的表面清理干净，使之无赃物、无锈、无氧化皮、无油。待表面干燥之后再安装绝热层。</w:t>
            </w:r>
          </w:p>
          <w:p w14:paraId="7FE9E625">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c) 设备和管道的绝热层厚度可根据管径、介质温度查阅绝热工程规定得出。</w:t>
            </w:r>
          </w:p>
          <w:p w14:paraId="4DF4AF3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绝热层厚度大于100mm用多层结构，各层的厚度宜相同。</w:t>
            </w:r>
          </w:p>
          <w:p w14:paraId="4BD4D249">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d) 法兰和阀门等经常需拆卸维修的管件都按要求进行绝热、防烫，并采用可拆卸式结构。</w:t>
            </w:r>
          </w:p>
          <w:p w14:paraId="64D7912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e) 容器裙座和支腿，管道支架等以及其它从绝热层伸出的金属附件，都要做一段距离的绝热，其绝热长度不小于绝热厚度的三倍，且不能小于250mm。</w:t>
            </w:r>
          </w:p>
          <w:p w14:paraId="6797A13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f) 设置在绝热设备和管道上的仪表及其附件也要绝热。</w:t>
            </w:r>
          </w:p>
          <w:p w14:paraId="2545F10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g）设备和管道隔热材料设计和选用按GB 50264《工业设备及管道绝热工程设计规范》，施工及验收按GB50126《工业设备及管道绝热工程施工规范》和GB50185《工业设备及管道绝热工程施工质量验收规范》执行。</w:t>
            </w:r>
          </w:p>
          <w:p w14:paraId="3CD76B15">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管架布置</w:t>
            </w:r>
          </w:p>
          <w:p w14:paraId="1C440FF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管架布置原则</w:t>
            </w:r>
          </w:p>
          <w:p w14:paraId="7B3136E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本项目管架布置需要遵循以下设计原则：</w:t>
            </w:r>
          </w:p>
          <w:p w14:paraId="27821B8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（1）遵守国家法律、法规、标准规范以及地方性法规及规范文件要求。</w:t>
            </w:r>
          </w:p>
          <w:p w14:paraId="63B7D3B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（2）满足园区总体规划、工艺流程、建设顺序和总平面布置的要求</w:t>
            </w:r>
          </w:p>
          <w:p w14:paraId="6E22DB6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（3）满足安全生产、环境保护、节能降耗的要求。</w:t>
            </w:r>
          </w:p>
          <w:p w14:paraId="33831B40">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（4）管架设计安全可靠、经济合理、美观协调，并预留后期发展余量。</w:t>
            </w:r>
          </w:p>
          <w:p w14:paraId="4D2A9FD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（5）满足操作、检修、施工和消防要求。</w:t>
            </w:r>
          </w:p>
          <w:p w14:paraId="6857AB8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管架布置要求</w:t>
            </w:r>
          </w:p>
          <w:p w14:paraId="446023F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（1）管道采用架空敷设，考虑到管道安装跨距的要求，外管最小管径选择为：气体管道≥DN25，液体管道≥DN40。</w:t>
            </w:r>
          </w:p>
          <w:p w14:paraId="41D2313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（2）管架采用钢结构，以双柱多层梁式管架为主，局部空间限制时采用单柱梁式管架。纵向建议标准跨距为9～12m；在跨越主要道路或障碍时，跨距为15～30m。</w:t>
            </w:r>
          </w:p>
          <w:p w14:paraId="0570A01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（3）管廊高度</w:t>
            </w:r>
          </w:p>
          <w:p w14:paraId="5E38A3B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1）平坦区净高不小于2.2m，在无人通行等特殊地段可适当降低标高；</w:t>
            </w:r>
          </w:p>
          <w:p w14:paraId="102DC46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2）跨越厂内道路的净空高度≥6.0m。</w:t>
            </w:r>
          </w:p>
          <w:p w14:paraId="79A395C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3）大件运输道路净空高度按需要设置。</w:t>
            </w:r>
          </w:p>
          <w:p w14:paraId="6991399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（4）管架布置应靠近各工艺生产装置区，管架布置避开地下隐蔽工程。</w:t>
            </w:r>
          </w:p>
          <w:p w14:paraId="6C3AF12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管廊布置选址原则</w:t>
            </w:r>
          </w:p>
          <w:p w14:paraId="0572211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厂外管廊选址选择一般遵循以下原则：</w:t>
            </w:r>
          </w:p>
          <w:p w14:paraId="07AE8FB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（1）符合城乡建设总体规划，符合园区规划的要求，并与大气污染防治、水资源和自然生态保护相一致。</w:t>
            </w:r>
          </w:p>
          <w:p w14:paraId="4259002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（2）所选厂址避开自然保护区、风景名胜区、生活饮用水源地和其它特别需要保护的敏感性目标。</w:t>
            </w:r>
          </w:p>
          <w:p w14:paraId="2DE1BD2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（3）节约土地资源，充分利用空闲地、非耕地或荒地，尽可能不占良田或少占耕地。</w:t>
            </w:r>
          </w:p>
          <w:p w14:paraId="02273BA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（4）线路选择应提供足够的场地以满足辅助生产设施的建设需要。</w:t>
            </w:r>
          </w:p>
          <w:p w14:paraId="5F118AE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（5）线路应具备良好的生产基础条件，水源、电力、运输等生产要素供应充裕，能源供应有可靠的保障。</w:t>
            </w:r>
          </w:p>
          <w:p w14:paraId="5CF7102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（6）线路靠近主要用户，具备便利的巡检条件，有利用用户企业方便快捷的接入管廊。</w:t>
            </w:r>
          </w:p>
          <w:p w14:paraId="2BFABFC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（7）地势平缓，便于排除雨水和生产、生活废水。</w:t>
            </w:r>
          </w:p>
          <w:p w14:paraId="79A39C2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（8）与居民区及环境污染敏感点有足够的防护距离。</w:t>
            </w:r>
          </w:p>
          <w:p w14:paraId="088A1BB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管廊布置方案</w:t>
            </w:r>
          </w:p>
          <w:p w14:paraId="253C89D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本项目厂外管廊连接祥丰金麦厂区、祥丰石化厂区以及新建的瓮福祥丰无水氟化氢项目厂区。管廊敷设氟硅酸、浓硫酸、稀硫酸、渣浆水等工艺物料，以及蒸汽、脱盐水、生活水、消防水等公用工程，管廊按功能、走向和区块分段规划，划分A～F段。</w:t>
            </w:r>
          </w:p>
          <w:p w14:paraId="236B364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A段管廊沿祥丰金麦厂内道路一侧空地设双柱双层纵梁式管廊，与已建管廊并行，跨越道路净空高度不低于已建管廊高度。</w:t>
            </w:r>
          </w:p>
          <w:p w14:paraId="11F32FC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B段管廊利用挡土墙一侧外挑两层，或沿墙角设单柱双层纵梁式管廊敷设管道。</w:t>
            </w:r>
          </w:p>
          <w:p w14:paraId="7D767275">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C段管廊沿道路一侧绿化带设单柱双层纵梁式管廊，与已建管廊并行，跨路标高不低于已建管廊高度。</w:t>
            </w:r>
          </w:p>
          <w:p w14:paraId="33515AD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D、E段管廊沿山敷设，为双层纵梁式管廊，管廊标高根据地形起伏改变，管廊距地高度一般在1～5m，在跨路处净空高度至少4.5m。</w:t>
            </w:r>
          </w:p>
          <w:p w14:paraId="6A43C11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F段管廊衔接瓮福祥丰氟化氢厂内管廊和山上段管廊，通过高管架跨越挡土坡与山上段相接，跨越园区道路的净空高度＞6m。</w:t>
            </w:r>
          </w:p>
          <w:p w14:paraId="6BE01BB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本项目厂外管廊的走向和布置见附件1。</w:t>
            </w:r>
          </w:p>
          <w:p w14:paraId="39B261F8">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管道布置</w:t>
            </w:r>
          </w:p>
          <w:p w14:paraId="4D6A6D30">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管道布置原则</w:t>
            </w:r>
          </w:p>
          <w:p w14:paraId="07FDB0A9">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（1）管道布置满足防火、防爆、安全和健康卫生要求。</w:t>
            </w:r>
          </w:p>
          <w:p w14:paraId="176F2BF9">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（2）管道布置设计符合工艺、管道及仪表流程图（包括 P&amp;ID 和 U&amp;ID）的要求。</w:t>
            </w:r>
          </w:p>
          <w:p w14:paraId="14372F7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（3）管道布置统筹规划，做到安全可靠、经济合理、整齐美观，满足施工、操作和检修等方面的要求。</w:t>
            </w:r>
          </w:p>
          <w:p w14:paraId="039B600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（4）全厂性的管道地上敷设，沿地面或架空敷设的管道不环绕工艺装置、系统单元或储罐组布置，并不妨碍消防车的通行。</w:t>
            </w:r>
          </w:p>
          <w:p w14:paraId="40D9FF7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管道布置要求</w:t>
            </w:r>
          </w:p>
          <w:p w14:paraId="5936EA8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（1）管道布置减少死区。</w:t>
            </w:r>
          </w:p>
          <w:p w14:paraId="70C4CD6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（2）管廊或管墩上布置管道时，宜使管廊或管墩所受的垂直荷载、水平荷载均衡。</w:t>
            </w:r>
          </w:p>
          <w:p w14:paraId="260503B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（3）腐蚀性介质、有毒介质和高压介质管道的布置避免由于阀门及易发生泄漏的管道附件造成对人身和设备的危害。易发生泄漏部位不应布置在人行通道或机泵上方，否则设安全防护。</w:t>
            </w:r>
          </w:p>
          <w:p w14:paraId="184DF2AA">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（5）高温蒸汽、凝液布置时优先考虑自然补偿，当补偿能力不足时，可选用其他类型的补偿器。通过应力计算，本项目蒸汽管道全部采用自然补偿，补偿能力足够。</w:t>
            </w:r>
          </w:p>
          <w:p w14:paraId="22023135">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蒸汽管道高点处设放空，低点处设有启动排水和永久疏水。就地排放的永久疏水管道，应视现场情况沿管架柱引至地面后，就近排入附近雨水篦子或管沟内，避免人员烫伤。</w:t>
            </w:r>
          </w:p>
          <w:p w14:paraId="1B52EEA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所有工艺物料管道在管廊上不设永久性放空、导淋，水压试验时设临时阀门，待水压试验后以管帽堵死，避免增加额外的泄漏点。</w:t>
            </w:r>
          </w:p>
          <w:p w14:paraId="36C56DD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（6）管廊断面布置原则</w:t>
            </w:r>
          </w:p>
          <w:p w14:paraId="653BBB9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1）水平排列</w:t>
            </w:r>
          </w:p>
          <w:p w14:paraId="1E16B379">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（a）大管、热管、高压管道尽量靠近柱子；</w:t>
            </w:r>
          </w:p>
          <w:p w14:paraId="46A8625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（b）支管少的管道靠内，支管多管道的靠外；</w:t>
            </w:r>
          </w:p>
          <w:p w14:paraId="3E19233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（c）不经常检修的管道靠内，经常检修的管道靠外。</w:t>
            </w:r>
          </w:p>
          <w:p w14:paraId="200E0EE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2）垂直面排列</w:t>
            </w:r>
          </w:p>
          <w:p w14:paraId="0FEB356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（a）热介质（保温）的管道在上，冷介质（不保温）的管道在下；</w:t>
            </w:r>
          </w:p>
          <w:p w14:paraId="3AFC761A">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（b）非腐蚀性介质的管道在上，腐蚀性介质的管道在下；</w:t>
            </w:r>
          </w:p>
          <w:p w14:paraId="41E9E74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（c）气体管道在上，液体管道在下；</w:t>
            </w:r>
          </w:p>
          <w:p w14:paraId="7A0352F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（d）高压管道在上，低压管道在下；</w:t>
            </w:r>
          </w:p>
          <w:p w14:paraId="04551CD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（e）金属管道在上，非金属及衬里管道在下；</w:t>
            </w:r>
          </w:p>
          <w:p w14:paraId="22AFE1C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（f）不经常检修的管道在上，经常检修的管道在下；</w:t>
            </w:r>
          </w:p>
          <w:p w14:paraId="1259CA9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（7）管道之间净距需不小于80mm，大口径管道适当加大，管道法兰外缘与邻近管道之间的最小净距不得小于 25mm，管道净距需额外考虑管道热位移量。</w:t>
            </w:r>
          </w:p>
          <w:p w14:paraId="2CF0363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（9）管道支吊架选用标准《管架标准图》HG/T21629-2021，支吊架应在管道的允许跨距内设置。</w:t>
            </w:r>
          </w:p>
          <w:p w14:paraId="217463B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管道布置方案</w:t>
            </w:r>
          </w:p>
          <w:p w14:paraId="41741B1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本项目厂外管廊上敷设的管道分工艺物料和公用工程管道，工艺物料多为氟硅酸、浓硫酸和稀硫酸等腐蚀性介质。因此，管廊分两层布置，在空间足够的情况下，尽量将腐蚀性介质布置在管廊一层，二层布置蒸汽、脱盐水、消防水等公用工程管道。</w:t>
            </w:r>
          </w:p>
          <w:p w14:paraId="07CB3580">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本项目各段管廊的断面见管廊断面布置图。</w:t>
            </w:r>
          </w:p>
        </w:tc>
        <w:tc>
          <w:tcPr>
            <w:tcW w:w="2253" w:type="dxa"/>
            <w:tcBorders>
              <w:top w:val="single" w:color="auto" w:sz="4" w:space="0"/>
              <w:left w:val="single" w:color="auto" w:sz="4" w:space="0"/>
              <w:bottom w:val="single" w:color="auto" w:sz="4" w:space="0"/>
              <w:right w:val="single" w:color="auto" w:sz="4" w:space="0"/>
            </w:tcBorders>
            <w:noWrap w:val="0"/>
            <w:vAlign w:val="center"/>
          </w:tcPr>
          <w:p w14:paraId="322C78F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根据施工单位出具的《化学工业工程建设交工技术文件》、工程竣工验收报告等工程竣工资料，设备及管道安装工程质量符合要求，验收合格。</w:t>
            </w:r>
          </w:p>
          <w:p w14:paraId="615B0B7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zh-CN"/>
              </w:rPr>
            </w:pPr>
            <w:r>
              <w:rPr>
                <w:rFonts w:hint="eastAsia"/>
                <w:color w:val="000000"/>
                <w:sz w:val="21"/>
                <w:szCs w:val="21"/>
                <w:lang w:bidi="ar"/>
              </w:rPr>
              <w:t>施工单位出具了管道安装工程的相关施工竣工资料，管道布置按施工图施工，满足设计要求，通过工程验收。</w:t>
            </w:r>
          </w:p>
        </w:tc>
        <w:tc>
          <w:tcPr>
            <w:tcW w:w="729" w:type="dxa"/>
            <w:tcBorders>
              <w:top w:val="single" w:color="auto" w:sz="4" w:space="0"/>
              <w:left w:val="single" w:color="auto" w:sz="4" w:space="0"/>
              <w:bottom w:val="single" w:color="auto" w:sz="4" w:space="0"/>
              <w:right w:val="single" w:color="auto" w:sz="4" w:space="0"/>
            </w:tcBorders>
            <w:noWrap w:val="0"/>
            <w:vAlign w:val="center"/>
          </w:tcPr>
          <w:p w14:paraId="168D0EB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lang w:bidi="ar"/>
              </w:rPr>
              <w:t>符合</w:t>
            </w:r>
          </w:p>
        </w:tc>
      </w:tr>
      <w:tr w14:paraId="3982E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dxa"/>
            <w:vMerge w:val="continue"/>
            <w:tcBorders>
              <w:left w:val="single" w:color="auto" w:sz="4" w:space="0"/>
              <w:right w:val="single" w:color="auto" w:sz="4" w:space="0"/>
            </w:tcBorders>
            <w:noWrap w:val="0"/>
            <w:vAlign w:val="center"/>
          </w:tcPr>
          <w:p w14:paraId="5199204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lang w:bidi="ar"/>
              </w:rPr>
            </w:pPr>
          </w:p>
        </w:tc>
        <w:tc>
          <w:tcPr>
            <w:tcW w:w="5705" w:type="dxa"/>
            <w:tcBorders>
              <w:top w:val="single" w:color="auto" w:sz="4" w:space="0"/>
              <w:left w:val="single" w:color="auto" w:sz="4" w:space="0"/>
              <w:bottom w:val="single" w:color="auto" w:sz="4" w:space="0"/>
              <w:right w:val="single" w:color="auto" w:sz="4" w:space="0"/>
            </w:tcBorders>
            <w:noWrap w:val="0"/>
            <w:vAlign w:val="center"/>
          </w:tcPr>
          <w:p w14:paraId="72ADDC4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4.3.4采取的其他安全措施</w:t>
            </w:r>
          </w:p>
          <w:p w14:paraId="599E44D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（1）设计安全可靠地管线支撑和隔热，对存在热胀冷缩产生的应力和位移的管道，采用应力分析软件CAESARII核算，保证管道走向和管道支架的可靠。</w:t>
            </w:r>
          </w:p>
          <w:p w14:paraId="66DBFE3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（2）输送、运转设备设置防护罩。</w:t>
            </w:r>
          </w:p>
          <w:p w14:paraId="1343488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3）本项目中大部分为输送有毒、腐蚀性强等危险介质的泵。对于腐蚀性强的介质，选用塑料离心泵或石墨离心泵，通过塑料或石墨抵抗介质的腐蚀。其余水泵选用普通离心泵。泵配置机械密封，通过至少一对垂直于旋转轴线的端面在流体压力和补偿机构弹力的作用下以及辅助密封的配合下保持贴合并相对滑动而构成的防止流体泄漏，要求所有机封按照API682标准执行以减少潜在的介质泄露。</w:t>
            </w:r>
          </w:p>
          <w:p w14:paraId="358475E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联轴器采用PAI671标准，选取时候考虑足够的安全系数，同时配置一个足以罩住联轴器和轴的护罩以防止人员在机组运行时靠近，护罩有足够的刚度，可以承受91kg的静载荷，变形量不大于护罩非支撑长度的0.0005倍。对于防爆区域的设备，防护罩采用无火花材料制作。</w:t>
            </w:r>
          </w:p>
          <w:p w14:paraId="4CBB6E2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rPr>
            </w:pPr>
          </w:p>
        </w:tc>
        <w:tc>
          <w:tcPr>
            <w:tcW w:w="2253" w:type="dxa"/>
            <w:tcBorders>
              <w:top w:val="single" w:color="auto" w:sz="4" w:space="0"/>
              <w:left w:val="single" w:color="auto" w:sz="4" w:space="0"/>
              <w:bottom w:val="single" w:color="auto" w:sz="4" w:space="0"/>
              <w:right w:val="single" w:color="auto" w:sz="4" w:space="0"/>
            </w:tcBorders>
            <w:noWrap w:val="0"/>
            <w:vAlign w:val="center"/>
          </w:tcPr>
          <w:p w14:paraId="727F8C1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（1）</w:t>
            </w:r>
            <w:r>
              <w:rPr>
                <w:rFonts w:hint="eastAsia" w:ascii="宋体" w:hAnsi="Times New Roman" w:eastAsia="宋体" w:cs="宋体"/>
                <w:color w:val="000000"/>
                <w:sz w:val="21"/>
                <w:szCs w:val="21"/>
                <w:lang w:val="en-US" w:eastAsia="zh-CN"/>
              </w:rPr>
              <w:t>根据设计、施工、竣工资料</w:t>
            </w:r>
            <w:r>
              <w:rPr>
                <w:rFonts w:hint="eastAsia" w:ascii="宋体" w:hAnsi="Times New Roman" w:eastAsia="宋体" w:cs="宋体"/>
                <w:color w:val="000000"/>
                <w:sz w:val="21"/>
                <w:szCs w:val="21"/>
                <w:lang w:val="zh-CN"/>
              </w:rPr>
              <w:t>，</w:t>
            </w:r>
            <w:r>
              <w:rPr>
                <w:rFonts w:hint="eastAsia" w:ascii="宋体" w:hAnsi="Times New Roman" w:eastAsia="宋体" w:cs="宋体"/>
                <w:color w:val="000000"/>
                <w:sz w:val="21"/>
                <w:szCs w:val="21"/>
                <w:lang w:val="en-US" w:eastAsia="zh-CN"/>
              </w:rPr>
              <w:t>对</w:t>
            </w:r>
            <w:r>
              <w:rPr>
                <w:rFonts w:hint="eastAsia" w:ascii="宋体" w:hAnsi="Times New Roman" w:eastAsia="宋体" w:cs="宋体"/>
                <w:color w:val="000000"/>
                <w:sz w:val="21"/>
                <w:szCs w:val="21"/>
                <w:lang w:val="zh-CN"/>
              </w:rPr>
              <w:t>存在热胀冷缩产生的应力和位移的管道，采用</w:t>
            </w:r>
            <w:r>
              <w:rPr>
                <w:rFonts w:hint="eastAsia" w:ascii="宋体" w:hAnsi="Times New Roman" w:eastAsia="宋体" w:cs="宋体"/>
                <w:color w:val="000000"/>
                <w:sz w:val="21"/>
                <w:szCs w:val="21"/>
                <w:lang w:val="en-US" w:eastAsia="zh-CN"/>
              </w:rPr>
              <w:t>了</w:t>
            </w:r>
            <w:r>
              <w:rPr>
                <w:rFonts w:hint="eastAsia" w:ascii="宋体" w:hAnsi="Times New Roman" w:eastAsia="宋体" w:cs="宋体"/>
                <w:color w:val="000000"/>
                <w:sz w:val="21"/>
                <w:szCs w:val="21"/>
                <w:lang w:val="zh-CN"/>
              </w:rPr>
              <w:t>应力分析软件CAESARII核算，保证管道走向和管道支架的可靠。</w:t>
            </w:r>
          </w:p>
          <w:p w14:paraId="6DE0B9B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（2）高温设备外设置保温、防烫层。</w:t>
            </w:r>
          </w:p>
          <w:p w14:paraId="0C07391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（3）管线支撑和隔热安全可靠。</w:t>
            </w:r>
          </w:p>
          <w:p w14:paraId="5B5CD82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（4）输送、运转设备设置了防护罩。</w:t>
            </w:r>
          </w:p>
          <w:p w14:paraId="6D2813B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en-US" w:eastAsia="zh-CN"/>
              </w:rPr>
            </w:pPr>
            <w:r>
              <w:rPr>
                <w:rFonts w:hint="eastAsia" w:ascii="宋体" w:hAnsi="Times New Roman" w:eastAsia="宋体" w:cs="宋体"/>
                <w:color w:val="000000"/>
                <w:sz w:val="21"/>
                <w:szCs w:val="21"/>
                <w:lang w:val="zh-CN"/>
              </w:rPr>
              <w:t>（</w:t>
            </w:r>
            <w:r>
              <w:rPr>
                <w:rFonts w:hint="eastAsia" w:ascii="宋体" w:hAnsi="Times New Roman" w:eastAsia="宋体" w:cs="宋体"/>
                <w:color w:val="000000"/>
                <w:sz w:val="21"/>
                <w:szCs w:val="21"/>
                <w:lang w:val="en-US" w:eastAsia="zh-CN"/>
              </w:rPr>
              <w:t>5）</w:t>
            </w:r>
            <w:r>
              <w:rPr>
                <w:rFonts w:hint="eastAsia" w:ascii="宋体" w:hAnsi="Times New Roman" w:eastAsia="宋体" w:cs="宋体"/>
                <w:color w:val="000000"/>
                <w:sz w:val="21"/>
                <w:szCs w:val="21"/>
                <w:lang w:val="zh-CN"/>
              </w:rPr>
              <w:t>大部分为输送有毒、腐蚀性强等危险介质的泵。对于腐蚀性强的介质，选用塑料离心泵，联轴器采用PAI671标准。</w:t>
            </w:r>
          </w:p>
        </w:tc>
        <w:tc>
          <w:tcPr>
            <w:tcW w:w="729" w:type="dxa"/>
            <w:tcBorders>
              <w:top w:val="single" w:color="auto" w:sz="4" w:space="0"/>
              <w:left w:val="single" w:color="auto" w:sz="4" w:space="0"/>
              <w:bottom w:val="single" w:color="auto" w:sz="4" w:space="0"/>
              <w:right w:val="single" w:color="auto" w:sz="4" w:space="0"/>
            </w:tcBorders>
            <w:noWrap w:val="0"/>
            <w:vAlign w:val="center"/>
          </w:tcPr>
          <w:p w14:paraId="5EA7F8F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lang w:bidi="ar"/>
              </w:rPr>
              <w:t>符合</w:t>
            </w:r>
          </w:p>
        </w:tc>
      </w:tr>
      <w:tr w14:paraId="46DB8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dxa"/>
            <w:vMerge w:val="restart"/>
            <w:tcBorders>
              <w:top w:val="single" w:color="auto" w:sz="4" w:space="0"/>
              <w:left w:val="single" w:color="auto" w:sz="4" w:space="0"/>
              <w:bottom w:val="single" w:color="auto" w:sz="4" w:space="0"/>
              <w:right w:val="single" w:color="auto" w:sz="4" w:space="0"/>
            </w:tcBorders>
            <w:noWrap w:val="0"/>
            <w:vAlign w:val="center"/>
          </w:tcPr>
          <w:p w14:paraId="19A80AE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rFonts w:hint="eastAsia"/>
                <w:color w:val="000000"/>
                <w:sz w:val="21"/>
                <w:szCs w:val="21"/>
                <w:lang w:bidi="ar"/>
              </w:rPr>
              <w:t>4.4</w:t>
            </w:r>
            <w:r>
              <w:rPr>
                <w:color w:val="000000"/>
                <w:sz w:val="21"/>
                <w:szCs w:val="21"/>
                <w:lang w:bidi="ar"/>
              </w:rPr>
              <w:t>电气</w:t>
            </w:r>
          </w:p>
        </w:tc>
        <w:tc>
          <w:tcPr>
            <w:tcW w:w="5705" w:type="dxa"/>
            <w:tcBorders>
              <w:top w:val="single" w:color="auto" w:sz="4" w:space="0"/>
              <w:left w:val="single" w:color="auto" w:sz="4" w:space="0"/>
              <w:bottom w:val="single" w:color="auto" w:sz="4" w:space="0"/>
              <w:right w:val="single" w:color="auto" w:sz="4" w:space="0"/>
            </w:tcBorders>
            <w:noWrap w:val="0"/>
            <w:vAlign w:val="center"/>
          </w:tcPr>
          <w:p w14:paraId="2E5F8CC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4.4.1供电电源、电气负荷分类、应急或备用电源的设置</w:t>
            </w:r>
          </w:p>
          <w:p w14:paraId="1FC9452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管廊用电负荷主要包括了沿管廊配置的检修电源。</w:t>
            </w:r>
          </w:p>
          <w:p w14:paraId="3BE9552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根据管廊的分布和布置情况及管廊检修电源考虑就近取自各装置变电所。</w:t>
            </w:r>
          </w:p>
        </w:tc>
        <w:tc>
          <w:tcPr>
            <w:tcW w:w="2253" w:type="dxa"/>
            <w:tcBorders>
              <w:top w:val="single" w:color="auto" w:sz="4" w:space="0"/>
              <w:left w:val="single" w:color="auto" w:sz="4" w:space="0"/>
              <w:bottom w:val="single" w:color="auto" w:sz="4" w:space="0"/>
              <w:right w:val="single" w:color="auto" w:sz="4" w:space="0"/>
            </w:tcBorders>
            <w:noWrap w:val="0"/>
            <w:vAlign w:val="center"/>
          </w:tcPr>
          <w:p w14:paraId="0EA4644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rPr>
            </w:pPr>
            <w:r>
              <w:rPr>
                <w:rFonts w:hint="eastAsia" w:ascii="宋体" w:hAnsi="Times New Roman" w:eastAsia="宋体" w:cs="宋体"/>
                <w:color w:val="000000"/>
                <w:sz w:val="21"/>
                <w:szCs w:val="21"/>
                <w:lang w:val="zh-CN"/>
              </w:rPr>
              <w:t>云南瓮福祥丰氟硅新材料有限公司3万吨/年无水氟化氢和2万吨/年电子级氢氟酸厂外公用工程外管廊工艺物料输送在云南祥丰金麦化工有限公司磷酸厂区设置4台泵（2台氟硅酸泵和2台浓硫酸泵），这4台泵的供电依托云南祥丰金麦化工有限公司原有供电设施。管廊检修电源考虑就近取自各装置变电所。</w:t>
            </w:r>
          </w:p>
        </w:tc>
        <w:tc>
          <w:tcPr>
            <w:tcW w:w="729" w:type="dxa"/>
            <w:tcBorders>
              <w:top w:val="single" w:color="auto" w:sz="4" w:space="0"/>
              <w:left w:val="single" w:color="auto" w:sz="4" w:space="0"/>
              <w:bottom w:val="single" w:color="auto" w:sz="4" w:space="0"/>
              <w:right w:val="single" w:color="auto" w:sz="4" w:space="0"/>
            </w:tcBorders>
            <w:noWrap w:val="0"/>
            <w:vAlign w:val="center"/>
          </w:tcPr>
          <w:p w14:paraId="4DD8B37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color w:val="000000"/>
                <w:sz w:val="21"/>
                <w:szCs w:val="21"/>
                <w:lang w:eastAsia="zh-CN"/>
              </w:rPr>
            </w:pPr>
            <w:r>
              <w:rPr>
                <w:color w:val="000000"/>
                <w:sz w:val="21"/>
                <w:szCs w:val="21"/>
              </w:rPr>
              <w:t>符合</w:t>
            </w:r>
          </w:p>
        </w:tc>
      </w:tr>
      <w:tr w14:paraId="397BD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dxa"/>
            <w:vMerge w:val="continue"/>
            <w:tcBorders>
              <w:top w:val="single" w:color="auto" w:sz="4" w:space="0"/>
              <w:left w:val="single" w:color="auto" w:sz="4" w:space="0"/>
              <w:bottom w:val="single" w:color="auto" w:sz="4" w:space="0"/>
              <w:right w:val="single" w:color="auto" w:sz="4" w:space="0"/>
            </w:tcBorders>
            <w:noWrap w:val="0"/>
            <w:vAlign w:val="center"/>
          </w:tcPr>
          <w:p w14:paraId="1B685C75">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p>
        </w:tc>
        <w:tc>
          <w:tcPr>
            <w:tcW w:w="5705" w:type="dxa"/>
            <w:tcBorders>
              <w:top w:val="single" w:color="auto" w:sz="4" w:space="0"/>
              <w:left w:val="single" w:color="auto" w:sz="4" w:space="0"/>
              <w:bottom w:val="single" w:color="auto" w:sz="4" w:space="0"/>
              <w:right w:val="single" w:color="auto" w:sz="4" w:space="0"/>
            </w:tcBorders>
            <w:noWrap w:val="0"/>
            <w:vAlign w:val="center"/>
          </w:tcPr>
          <w:p w14:paraId="4D81DA79">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4.4.2按照爆炸危险区域划分等级和火灾危险场所选择电气设备的防爆及防护等级</w:t>
            </w:r>
          </w:p>
          <w:p w14:paraId="2313A6D0">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（1）本项目范围管廊由于没有传输爆炸危险介质的管线，故全部按非防爆区考虑。</w:t>
            </w:r>
          </w:p>
          <w:p w14:paraId="006A2CE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2）本项目多为腐蚀环境，选用防腐电气设备及材料。本工程所有电气设备和材料选型将适合于使用场所的环境条件及介质特征要求。户外安装的电气设备其防护外壳为IP65，腐蚀环境和爆炸性气体危险环境的电气设备及材料选型见下表：</w:t>
            </w:r>
          </w:p>
          <w:p w14:paraId="08DF9A78">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（3）安装在多尘潮湿场所时选用防水防尘型产品；一般场所选用普通型产品；化工场所所有户外电气设备均考虑具有一定的防腐性能，其防腐性能不低于WF2级。</w:t>
            </w:r>
          </w:p>
          <w:p w14:paraId="5E78DE2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（4）电动机适合户外安装及按工艺要求连续或间歇运行，调速电动机将采用交流调速方式。所有电动机为全封闭风冷型，绝缘等级为F级，温升按B级考核。</w:t>
            </w:r>
          </w:p>
          <w:p w14:paraId="077E406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（5）非消防负荷电力电缆选用交联聚乙烯绝缘聚氯乙烯护套铜芯型电力电缆。</w:t>
            </w:r>
          </w:p>
          <w:p w14:paraId="173EB319">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消防负荷电力电缆采用交联聚乙烯绝缘聚氯乙烯护套铜芯耐火型电力电缆。</w:t>
            </w:r>
          </w:p>
          <w:p w14:paraId="2095937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强腐蚀场所采用具有耐化学药品功能的交联聚乙烯绝缘聚氯乙烯护套铜芯阻燃型电力电缆。</w:t>
            </w:r>
          </w:p>
          <w:p w14:paraId="4F205F8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至操作现场的控制电缆选用聚乙烯绝缘聚氯乙烯护套铜芯阻燃型控制电缆。</w:t>
            </w:r>
          </w:p>
          <w:p w14:paraId="05E6500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p>
        </w:tc>
        <w:tc>
          <w:tcPr>
            <w:tcW w:w="2253" w:type="dxa"/>
            <w:tcBorders>
              <w:top w:val="single" w:color="auto" w:sz="4" w:space="0"/>
              <w:left w:val="single" w:color="auto" w:sz="4" w:space="0"/>
              <w:bottom w:val="single" w:color="auto" w:sz="4" w:space="0"/>
              <w:right w:val="single" w:color="auto" w:sz="4" w:space="0"/>
            </w:tcBorders>
            <w:noWrap w:val="0"/>
            <w:vAlign w:val="center"/>
          </w:tcPr>
          <w:p w14:paraId="2A076D70">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（1）本项目不存在爆炸危险性介质，不划分爆炸危险区域，不需要使用防爆电气设备。</w:t>
            </w:r>
          </w:p>
          <w:p w14:paraId="2246993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2）本工程所有电气设备和材料进场报验合格。评价组现场勘察时抽查部分户外安装的电气设备其防护外壳为IP55，防尘等级虽不满足6级（最高等级）设计要求，但5级（有害粉尘不堆积）已满足该项目使用需求（该项目不存在有害粉尘堆积环境），企业已就此提出设计变更申请</w:t>
            </w:r>
            <w:r>
              <w:rPr>
                <w:rFonts w:hint="eastAsia" w:ascii="宋体" w:hAnsi="Times New Roman" w:eastAsia="宋体" w:cs="宋体"/>
                <w:color w:val="000000"/>
                <w:sz w:val="21"/>
                <w:szCs w:val="21"/>
                <w:lang w:eastAsia="zh-CN"/>
              </w:rPr>
              <w:t>，</w:t>
            </w:r>
            <w:r>
              <w:rPr>
                <w:rFonts w:hint="eastAsia" w:ascii="宋体" w:hAnsi="Times New Roman" w:eastAsia="宋体" w:cs="宋体"/>
                <w:color w:val="000000"/>
                <w:sz w:val="21"/>
                <w:szCs w:val="21"/>
                <w:lang w:val="en-US" w:eastAsia="zh-CN"/>
              </w:rPr>
              <w:t>设计单位已出具该项目《电气防护等级的说明》，该项目设计使用电气设备防护等级为IP55，满足规范要求和满足使用功能</w:t>
            </w:r>
            <w:r>
              <w:rPr>
                <w:rFonts w:hint="eastAsia" w:ascii="宋体" w:hAnsi="Times New Roman" w:eastAsia="宋体" w:cs="宋体"/>
                <w:color w:val="000000"/>
                <w:sz w:val="21"/>
                <w:szCs w:val="21"/>
                <w:lang w:eastAsia="zh-CN"/>
              </w:rPr>
              <w:t>。</w:t>
            </w:r>
            <w:r>
              <w:rPr>
                <w:rFonts w:hint="eastAsia" w:ascii="宋体" w:hAnsi="Times New Roman" w:eastAsia="宋体" w:cs="宋体"/>
                <w:color w:val="000000"/>
                <w:sz w:val="21"/>
                <w:szCs w:val="21"/>
              </w:rPr>
              <w:t>腐蚀环境的电气设备及材料选型满足要求。</w:t>
            </w:r>
          </w:p>
          <w:p w14:paraId="16E91555">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（3）该项目电气设施根据所处环境选用防水、防腐等相应的产品。</w:t>
            </w:r>
          </w:p>
          <w:p w14:paraId="79BDE22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（4）电动机进厂报验合格，安装合格，单机调试合格，试运行正常。</w:t>
            </w:r>
          </w:p>
          <w:p w14:paraId="6230932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（5）电缆进厂报验合格。</w:t>
            </w:r>
          </w:p>
        </w:tc>
        <w:tc>
          <w:tcPr>
            <w:tcW w:w="729" w:type="dxa"/>
            <w:tcBorders>
              <w:top w:val="single" w:color="auto" w:sz="4" w:space="0"/>
              <w:left w:val="single" w:color="auto" w:sz="4" w:space="0"/>
              <w:bottom w:val="single" w:color="auto" w:sz="4" w:space="0"/>
              <w:right w:val="single" w:color="auto" w:sz="4" w:space="0"/>
            </w:tcBorders>
            <w:noWrap w:val="0"/>
            <w:vAlign w:val="center"/>
          </w:tcPr>
          <w:p w14:paraId="35D14CA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rPr>
              <w:t>符合</w:t>
            </w:r>
          </w:p>
        </w:tc>
      </w:tr>
      <w:tr w14:paraId="5E5BA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dxa"/>
            <w:vMerge w:val="continue"/>
            <w:tcBorders>
              <w:top w:val="single" w:color="auto" w:sz="4" w:space="0"/>
              <w:left w:val="single" w:color="auto" w:sz="4" w:space="0"/>
              <w:bottom w:val="single" w:color="auto" w:sz="4" w:space="0"/>
              <w:right w:val="single" w:color="auto" w:sz="4" w:space="0"/>
            </w:tcBorders>
            <w:noWrap w:val="0"/>
            <w:vAlign w:val="center"/>
          </w:tcPr>
          <w:p w14:paraId="5C1D506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p>
        </w:tc>
        <w:tc>
          <w:tcPr>
            <w:tcW w:w="5705" w:type="dxa"/>
            <w:tcBorders>
              <w:top w:val="single" w:color="auto" w:sz="4" w:space="0"/>
              <w:left w:val="single" w:color="auto" w:sz="4" w:space="0"/>
              <w:bottom w:val="single" w:color="auto" w:sz="4" w:space="0"/>
              <w:right w:val="single" w:color="auto" w:sz="4" w:space="0"/>
            </w:tcBorders>
            <w:noWrap w:val="0"/>
            <w:vAlign w:val="center"/>
          </w:tcPr>
          <w:p w14:paraId="05DE698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4.4.3防雷、防静电接地设施</w:t>
            </w:r>
          </w:p>
          <w:p w14:paraId="259C281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管道静电接地要求</w:t>
            </w:r>
          </w:p>
          <w:p w14:paraId="6C230FC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（1）静电接地连接点设置在不受外力损伤、不影响其他操作、便于检查维修、便于连接、不易形成和积聚有爆炸腐蚀等混合物的地点。</w:t>
            </w:r>
          </w:p>
          <w:p w14:paraId="05AFB03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（2）进出装置或设施处、不同爆炸危险区域分界处、管道系统内的泵入口永久过滤器、缓冲器、混合器等处设置接地连接点。</w:t>
            </w:r>
          </w:p>
          <w:p w14:paraId="50661A4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（3）工艺管道的加热伴管，在伴管进料口、返回口处与工艺管道等电位连接。</w:t>
            </w:r>
          </w:p>
          <w:p w14:paraId="14442DD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（4）对金属配管中间的非导体管段（如聚氯乙烯管），除需做屏蔽保护外，两端的金属管分别与接地干线相连，或接地跨接线跨接后接地。</w:t>
            </w:r>
          </w:p>
          <w:p w14:paraId="51A5D0D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（5）非导体管段上的金属件接地。</w:t>
            </w:r>
          </w:p>
          <w:p w14:paraId="53CFDAE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（6）长距离管道在始端、末端、分支处以及每隔 100m 接地一次；氢气管道每隔 50～80m 设防静电接地。</w:t>
            </w:r>
          </w:p>
          <w:p w14:paraId="521DD0E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（7）平行管道净距小于 100mm，每 20m 加跨接线，交叉管道净距小于 100mm，设跨接线。</w:t>
            </w:r>
          </w:p>
          <w:p w14:paraId="6A45819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（8）采用非金属垫片连接的管道，所有法兰均加跨接线。</w:t>
            </w:r>
          </w:p>
          <w:p w14:paraId="5157526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（9）腐蚀环境下，采用碳钢法兰、金属垫片连接，且螺栓数量小于 5 个的，法兰设跨接线。</w:t>
            </w:r>
          </w:p>
          <w:p w14:paraId="249DB90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接地设施</w:t>
            </w:r>
          </w:p>
          <w:p w14:paraId="5D55C86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全厂10/0.4kV变压器工作接地、各生产装置和建筑物的保护接地、防雷接地、防静电接地等接地系统相互连接，形成全厂接地网。本工程采用TN-S接地系统，按GB标准的相关要求执行。接地网、接地极导体采用镀锌钢材或铜包钢，避雷针采用不锈钢。</w:t>
            </w:r>
          </w:p>
          <w:p w14:paraId="0AA5AF0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对于无爆炸和火灾危险环境内的物体，如因其带静电会妨碍生产操作、影响产品质量或使人体受到静电电击时，采取静电接地措施；在生产、储运过程中的器件或物料，彼此紧密接触后又迅速分离，而可能产生和积聚静电，或可能产生静电危害时应采取静电接地措施；其接地装置一般情况与电气设备工作接地和保护接地共用一个接地装置。</w:t>
            </w:r>
          </w:p>
          <w:p w14:paraId="17CEF30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防雷系统</w:t>
            </w:r>
          </w:p>
          <w:p w14:paraId="1082AB4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按照GB50057-2010《建筑防雷设计规范》，本工程公共管廊为第三类防雷建筑物。对于第三类防雷建筑物，其引下线冲击接地电阻不大于30Ω。</w:t>
            </w:r>
          </w:p>
          <w:p w14:paraId="29FB02B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防雷保护系统的布置、尺寸和结构要求按相关的GB标准。</w:t>
            </w:r>
          </w:p>
          <w:p w14:paraId="568E463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1、严格按《建筑物防雷设计规范》（GB50057-2010）等标准、规范的要求，对项目内的建、构筑物、装置等的防雷进行设计。</w:t>
            </w:r>
          </w:p>
          <w:p w14:paraId="36C13E9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2、防雷接地装置的电阻符合《建筑物防雷设计规范》（GB50057-2010）有关规定的要求。</w:t>
            </w:r>
          </w:p>
          <w:p w14:paraId="4F7F95C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3、露天设备、设施及建（构）筑物均设置可靠的防雷电保护措施。</w:t>
            </w:r>
          </w:p>
          <w:p w14:paraId="729C21E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4、配电装置设置防雷电波侵入设施。</w:t>
            </w:r>
          </w:p>
          <w:p w14:paraId="15F0365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5、架空管道以及变配电装置和低压供电线路终端，设计防雷电波侵入的防护措施。</w:t>
            </w:r>
          </w:p>
          <w:p w14:paraId="2A25418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6、供电设备的外壳，均可靠接地。</w:t>
            </w:r>
          </w:p>
          <w:p w14:paraId="51A4F2B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7、平行布置的间距小于100mm金属管道或交叉距离小于100mm的金属管道，设计防雷电感应装置，防雷电感应装置可与防静电装置联合设置。</w:t>
            </w:r>
          </w:p>
          <w:p w14:paraId="234CD96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人体防静电消除设施</w:t>
            </w:r>
          </w:p>
          <w:p w14:paraId="698C85A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按规范对电气设备设置过载、过电流、短路等电气保护装置，并采取漏电保护措施。</w:t>
            </w:r>
          </w:p>
          <w:p w14:paraId="312DC21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本项目随公共管廊，有一定数量的检修电源箱，用于正常的设备检修，检修电源箱内设计有断路器。</w:t>
            </w:r>
          </w:p>
          <w:p w14:paraId="568110E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防雷分类及措施</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4"/>
              <w:gridCol w:w="677"/>
              <w:gridCol w:w="3958"/>
            </w:tblGrid>
            <w:tr w14:paraId="0A590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13" w:type="dxa"/>
                  <w:vAlign w:val="center"/>
                </w:tcPr>
                <w:p w14:paraId="5ABADFB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主项号</w:t>
                  </w:r>
                </w:p>
              </w:tc>
              <w:tc>
                <w:tcPr>
                  <w:tcW w:w="1134" w:type="dxa"/>
                  <w:vAlign w:val="center"/>
                </w:tcPr>
                <w:p w14:paraId="69151A8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防雷类别</w:t>
                  </w:r>
                </w:p>
              </w:tc>
              <w:tc>
                <w:tcPr>
                  <w:tcW w:w="6627" w:type="dxa"/>
                  <w:vAlign w:val="center"/>
                </w:tcPr>
                <w:p w14:paraId="089F1B9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防雷措施</w:t>
                  </w:r>
                </w:p>
              </w:tc>
            </w:tr>
            <w:tr w14:paraId="76F775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65" w:hRule="atLeast"/>
                <w:jc w:val="center"/>
              </w:trPr>
              <w:tc>
                <w:tcPr>
                  <w:tcW w:w="1413" w:type="dxa"/>
                  <w:vAlign w:val="center"/>
                </w:tcPr>
                <w:p w14:paraId="76A879B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公共管廊</w:t>
                  </w:r>
                </w:p>
              </w:tc>
              <w:tc>
                <w:tcPr>
                  <w:tcW w:w="1134" w:type="dxa"/>
                  <w:vAlign w:val="center"/>
                </w:tcPr>
                <w:p w14:paraId="4829424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三类</w:t>
                  </w:r>
                </w:p>
              </w:tc>
              <w:tc>
                <w:tcPr>
                  <w:tcW w:w="6627" w:type="dxa"/>
                  <w:vAlign w:val="center"/>
                </w:tcPr>
                <w:p w14:paraId="45656B9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引下线：利用工字钢柱作防雷引下线。</w:t>
                  </w:r>
                </w:p>
                <w:p w14:paraId="4CC1268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引下线间距：三类不大于25米。</w:t>
                  </w:r>
                </w:p>
                <w:p w14:paraId="5E5290F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接地装置：接地主干线及0米层所有的接地线用镀锌扁钢-40×5,各层支干线和与设备相连采用镀锌扁钢-25×4，接地极采用镀锌角钢L50×50×5。接地干线埋深为地坪下0.8米，接地极埋深顶标高为地坪下0.8米。</w:t>
                  </w:r>
                </w:p>
              </w:tc>
            </w:tr>
          </w:tbl>
          <w:p w14:paraId="681D897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p>
        </w:tc>
        <w:tc>
          <w:tcPr>
            <w:tcW w:w="2253" w:type="dxa"/>
            <w:tcBorders>
              <w:top w:val="single" w:color="auto" w:sz="4" w:space="0"/>
              <w:left w:val="single" w:color="auto" w:sz="4" w:space="0"/>
              <w:bottom w:val="single" w:color="auto" w:sz="4" w:space="0"/>
              <w:right w:val="single" w:color="auto" w:sz="4" w:space="0"/>
            </w:tcBorders>
            <w:noWrap w:val="0"/>
            <w:vAlign w:val="center"/>
          </w:tcPr>
          <w:p w14:paraId="6B327C8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en-US" w:eastAsia="zh-CN" w:bidi="ar"/>
              </w:rPr>
            </w:pPr>
            <w:r>
              <w:rPr>
                <w:rFonts w:hint="eastAsia" w:ascii="宋体" w:hAnsi="Times New Roman" w:eastAsia="宋体" w:cs="宋体"/>
                <w:color w:val="000000"/>
                <w:sz w:val="21"/>
                <w:szCs w:val="21"/>
                <w:lang w:val="en-US" w:eastAsia="zh-CN" w:bidi="ar"/>
              </w:rPr>
              <w:t>防雷、防静电接地装置已委托云南省气象灾害防御技术中心检测</w:t>
            </w:r>
            <w:r>
              <w:rPr>
                <w:rFonts w:hint="eastAsia" w:cs="宋体"/>
                <w:color w:val="000000"/>
                <w:sz w:val="21"/>
                <w:szCs w:val="21"/>
                <w:lang w:val="en-US" w:eastAsia="zh-CN" w:bidi="ar"/>
              </w:rPr>
              <w:t>合格</w:t>
            </w:r>
            <w:r>
              <w:rPr>
                <w:rFonts w:hint="eastAsia" w:ascii="宋体" w:hAnsi="Times New Roman" w:eastAsia="宋体" w:cs="宋体"/>
                <w:color w:val="000000"/>
                <w:sz w:val="21"/>
                <w:szCs w:val="21"/>
                <w:lang w:val="en-US" w:eastAsia="zh-CN" w:bidi="ar"/>
              </w:rPr>
              <w:t>，并出具了报告。</w:t>
            </w:r>
          </w:p>
        </w:tc>
        <w:tc>
          <w:tcPr>
            <w:tcW w:w="729" w:type="dxa"/>
            <w:tcBorders>
              <w:top w:val="single" w:color="auto" w:sz="4" w:space="0"/>
              <w:left w:val="single" w:color="auto" w:sz="4" w:space="0"/>
              <w:bottom w:val="single" w:color="auto" w:sz="4" w:space="0"/>
              <w:right w:val="single" w:color="auto" w:sz="4" w:space="0"/>
            </w:tcBorders>
            <w:noWrap w:val="0"/>
            <w:vAlign w:val="center"/>
          </w:tcPr>
          <w:p w14:paraId="000B784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en-US" w:eastAsia="zh-CN" w:bidi="ar"/>
              </w:rPr>
            </w:pPr>
            <w:r>
              <w:rPr>
                <w:rFonts w:hint="eastAsia" w:ascii="宋体" w:hAnsi="Times New Roman" w:eastAsia="宋体" w:cs="宋体"/>
                <w:color w:val="000000"/>
                <w:sz w:val="21"/>
                <w:szCs w:val="21"/>
                <w:lang w:val="en-US" w:eastAsia="zh-CN" w:bidi="ar"/>
              </w:rPr>
              <w:t>符合</w:t>
            </w:r>
          </w:p>
        </w:tc>
      </w:tr>
      <w:tr w14:paraId="7D8F1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dxa"/>
            <w:vMerge w:val="continue"/>
            <w:tcBorders>
              <w:top w:val="single" w:color="auto" w:sz="4" w:space="0"/>
              <w:left w:val="single" w:color="auto" w:sz="4" w:space="0"/>
              <w:bottom w:val="single" w:color="auto" w:sz="4" w:space="0"/>
              <w:right w:val="single" w:color="auto" w:sz="4" w:space="0"/>
            </w:tcBorders>
            <w:noWrap w:val="0"/>
            <w:vAlign w:val="center"/>
          </w:tcPr>
          <w:p w14:paraId="4AC56D1B">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p>
        </w:tc>
        <w:tc>
          <w:tcPr>
            <w:tcW w:w="5705" w:type="dxa"/>
            <w:tcBorders>
              <w:top w:val="single" w:color="auto" w:sz="4" w:space="0"/>
              <w:left w:val="single" w:color="auto" w:sz="4" w:space="0"/>
              <w:bottom w:val="single" w:color="auto" w:sz="4" w:space="0"/>
              <w:right w:val="single" w:color="auto" w:sz="4" w:space="0"/>
            </w:tcBorders>
            <w:noWrap w:val="0"/>
            <w:vAlign w:val="center"/>
          </w:tcPr>
          <w:p w14:paraId="1CC753EA">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4.4.4采取的其他电气安全措施</w:t>
            </w:r>
          </w:p>
          <w:p w14:paraId="7EB9C9E8">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（1）照明及应急照明</w:t>
            </w:r>
          </w:p>
          <w:p w14:paraId="7C60648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管廊的照明和应急照明，采用市政照明系统。</w:t>
            </w:r>
          </w:p>
          <w:p w14:paraId="67D3624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（2）电缆选择</w:t>
            </w:r>
          </w:p>
          <w:p w14:paraId="275CF80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用电设备配电线路选用阻燃型铜芯交联聚乙烯绝缘聚氯乙烯护套电力电缆。至电动机的电缆采用4芯，第四芯作PE线使用。</w:t>
            </w:r>
          </w:p>
          <w:p w14:paraId="5DCB535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其余生产装置及辅助生产装置的电力电缆亦选用阻燃型铜芯交联聚乙烯绝缘聚氯乙烯护套电力电缆。</w:t>
            </w:r>
          </w:p>
          <w:p w14:paraId="18CD8C1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电缆以沿电缆桥架敷设为主，个别场所穿管埋地或采用直埋敷设。电缆桥架采用防腐性能好的材质桥架。</w:t>
            </w:r>
          </w:p>
          <w:p w14:paraId="28386F20">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控制电缆选用铜芯控制电缆。在电力电缆为阻燃型的场所，控制电缆也采用阻燃型。</w:t>
            </w:r>
          </w:p>
          <w:p w14:paraId="5B1E7D4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（3）现场的电气、仪表控制柜的检修安全间距</w:t>
            </w:r>
          </w:p>
          <w:p w14:paraId="096A4D9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本项目没有防爆区域及等级的要求，因此现场管廊的电气检修箱没有防爆要求，只考虑了防水、防尘、防腐等要求，检修安全间距仅考虑检修人员的现场工作空间。</w:t>
            </w:r>
          </w:p>
        </w:tc>
        <w:tc>
          <w:tcPr>
            <w:tcW w:w="2253" w:type="dxa"/>
            <w:tcBorders>
              <w:top w:val="single" w:color="auto" w:sz="4" w:space="0"/>
              <w:left w:val="single" w:color="auto" w:sz="4" w:space="0"/>
              <w:bottom w:val="single" w:color="auto" w:sz="4" w:space="0"/>
              <w:right w:val="single" w:color="auto" w:sz="4" w:space="0"/>
            </w:tcBorders>
            <w:noWrap w:val="0"/>
            <w:vAlign w:val="center"/>
          </w:tcPr>
          <w:p w14:paraId="19A5D09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4.4.4采取的其他电气安全措施</w:t>
            </w:r>
          </w:p>
          <w:p w14:paraId="547A2D59">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（1）</w:t>
            </w:r>
            <w:r>
              <w:rPr>
                <w:rFonts w:hint="eastAsia" w:ascii="宋体" w:hAnsi="Times New Roman" w:eastAsia="宋体" w:cs="宋体"/>
                <w:color w:val="000000"/>
                <w:sz w:val="21"/>
                <w:szCs w:val="21"/>
                <w:lang w:val="en-US" w:eastAsia="zh-CN" w:bidi="ar"/>
              </w:rPr>
              <w:t>管廊架不涉及照明灯具\检修箱等内容</w:t>
            </w:r>
            <w:r>
              <w:rPr>
                <w:rFonts w:hint="eastAsia" w:ascii="宋体" w:hAnsi="Times New Roman" w:eastAsia="宋体" w:cs="宋体"/>
                <w:color w:val="000000"/>
                <w:sz w:val="21"/>
                <w:szCs w:val="21"/>
                <w:lang w:bidi="ar"/>
              </w:rPr>
              <w:t>。</w:t>
            </w:r>
          </w:p>
          <w:p w14:paraId="0A621AC5">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（2）电缆选择、敷设满足使用环境需求。</w:t>
            </w:r>
          </w:p>
          <w:p w14:paraId="7A1EA41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bidi="ar"/>
              </w:rPr>
            </w:pPr>
          </w:p>
        </w:tc>
        <w:tc>
          <w:tcPr>
            <w:tcW w:w="729" w:type="dxa"/>
            <w:tcBorders>
              <w:top w:val="single" w:color="auto" w:sz="4" w:space="0"/>
              <w:left w:val="single" w:color="auto" w:sz="4" w:space="0"/>
              <w:bottom w:val="single" w:color="auto" w:sz="4" w:space="0"/>
              <w:right w:val="single" w:color="auto" w:sz="4" w:space="0"/>
            </w:tcBorders>
            <w:noWrap w:val="0"/>
            <w:vAlign w:val="center"/>
          </w:tcPr>
          <w:p w14:paraId="774CA8C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lang w:bidi="ar"/>
              </w:rPr>
              <w:t>符合</w:t>
            </w:r>
          </w:p>
        </w:tc>
      </w:tr>
      <w:tr w14:paraId="3B543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dxa"/>
            <w:vMerge w:val="restart"/>
            <w:tcBorders>
              <w:top w:val="single" w:color="auto" w:sz="4" w:space="0"/>
              <w:left w:val="single" w:color="auto" w:sz="4" w:space="0"/>
              <w:right w:val="single" w:color="auto" w:sz="4" w:space="0"/>
            </w:tcBorders>
            <w:noWrap w:val="0"/>
            <w:vAlign w:val="center"/>
          </w:tcPr>
          <w:p w14:paraId="516AEA29">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r>
              <w:rPr>
                <w:rFonts w:hint="eastAsia"/>
                <w:color w:val="000000"/>
                <w:sz w:val="21"/>
                <w:szCs w:val="21"/>
              </w:rPr>
              <w:t>4.5</w:t>
            </w:r>
            <w:r>
              <w:rPr>
                <w:color w:val="000000"/>
                <w:sz w:val="21"/>
                <w:szCs w:val="21"/>
              </w:rPr>
              <w:t>自控仪表及火灾报警</w:t>
            </w:r>
          </w:p>
        </w:tc>
        <w:tc>
          <w:tcPr>
            <w:tcW w:w="5705" w:type="dxa"/>
            <w:tcBorders>
              <w:top w:val="single" w:color="auto" w:sz="4" w:space="0"/>
              <w:left w:val="single" w:color="auto" w:sz="4" w:space="0"/>
              <w:bottom w:val="single" w:color="auto" w:sz="4" w:space="0"/>
              <w:right w:val="single" w:color="auto" w:sz="4" w:space="0"/>
            </w:tcBorders>
            <w:noWrap w:val="0"/>
            <w:vAlign w:val="center"/>
          </w:tcPr>
          <w:p w14:paraId="1047976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4.5.1应急或备用电源、气源的设置</w:t>
            </w:r>
          </w:p>
          <w:p w14:paraId="72AF952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本项目仪表电源和气源依托云南瓮福祥丰氟硅新材料有限公司3万吨/年无水氟化氢和2万吨/年电子级氢氟酸项目。具体设置如下：（1）仪表用气源</w:t>
            </w:r>
          </w:p>
          <w:p w14:paraId="0AFB0D3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仪表空气设置单独的供气贮罐，满足装置各单元区域内的气动仪表 20分钟用气量。气源总管由管道专业单独敷设至装置内，装置内的仪表气源管由仪表专业敷设至各用气点。</w:t>
            </w:r>
          </w:p>
          <w:p w14:paraId="6131968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仪表气源进装置符合如下要求：</w:t>
            </w:r>
          </w:p>
          <w:p w14:paraId="530A4A4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正常操作压力：0.5~0.7MPa（G）（进入界区处）。</w:t>
            </w:r>
          </w:p>
          <w:p w14:paraId="6882227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露点温度：≤-40℃，操作压力</w:t>
            </w:r>
          </w:p>
          <w:p w14:paraId="3284A54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含尘：粒径＜3μｍ，含尘量＜1 mg/m3</w:t>
            </w:r>
          </w:p>
          <w:p w14:paraId="64FD7E0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含油：＜1ppm</w:t>
            </w:r>
          </w:p>
          <w:p w14:paraId="7BF23F2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仪表供气在有些场合可采用气源分配器。</w:t>
            </w:r>
          </w:p>
          <w:p w14:paraId="09237ED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（2）仪表动力源</w:t>
            </w:r>
          </w:p>
          <w:p w14:paraId="12830AE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供电方案根据用电设备设置如下：</w:t>
            </w:r>
          </w:p>
          <w:p w14:paraId="239792B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系统设备(如控制柜、操作台等)由配电柜直接供给；</w:t>
            </w:r>
          </w:p>
          <w:p w14:paraId="797B22E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集中安装的单台220V AC仪表的供电经配电柜、交流配电器后供给；</w:t>
            </w:r>
          </w:p>
          <w:p w14:paraId="374C0BB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24V DC供电采用双交流供电全冗余容错直流供电系统，35mm轨道安装，24V DC输出接至母排联成24V DC网；</w:t>
            </w:r>
          </w:p>
          <w:p w14:paraId="6CC2EBD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安全仪表系统（SIS）及其有关的仪表电源和其它电源分开，本身有独立的切断开关和熔断器；</w:t>
            </w:r>
          </w:p>
          <w:p w14:paraId="2336ADB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现场仪表的供电原则上采用220V AC直流供电；</w:t>
            </w:r>
          </w:p>
          <w:p w14:paraId="0359455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所有用电设备的供电，均由各配电柜经由专用断路器供给。</w:t>
            </w:r>
          </w:p>
          <w:p w14:paraId="11F0F60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（3）UPS电源设置情况</w:t>
            </w:r>
          </w:p>
          <w:p w14:paraId="229A89F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现场机柜间使用冗余的UPS电源，电源输出规格为单相220V AC、50Hz。蓄电池后备时间为30分钟，由UPS对仪表设备和FCS、SIS、GDS、PLC等系统进行供电。UPS电源容量如下： 40 KVA 2套。</w:t>
            </w:r>
          </w:p>
        </w:tc>
        <w:tc>
          <w:tcPr>
            <w:tcW w:w="2253" w:type="dxa"/>
            <w:tcBorders>
              <w:top w:val="single" w:color="auto" w:sz="4" w:space="0"/>
              <w:left w:val="single" w:color="auto" w:sz="4" w:space="0"/>
              <w:bottom w:val="single" w:color="auto" w:sz="4" w:space="0"/>
              <w:right w:val="single" w:color="auto" w:sz="4" w:space="0"/>
            </w:tcBorders>
            <w:noWrap w:val="0"/>
            <w:vAlign w:val="center"/>
          </w:tcPr>
          <w:p w14:paraId="69CD9C2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（1）仪表用气源</w:t>
            </w:r>
          </w:p>
          <w:p w14:paraId="00F7943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仪表空气设置单独的供气贮罐。仪表气源进装置符合要求。</w:t>
            </w:r>
          </w:p>
          <w:p w14:paraId="6F4851B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（2）仪表动力源</w:t>
            </w:r>
          </w:p>
          <w:p w14:paraId="412D7BC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供电根据用电设备设置；</w:t>
            </w:r>
          </w:p>
          <w:p w14:paraId="4ED41ED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安全仪表系统（SIS）及其有关的仪表电源和其它电源分开，本身有独立的切断开关和熔断器；</w:t>
            </w:r>
          </w:p>
          <w:p w14:paraId="52704BD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所有用电设备的供电，均由各配电柜经由专用断路器供给。</w:t>
            </w:r>
          </w:p>
          <w:p w14:paraId="25673AA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（3）UPS电源设置情况</w:t>
            </w:r>
          </w:p>
          <w:p w14:paraId="2C4D966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现场机柜间使用冗余的UPS电源，由UPS对仪表设备和FCS、SIS、GDS等系统进行供电。</w:t>
            </w:r>
          </w:p>
        </w:tc>
        <w:tc>
          <w:tcPr>
            <w:tcW w:w="729" w:type="dxa"/>
            <w:tcBorders>
              <w:top w:val="single" w:color="auto" w:sz="4" w:space="0"/>
              <w:left w:val="single" w:color="auto" w:sz="4" w:space="0"/>
              <w:bottom w:val="single" w:color="auto" w:sz="4" w:space="0"/>
              <w:right w:val="single" w:color="auto" w:sz="4" w:space="0"/>
            </w:tcBorders>
            <w:noWrap w:val="0"/>
            <w:vAlign w:val="center"/>
          </w:tcPr>
          <w:p w14:paraId="212BA2A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lang w:bidi="ar"/>
              </w:rPr>
            </w:pPr>
            <w:r>
              <w:rPr>
                <w:color w:val="000000"/>
                <w:sz w:val="21"/>
                <w:szCs w:val="21"/>
                <w:lang w:bidi="ar"/>
              </w:rPr>
              <w:t>符合</w:t>
            </w:r>
          </w:p>
        </w:tc>
      </w:tr>
      <w:tr w14:paraId="71326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dxa"/>
            <w:vMerge w:val="continue"/>
            <w:tcBorders>
              <w:left w:val="single" w:color="auto" w:sz="4" w:space="0"/>
              <w:right w:val="single" w:color="auto" w:sz="4" w:space="0"/>
            </w:tcBorders>
            <w:noWrap w:val="0"/>
            <w:vAlign w:val="center"/>
          </w:tcPr>
          <w:p w14:paraId="3A085D5E">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p>
        </w:tc>
        <w:tc>
          <w:tcPr>
            <w:tcW w:w="5705" w:type="dxa"/>
            <w:tcBorders>
              <w:top w:val="single" w:color="auto" w:sz="4" w:space="0"/>
              <w:left w:val="single" w:color="auto" w:sz="4" w:space="0"/>
              <w:bottom w:val="single" w:color="auto" w:sz="4" w:space="0"/>
              <w:right w:val="single" w:color="auto" w:sz="4" w:space="0"/>
            </w:tcBorders>
            <w:noWrap w:val="0"/>
            <w:vAlign w:val="center"/>
          </w:tcPr>
          <w:p w14:paraId="025FC79A">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4.5.2自动控制系统的设置和安全功能</w:t>
            </w:r>
          </w:p>
          <w:p w14:paraId="7CF6C7E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本项目稀硫酸近磷酸厂管线设置远传流量计与流量调节阀进行流量控制；其他介质均设置远传流量计并有累积功能；氟硅酸及浓硫酸流量异常时可通过控制室远程停泵。</w:t>
            </w:r>
          </w:p>
        </w:tc>
        <w:tc>
          <w:tcPr>
            <w:tcW w:w="2253" w:type="dxa"/>
            <w:tcBorders>
              <w:top w:val="single" w:color="auto" w:sz="4" w:space="0"/>
              <w:left w:val="single" w:color="auto" w:sz="4" w:space="0"/>
              <w:bottom w:val="single" w:color="auto" w:sz="4" w:space="0"/>
              <w:right w:val="single" w:color="auto" w:sz="4" w:space="0"/>
            </w:tcBorders>
            <w:noWrap w:val="0"/>
            <w:vAlign w:val="center"/>
          </w:tcPr>
          <w:p w14:paraId="3DAB7145">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本项目为管架及附属设施，不涉及生产装置和储存设施，不涉及工艺反应，外管廊输送介质无需设置可燃有毒报警仪，不涉及自控系统管线设置远传流量计与流量调节阀进行流量控制；其他介质均设置远传流量计并有累积功能；氟硅酸及浓硫酸流量异常时可通过控制室远程停泵。</w:t>
            </w:r>
          </w:p>
        </w:tc>
        <w:tc>
          <w:tcPr>
            <w:tcW w:w="729" w:type="dxa"/>
            <w:tcBorders>
              <w:top w:val="single" w:color="auto" w:sz="4" w:space="0"/>
              <w:left w:val="single" w:color="auto" w:sz="4" w:space="0"/>
              <w:bottom w:val="single" w:color="auto" w:sz="4" w:space="0"/>
              <w:right w:val="single" w:color="auto" w:sz="4" w:space="0"/>
            </w:tcBorders>
            <w:noWrap w:val="0"/>
            <w:vAlign w:val="center"/>
          </w:tcPr>
          <w:p w14:paraId="2C59A97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符合</w:t>
            </w:r>
          </w:p>
        </w:tc>
      </w:tr>
      <w:tr w14:paraId="46A02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dxa"/>
            <w:vMerge w:val="continue"/>
            <w:tcBorders>
              <w:left w:val="single" w:color="auto" w:sz="4" w:space="0"/>
              <w:right w:val="single" w:color="auto" w:sz="4" w:space="0"/>
            </w:tcBorders>
            <w:noWrap w:val="0"/>
            <w:vAlign w:val="center"/>
          </w:tcPr>
          <w:p w14:paraId="005A543A">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p>
        </w:tc>
        <w:tc>
          <w:tcPr>
            <w:tcW w:w="5705" w:type="dxa"/>
            <w:tcBorders>
              <w:top w:val="single" w:color="auto" w:sz="4" w:space="0"/>
              <w:left w:val="single" w:color="auto" w:sz="4" w:space="0"/>
              <w:bottom w:val="single" w:color="auto" w:sz="4" w:space="0"/>
              <w:right w:val="single" w:color="auto" w:sz="4" w:space="0"/>
            </w:tcBorders>
            <w:noWrap w:val="0"/>
            <w:vAlign w:val="center"/>
          </w:tcPr>
          <w:p w14:paraId="5C520425">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4.5.3可燃及有毒气体检测和报警设施的设置</w:t>
            </w:r>
          </w:p>
          <w:p w14:paraId="43B9ABB0">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本项目外管廊输送介质无需设置可燃有毒报警仪。</w:t>
            </w:r>
          </w:p>
        </w:tc>
        <w:tc>
          <w:tcPr>
            <w:tcW w:w="2253" w:type="dxa"/>
            <w:tcBorders>
              <w:top w:val="single" w:color="auto" w:sz="4" w:space="0"/>
              <w:left w:val="single" w:color="auto" w:sz="4" w:space="0"/>
              <w:bottom w:val="single" w:color="auto" w:sz="4" w:space="0"/>
              <w:right w:val="single" w:color="auto" w:sz="4" w:space="0"/>
            </w:tcBorders>
            <w:noWrap w:val="0"/>
            <w:vAlign w:val="center"/>
          </w:tcPr>
          <w:p w14:paraId="502FF0C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本项目外管廊输送介质无需设置可燃有毒报警仪。</w:t>
            </w:r>
          </w:p>
        </w:tc>
        <w:tc>
          <w:tcPr>
            <w:tcW w:w="729" w:type="dxa"/>
            <w:tcBorders>
              <w:top w:val="single" w:color="auto" w:sz="4" w:space="0"/>
              <w:left w:val="single" w:color="auto" w:sz="4" w:space="0"/>
              <w:bottom w:val="single" w:color="auto" w:sz="4" w:space="0"/>
              <w:right w:val="single" w:color="auto" w:sz="4" w:space="0"/>
            </w:tcBorders>
            <w:noWrap w:val="0"/>
            <w:vAlign w:val="center"/>
          </w:tcPr>
          <w:p w14:paraId="3C49B73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000000"/>
                <w:sz w:val="21"/>
                <w:szCs w:val="21"/>
                <w:lang w:bidi="ar"/>
              </w:rPr>
            </w:pPr>
            <w:r>
              <w:rPr>
                <w:rFonts w:hint="eastAsia"/>
                <w:color w:val="000000"/>
                <w:sz w:val="21"/>
                <w:szCs w:val="21"/>
                <w:lang w:bidi="ar"/>
              </w:rPr>
              <w:t>符合</w:t>
            </w:r>
          </w:p>
        </w:tc>
      </w:tr>
      <w:tr w14:paraId="5C5AA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dxa"/>
            <w:vMerge w:val="continue"/>
            <w:tcBorders>
              <w:left w:val="single" w:color="auto" w:sz="4" w:space="0"/>
              <w:right w:val="single" w:color="auto" w:sz="4" w:space="0"/>
            </w:tcBorders>
            <w:noWrap w:val="0"/>
            <w:vAlign w:val="center"/>
          </w:tcPr>
          <w:p w14:paraId="5D101DDC">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p>
        </w:tc>
        <w:tc>
          <w:tcPr>
            <w:tcW w:w="5705" w:type="dxa"/>
            <w:tcBorders>
              <w:top w:val="single" w:color="auto" w:sz="4" w:space="0"/>
              <w:left w:val="single" w:color="auto" w:sz="4" w:space="0"/>
              <w:bottom w:val="single" w:color="auto" w:sz="4" w:space="0"/>
              <w:right w:val="single" w:color="auto" w:sz="4" w:space="0"/>
            </w:tcBorders>
            <w:noWrap w:val="0"/>
            <w:vAlign w:val="center"/>
          </w:tcPr>
          <w:p w14:paraId="659A900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4.5.4控制室的组成及作用</w:t>
            </w:r>
          </w:p>
          <w:p w14:paraId="1F2000E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本项目控制室依托云南瓮福祥丰3万吨/年无水氟化氢和2万吨/年电子级氢氟酸项目。中心控制室采用非防爆设计。</w:t>
            </w:r>
          </w:p>
        </w:tc>
        <w:tc>
          <w:tcPr>
            <w:tcW w:w="2253" w:type="dxa"/>
            <w:tcBorders>
              <w:top w:val="single" w:color="auto" w:sz="4" w:space="0"/>
              <w:left w:val="single" w:color="auto" w:sz="4" w:space="0"/>
              <w:bottom w:val="single" w:color="auto" w:sz="4" w:space="0"/>
              <w:right w:val="single" w:color="auto" w:sz="4" w:space="0"/>
            </w:tcBorders>
            <w:noWrap w:val="0"/>
            <w:vAlign w:val="center"/>
          </w:tcPr>
          <w:p w14:paraId="260FB54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val="en-US" w:eastAsia="zh-CN" w:bidi="ar"/>
              </w:rPr>
              <w:t>依托的</w:t>
            </w:r>
            <w:r>
              <w:rPr>
                <w:rFonts w:hint="eastAsia" w:ascii="宋体" w:hAnsi="Times New Roman" w:eastAsia="宋体" w:cs="宋体"/>
                <w:color w:val="000000"/>
                <w:sz w:val="21"/>
                <w:szCs w:val="21"/>
                <w:lang w:bidi="ar"/>
              </w:rPr>
              <w:t>中心控制室设置满足要求。</w:t>
            </w:r>
          </w:p>
        </w:tc>
        <w:tc>
          <w:tcPr>
            <w:tcW w:w="729" w:type="dxa"/>
            <w:tcBorders>
              <w:top w:val="single" w:color="auto" w:sz="4" w:space="0"/>
              <w:left w:val="single" w:color="auto" w:sz="4" w:space="0"/>
              <w:bottom w:val="single" w:color="auto" w:sz="4" w:space="0"/>
              <w:right w:val="single" w:color="auto" w:sz="4" w:space="0"/>
            </w:tcBorders>
            <w:noWrap w:val="0"/>
            <w:vAlign w:val="center"/>
          </w:tcPr>
          <w:p w14:paraId="0729066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000000"/>
                <w:sz w:val="21"/>
                <w:szCs w:val="21"/>
                <w:lang w:bidi="ar"/>
              </w:rPr>
            </w:pPr>
            <w:r>
              <w:rPr>
                <w:rFonts w:hint="eastAsia"/>
                <w:color w:val="000000"/>
                <w:sz w:val="21"/>
                <w:szCs w:val="21"/>
                <w:lang w:bidi="ar"/>
              </w:rPr>
              <w:t>符合</w:t>
            </w:r>
          </w:p>
        </w:tc>
      </w:tr>
      <w:tr w14:paraId="4E353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dxa"/>
            <w:vMerge w:val="continue"/>
            <w:tcBorders>
              <w:left w:val="single" w:color="auto" w:sz="4" w:space="0"/>
              <w:right w:val="single" w:color="auto" w:sz="4" w:space="0"/>
            </w:tcBorders>
            <w:noWrap w:val="0"/>
            <w:vAlign w:val="center"/>
          </w:tcPr>
          <w:p w14:paraId="177B8397">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p>
        </w:tc>
        <w:tc>
          <w:tcPr>
            <w:tcW w:w="5705" w:type="dxa"/>
            <w:tcBorders>
              <w:top w:val="single" w:color="auto" w:sz="4" w:space="0"/>
              <w:left w:val="single" w:color="auto" w:sz="4" w:space="0"/>
              <w:bottom w:val="single" w:color="auto" w:sz="4" w:space="0"/>
              <w:right w:val="single" w:color="auto" w:sz="4" w:space="0"/>
            </w:tcBorders>
            <w:noWrap w:val="0"/>
            <w:vAlign w:val="center"/>
          </w:tcPr>
          <w:p w14:paraId="2ADC013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eastAsia="zh-CN" w:bidi="ar"/>
              </w:rPr>
            </w:pPr>
            <w:r>
              <w:rPr>
                <w:rFonts w:hint="eastAsia" w:ascii="宋体" w:hAnsi="Times New Roman" w:eastAsia="宋体" w:cs="宋体"/>
                <w:color w:val="000000"/>
                <w:sz w:val="21"/>
                <w:szCs w:val="21"/>
                <w:lang w:eastAsia="zh-CN" w:bidi="ar"/>
              </w:rPr>
              <w:t>4.5.</w:t>
            </w:r>
            <w:r>
              <w:rPr>
                <w:rFonts w:hint="eastAsia" w:ascii="宋体" w:hAnsi="Times New Roman" w:eastAsia="宋体" w:cs="宋体"/>
                <w:color w:val="000000"/>
                <w:sz w:val="21"/>
                <w:szCs w:val="21"/>
                <w:lang w:val="en-US" w:eastAsia="zh-CN" w:bidi="ar"/>
              </w:rPr>
              <w:t>5</w:t>
            </w:r>
            <w:r>
              <w:rPr>
                <w:rFonts w:hint="eastAsia" w:ascii="宋体" w:hAnsi="Times New Roman" w:eastAsia="宋体" w:cs="宋体"/>
                <w:color w:val="000000"/>
                <w:sz w:val="21"/>
                <w:szCs w:val="21"/>
                <w:lang w:eastAsia="zh-CN" w:bidi="ar"/>
              </w:rPr>
              <w:t>火灾报警系统、工业电视监控系统及应急广播系统等</w:t>
            </w:r>
          </w:p>
          <w:p w14:paraId="7B7BFA2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eastAsia="zh-CN" w:bidi="ar"/>
              </w:rPr>
            </w:pPr>
            <w:r>
              <w:rPr>
                <w:rFonts w:hint="eastAsia" w:ascii="宋体" w:hAnsi="Times New Roman" w:eastAsia="宋体" w:cs="宋体"/>
                <w:color w:val="000000"/>
                <w:sz w:val="21"/>
                <w:szCs w:val="21"/>
                <w:lang w:eastAsia="zh-CN" w:bidi="ar"/>
              </w:rPr>
              <w:t>本项目火灾报警系统、工业电视监控系统及应急广播系统等依托云南瓮福祥丰氟硅新材料有限公司3万吨/年无水氟化氢和2万吨/年电子级氢氟酸项目，具体设置情况如下：4.5.</w:t>
            </w:r>
            <w:r>
              <w:rPr>
                <w:rFonts w:hint="eastAsia" w:ascii="宋体" w:hAnsi="Times New Roman" w:eastAsia="宋体" w:cs="宋体"/>
                <w:color w:val="000000"/>
                <w:sz w:val="21"/>
                <w:szCs w:val="21"/>
                <w:lang w:val="en-US" w:eastAsia="zh-CN" w:bidi="ar"/>
              </w:rPr>
              <w:t>5</w:t>
            </w:r>
            <w:r>
              <w:rPr>
                <w:rFonts w:hint="eastAsia" w:ascii="宋体" w:hAnsi="Times New Roman" w:eastAsia="宋体" w:cs="宋体"/>
                <w:color w:val="000000"/>
                <w:sz w:val="21"/>
                <w:szCs w:val="21"/>
                <w:lang w:eastAsia="zh-CN" w:bidi="ar"/>
              </w:rPr>
              <w:t>.1火灾自动报警系统</w:t>
            </w:r>
          </w:p>
          <w:p w14:paraId="1EC2E48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eastAsia="zh-CN" w:bidi="ar"/>
              </w:rPr>
            </w:pPr>
            <w:r>
              <w:rPr>
                <w:rFonts w:hint="eastAsia" w:ascii="宋体" w:hAnsi="Times New Roman" w:eastAsia="宋体" w:cs="宋体"/>
                <w:color w:val="000000"/>
                <w:sz w:val="21"/>
                <w:szCs w:val="21"/>
                <w:lang w:eastAsia="zh-CN" w:bidi="ar"/>
              </w:rPr>
              <w:t>全厂消防控制中心设在综合控制楼的消防控制室，在消防控制室设置集中火灾报警控制器，管理全厂火灾报警信息；设置图形显示器、手动控制盘、消防电话总机、119外线电话，以及辅助工厂集中管理的扩音对讲系统台式话站、电视监视系统监视器。</w:t>
            </w:r>
          </w:p>
          <w:p w14:paraId="7ACD9369">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eastAsia="zh-CN" w:bidi="ar"/>
              </w:rPr>
            </w:pPr>
            <w:r>
              <w:rPr>
                <w:rFonts w:hint="eastAsia" w:ascii="宋体" w:hAnsi="Times New Roman" w:eastAsia="宋体" w:cs="宋体"/>
                <w:color w:val="000000"/>
                <w:sz w:val="21"/>
                <w:szCs w:val="21"/>
                <w:lang w:eastAsia="zh-CN" w:bidi="ar"/>
              </w:rPr>
              <w:t>本项目各工艺装置及建筑物火灾报警信号均上传至消防控制室，进行火灾报警信号统一管理。</w:t>
            </w:r>
          </w:p>
          <w:p w14:paraId="0B2DAFA8">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eastAsia="zh-CN" w:bidi="ar"/>
              </w:rPr>
            </w:pPr>
            <w:r>
              <w:rPr>
                <w:rFonts w:hint="eastAsia" w:ascii="宋体" w:hAnsi="Times New Roman" w:eastAsia="宋体" w:cs="宋体"/>
                <w:color w:val="000000"/>
                <w:sz w:val="21"/>
                <w:szCs w:val="21"/>
                <w:lang w:eastAsia="zh-CN" w:bidi="ar"/>
              </w:rPr>
              <w:t>（1）系统组成</w:t>
            </w:r>
          </w:p>
          <w:p w14:paraId="76389AA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eastAsia="zh-CN" w:bidi="ar"/>
              </w:rPr>
            </w:pPr>
            <w:r>
              <w:rPr>
                <w:rFonts w:hint="eastAsia" w:ascii="宋体" w:hAnsi="Times New Roman" w:eastAsia="宋体" w:cs="宋体"/>
                <w:color w:val="000000"/>
                <w:sz w:val="21"/>
                <w:szCs w:val="21"/>
                <w:lang w:eastAsia="zh-CN" w:bidi="ar"/>
              </w:rPr>
              <w:t>火灾报警系统主要由火灾报警控制器、图形显示器、消防电话总机、火灾探测器、手动报警按钮、声光报警器、信号模块、消防电话分机等组成。</w:t>
            </w:r>
          </w:p>
          <w:p w14:paraId="7B5275F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eastAsia="zh-CN" w:bidi="ar"/>
              </w:rPr>
            </w:pPr>
            <w:r>
              <w:rPr>
                <w:rFonts w:hint="eastAsia" w:ascii="宋体" w:hAnsi="Times New Roman" w:eastAsia="宋体" w:cs="宋体"/>
                <w:color w:val="000000"/>
                <w:sz w:val="21"/>
                <w:szCs w:val="21"/>
                <w:lang w:eastAsia="zh-CN" w:bidi="ar"/>
              </w:rPr>
              <w:t>（2）安装位置</w:t>
            </w:r>
          </w:p>
          <w:p w14:paraId="1E2934A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eastAsia="zh-CN" w:bidi="ar"/>
              </w:rPr>
            </w:pPr>
            <w:r>
              <w:rPr>
                <w:rFonts w:hint="eastAsia" w:ascii="宋体" w:hAnsi="Times New Roman" w:eastAsia="宋体" w:cs="宋体"/>
                <w:color w:val="000000"/>
                <w:sz w:val="21"/>
                <w:szCs w:val="21"/>
                <w:lang w:eastAsia="zh-CN" w:bidi="ar"/>
              </w:rPr>
              <w:t>火灾报警控制器安装在综合控制楼的消防控制室，采用壁挂式；各建筑内设置火灾探测器、手动报警按钮和声光报警器等；装置区主框架等处设手动报警按钮；消防电话分机设置在配电室、空调机房等位置。</w:t>
            </w:r>
          </w:p>
          <w:p w14:paraId="52793AD0">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eastAsia="zh-CN" w:bidi="ar"/>
              </w:rPr>
            </w:pPr>
            <w:r>
              <w:rPr>
                <w:rFonts w:hint="eastAsia" w:ascii="宋体" w:hAnsi="Times New Roman" w:eastAsia="宋体" w:cs="宋体"/>
                <w:color w:val="000000"/>
                <w:sz w:val="21"/>
                <w:szCs w:val="21"/>
                <w:lang w:eastAsia="zh-CN" w:bidi="ar"/>
              </w:rPr>
              <w:t>（3）电源及接地</w:t>
            </w:r>
          </w:p>
          <w:p w14:paraId="1D7D47C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eastAsia="zh-CN" w:bidi="ar"/>
              </w:rPr>
            </w:pPr>
            <w:r>
              <w:rPr>
                <w:rFonts w:hint="eastAsia" w:ascii="宋体" w:hAnsi="Times New Roman" w:eastAsia="宋体" w:cs="宋体"/>
                <w:color w:val="000000"/>
                <w:sz w:val="21"/>
                <w:szCs w:val="21"/>
                <w:lang w:eastAsia="zh-CN" w:bidi="ar"/>
              </w:rPr>
              <w:t>火灾报警控制系统设有主电源和直流备用电源，由消防电源供电，备用电源采用专用蓄电池。控制器带有备用蓄电池。系统接地采用联合接地方式。</w:t>
            </w:r>
          </w:p>
          <w:p w14:paraId="3F74E62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eastAsia="zh-CN" w:bidi="ar"/>
              </w:rPr>
            </w:pPr>
            <w:bookmarkStart w:id="1129" w:name="_Toc469418047"/>
            <w:r>
              <w:rPr>
                <w:rFonts w:hint="eastAsia" w:ascii="宋体" w:hAnsi="Times New Roman" w:eastAsia="宋体" w:cs="宋体"/>
                <w:color w:val="000000"/>
                <w:sz w:val="21"/>
                <w:szCs w:val="21"/>
                <w:lang w:eastAsia="zh-CN" w:bidi="ar"/>
              </w:rPr>
              <w:t>4.5.</w:t>
            </w:r>
            <w:r>
              <w:rPr>
                <w:rFonts w:hint="eastAsia" w:ascii="宋体" w:hAnsi="Times New Roman" w:eastAsia="宋体" w:cs="宋体"/>
                <w:color w:val="000000"/>
                <w:sz w:val="21"/>
                <w:szCs w:val="21"/>
                <w:lang w:val="en-US" w:eastAsia="zh-CN" w:bidi="ar"/>
              </w:rPr>
              <w:t>5</w:t>
            </w:r>
            <w:r>
              <w:rPr>
                <w:rFonts w:hint="eastAsia" w:ascii="宋体" w:hAnsi="Times New Roman" w:eastAsia="宋体" w:cs="宋体"/>
                <w:color w:val="000000"/>
                <w:sz w:val="21"/>
                <w:szCs w:val="21"/>
                <w:lang w:eastAsia="zh-CN" w:bidi="ar"/>
              </w:rPr>
              <w:t>.2电视监控系统</w:t>
            </w:r>
            <w:bookmarkEnd w:id="1129"/>
          </w:p>
          <w:p w14:paraId="3657F23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eastAsia="zh-CN" w:bidi="ar"/>
              </w:rPr>
            </w:pPr>
            <w:r>
              <w:rPr>
                <w:rFonts w:hint="eastAsia" w:ascii="宋体" w:hAnsi="Times New Roman" w:eastAsia="宋体" w:cs="宋体"/>
                <w:color w:val="000000"/>
                <w:sz w:val="21"/>
                <w:szCs w:val="21"/>
                <w:lang w:eastAsia="zh-CN" w:bidi="ar"/>
              </w:rPr>
              <w:t>本工程电视监视系统采用网络数字视频技术、独立组网。</w:t>
            </w:r>
          </w:p>
          <w:p w14:paraId="13BB504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eastAsia="zh-CN" w:bidi="ar"/>
              </w:rPr>
            </w:pPr>
            <w:r>
              <w:rPr>
                <w:rFonts w:hint="eastAsia" w:ascii="宋体" w:hAnsi="Times New Roman" w:eastAsia="宋体" w:cs="宋体"/>
                <w:color w:val="000000"/>
                <w:sz w:val="21"/>
                <w:szCs w:val="21"/>
                <w:lang w:eastAsia="zh-CN" w:bidi="ar"/>
              </w:rPr>
              <w:t>（1）系统组成</w:t>
            </w:r>
          </w:p>
          <w:p w14:paraId="4E677958">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eastAsia="zh-CN" w:bidi="ar"/>
              </w:rPr>
            </w:pPr>
            <w:r>
              <w:rPr>
                <w:rFonts w:hint="eastAsia" w:ascii="宋体" w:hAnsi="Times New Roman" w:eastAsia="宋体" w:cs="宋体"/>
                <w:color w:val="000000"/>
                <w:sz w:val="21"/>
                <w:szCs w:val="21"/>
                <w:lang w:eastAsia="zh-CN" w:bidi="ar"/>
              </w:rPr>
              <w:t>系统由前端摄像机、系统交换机、光纤收发器、视频存储管理设备和视频操作站等组成。前端摄像机均采用数字高清一体化摄像机。</w:t>
            </w:r>
          </w:p>
          <w:p w14:paraId="27FBBAF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eastAsia="zh-CN" w:bidi="ar"/>
              </w:rPr>
            </w:pPr>
            <w:r>
              <w:rPr>
                <w:rFonts w:hint="eastAsia" w:ascii="宋体" w:hAnsi="Times New Roman" w:eastAsia="宋体" w:cs="宋体"/>
                <w:color w:val="000000"/>
                <w:sz w:val="21"/>
                <w:szCs w:val="21"/>
                <w:lang w:eastAsia="zh-CN" w:bidi="ar"/>
              </w:rPr>
              <w:t>（2）安装地点</w:t>
            </w:r>
          </w:p>
          <w:p w14:paraId="641B29D9">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eastAsia="zh-CN" w:bidi="ar"/>
              </w:rPr>
            </w:pPr>
            <w:r>
              <w:rPr>
                <w:rFonts w:hint="eastAsia" w:ascii="宋体" w:hAnsi="Times New Roman" w:eastAsia="宋体" w:cs="宋体"/>
                <w:color w:val="000000"/>
                <w:sz w:val="21"/>
                <w:szCs w:val="21"/>
                <w:lang w:eastAsia="zh-CN" w:bidi="ar"/>
              </w:rPr>
              <w:t>在各工艺装置区，摄像机设置在生产装置的主要通道或重要设备等处。</w:t>
            </w:r>
          </w:p>
          <w:p w14:paraId="2762E76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eastAsia="zh-CN" w:bidi="ar"/>
              </w:rPr>
            </w:pPr>
            <w:r>
              <w:rPr>
                <w:rFonts w:hint="eastAsia" w:ascii="宋体" w:hAnsi="Times New Roman" w:eastAsia="宋体" w:cs="宋体"/>
                <w:color w:val="000000"/>
                <w:sz w:val="21"/>
                <w:szCs w:val="21"/>
                <w:lang w:eastAsia="zh-CN" w:bidi="ar"/>
              </w:rPr>
              <w:t>摄像机视频信号经光纤由光纤收发器发送端送至光纤收发器接收端，并上传信号至综合控制楼内系统交换机，由视频存储设备进行存储管理，后经视频操作站显示监控画面。其中光纤收发器发送端与摄像机均设置在生产装置区，光纤收发器接收端、系统交换机、视频存储管理设备设置在综合控制楼的机柜间。</w:t>
            </w:r>
          </w:p>
          <w:p w14:paraId="429A416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eastAsia="zh-CN" w:bidi="ar"/>
              </w:rPr>
            </w:pPr>
            <w:r>
              <w:rPr>
                <w:rFonts w:hint="eastAsia" w:ascii="宋体" w:hAnsi="Times New Roman" w:eastAsia="宋体" w:cs="宋体"/>
                <w:color w:val="000000"/>
                <w:sz w:val="21"/>
                <w:szCs w:val="21"/>
                <w:lang w:eastAsia="zh-CN" w:bidi="ar"/>
              </w:rPr>
              <w:t>厂外公用工程管架建设项目建成后，由建设单位考虑安装蓝牙和坐标定位的无人机巡检，巡检画面传输到控制室的监控大屏。</w:t>
            </w:r>
          </w:p>
          <w:p w14:paraId="27D95E18">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eastAsia="zh-CN" w:bidi="ar"/>
              </w:rPr>
            </w:pPr>
            <w:r>
              <w:rPr>
                <w:rFonts w:hint="eastAsia" w:ascii="宋体" w:hAnsi="Times New Roman" w:eastAsia="宋体" w:cs="宋体"/>
                <w:color w:val="000000"/>
                <w:sz w:val="21"/>
                <w:szCs w:val="21"/>
                <w:lang w:eastAsia="zh-CN" w:bidi="ar"/>
              </w:rPr>
              <w:t>（3）电源及接地</w:t>
            </w:r>
          </w:p>
          <w:p w14:paraId="197475E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eastAsia="zh-CN" w:bidi="ar"/>
              </w:rPr>
            </w:pPr>
            <w:r>
              <w:rPr>
                <w:rFonts w:hint="eastAsia" w:ascii="宋体" w:hAnsi="Times New Roman" w:eastAsia="宋体" w:cs="宋体"/>
                <w:color w:val="000000"/>
                <w:sz w:val="21"/>
                <w:szCs w:val="21"/>
                <w:lang w:eastAsia="zh-CN" w:bidi="ar"/>
              </w:rPr>
              <w:t>前端摄像机电源由装置机柜间集中供给。系统接地采用联合接地方式。</w:t>
            </w:r>
          </w:p>
          <w:p w14:paraId="2C6FDF3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eastAsia="zh-CN" w:bidi="ar"/>
              </w:rPr>
            </w:pPr>
            <w:bookmarkStart w:id="1130" w:name="_Toc469418046"/>
            <w:r>
              <w:rPr>
                <w:rFonts w:hint="eastAsia" w:ascii="宋体" w:hAnsi="Times New Roman" w:eastAsia="宋体" w:cs="宋体"/>
                <w:color w:val="000000"/>
                <w:sz w:val="21"/>
                <w:szCs w:val="21"/>
                <w:lang w:eastAsia="zh-CN" w:bidi="ar"/>
              </w:rPr>
              <w:t>4.5.</w:t>
            </w:r>
            <w:r>
              <w:rPr>
                <w:rFonts w:hint="eastAsia" w:ascii="宋体" w:hAnsi="Times New Roman" w:eastAsia="宋体" w:cs="宋体"/>
                <w:color w:val="000000"/>
                <w:sz w:val="21"/>
                <w:szCs w:val="21"/>
                <w:lang w:val="en-US" w:eastAsia="zh-CN" w:bidi="ar"/>
              </w:rPr>
              <w:t>5</w:t>
            </w:r>
            <w:r>
              <w:rPr>
                <w:rFonts w:hint="eastAsia" w:ascii="宋体" w:hAnsi="Times New Roman" w:eastAsia="宋体" w:cs="宋体"/>
                <w:color w:val="000000"/>
                <w:sz w:val="21"/>
                <w:szCs w:val="21"/>
                <w:lang w:eastAsia="zh-CN" w:bidi="ar"/>
              </w:rPr>
              <w:t>.3扩音对讲系统</w:t>
            </w:r>
            <w:bookmarkEnd w:id="1130"/>
          </w:p>
          <w:p w14:paraId="2B2F1D8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eastAsia="zh-CN" w:bidi="ar"/>
              </w:rPr>
            </w:pPr>
            <w:r>
              <w:rPr>
                <w:rFonts w:hint="eastAsia" w:ascii="宋体" w:hAnsi="Times New Roman" w:eastAsia="宋体" w:cs="宋体"/>
                <w:color w:val="000000"/>
                <w:sz w:val="21"/>
                <w:szCs w:val="21"/>
                <w:lang w:eastAsia="zh-CN" w:bidi="ar"/>
              </w:rPr>
              <w:t>为了满足生产装置各操作岗位之间的通信联络、紧急状态通讯等，并适应在高噪声环境中的通信要求，在生产装置区设置扩音对讲系统。本工程扩音对讲系统采用无主机系统，装置区作为一个分区。</w:t>
            </w:r>
          </w:p>
          <w:p w14:paraId="3854A26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eastAsia="zh-CN" w:bidi="ar"/>
              </w:rPr>
            </w:pPr>
            <w:r>
              <w:rPr>
                <w:rFonts w:hint="eastAsia" w:ascii="宋体" w:hAnsi="Times New Roman" w:eastAsia="宋体" w:cs="宋体"/>
                <w:color w:val="000000"/>
                <w:sz w:val="21"/>
                <w:szCs w:val="21"/>
                <w:lang w:eastAsia="zh-CN" w:bidi="ar"/>
              </w:rPr>
              <w:t>扩音对讲系统满足在事故等紧急状态下兼作应急广播使用的功能，系统配置的通信接口可与电话系统联网；信号发生器接口可用不同的声调发出事故和火警信号；该系统为多通道系统，其中一个为公共通道用于呼叫，另外五个通道用于通话，满足系统群呼、组呼、广播找人和三方通话功能。</w:t>
            </w:r>
          </w:p>
          <w:p w14:paraId="526EDDB0">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eastAsia="zh-CN" w:bidi="ar"/>
              </w:rPr>
            </w:pPr>
            <w:r>
              <w:rPr>
                <w:rFonts w:hint="eastAsia" w:ascii="宋体" w:hAnsi="Times New Roman" w:eastAsia="宋体" w:cs="宋体"/>
                <w:color w:val="000000"/>
                <w:sz w:val="21"/>
                <w:szCs w:val="21"/>
                <w:lang w:eastAsia="zh-CN" w:bidi="ar"/>
              </w:rPr>
              <w:t>（1）系统组成</w:t>
            </w:r>
          </w:p>
          <w:p w14:paraId="7168D9EA">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eastAsia="zh-CN" w:bidi="ar"/>
              </w:rPr>
            </w:pPr>
            <w:r>
              <w:rPr>
                <w:rFonts w:hint="eastAsia" w:ascii="宋体" w:hAnsi="Times New Roman" w:eastAsia="宋体" w:cs="宋体"/>
                <w:color w:val="000000"/>
                <w:sz w:val="21"/>
                <w:szCs w:val="21"/>
                <w:lang w:eastAsia="zh-CN" w:bidi="ar"/>
              </w:rPr>
              <w:t>扩音对讲系统由控制机柜、台式话站、室外话站和扬声器等组成。每一个扩音对讲话站由一个专用话机和一个外接扬声器组成，在需要时增加一台扬声器，增强语音信号的覆盖。</w:t>
            </w:r>
          </w:p>
          <w:p w14:paraId="1E9CCF6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eastAsia="zh-CN" w:bidi="ar"/>
              </w:rPr>
            </w:pPr>
            <w:r>
              <w:rPr>
                <w:rFonts w:hint="eastAsia" w:ascii="宋体" w:hAnsi="Times New Roman" w:eastAsia="宋体" w:cs="宋体"/>
                <w:color w:val="000000"/>
                <w:sz w:val="21"/>
                <w:szCs w:val="21"/>
                <w:lang w:eastAsia="zh-CN" w:bidi="ar"/>
              </w:rPr>
              <w:t>（2）安装地点</w:t>
            </w:r>
          </w:p>
          <w:p w14:paraId="2CDB18F8">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eastAsia="zh-CN" w:bidi="ar"/>
              </w:rPr>
            </w:pPr>
            <w:r>
              <w:rPr>
                <w:rFonts w:hint="eastAsia" w:ascii="宋体" w:hAnsi="Times New Roman" w:eastAsia="宋体" w:cs="宋体"/>
                <w:color w:val="000000"/>
                <w:sz w:val="21"/>
                <w:szCs w:val="21"/>
                <w:lang w:eastAsia="zh-CN" w:bidi="ar"/>
              </w:rPr>
              <w:t>壁挂式话站和扬声器安装在各工艺框架和管廊等处，根据安装环境选择防腐型设备；主控台式话站安装在综合控制楼操作间。</w:t>
            </w:r>
          </w:p>
          <w:p w14:paraId="2B54FDE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eastAsia="zh-CN" w:bidi="ar"/>
              </w:rPr>
            </w:pPr>
            <w:r>
              <w:rPr>
                <w:rFonts w:hint="eastAsia" w:ascii="宋体" w:hAnsi="Times New Roman" w:eastAsia="宋体" w:cs="宋体"/>
                <w:color w:val="000000"/>
                <w:sz w:val="21"/>
                <w:szCs w:val="21"/>
                <w:lang w:eastAsia="zh-CN" w:bidi="ar"/>
              </w:rPr>
              <w:t>（3）电源及接地</w:t>
            </w:r>
          </w:p>
          <w:p w14:paraId="2D019E8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eastAsia="zh-CN" w:bidi="ar"/>
              </w:rPr>
            </w:pPr>
            <w:r>
              <w:rPr>
                <w:rFonts w:hint="eastAsia" w:ascii="宋体" w:hAnsi="Times New Roman" w:eastAsia="宋体" w:cs="宋体"/>
                <w:color w:val="000000"/>
                <w:sz w:val="21"/>
                <w:szCs w:val="21"/>
                <w:lang w:eastAsia="zh-CN" w:bidi="ar"/>
              </w:rPr>
              <w:t>系统电源由机柜间内的UPS电源供给，并通过系统电缆的电源线将电源传输到每个扩音对讲电话机和扬声器放大器。系统接地采用联合接地方式。</w:t>
            </w:r>
          </w:p>
          <w:p w14:paraId="17F97E5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eastAsia="zh-CN" w:bidi="ar"/>
              </w:rPr>
            </w:pPr>
            <w:bookmarkStart w:id="1131" w:name="_Toc469418049"/>
            <w:r>
              <w:rPr>
                <w:rFonts w:hint="eastAsia" w:ascii="宋体" w:hAnsi="Times New Roman" w:eastAsia="宋体" w:cs="宋体"/>
                <w:color w:val="000000"/>
                <w:sz w:val="21"/>
                <w:szCs w:val="21"/>
                <w:lang w:eastAsia="zh-CN" w:bidi="ar"/>
              </w:rPr>
              <w:t>4.5.</w:t>
            </w:r>
            <w:r>
              <w:rPr>
                <w:rFonts w:hint="eastAsia" w:ascii="宋体" w:hAnsi="Times New Roman" w:eastAsia="宋体" w:cs="宋体"/>
                <w:color w:val="000000"/>
                <w:sz w:val="21"/>
                <w:szCs w:val="21"/>
                <w:lang w:val="en-US" w:eastAsia="zh-CN" w:bidi="ar"/>
              </w:rPr>
              <w:t>5</w:t>
            </w:r>
            <w:r>
              <w:rPr>
                <w:rFonts w:hint="eastAsia" w:ascii="宋体" w:hAnsi="Times New Roman" w:eastAsia="宋体" w:cs="宋体"/>
                <w:color w:val="000000"/>
                <w:sz w:val="21"/>
                <w:szCs w:val="21"/>
                <w:lang w:eastAsia="zh-CN" w:bidi="ar"/>
              </w:rPr>
              <w:t>.4无线对讲电话系统</w:t>
            </w:r>
            <w:bookmarkEnd w:id="1131"/>
          </w:p>
          <w:p w14:paraId="6D2FC075">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eastAsia="zh-CN" w:bidi="ar"/>
              </w:rPr>
            </w:pPr>
            <w:r>
              <w:rPr>
                <w:rFonts w:hint="eastAsia" w:ascii="宋体" w:hAnsi="Times New Roman" w:eastAsia="宋体" w:cs="宋体"/>
                <w:color w:val="000000"/>
                <w:sz w:val="21"/>
                <w:szCs w:val="21"/>
                <w:lang w:eastAsia="zh-CN" w:bidi="ar"/>
              </w:rPr>
              <w:t>为了满足生产调度指挥和操作、维修、抢修、巡回检查、消防和急救等有关岗位人员对通讯的要求，本工程设无线对讲电话机。通信方式为半双工点对点直接联络。无线对讲系统所占用的频点和频道数需要与当地无线管理委员会批准后确定。</w:t>
            </w:r>
          </w:p>
        </w:tc>
        <w:tc>
          <w:tcPr>
            <w:tcW w:w="2253" w:type="dxa"/>
            <w:tcBorders>
              <w:top w:val="single" w:color="auto" w:sz="4" w:space="0"/>
              <w:left w:val="single" w:color="auto" w:sz="4" w:space="0"/>
              <w:bottom w:val="single" w:color="auto" w:sz="4" w:space="0"/>
              <w:right w:val="single" w:color="auto" w:sz="4" w:space="0"/>
            </w:tcBorders>
            <w:noWrap w:val="0"/>
            <w:vAlign w:val="center"/>
          </w:tcPr>
          <w:p w14:paraId="7A682E68">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val="en-US" w:eastAsia="zh-CN" w:bidi="ar"/>
              </w:rPr>
            </w:pPr>
            <w:r>
              <w:rPr>
                <w:rFonts w:hint="eastAsia" w:ascii="宋体" w:hAnsi="Times New Roman" w:eastAsia="宋体" w:cs="宋体"/>
                <w:color w:val="000000"/>
                <w:sz w:val="21"/>
                <w:szCs w:val="21"/>
                <w:lang w:val="en-US" w:eastAsia="zh-CN" w:bidi="ar"/>
              </w:rPr>
              <w:t>根据</w:t>
            </w:r>
            <w:r>
              <w:rPr>
                <w:rFonts w:hint="eastAsia" w:ascii="宋体" w:hAnsi="Times New Roman" w:eastAsia="宋体" w:cs="宋体"/>
                <w:color w:val="000000"/>
                <w:sz w:val="21"/>
                <w:szCs w:val="21"/>
                <w:lang w:eastAsia="zh-CN" w:bidi="ar"/>
              </w:rPr>
              <w:t>云南瓮福祥丰氟硅新材料有限公司3万吨/年无水氟化氢和2万吨/年电子级氢氟酸项目</w:t>
            </w:r>
            <w:r>
              <w:rPr>
                <w:rFonts w:hint="eastAsia" w:cs="宋体"/>
                <w:color w:val="000000"/>
                <w:sz w:val="21"/>
                <w:szCs w:val="21"/>
                <w:lang w:val="en-US" w:eastAsia="zh-CN" w:bidi="ar"/>
              </w:rPr>
              <w:t>厂区现场核查，</w:t>
            </w:r>
            <w:r>
              <w:rPr>
                <w:rFonts w:hint="eastAsia" w:ascii="宋体" w:hAnsi="Times New Roman" w:eastAsia="宋体" w:cs="宋体"/>
                <w:color w:val="000000"/>
                <w:sz w:val="21"/>
                <w:szCs w:val="21"/>
                <w:lang w:eastAsia="zh-CN" w:bidi="ar"/>
              </w:rPr>
              <w:t>火灾报警系统、工业电视监控系统及应急广播系统</w:t>
            </w:r>
            <w:r>
              <w:rPr>
                <w:rFonts w:hint="eastAsia" w:ascii="宋体" w:hAnsi="Times New Roman" w:eastAsia="宋体" w:cs="宋体"/>
                <w:color w:val="000000"/>
                <w:sz w:val="21"/>
                <w:szCs w:val="21"/>
                <w:lang w:val="en-US" w:eastAsia="zh-CN" w:bidi="ar"/>
              </w:rPr>
              <w:t>设置均按设计设置。</w:t>
            </w:r>
          </w:p>
          <w:p w14:paraId="0282439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lang w:eastAsia="zh-CN" w:bidi="ar"/>
              </w:rPr>
            </w:pPr>
            <w:r>
              <w:rPr>
                <w:rFonts w:hint="eastAsia" w:ascii="宋体" w:hAnsi="Times New Roman" w:eastAsia="宋体" w:cs="宋体"/>
                <w:color w:val="000000"/>
                <w:sz w:val="21"/>
                <w:szCs w:val="21"/>
                <w:lang w:eastAsia="zh-CN" w:bidi="ar"/>
              </w:rPr>
              <w:t>厂外公用工程管架建设项目</w:t>
            </w:r>
            <w:r>
              <w:rPr>
                <w:rFonts w:hint="eastAsia" w:ascii="宋体" w:hAnsi="Times New Roman" w:eastAsia="宋体" w:cs="宋体"/>
                <w:color w:val="000000"/>
                <w:sz w:val="21"/>
                <w:szCs w:val="21"/>
                <w:lang w:val="en-US" w:eastAsia="zh-CN" w:bidi="ar"/>
              </w:rPr>
              <w:t>设置</w:t>
            </w:r>
            <w:r>
              <w:rPr>
                <w:rFonts w:hint="eastAsia" w:ascii="宋体" w:hAnsi="Times New Roman" w:eastAsia="宋体" w:cs="宋体"/>
                <w:color w:val="000000"/>
                <w:sz w:val="21"/>
                <w:szCs w:val="21"/>
                <w:lang w:eastAsia="zh-CN" w:bidi="ar"/>
              </w:rPr>
              <w:t>无人机巡检，巡检画面传输到控制室的监控大屏。</w:t>
            </w:r>
          </w:p>
          <w:p w14:paraId="1D84E94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宋体" w:hAnsi="Times New Roman" w:eastAsia="宋体" w:cs="宋体"/>
                <w:color w:val="000000"/>
                <w:sz w:val="21"/>
                <w:szCs w:val="21"/>
                <w:lang w:val="en-US" w:eastAsia="zh-CN" w:bidi="ar"/>
              </w:rPr>
            </w:pPr>
          </w:p>
        </w:tc>
        <w:tc>
          <w:tcPr>
            <w:tcW w:w="729" w:type="dxa"/>
            <w:tcBorders>
              <w:top w:val="single" w:color="auto" w:sz="4" w:space="0"/>
              <w:left w:val="single" w:color="auto" w:sz="4" w:space="0"/>
              <w:bottom w:val="single" w:color="auto" w:sz="4" w:space="0"/>
              <w:right w:val="single" w:color="auto" w:sz="4" w:space="0"/>
            </w:tcBorders>
            <w:noWrap w:val="0"/>
            <w:vAlign w:val="center"/>
          </w:tcPr>
          <w:p w14:paraId="3C96762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000000"/>
                <w:sz w:val="21"/>
                <w:szCs w:val="21"/>
                <w:lang w:bidi="ar"/>
              </w:rPr>
            </w:pPr>
            <w:r>
              <w:rPr>
                <w:rFonts w:hint="eastAsia"/>
                <w:color w:val="000000"/>
                <w:sz w:val="21"/>
                <w:szCs w:val="21"/>
                <w:lang w:bidi="ar"/>
              </w:rPr>
              <w:t>符合</w:t>
            </w:r>
          </w:p>
        </w:tc>
      </w:tr>
      <w:tr w14:paraId="4A40D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dxa"/>
            <w:tcBorders>
              <w:left w:val="single" w:color="auto" w:sz="4" w:space="0"/>
              <w:right w:val="single" w:color="auto" w:sz="4" w:space="0"/>
            </w:tcBorders>
            <w:noWrap w:val="0"/>
            <w:vAlign w:val="center"/>
          </w:tcPr>
          <w:p w14:paraId="43576EB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color w:val="000000"/>
                <w:sz w:val="21"/>
                <w:szCs w:val="21"/>
              </w:rPr>
            </w:pPr>
          </w:p>
        </w:tc>
        <w:tc>
          <w:tcPr>
            <w:tcW w:w="5705" w:type="dxa"/>
            <w:tcBorders>
              <w:top w:val="single" w:color="auto" w:sz="4" w:space="0"/>
              <w:left w:val="single" w:color="auto" w:sz="4" w:space="0"/>
              <w:bottom w:val="single" w:color="auto" w:sz="4" w:space="0"/>
              <w:right w:val="single" w:color="auto" w:sz="4" w:space="0"/>
            </w:tcBorders>
            <w:noWrap w:val="0"/>
            <w:vAlign w:val="center"/>
          </w:tcPr>
          <w:p w14:paraId="14B9C43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建构筑物设计说明</w:t>
            </w:r>
          </w:p>
          <w:p w14:paraId="4F879F0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本项目为管架及附属设施，不涉及生产装置和储存设施，不涉及建筑物，也无需采暖、通风、排烟、空调设施。</w:t>
            </w:r>
          </w:p>
          <w:p w14:paraId="471D6DD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本项目管架设计情况如下：</w:t>
            </w:r>
          </w:p>
          <w:p w14:paraId="2723699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上部结构选型</w:t>
            </w:r>
          </w:p>
          <w:p w14:paraId="68EBF59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上部结构选型的具体原则为：</w:t>
            </w:r>
          </w:p>
          <w:p w14:paraId="6A2C9DE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（1）管架优先采用钢结构，也可考虑采用混凝土结构柱加钢梁方案。</w:t>
            </w:r>
          </w:p>
          <w:p w14:paraId="4D26789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（2）管架平台铺板优先采用花纹钢板。</w:t>
            </w:r>
          </w:p>
          <w:p w14:paraId="32632CD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（3）钢结构的连结方式采用焊接连接。</w:t>
            </w:r>
          </w:p>
          <w:p w14:paraId="3B957E5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（4）本项目A~E段结构类型为多层钢结构管廊式管架，B段局部采用建构筑物外挑钢结构支撑形式，F段结构类型为多层钢结构及钢筋混凝土混合管廊式管架。</w:t>
            </w:r>
          </w:p>
          <w:p w14:paraId="44162CD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地基处理及基础选型</w:t>
            </w:r>
          </w:p>
          <w:p w14:paraId="23E8064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对于荷载不大，地基条件良好的管廊优先采用天然地基，基础形式为独立基础；对于荷载不大，地基条件一般的管架优先采用天然地基或换填垫层地基处理方案；对于荷载较大、跨度较大的管廊，地基条件较差的管架，可根据场地工程地质条件，采用钢筋混凝土灌注桩加承台的方案或换填垫层地基处理方案。</w:t>
            </w:r>
          </w:p>
          <w:p w14:paraId="7303A3E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结构设计</w:t>
            </w:r>
          </w:p>
          <w:p w14:paraId="3FEDDBD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管架采用架空敷设，管架采用钢结构，管架布置成单层或多层梁架式或桁架式结构。</w:t>
            </w:r>
          </w:p>
          <w:p w14:paraId="7E19B3D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结构的设计使用年限：管架结构设计使用年限按《建筑结构可靠度设计统一标准》一般为50年。其安全等级为二级，结构重要性系数为1.0。</w:t>
            </w:r>
          </w:p>
          <w:p w14:paraId="4E5174A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抗震设计：管架按不低于7度的抗震烈度要求采取抗震设防；抗震设防类别一般为标准设防类（丙类），抗震分类符合《石油化工建（构）筑物抗震设防分类标准》（GB50453-2008）的要求。</w:t>
            </w:r>
          </w:p>
          <w:p w14:paraId="01FE21F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混凝土结构的环境类别：露天部分为二a类；地面以下为二a类。</w:t>
            </w:r>
          </w:p>
          <w:p w14:paraId="179619E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荷载取值及组合：《建筑结构荷载规范》（GB50009-2012）有规定的按该规范设计，设备、管道荷载和化工建、构筑物楼（地）面可变荷载由有关专业技术提出，并参照《化工、石化建（构）筑物荷载设计规定》（HG/T 20674-2005）及《石油化工建（构）筑物结构荷载规范》（GB51006-2014）取用。</w:t>
            </w:r>
          </w:p>
        </w:tc>
        <w:tc>
          <w:tcPr>
            <w:tcW w:w="2253" w:type="dxa"/>
            <w:tcBorders>
              <w:top w:val="single" w:color="auto" w:sz="4" w:space="0"/>
              <w:left w:val="single" w:color="auto" w:sz="4" w:space="0"/>
              <w:bottom w:val="single" w:color="auto" w:sz="4" w:space="0"/>
              <w:right w:val="single" w:color="auto" w:sz="4" w:space="0"/>
            </w:tcBorders>
            <w:noWrap w:val="0"/>
            <w:vAlign w:val="center"/>
          </w:tcPr>
          <w:p w14:paraId="6066462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宋体" w:hAnsi="Times New Roman" w:eastAsia="宋体" w:cs="宋体"/>
                <w:color w:val="000000"/>
                <w:sz w:val="21"/>
                <w:szCs w:val="21"/>
                <w:lang w:val="en-US" w:eastAsia="zh-CN" w:bidi="ar"/>
              </w:rPr>
            </w:pPr>
            <w:r>
              <w:rPr>
                <w:rFonts w:hint="eastAsia" w:ascii="宋体" w:hAnsi="Times New Roman" w:eastAsia="宋体" w:cs="宋体"/>
                <w:color w:val="000000"/>
                <w:sz w:val="21"/>
                <w:szCs w:val="21"/>
                <w:lang w:val="en-US" w:eastAsia="zh-CN" w:bidi="ar"/>
              </w:rPr>
              <w:t>根据施工方案和竣工资料，</w:t>
            </w:r>
            <w:r>
              <w:rPr>
                <w:rFonts w:hint="eastAsia" w:ascii="宋体" w:hAnsi="Times New Roman" w:eastAsia="宋体" w:cs="宋体"/>
                <w:color w:val="000000"/>
                <w:sz w:val="21"/>
                <w:szCs w:val="21"/>
                <w:lang w:bidi="ar"/>
              </w:rPr>
              <w:t>管架采用架空敷设，管架采用钢结构，管架布置成单层或多层梁架式或桁架式结构。</w:t>
            </w:r>
            <w:r>
              <w:rPr>
                <w:rFonts w:hint="eastAsia" w:ascii="宋体" w:hAnsi="Times New Roman" w:eastAsia="宋体" w:cs="宋体"/>
                <w:color w:val="000000"/>
                <w:sz w:val="21"/>
                <w:szCs w:val="21"/>
                <w:lang w:val="en-US" w:eastAsia="zh-CN" w:bidi="ar"/>
              </w:rPr>
              <w:t>结构选型均按设计施工。</w:t>
            </w:r>
            <w:r>
              <w:rPr>
                <w:rFonts w:hint="eastAsia" w:ascii="宋体" w:hAnsi="Times New Roman" w:eastAsia="宋体" w:cs="宋体"/>
                <w:color w:val="000000"/>
                <w:sz w:val="21"/>
                <w:szCs w:val="21"/>
                <w:lang w:bidi="ar"/>
              </w:rPr>
              <w:t>各建构筑物按设计要求设置，土建工程验收合格。</w:t>
            </w:r>
          </w:p>
          <w:p w14:paraId="31FA1C9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宋体" w:hAnsi="Times New Roman" w:eastAsia="宋体" w:cs="宋体"/>
                <w:color w:val="000000"/>
                <w:sz w:val="21"/>
                <w:szCs w:val="21"/>
                <w:lang w:val="en-US" w:eastAsia="zh-CN" w:bidi="ar"/>
              </w:rPr>
            </w:pPr>
          </w:p>
        </w:tc>
        <w:tc>
          <w:tcPr>
            <w:tcW w:w="729" w:type="dxa"/>
            <w:tcBorders>
              <w:top w:val="single" w:color="auto" w:sz="4" w:space="0"/>
              <w:left w:val="single" w:color="auto" w:sz="4" w:space="0"/>
              <w:bottom w:val="single" w:color="auto" w:sz="4" w:space="0"/>
              <w:right w:val="single" w:color="auto" w:sz="4" w:space="0"/>
            </w:tcBorders>
            <w:noWrap w:val="0"/>
            <w:vAlign w:val="center"/>
          </w:tcPr>
          <w:p w14:paraId="1986378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color w:val="000000"/>
                <w:sz w:val="21"/>
                <w:szCs w:val="21"/>
                <w:lang w:bidi="ar"/>
              </w:rPr>
              <w:t>符合</w:t>
            </w:r>
          </w:p>
        </w:tc>
      </w:tr>
      <w:tr w14:paraId="0578E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dxa"/>
            <w:vMerge w:val="restart"/>
            <w:tcBorders>
              <w:left w:val="single" w:color="auto" w:sz="4" w:space="0"/>
              <w:right w:val="single" w:color="auto" w:sz="4" w:space="0"/>
            </w:tcBorders>
            <w:noWrap w:val="0"/>
            <w:vAlign w:val="center"/>
          </w:tcPr>
          <w:p w14:paraId="29CEFFB0">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r>
              <w:rPr>
                <w:rFonts w:hint="eastAsia"/>
                <w:color w:val="000000"/>
                <w:sz w:val="21"/>
                <w:szCs w:val="21"/>
              </w:rPr>
              <w:t>4.6</w:t>
            </w:r>
            <w:r>
              <w:rPr>
                <w:color w:val="000000"/>
                <w:sz w:val="21"/>
                <w:szCs w:val="21"/>
              </w:rPr>
              <w:t>建构筑物</w:t>
            </w:r>
          </w:p>
        </w:tc>
        <w:tc>
          <w:tcPr>
            <w:tcW w:w="5705" w:type="dxa"/>
            <w:tcBorders>
              <w:top w:val="single" w:color="auto" w:sz="4" w:space="0"/>
              <w:left w:val="single" w:color="auto" w:sz="4" w:space="0"/>
              <w:bottom w:val="single" w:color="auto" w:sz="4" w:space="0"/>
              <w:right w:val="single" w:color="auto" w:sz="4" w:space="0"/>
            </w:tcBorders>
            <w:noWrap w:val="0"/>
            <w:vAlign w:val="center"/>
          </w:tcPr>
          <w:p w14:paraId="2335DD7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防火、防爆、抗爆、防腐、耐火保护等设施</w:t>
            </w:r>
          </w:p>
          <w:p w14:paraId="3694BC9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主要结构构件材料的选用</w:t>
            </w:r>
          </w:p>
          <w:p w14:paraId="15EE8E7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钢材：Q235B，Q355B；</w:t>
            </w:r>
          </w:p>
          <w:p w14:paraId="6CAAF21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焊条：E43系列，E50系列；</w:t>
            </w:r>
          </w:p>
          <w:p w14:paraId="7C1FD0C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混凝土：C15～C40级混凝土；</w:t>
            </w:r>
          </w:p>
          <w:p w14:paraId="2561F5C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钢筋：HRB400。</w:t>
            </w:r>
          </w:p>
          <w:p w14:paraId="6737F29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钢材的选用</w:t>
            </w:r>
          </w:p>
          <w:p w14:paraId="7695D29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1、钢材材质</w:t>
            </w:r>
          </w:p>
          <w:p w14:paraId="507288F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钢材的质量分别符合国家标准GB/T700和GB/T1591的规定。钢材强度设计值遵守GB50017中4.4节的有关规定。</w:t>
            </w:r>
          </w:p>
          <w:p w14:paraId="6A6A374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该项目钢结构的钢材符合下列规定：</w:t>
            </w:r>
          </w:p>
          <w:p w14:paraId="49D1E2D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（1）钢材的屈服强度实测值与抗拉强度实测值的比值不应大于0.85；</w:t>
            </w:r>
          </w:p>
          <w:p w14:paraId="78E27CF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（2）钢材应有明显的屈服台阶，且伸长率应大于20％；</w:t>
            </w:r>
          </w:p>
          <w:p w14:paraId="0BE727B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（3）钢材应有良好的可焊性和合格的冲击韧性；</w:t>
            </w:r>
          </w:p>
          <w:p w14:paraId="5DF2C17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（4）对于需要验算疲劳的焊接或非焊接结构的钢材，对于冲击韧性的要求应满足《钢结构设计标准》GB50017第4.3.3条的规定。</w:t>
            </w:r>
          </w:p>
          <w:p w14:paraId="757F02A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钢结构的钢材宜选用Q235等级B、C、D的碳素结构钢和Q355等级B、C、D、E的低合金高强度结构钢，当有可靠依据时，尚可采用其他钢种和钢号。当结构构件的截面是按强度控制并有条件时，宜采用Q355钢。</w:t>
            </w:r>
          </w:p>
          <w:p w14:paraId="5EB50CF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2、型钢</w:t>
            </w:r>
          </w:p>
          <w:p w14:paraId="774135F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承重结构采用的钢材具有抗拉强度、伸长率、屈服强度和硫、磷含量的合格保证，焊接结构具有碳含量的合格保证。焊接承重结构以及重要的非焊接承重结构采用的钢材具有冷弯试验的合格保证。</w:t>
            </w:r>
          </w:p>
          <w:p w14:paraId="23D3D48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承重钢结构的材料宜采用现行国家标准《碳素结构钢》GB/T700中的Q235钢和《低合金高强度结构钢》GB/T1591中的Q355、Q390钢。</w:t>
            </w:r>
          </w:p>
          <w:p w14:paraId="08A4C0E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对处于外露环境，且对耐腐蚀有特殊要求的或在腐蚀性气态和固态介质作用下的承重结构，宜采用耐候钢，其质量要求符合现行国家标准《耐候结构钢》GB/T4171的规定。</w:t>
            </w:r>
          </w:p>
          <w:p w14:paraId="2483384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型钢的选用原则为首选热轧型钢，对于热轧H型钢，当没有合适截面可供选用时，可采用焊接H型钢。热轧型钢截面特性符合GB/T706、GB/T11263的规定，焊接H型钢应符合YB3301的规定。常用型纲规格：</w:t>
            </w:r>
          </w:p>
          <w:p w14:paraId="157D967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（1）热轧型钢：（GB/T706）</w:t>
            </w:r>
          </w:p>
          <w:p w14:paraId="2393DB3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（2）热轧H型钢和剖分T型钢：（GB/T11263）</w:t>
            </w:r>
          </w:p>
          <w:p w14:paraId="7639CCF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（3）结构用无缝钢管：（GB/T8162）</w:t>
            </w:r>
          </w:p>
          <w:p w14:paraId="114C672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（4）直缝电焊钢管：（GB/T13793）</w:t>
            </w:r>
          </w:p>
          <w:p w14:paraId="734AB8C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3、钢板</w:t>
            </w:r>
          </w:p>
          <w:p w14:paraId="40B4B02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对于操作平台、走道、钢梯踏步采用花纹钢板。</w:t>
            </w:r>
          </w:p>
          <w:p w14:paraId="096B89A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钢结构除锈及防腐</w:t>
            </w:r>
          </w:p>
          <w:p w14:paraId="7756A8D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1、钢结构防腐</w:t>
            </w:r>
          </w:p>
          <w:p w14:paraId="27B5883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钢结构的防腐与涂装设计要求遵守国家标准GB/T50046、YB/T9256及GB50205中的相关规定，同时还遵守项目文件管道材质技术专业关于涂漆涂色设计的有关规定。</w:t>
            </w:r>
          </w:p>
          <w:p w14:paraId="7B9D214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受侵蚀环境影响而需除锈防护的钢结构构件，其设计与构造应遵守以下要求：</w:t>
            </w:r>
          </w:p>
          <w:p w14:paraId="7B21775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（1）桁架、柱、主梁等重要钢构件不应采用薄壁型钢和轻型钢结构，腐蚀性等级为强腐蚀、中等腐蚀时，不应采用格构式钢结构。</w:t>
            </w:r>
          </w:p>
          <w:p w14:paraId="22A5C0A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（2）钢结构应采用实腹式或闭口截面。</w:t>
            </w:r>
          </w:p>
          <w:p w14:paraId="6AE9688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（3）由角钢组成的T形截面或由槽钢组成的工字型截面，当为中等腐蚀时不宜采用，当为强腐蚀时不应采用。</w:t>
            </w:r>
          </w:p>
          <w:p w14:paraId="2968356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（4）采用型钢组合的杆件，其型钢间的空隙宽度应满足防护施工和维修的要求。</w:t>
            </w:r>
          </w:p>
          <w:p w14:paraId="2AA9ADB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（5）采用角钢组合的屋架，托架，天窗架的弦杆和端部斜杆等重要杆件及节点板的厚度，不应小于8mm；其他杆件的厚度，不应小于6mm。</w:t>
            </w:r>
          </w:p>
          <w:p w14:paraId="1E25536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（6）采用钢板组合的杆件的厚度，不应小于6mm。</w:t>
            </w:r>
          </w:p>
          <w:p w14:paraId="5EE9EAB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（7）闭口截面杆件的厚度，不应小于5mm。</w:t>
            </w:r>
          </w:p>
          <w:p w14:paraId="1DEE261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（8）桁架、柱、主梁等重要钢构件和与矩形闭口截面杆件的焊缝应采用连续焊缝。角焊缝的焊脚尺寸不应小于8mm；当杆件厚度小于8mm时，焊脚尺寸不应小于杆件厚度。闭口截面的端部应封闭。</w:t>
            </w:r>
          </w:p>
          <w:p w14:paraId="3776958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（9）钢结构采用的焊条、螺栓、节点板等构件连接材料的耐腐蚀性能不应低于构件主体材料的耐腐蚀性能。</w:t>
            </w:r>
          </w:p>
          <w:p w14:paraId="01153B8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（10）构件的螺栓连接处，应增设防水垫圈、防水帽或加以防水油膏封闭连接处缝隙。</w:t>
            </w:r>
          </w:p>
          <w:p w14:paraId="256BEB6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（11）钢结构所在长期环境湿度不应高于75％。当为高湿作业环境时，应采取有效的通风排湿措施。</w:t>
            </w:r>
          </w:p>
          <w:p w14:paraId="4B2BCDA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2、钢结构除锈</w:t>
            </w:r>
          </w:p>
          <w:p w14:paraId="262E207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（1）钢结构在涂装前必须除锈，除锈方法及等级应遵守GB8923的规定。</w:t>
            </w:r>
          </w:p>
          <w:p w14:paraId="4DAFE03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（2）钢结构构件的表面原始除锈等级均不应低于B级。</w:t>
            </w:r>
          </w:p>
          <w:p w14:paraId="11B5C55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（3）钢结构各类构件的物理除锈方法及等级应符合下表规定：</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7"/>
              <w:gridCol w:w="1414"/>
              <w:gridCol w:w="2188"/>
            </w:tblGrid>
            <w:tr w14:paraId="47F57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1713" w:type="pct"/>
                  <w:vAlign w:val="center"/>
                </w:tcPr>
                <w:p w14:paraId="1018962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构件种类</w:t>
                  </w:r>
                </w:p>
              </w:tc>
              <w:tc>
                <w:tcPr>
                  <w:tcW w:w="1290" w:type="pct"/>
                  <w:vAlign w:val="center"/>
                </w:tcPr>
                <w:p w14:paraId="6F5036E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除锈方法</w:t>
                  </w:r>
                </w:p>
              </w:tc>
              <w:tc>
                <w:tcPr>
                  <w:tcW w:w="1997" w:type="pct"/>
                  <w:vAlign w:val="center"/>
                </w:tcPr>
                <w:p w14:paraId="726FF0C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除锈等级</w:t>
                  </w:r>
                </w:p>
              </w:tc>
            </w:tr>
            <w:tr w14:paraId="5832C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1713" w:type="pct"/>
                  <w:vAlign w:val="center"/>
                </w:tcPr>
                <w:p w14:paraId="2A0F30A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无侵蚀作用的一般构件</w:t>
                  </w:r>
                </w:p>
              </w:tc>
              <w:tc>
                <w:tcPr>
                  <w:tcW w:w="1290" w:type="pct"/>
                  <w:vAlign w:val="center"/>
                </w:tcPr>
                <w:p w14:paraId="0BEF1B7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手工及动力工具除锈</w:t>
                  </w:r>
                </w:p>
              </w:tc>
              <w:tc>
                <w:tcPr>
                  <w:tcW w:w="1997" w:type="pct"/>
                  <w:vAlign w:val="center"/>
                </w:tcPr>
                <w:p w14:paraId="7BDA68A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St2级（彻底）或St3级(非常彻底)</w:t>
                  </w:r>
                </w:p>
              </w:tc>
            </w:tr>
            <w:tr w14:paraId="7DD13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1713" w:type="pct"/>
                  <w:vAlign w:val="center"/>
                </w:tcPr>
                <w:p w14:paraId="2DC10C9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弱侵蚀作用的承重构件</w:t>
                  </w:r>
                </w:p>
              </w:tc>
              <w:tc>
                <w:tcPr>
                  <w:tcW w:w="1290" w:type="pct"/>
                  <w:vAlign w:val="center"/>
                </w:tcPr>
                <w:p w14:paraId="4C29437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喷射（砂、丸）除锈</w:t>
                  </w:r>
                </w:p>
              </w:tc>
              <w:tc>
                <w:tcPr>
                  <w:tcW w:w="1997" w:type="pct"/>
                  <w:vAlign w:val="center"/>
                </w:tcPr>
                <w:p w14:paraId="62F8533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Sa2级（彻底）或Sa2.5级（非常彻底）</w:t>
                  </w:r>
                </w:p>
              </w:tc>
            </w:tr>
            <w:tr w14:paraId="5DD9B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1713" w:type="pct"/>
                  <w:vAlign w:val="center"/>
                </w:tcPr>
                <w:p w14:paraId="1667A1F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中等侵蚀作用的承重构件</w:t>
                  </w:r>
                </w:p>
              </w:tc>
              <w:tc>
                <w:tcPr>
                  <w:tcW w:w="1290" w:type="pct"/>
                  <w:vAlign w:val="center"/>
                </w:tcPr>
                <w:p w14:paraId="006D0EC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喷射（砂、丸）除锈</w:t>
                  </w:r>
                </w:p>
              </w:tc>
              <w:tc>
                <w:tcPr>
                  <w:tcW w:w="1997" w:type="pct"/>
                  <w:vAlign w:val="center"/>
                </w:tcPr>
                <w:p w14:paraId="4FE4AD8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Sa2.5级（非常彻底）</w:t>
                  </w:r>
                </w:p>
              </w:tc>
            </w:tr>
          </w:tbl>
          <w:p w14:paraId="620D7D3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3、钢结构涂装</w:t>
            </w:r>
          </w:p>
          <w:p w14:paraId="4F92E95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（1）防锈涂层一般应由底漆、中间漆及面漆组成。防锈底漆、中间漆与面漆的配套组合参见GB50046中的附录C，涂料与除锈等级的匹配应符合下表规定：</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5"/>
              <w:gridCol w:w="1954"/>
            </w:tblGrid>
            <w:tr w14:paraId="1BCC0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49" w:type="dxa"/>
                  <w:vAlign w:val="center"/>
                </w:tcPr>
                <w:p w14:paraId="4BE54AF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涂料品种</w:t>
                  </w:r>
                </w:p>
              </w:tc>
              <w:tc>
                <w:tcPr>
                  <w:tcW w:w="3225" w:type="dxa"/>
                  <w:vAlign w:val="center"/>
                </w:tcPr>
                <w:p w14:paraId="4255659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最低除锈等级</w:t>
                  </w:r>
                </w:p>
              </w:tc>
            </w:tr>
            <w:tr w14:paraId="3C1F4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49" w:type="dxa"/>
                  <w:vAlign w:val="center"/>
                </w:tcPr>
                <w:p w14:paraId="5F8717F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沥青涂料</w:t>
                  </w:r>
                </w:p>
              </w:tc>
              <w:tc>
                <w:tcPr>
                  <w:tcW w:w="3225" w:type="dxa"/>
                  <w:vAlign w:val="center"/>
                </w:tcPr>
                <w:p w14:paraId="51E4AF5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St2或Sa2</w:t>
                  </w:r>
                </w:p>
              </w:tc>
            </w:tr>
            <w:tr w14:paraId="5A51E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49" w:type="dxa"/>
                  <w:vAlign w:val="center"/>
                </w:tcPr>
                <w:p w14:paraId="410D1A8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醇酸耐酸涂料、氯化橡胶涂料、环氧沥青涂料</w:t>
                  </w:r>
                </w:p>
              </w:tc>
              <w:tc>
                <w:tcPr>
                  <w:tcW w:w="3225" w:type="dxa"/>
                  <w:vAlign w:val="center"/>
                </w:tcPr>
                <w:p w14:paraId="1F71555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St3或Sa2</w:t>
                  </w:r>
                </w:p>
              </w:tc>
            </w:tr>
            <w:tr w14:paraId="3C47B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49" w:type="dxa"/>
                  <w:vAlign w:val="center"/>
                </w:tcPr>
                <w:p w14:paraId="1B778A1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其他树脂类涂料，乙烯磷化底漆</w:t>
                  </w:r>
                </w:p>
              </w:tc>
              <w:tc>
                <w:tcPr>
                  <w:tcW w:w="3225" w:type="dxa"/>
                  <w:vAlign w:val="center"/>
                </w:tcPr>
                <w:p w14:paraId="006C358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Sa2</w:t>
                  </w:r>
                </w:p>
              </w:tc>
            </w:tr>
            <w:tr w14:paraId="79C9C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49" w:type="dxa"/>
                  <w:vAlign w:val="center"/>
                </w:tcPr>
                <w:p w14:paraId="527C7F7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各类富锌底漆，喷镀金属基层</w:t>
                  </w:r>
                </w:p>
              </w:tc>
              <w:tc>
                <w:tcPr>
                  <w:tcW w:w="3225" w:type="dxa"/>
                  <w:vAlign w:val="center"/>
                </w:tcPr>
                <w:p w14:paraId="2807341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Sa2.5</w:t>
                  </w:r>
                </w:p>
              </w:tc>
            </w:tr>
          </w:tbl>
          <w:p w14:paraId="6C2EB5A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（2）对一般涂装要求的构件，并采用手工及动力工具除锈时，可采用两道底漆，1～2遍中间漆及2遍面漆的做法，漆膜厚度（μm）应符合《工业建筑防腐蚀设计规范》（GB/T50046-2018）表5.2.3的规定。</w:t>
            </w:r>
          </w:p>
          <w:p w14:paraId="4A31000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（3）钢结构工程不采用带锈涂料（有化学腐蚀作用）作防腐涂料。</w:t>
            </w:r>
          </w:p>
          <w:p w14:paraId="0521A6C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（4）需作防火涂层的钢构件，仍应作防腐处理。当要求底漆为耐高温漆（400℃）时，选用有机硅富锌底漆或溶剂型无机富锌底漆。</w:t>
            </w:r>
          </w:p>
          <w:p w14:paraId="4CE733B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钢结构防火</w:t>
            </w:r>
          </w:p>
          <w:p w14:paraId="3990E7F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管廊钢结构的耐火极限及防火保护范围按工艺专业条件及《石油化工企业设计防火标准(2018年版)》GB50160-2008的规定执行。</w:t>
            </w:r>
          </w:p>
          <w:p w14:paraId="6A1E6F7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依据电气专业条件，本主项不在爆炸危险区范围以内，构件除特殊注明外，均无需采取耐火保护措施。</w:t>
            </w:r>
          </w:p>
          <w:p w14:paraId="57E95A8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p>
        </w:tc>
        <w:tc>
          <w:tcPr>
            <w:tcW w:w="2253" w:type="dxa"/>
            <w:tcBorders>
              <w:top w:val="single" w:color="auto" w:sz="4" w:space="0"/>
              <w:left w:val="single" w:color="auto" w:sz="4" w:space="0"/>
              <w:bottom w:val="single" w:color="auto" w:sz="4" w:space="0"/>
              <w:right w:val="single" w:color="auto" w:sz="4" w:space="0"/>
            </w:tcBorders>
            <w:noWrap w:val="0"/>
            <w:vAlign w:val="center"/>
          </w:tcPr>
          <w:p w14:paraId="4CC8172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val="en-US" w:eastAsia="zh-CN" w:bidi="ar"/>
              </w:rPr>
              <w:t>根据竣工资料</w:t>
            </w:r>
            <w:r>
              <w:rPr>
                <w:rFonts w:hint="eastAsia" w:ascii="宋体" w:hAnsi="Times New Roman" w:eastAsia="宋体" w:cs="宋体"/>
                <w:color w:val="000000"/>
                <w:sz w:val="21"/>
                <w:szCs w:val="21"/>
                <w:lang w:bidi="ar"/>
              </w:rPr>
              <w:t>主要结构构件材料的选用</w:t>
            </w:r>
          </w:p>
          <w:p w14:paraId="1623141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en-US" w:eastAsia="zh-CN" w:bidi="ar"/>
              </w:rPr>
            </w:pPr>
            <w:r>
              <w:rPr>
                <w:rFonts w:hint="eastAsia" w:ascii="宋体" w:hAnsi="Times New Roman" w:eastAsia="宋体" w:cs="宋体"/>
                <w:color w:val="000000"/>
                <w:sz w:val="21"/>
                <w:szCs w:val="21"/>
                <w:lang w:val="en-US" w:eastAsia="zh-CN" w:bidi="ar"/>
              </w:rPr>
              <w:t>均按设计选用，</w:t>
            </w:r>
            <w:r>
              <w:rPr>
                <w:rFonts w:hint="eastAsia" w:ascii="宋体" w:hAnsi="Times New Roman" w:eastAsia="宋体" w:cs="宋体"/>
                <w:color w:val="000000"/>
                <w:sz w:val="21"/>
                <w:szCs w:val="21"/>
                <w:lang w:bidi="ar"/>
              </w:rPr>
              <w:t>结构构件材料</w:t>
            </w:r>
            <w:r>
              <w:rPr>
                <w:rFonts w:hint="eastAsia" w:ascii="宋体" w:hAnsi="Times New Roman" w:eastAsia="宋体" w:cs="宋体"/>
                <w:color w:val="000000"/>
                <w:sz w:val="21"/>
                <w:szCs w:val="21"/>
                <w:lang w:val="en-US" w:eastAsia="zh-CN" w:bidi="ar"/>
              </w:rPr>
              <w:t>安装前均做</w:t>
            </w:r>
            <w:r>
              <w:rPr>
                <w:rFonts w:hint="eastAsia" w:ascii="宋体" w:hAnsi="Times New Roman" w:eastAsia="宋体" w:cs="宋体"/>
                <w:color w:val="000000"/>
                <w:sz w:val="21"/>
                <w:szCs w:val="21"/>
                <w:lang w:bidi="ar"/>
              </w:rPr>
              <w:t>除锈及防腐</w:t>
            </w:r>
            <w:r>
              <w:rPr>
                <w:rFonts w:hint="eastAsia" w:ascii="宋体" w:hAnsi="Times New Roman" w:eastAsia="宋体" w:cs="宋体"/>
                <w:color w:val="000000"/>
                <w:sz w:val="21"/>
                <w:szCs w:val="21"/>
                <w:lang w:val="en-US" w:eastAsia="zh-CN" w:bidi="ar"/>
              </w:rPr>
              <w:t>措施。</w:t>
            </w:r>
          </w:p>
          <w:p w14:paraId="3F8CB6C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宋体" w:hAnsi="Times New Roman" w:eastAsia="宋体" w:cs="宋体"/>
                <w:color w:val="000000"/>
                <w:sz w:val="21"/>
                <w:szCs w:val="21"/>
                <w:lang w:val="en-US" w:eastAsia="zh-CN" w:bidi="ar"/>
              </w:rPr>
            </w:pPr>
          </w:p>
        </w:tc>
        <w:tc>
          <w:tcPr>
            <w:tcW w:w="729" w:type="dxa"/>
            <w:tcBorders>
              <w:top w:val="single" w:color="auto" w:sz="4" w:space="0"/>
              <w:left w:val="single" w:color="auto" w:sz="4" w:space="0"/>
              <w:bottom w:val="single" w:color="auto" w:sz="4" w:space="0"/>
              <w:right w:val="single" w:color="auto" w:sz="4" w:space="0"/>
            </w:tcBorders>
            <w:noWrap w:val="0"/>
            <w:vAlign w:val="center"/>
          </w:tcPr>
          <w:p w14:paraId="7ACA1B4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符合</w:t>
            </w:r>
          </w:p>
        </w:tc>
      </w:tr>
      <w:tr w14:paraId="4C54C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dxa"/>
            <w:vMerge w:val="continue"/>
            <w:tcBorders>
              <w:left w:val="single" w:color="auto" w:sz="4" w:space="0"/>
              <w:right w:val="single" w:color="auto" w:sz="4" w:space="0"/>
            </w:tcBorders>
            <w:noWrap w:val="0"/>
            <w:vAlign w:val="center"/>
          </w:tcPr>
          <w:p w14:paraId="30EB15E8">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p>
        </w:tc>
        <w:tc>
          <w:tcPr>
            <w:tcW w:w="5705" w:type="dxa"/>
            <w:tcBorders>
              <w:top w:val="single" w:color="auto" w:sz="4" w:space="0"/>
              <w:left w:val="single" w:color="auto" w:sz="4" w:space="0"/>
              <w:bottom w:val="single" w:color="auto" w:sz="4" w:space="0"/>
              <w:right w:val="single" w:color="auto" w:sz="4" w:space="0"/>
            </w:tcBorders>
            <w:noWrap w:val="0"/>
            <w:vAlign w:val="center"/>
          </w:tcPr>
          <w:p w14:paraId="0A6CED8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val="en-US" w:eastAsia="zh-CN" w:bidi="ar"/>
              </w:rPr>
              <w:t>4.6.3</w:t>
            </w:r>
            <w:r>
              <w:rPr>
                <w:rFonts w:hint="eastAsia" w:ascii="宋体" w:hAnsi="Times New Roman" w:eastAsia="宋体" w:cs="宋体"/>
                <w:color w:val="000000"/>
                <w:sz w:val="21"/>
                <w:szCs w:val="21"/>
                <w:lang w:bidi="ar"/>
              </w:rPr>
              <w:t>抗震设计</w:t>
            </w:r>
          </w:p>
          <w:p w14:paraId="47D59C8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（1）抗震设防参数</w:t>
            </w:r>
          </w:p>
          <w:p w14:paraId="3D2D81F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1）抗震设防烈度：7度</w:t>
            </w:r>
          </w:p>
          <w:p w14:paraId="4A456CC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2）场地类别：Ⅱ类</w:t>
            </w:r>
          </w:p>
          <w:p w14:paraId="5A3CE6E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3）设计地震分组：第三组</w:t>
            </w:r>
          </w:p>
          <w:p w14:paraId="3E46EA3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4）设计基本地震加速度值：0.15g</w:t>
            </w:r>
          </w:p>
          <w:p w14:paraId="775864C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5）水平地震影响系数最大值：0.12</w:t>
            </w:r>
          </w:p>
          <w:p w14:paraId="473854C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6）特征周期值：分别为0.45s</w:t>
            </w:r>
          </w:p>
          <w:p w14:paraId="7B33CCD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（2）结构抗震技术措施</w:t>
            </w:r>
          </w:p>
          <w:p w14:paraId="4FA2CAC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结构体系根据建筑的抗震设防类别、抗震设防烈度、建筑高度、场地条件、地基、结构材料和施工等因素，经技术、经济和使用条件综合比较确定。并符合下列各项要求：</w:t>
            </w:r>
          </w:p>
          <w:p w14:paraId="749B834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应具有明确的计算简图和合理的地震作用传递途径。</w:t>
            </w:r>
          </w:p>
          <w:p w14:paraId="7A087E9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应避免因部分结构或构件破坏而导致整个结构丧失抗震能力或对重力荷载的承载能力。</w:t>
            </w:r>
          </w:p>
          <w:p w14:paraId="285CFF9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应具备必要的抗震承载力，良好的变形能力和消耗地震能量的能力。</w:t>
            </w:r>
          </w:p>
          <w:p w14:paraId="56BCAB3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对可能出现的薄弱部位，采取措施提高抗震能力。</w:t>
            </w:r>
          </w:p>
          <w:p w14:paraId="2D13F24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宜有多道抗震防线。</w:t>
            </w:r>
          </w:p>
          <w:p w14:paraId="36A5D06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宜具有合理的刚度和承载力分布，避免因局部削弱或突变形成薄弱部位，产生过大的应力集中或塑性变形集中。</w:t>
            </w:r>
          </w:p>
          <w:p w14:paraId="75108CC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结构在两个主轴方向的动力特性宜相近。</w:t>
            </w:r>
          </w:p>
          <w:p w14:paraId="6936A22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抗震措施应严格遵守具有实效性的国家和行业关于建(构)筑物抗震设防分类、计算、构造等规范、规程的要求。</w:t>
            </w:r>
          </w:p>
          <w:p w14:paraId="628DDE5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建筑结构材料选用应满足抗震和环境对材料的基本要求。</w:t>
            </w:r>
          </w:p>
          <w:p w14:paraId="5D2A547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本项目构筑物设置情况详见下表：</w:t>
            </w:r>
          </w:p>
          <w:p w14:paraId="34DDEC2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构筑物一览表</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
              <w:gridCol w:w="455"/>
              <w:gridCol w:w="752"/>
              <w:gridCol w:w="507"/>
              <w:gridCol w:w="1020"/>
              <w:gridCol w:w="1140"/>
              <w:gridCol w:w="1154"/>
            </w:tblGrid>
            <w:tr w14:paraId="2CDDE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shd w:val="clear" w:color="auto" w:fill="auto"/>
                  <w:vAlign w:val="center"/>
                </w:tcPr>
                <w:p w14:paraId="4C37F70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序号</w:t>
                  </w:r>
                </w:p>
              </w:tc>
              <w:tc>
                <w:tcPr>
                  <w:tcW w:w="415" w:type="pct"/>
                  <w:vAlign w:val="center"/>
                </w:tcPr>
                <w:p w14:paraId="118B403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区段</w:t>
                  </w:r>
                </w:p>
              </w:tc>
              <w:tc>
                <w:tcPr>
                  <w:tcW w:w="686" w:type="pct"/>
                  <w:shd w:val="clear" w:color="auto" w:fill="auto"/>
                  <w:vAlign w:val="center"/>
                </w:tcPr>
                <w:p w14:paraId="0B3CB76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管架宽度</w:t>
                  </w:r>
                </w:p>
              </w:tc>
              <w:tc>
                <w:tcPr>
                  <w:tcW w:w="463" w:type="pct"/>
                  <w:shd w:val="clear" w:color="auto" w:fill="auto"/>
                  <w:vAlign w:val="center"/>
                </w:tcPr>
                <w:p w14:paraId="0411375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管架层数</w:t>
                  </w:r>
                </w:p>
              </w:tc>
              <w:tc>
                <w:tcPr>
                  <w:tcW w:w="931" w:type="pct"/>
                  <w:shd w:val="clear" w:color="auto" w:fill="auto"/>
                  <w:vAlign w:val="center"/>
                </w:tcPr>
                <w:p w14:paraId="6D7C7AB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管架荷载</w:t>
                  </w:r>
                </w:p>
              </w:tc>
              <w:tc>
                <w:tcPr>
                  <w:tcW w:w="1040" w:type="pct"/>
                  <w:shd w:val="clear" w:color="auto" w:fill="auto"/>
                  <w:vAlign w:val="center"/>
                </w:tcPr>
                <w:p w14:paraId="5A5A8EB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结构型式</w:t>
                  </w:r>
                </w:p>
              </w:tc>
              <w:tc>
                <w:tcPr>
                  <w:tcW w:w="1053" w:type="pct"/>
                  <w:vAlign w:val="center"/>
                </w:tcPr>
                <w:p w14:paraId="694EE47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基础型式</w:t>
                  </w:r>
                </w:p>
              </w:tc>
            </w:tr>
            <w:tr w14:paraId="21237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jc w:val="center"/>
              </w:trPr>
              <w:tc>
                <w:tcPr>
                  <w:tcW w:w="412" w:type="pct"/>
                  <w:shd w:val="clear" w:color="auto" w:fill="auto"/>
                  <w:vAlign w:val="center"/>
                </w:tcPr>
                <w:p w14:paraId="2BE1635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1</w:t>
                  </w:r>
                </w:p>
              </w:tc>
              <w:tc>
                <w:tcPr>
                  <w:tcW w:w="415" w:type="pct"/>
                  <w:vAlign w:val="center"/>
                </w:tcPr>
                <w:p w14:paraId="053D6F0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A段</w:t>
                  </w:r>
                </w:p>
              </w:tc>
              <w:tc>
                <w:tcPr>
                  <w:tcW w:w="686" w:type="pct"/>
                  <w:shd w:val="clear" w:color="auto" w:fill="auto"/>
                  <w:vAlign w:val="center"/>
                </w:tcPr>
                <w:p w14:paraId="7E55EAB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1.6m</w:t>
                  </w:r>
                </w:p>
              </w:tc>
              <w:tc>
                <w:tcPr>
                  <w:tcW w:w="463" w:type="pct"/>
                  <w:shd w:val="clear" w:color="auto" w:fill="auto"/>
                  <w:vAlign w:val="center"/>
                </w:tcPr>
                <w:p w14:paraId="1F1CAB6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2</w:t>
                  </w:r>
                </w:p>
              </w:tc>
              <w:tc>
                <w:tcPr>
                  <w:tcW w:w="931" w:type="pct"/>
                  <w:shd w:val="clear" w:color="auto" w:fill="auto"/>
                  <w:vAlign w:val="center"/>
                </w:tcPr>
                <w:p w14:paraId="15FB09E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700kg/m</w:t>
                  </w:r>
                </w:p>
              </w:tc>
              <w:tc>
                <w:tcPr>
                  <w:tcW w:w="1040" w:type="pct"/>
                  <w:shd w:val="clear" w:color="auto" w:fill="auto"/>
                  <w:vAlign w:val="center"/>
                </w:tcPr>
                <w:p w14:paraId="1CED36A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钢筋混凝土混合管廊式管架、</w:t>
                  </w:r>
                </w:p>
                <w:p w14:paraId="27EEF4F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钢框架结构</w:t>
                  </w:r>
                </w:p>
              </w:tc>
              <w:tc>
                <w:tcPr>
                  <w:tcW w:w="1053" w:type="pct"/>
                  <w:vAlign w:val="center"/>
                </w:tcPr>
                <w:p w14:paraId="668305D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桩基+独基</w:t>
                  </w:r>
                </w:p>
              </w:tc>
            </w:tr>
            <w:tr w14:paraId="23C4F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shd w:val="clear" w:color="auto" w:fill="auto"/>
                  <w:vAlign w:val="center"/>
                </w:tcPr>
                <w:p w14:paraId="56A1609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2</w:t>
                  </w:r>
                </w:p>
              </w:tc>
              <w:tc>
                <w:tcPr>
                  <w:tcW w:w="415" w:type="pct"/>
                  <w:vAlign w:val="center"/>
                </w:tcPr>
                <w:p w14:paraId="592D01F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B段</w:t>
                  </w:r>
                </w:p>
              </w:tc>
              <w:tc>
                <w:tcPr>
                  <w:tcW w:w="686" w:type="pct"/>
                  <w:shd w:val="clear" w:color="auto" w:fill="auto"/>
                  <w:vAlign w:val="center"/>
                </w:tcPr>
                <w:p w14:paraId="3A681B1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1.4m、1.6m</w:t>
                  </w:r>
                </w:p>
              </w:tc>
              <w:tc>
                <w:tcPr>
                  <w:tcW w:w="463" w:type="pct"/>
                  <w:shd w:val="clear" w:color="auto" w:fill="auto"/>
                  <w:vAlign w:val="center"/>
                </w:tcPr>
                <w:p w14:paraId="01D9B29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2</w:t>
                  </w:r>
                </w:p>
              </w:tc>
              <w:tc>
                <w:tcPr>
                  <w:tcW w:w="931" w:type="pct"/>
                  <w:shd w:val="clear" w:color="auto" w:fill="auto"/>
                  <w:vAlign w:val="center"/>
                </w:tcPr>
                <w:p w14:paraId="6CA2283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700kg/m</w:t>
                  </w:r>
                </w:p>
              </w:tc>
              <w:tc>
                <w:tcPr>
                  <w:tcW w:w="1040" w:type="pct"/>
                  <w:shd w:val="clear" w:color="auto" w:fill="auto"/>
                  <w:vAlign w:val="center"/>
                </w:tcPr>
                <w:p w14:paraId="41A5E11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T型架</w:t>
                  </w:r>
                </w:p>
              </w:tc>
              <w:tc>
                <w:tcPr>
                  <w:tcW w:w="1053" w:type="pct"/>
                  <w:vAlign w:val="center"/>
                </w:tcPr>
                <w:p w14:paraId="1CBB7C6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独基</w:t>
                  </w:r>
                </w:p>
              </w:tc>
            </w:tr>
            <w:tr w14:paraId="45306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shd w:val="clear" w:color="auto" w:fill="auto"/>
                  <w:vAlign w:val="center"/>
                </w:tcPr>
                <w:p w14:paraId="7A562DD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3</w:t>
                  </w:r>
                </w:p>
              </w:tc>
              <w:tc>
                <w:tcPr>
                  <w:tcW w:w="415" w:type="pct"/>
                  <w:vAlign w:val="center"/>
                </w:tcPr>
                <w:p w14:paraId="6DD57AB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C段</w:t>
                  </w:r>
                </w:p>
              </w:tc>
              <w:tc>
                <w:tcPr>
                  <w:tcW w:w="686" w:type="pct"/>
                  <w:shd w:val="clear" w:color="auto" w:fill="auto"/>
                  <w:vAlign w:val="center"/>
                </w:tcPr>
                <w:p w14:paraId="02E45ED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1.6m</w:t>
                  </w:r>
                </w:p>
              </w:tc>
              <w:tc>
                <w:tcPr>
                  <w:tcW w:w="463" w:type="pct"/>
                  <w:shd w:val="clear" w:color="auto" w:fill="auto"/>
                  <w:vAlign w:val="center"/>
                </w:tcPr>
                <w:p w14:paraId="6BADDBC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2</w:t>
                  </w:r>
                </w:p>
              </w:tc>
              <w:tc>
                <w:tcPr>
                  <w:tcW w:w="931" w:type="pct"/>
                  <w:shd w:val="clear" w:color="auto" w:fill="auto"/>
                  <w:vAlign w:val="center"/>
                </w:tcPr>
                <w:p w14:paraId="41EF232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700kg/m</w:t>
                  </w:r>
                </w:p>
              </w:tc>
              <w:tc>
                <w:tcPr>
                  <w:tcW w:w="1040" w:type="pct"/>
                  <w:shd w:val="clear" w:color="auto" w:fill="auto"/>
                  <w:vAlign w:val="center"/>
                </w:tcPr>
                <w:p w14:paraId="6C89DE1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T型架</w:t>
                  </w:r>
                </w:p>
              </w:tc>
              <w:tc>
                <w:tcPr>
                  <w:tcW w:w="1053" w:type="pct"/>
                  <w:vAlign w:val="center"/>
                </w:tcPr>
                <w:p w14:paraId="6A46C1A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桩基+独基</w:t>
                  </w:r>
                </w:p>
              </w:tc>
            </w:tr>
            <w:tr w14:paraId="48BA9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shd w:val="clear" w:color="auto" w:fill="auto"/>
                  <w:vAlign w:val="center"/>
                </w:tcPr>
                <w:p w14:paraId="765BA21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4</w:t>
                  </w:r>
                </w:p>
              </w:tc>
              <w:tc>
                <w:tcPr>
                  <w:tcW w:w="415" w:type="pct"/>
                  <w:vAlign w:val="center"/>
                </w:tcPr>
                <w:p w14:paraId="601D171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D段</w:t>
                  </w:r>
                </w:p>
              </w:tc>
              <w:tc>
                <w:tcPr>
                  <w:tcW w:w="686" w:type="pct"/>
                  <w:shd w:val="clear" w:color="auto" w:fill="auto"/>
                  <w:vAlign w:val="center"/>
                </w:tcPr>
                <w:p w14:paraId="0022B53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2.5m</w:t>
                  </w:r>
                </w:p>
              </w:tc>
              <w:tc>
                <w:tcPr>
                  <w:tcW w:w="463" w:type="pct"/>
                  <w:shd w:val="clear" w:color="auto" w:fill="auto"/>
                  <w:vAlign w:val="center"/>
                </w:tcPr>
                <w:p w14:paraId="773A85C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2</w:t>
                  </w:r>
                </w:p>
              </w:tc>
              <w:tc>
                <w:tcPr>
                  <w:tcW w:w="931" w:type="pct"/>
                  <w:shd w:val="clear" w:color="auto" w:fill="auto"/>
                  <w:vAlign w:val="center"/>
                </w:tcPr>
                <w:p w14:paraId="5EB40B0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1000kg/m</w:t>
                  </w:r>
                </w:p>
              </w:tc>
              <w:tc>
                <w:tcPr>
                  <w:tcW w:w="1040" w:type="pct"/>
                  <w:shd w:val="clear" w:color="auto" w:fill="auto"/>
                  <w:vAlign w:val="center"/>
                </w:tcPr>
                <w:p w14:paraId="310ED33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钢框架结构</w:t>
                  </w:r>
                </w:p>
              </w:tc>
              <w:tc>
                <w:tcPr>
                  <w:tcW w:w="1053" w:type="pct"/>
                  <w:vAlign w:val="center"/>
                </w:tcPr>
                <w:p w14:paraId="3911BA1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独基</w:t>
                  </w:r>
                </w:p>
              </w:tc>
            </w:tr>
            <w:tr w14:paraId="7600D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shd w:val="clear" w:color="auto" w:fill="auto"/>
                  <w:vAlign w:val="center"/>
                </w:tcPr>
                <w:p w14:paraId="283B68B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5</w:t>
                  </w:r>
                </w:p>
              </w:tc>
              <w:tc>
                <w:tcPr>
                  <w:tcW w:w="415" w:type="pct"/>
                  <w:vAlign w:val="center"/>
                </w:tcPr>
                <w:p w14:paraId="104D0A0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E段</w:t>
                  </w:r>
                </w:p>
              </w:tc>
              <w:tc>
                <w:tcPr>
                  <w:tcW w:w="686" w:type="pct"/>
                  <w:shd w:val="clear" w:color="auto" w:fill="auto"/>
                  <w:vAlign w:val="center"/>
                </w:tcPr>
                <w:p w14:paraId="5901F87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3.0m</w:t>
                  </w:r>
                </w:p>
              </w:tc>
              <w:tc>
                <w:tcPr>
                  <w:tcW w:w="463" w:type="pct"/>
                  <w:shd w:val="clear" w:color="auto" w:fill="auto"/>
                  <w:vAlign w:val="center"/>
                </w:tcPr>
                <w:p w14:paraId="7953ACD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2</w:t>
                  </w:r>
                </w:p>
              </w:tc>
              <w:tc>
                <w:tcPr>
                  <w:tcW w:w="931" w:type="pct"/>
                  <w:shd w:val="clear" w:color="auto" w:fill="auto"/>
                  <w:vAlign w:val="center"/>
                </w:tcPr>
                <w:p w14:paraId="0E3F8BB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1400kg/m</w:t>
                  </w:r>
                </w:p>
              </w:tc>
              <w:tc>
                <w:tcPr>
                  <w:tcW w:w="1040" w:type="pct"/>
                  <w:shd w:val="clear" w:color="auto" w:fill="auto"/>
                  <w:vAlign w:val="center"/>
                </w:tcPr>
                <w:p w14:paraId="246E3AB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钢框架结构</w:t>
                  </w:r>
                </w:p>
              </w:tc>
              <w:tc>
                <w:tcPr>
                  <w:tcW w:w="1053" w:type="pct"/>
                  <w:vAlign w:val="center"/>
                </w:tcPr>
                <w:p w14:paraId="52DE964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独基</w:t>
                  </w:r>
                </w:p>
              </w:tc>
            </w:tr>
            <w:tr w14:paraId="25FA3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shd w:val="clear" w:color="auto" w:fill="auto"/>
                  <w:vAlign w:val="center"/>
                </w:tcPr>
                <w:p w14:paraId="164ADF9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6</w:t>
                  </w:r>
                </w:p>
              </w:tc>
              <w:tc>
                <w:tcPr>
                  <w:tcW w:w="415" w:type="pct"/>
                  <w:vAlign w:val="center"/>
                </w:tcPr>
                <w:p w14:paraId="0E817EB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F段</w:t>
                  </w:r>
                </w:p>
              </w:tc>
              <w:tc>
                <w:tcPr>
                  <w:tcW w:w="686" w:type="pct"/>
                  <w:shd w:val="clear" w:color="auto" w:fill="auto"/>
                  <w:vAlign w:val="center"/>
                </w:tcPr>
                <w:p w14:paraId="3577E70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3.0m</w:t>
                  </w:r>
                </w:p>
              </w:tc>
              <w:tc>
                <w:tcPr>
                  <w:tcW w:w="463" w:type="pct"/>
                  <w:shd w:val="clear" w:color="auto" w:fill="auto"/>
                  <w:vAlign w:val="center"/>
                </w:tcPr>
                <w:p w14:paraId="37B38E1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2</w:t>
                  </w:r>
                </w:p>
              </w:tc>
              <w:tc>
                <w:tcPr>
                  <w:tcW w:w="931" w:type="pct"/>
                  <w:shd w:val="clear" w:color="auto" w:fill="auto"/>
                  <w:vAlign w:val="center"/>
                </w:tcPr>
                <w:p w14:paraId="6EE5699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1350kg/m、</w:t>
                  </w:r>
                </w:p>
                <w:p w14:paraId="66E4E4A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2700kg/m、</w:t>
                  </w:r>
                </w:p>
                <w:p w14:paraId="61C76C3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1500kg/m</w:t>
                  </w:r>
                </w:p>
              </w:tc>
              <w:tc>
                <w:tcPr>
                  <w:tcW w:w="1040" w:type="pct"/>
                  <w:shd w:val="clear" w:color="auto" w:fill="auto"/>
                  <w:vAlign w:val="center"/>
                </w:tcPr>
                <w:p w14:paraId="0532100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钢筋混凝土混合管廊式管架、</w:t>
                  </w:r>
                </w:p>
                <w:p w14:paraId="2ECEEC7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钢框架结构</w:t>
                  </w:r>
                </w:p>
              </w:tc>
              <w:tc>
                <w:tcPr>
                  <w:tcW w:w="1053" w:type="pct"/>
                  <w:vAlign w:val="center"/>
                </w:tcPr>
                <w:p w14:paraId="62D31B6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独基</w:t>
                  </w:r>
                </w:p>
              </w:tc>
            </w:tr>
          </w:tbl>
          <w:p w14:paraId="14D7997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p>
        </w:tc>
        <w:tc>
          <w:tcPr>
            <w:tcW w:w="2253" w:type="dxa"/>
            <w:tcBorders>
              <w:top w:val="single" w:color="auto" w:sz="4" w:space="0"/>
              <w:left w:val="single" w:color="auto" w:sz="4" w:space="0"/>
              <w:bottom w:val="single" w:color="auto" w:sz="4" w:space="0"/>
              <w:right w:val="single" w:color="auto" w:sz="4" w:space="0"/>
            </w:tcBorders>
            <w:noWrap w:val="0"/>
            <w:vAlign w:val="center"/>
          </w:tcPr>
          <w:p w14:paraId="65DDC7E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按照GB50057-2010《建筑防雷设计规范》，本工程公共管廊为第三类防雷建筑物。</w:t>
            </w:r>
          </w:p>
          <w:p w14:paraId="0F2042F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p>
        </w:tc>
        <w:tc>
          <w:tcPr>
            <w:tcW w:w="729" w:type="dxa"/>
            <w:tcBorders>
              <w:top w:val="single" w:color="auto" w:sz="4" w:space="0"/>
              <w:left w:val="single" w:color="auto" w:sz="4" w:space="0"/>
              <w:bottom w:val="single" w:color="auto" w:sz="4" w:space="0"/>
              <w:right w:val="single" w:color="auto" w:sz="4" w:space="0"/>
            </w:tcBorders>
            <w:noWrap w:val="0"/>
            <w:vAlign w:val="center"/>
          </w:tcPr>
          <w:p w14:paraId="3DC297B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符合</w:t>
            </w:r>
          </w:p>
        </w:tc>
      </w:tr>
      <w:tr w14:paraId="15E75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dxa"/>
            <w:vMerge w:val="restart"/>
            <w:tcBorders>
              <w:top w:val="single" w:color="auto" w:sz="4" w:space="0"/>
              <w:left w:val="single" w:color="auto" w:sz="4" w:space="0"/>
              <w:bottom w:val="single" w:color="auto" w:sz="4" w:space="0"/>
              <w:right w:val="single" w:color="auto" w:sz="4" w:space="0"/>
            </w:tcBorders>
            <w:noWrap w:val="0"/>
            <w:vAlign w:val="center"/>
          </w:tcPr>
          <w:p w14:paraId="0A08AE5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000000"/>
                <w:sz w:val="21"/>
                <w:szCs w:val="21"/>
              </w:rPr>
            </w:pPr>
            <w:r>
              <w:rPr>
                <w:rFonts w:hint="eastAsia"/>
                <w:color w:val="000000"/>
                <w:sz w:val="21"/>
                <w:szCs w:val="21"/>
                <w:lang w:bidi="ar"/>
              </w:rPr>
              <w:t>4.7</w:t>
            </w:r>
            <w:r>
              <w:rPr>
                <w:color w:val="000000"/>
                <w:sz w:val="21"/>
                <w:szCs w:val="21"/>
                <w:lang w:bidi="ar"/>
              </w:rPr>
              <w:t>其他防范</w:t>
            </w:r>
            <w:r>
              <w:rPr>
                <w:rFonts w:hint="eastAsia"/>
                <w:color w:val="000000"/>
                <w:sz w:val="21"/>
                <w:szCs w:val="21"/>
                <w:lang w:bidi="ar"/>
              </w:rPr>
              <w:t>设施</w:t>
            </w:r>
          </w:p>
        </w:tc>
        <w:tc>
          <w:tcPr>
            <w:tcW w:w="5705" w:type="dxa"/>
            <w:tcBorders>
              <w:top w:val="single" w:color="auto" w:sz="4" w:space="0"/>
              <w:left w:val="single" w:color="auto" w:sz="4" w:space="0"/>
              <w:bottom w:val="single" w:color="auto" w:sz="4" w:space="0"/>
              <w:right w:val="single" w:color="auto" w:sz="4" w:space="0"/>
            </w:tcBorders>
            <w:noWrap w:val="0"/>
            <w:vAlign w:val="center"/>
          </w:tcPr>
          <w:p w14:paraId="2599C67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4.7.1防洪、防台风、防地质灾害、抗震等防范自然灾害的措施</w:t>
            </w:r>
          </w:p>
          <w:p w14:paraId="4BEADCC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4.7.1.1防洪</w:t>
            </w:r>
          </w:p>
          <w:p w14:paraId="1D7FB20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本工程竖向布置及排水已考虑满足厂区防洪、排洪的要求。</w:t>
            </w:r>
          </w:p>
          <w:p w14:paraId="5E01887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该项目厂址所在园区设有排洪沟，安宁市20年平均最大1、6、24小时的暴雨量分别为35.7mm58.4mm和77.2毫米，安宁市至今为止没有发生过洪涝灾害。</w:t>
            </w:r>
          </w:p>
          <w:p w14:paraId="079A80D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4.7.1.2防地质灾害、抗震</w:t>
            </w:r>
          </w:p>
          <w:p w14:paraId="3C1F470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根据已搜集的区域地质资料和本次勘察结果表明，勘察范围内未发现岩溶、滑坡、危岩和崩塌、泥石流、采空区、地面沉降不良地质作用和地质灾害隐患，亦未发现古河道、墓穴、防空洞、采空区、不利埋藏物及塌陷等对工程不利的埋藏物。拟建场地勘探深度范围内未发现液化土，场地可不考虑液化土影响。根据钻探揭露及实地调查结果表明，场地分布的特殊性岩土为填土、膨胀土及风化岩。拟建场地位于山地缓坡地段，地形高差较大，拟建场地属于半挖半填场地，按《建筑抗震设计规范》(GB50011-2010)（2016年版）表4.1.1判定，场地属对建筑抗震的不利地段，设计时根据《云南省膨胀土地区建筑技术规程》DBJ53∕T 83-2017考虑特殊性岩土对场地影响；且设计时根据《建筑抗震设计规范》GB50011-2010（2016年版）第4.1.8条的规定核查各建构筑物设计地震动参数予以放大。</w:t>
            </w:r>
          </w:p>
          <w:p w14:paraId="0286DF6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依据《中国地震动参数区划图》GB18306-2015，并同时依据《建筑抗震设计规范》GB50011-2010(2016年版)规定，抗震设防烈度为7度，设计基本地震加速度值为0.15g，设计地震分组为第三组，建筑场地类别II类。</w:t>
            </w:r>
          </w:p>
          <w:p w14:paraId="2D17EA3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本项目管廊管架设计严格按照地勘提供数据进行设计，尽量减少地震发生时的危害。</w:t>
            </w:r>
          </w:p>
        </w:tc>
        <w:tc>
          <w:tcPr>
            <w:tcW w:w="2253" w:type="dxa"/>
            <w:tcBorders>
              <w:top w:val="single" w:color="auto" w:sz="4" w:space="0"/>
              <w:left w:val="single" w:color="auto" w:sz="4" w:space="0"/>
              <w:bottom w:val="single" w:color="auto" w:sz="4" w:space="0"/>
              <w:right w:val="single" w:color="auto" w:sz="4" w:space="0"/>
            </w:tcBorders>
            <w:noWrap w:val="0"/>
            <w:vAlign w:val="center"/>
          </w:tcPr>
          <w:p w14:paraId="52D18B4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4.7.1.1防洪</w:t>
            </w:r>
          </w:p>
          <w:p w14:paraId="5996390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本工程竖向布置及排水已考虑满足厂区防洪、排洪的要求。</w:t>
            </w:r>
          </w:p>
          <w:p w14:paraId="6F4DF53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该项目厂址所在园区设有排洪沟。</w:t>
            </w:r>
          </w:p>
          <w:p w14:paraId="7F766BC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4.7.1.2防地质灾害、抗震</w:t>
            </w:r>
          </w:p>
          <w:p w14:paraId="57C64BC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各主项建筑、结构、工艺、管道等设计严格按照地勘提供数据进行设计、施工，土建工程验收合格。</w:t>
            </w:r>
          </w:p>
        </w:tc>
        <w:tc>
          <w:tcPr>
            <w:tcW w:w="729" w:type="dxa"/>
            <w:tcBorders>
              <w:top w:val="single" w:color="auto" w:sz="4" w:space="0"/>
              <w:left w:val="single" w:color="auto" w:sz="4" w:space="0"/>
              <w:bottom w:val="single" w:color="auto" w:sz="4" w:space="0"/>
              <w:right w:val="single" w:color="auto" w:sz="4" w:space="0"/>
            </w:tcBorders>
            <w:noWrap w:val="0"/>
            <w:vAlign w:val="center"/>
          </w:tcPr>
          <w:p w14:paraId="419E1ED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符合</w:t>
            </w:r>
          </w:p>
        </w:tc>
      </w:tr>
      <w:tr w14:paraId="427BB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dxa"/>
            <w:vMerge w:val="continue"/>
            <w:tcBorders>
              <w:top w:val="single" w:color="auto" w:sz="4" w:space="0"/>
              <w:left w:val="single" w:color="auto" w:sz="4" w:space="0"/>
              <w:bottom w:val="single" w:color="auto" w:sz="4" w:space="0"/>
              <w:right w:val="single" w:color="auto" w:sz="4" w:space="0"/>
            </w:tcBorders>
            <w:noWrap w:val="0"/>
            <w:vAlign w:val="center"/>
          </w:tcPr>
          <w:p w14:paraId="59C11061">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p>
        </w:tc>
        <w:tc>
          <w:tcPr>
            <w:tcW w:w="5705" w:type="dxa"/>
            <w:tcBorders>
              <w:top w:val="single" w:color="auto" w:sz="4" w:space="0"/>
              <w:left w:val="single" w:color="auto" w:sz="4" w:space="0"/>
              <w:bottom w:val="single" w:color="auto" w:sz="4" w:space="0"/>
              <w:right w:val="single" w:color="auto" w:sz="4" w:space="0"/>
            </w:tcBorders>
            <w:noWrap w:val="0"/>
            <w:vAlign w:val="center"/>
          </w:tcPr>
          <w:p w14:paraId="256B359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4.7.2防噪声、防灼烫、防护栏、安全标志、风向标的设置等</w:t>
            </w:r>
          </w:p>
          <w:p w14:paraId="4D87E9B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（1）防噪声</w:t>
            </w:r>
          </w:p>
          <w:p w14:paraId="7B6B75D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1）泵的降噪措施</w:t>
            </w:r>
          </w:p>
          <w:p w14:paraId="0C07E31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①尽量选用低噪音的泵，在设计和订货时选用噪声级达到国家标准的泵，以减少噪声对环境和人身的危害；</w:t>
            </w:r>
          </w:p>
          <w:p w14:paraId="2D68B30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②对于噪声较大的泵，进、出口均加装缓冲器；</w:t>
            </w:r>
          </w:p>
          <w:p w14:paraId="6ABB76A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③安装时一定要固定牢固；</w:t>
            </w:r>
          </w:p>
          <w:p w14:paraId="781F0DF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④与泵连接的管道设置膨胀节或U形弯。</w:t>
            </w:r>
          </w:p>
          <w:p w14:paraId="5C3A787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2）气体放空管线的降噪措施</w:t>
            </w:r>
          </w:p>
          <w:p w14:paraId="3AFE47F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对超过一定压力的气体放空管线设置消音器。</w:t>
            </w:r>
          </w:p>
          <w:p w14:paraId="3E4FE6D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另外，对在噪声较大的环境工作的工人采取个人防护措施（佩戴耳塞、耳罩等）和减少接触噪声的时间，以减轻人员危害。</w:t>
            </w:r>
          </w:p>
          <w:p w14:paraId="1380EDA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（2）防灼烫、防冻</w:t>
            </w:r>
          </w:p>
          <w:p w14:paraId="3BA6C3C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输送高温蒸汽的管道采取防烫保温设施，防止热量的泄漏和人员的烫伤事故。</w:t>
            </w:r>
          </w:p>
          <w:p w14:paraId="5EA9775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1）为了防止操作人员被热表面烫伤，在介质温度高于60℃而又不要求绝热时，对操作人员可能触及的范围，距通道或操作平台0.75m以内以及距地面或操作平台&lt;2.1m的设备和管道进行防烫绝热处理。</w:t>
            </w:r>
          </w:p>
          <w:p w14:paraId="48F9584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2）清理干净所有需绝热的表面，使之无赃物、无锈、无氧化皮、无油。待表面干燥之后再安装绝热层。</w:t>
            </w:r>
          </w:p>
          <w:p w14:paraId="4D0B80F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3）设备和管道的绝热层厚度可根据管径、介质温度查阅附表得出。</w:t>
            </w:r>
          </w:p>
          <w:p w14:paraId="66055A1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热绝热层厚度大于100mm采用多层结构，各层的厚度相同。</w:t>
            </w:r>
          </w:p>
          <w:p w14:paraId="6A14616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4）法兰和阀门等经常需拆卸维修的管件都按要求进行绝热、防烫，并采用可拆卸式结构。</w:t>
            </w:r>
          </w:p>
          <w:p w14:paraId="1A9BA48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5）设备与管道绝热工程施工及验收标准均按照GB50126《工业设备及管道绝热工程施工及验收规范》执行。</w:t>
            </w:r>
          </w:p>
          <w:p w14:paraId="464E11C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 xml:space="preserve">绝热材料具体规定如下： </w:t>
            </w:r>
          </w:p>
          <w:p w14:paraId="5503B01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绝热材料</w:t>
            </w:r>
          </w:p>
          <w:tbl>
            <w:tblPr>
              <w:tblStyle w:val="8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1165"/>
              <w:gridCol w:w="1539"/>
              <w:gridCol w:w="789"/>
              <w:gridCol w:w="788"/>
            </w:tblGrid>
            <w:tr w14:paraId="1A781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vAlign w:val="top"/>
                </w:tcPr>
                <w:p w14:paraId="2AC45EB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材料名称</w:t>
                  </w:r>
                </w:p>
              </w:tc>
              <w:tc>
                <w:tcPr>
                  <w:tcW w:w="1963" w:type="dxa"/>
                  <w:vAlign w:val="top"/>
                </w:tcPr>
                <w:p w14:paraId="361AD17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操作温度（ 0C ）</w:t>
                  </w:r>
                </w:p>
              </w:tc>
              <w:tc>
                <w:tcPr>
                  <w:tcW w:w="2653" w:type="dxa"/>
                  <w:vAlign w:val="top"/>
                </w:tcPr>
                <w:p w14:paraId="525E3F9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导热系数</w:t>
                  </w:r>
                </w:p>
                <w:p w14:paraId="2162C4B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W/m·0K</w:t>
                  </w:r>
                </w:p>
              </w:tc>
              <w:tc>
                <w:tcPr>
                  <w:tcW w:w="1268" w:type="dxa"/>
                  <w:vAlign w:val="top"/>
                </w:tcPr>
                <w:p w14:paraId="135595C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抗压强度</w:t>
                  </w:r>
                </w:p>
                <w:p w14:paraId="0B82139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 MPa ）</w:t>
                  </w:r>
                </w:p>
              </w:tc>
              <w:tc>
                <w:tcPr>
                  <w:tcW w:w="1266" w:type="dxa"/>
                  <w:vAlign w:val="top"/>
                </w:tcPr>
                <w:p w14:paraId="006E0EF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容重</w:t>
                  </w:r>
                </w:p>
                <w:p w14:paraId="125EDF9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kg/m3</w:t>
                  </w:r>
                </w:p>
              </w:tc>
            </w:tr>
            <w:tr w14:paraId="62146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vAlign w:val="top"/>
                </w:tcPr>
                <w:p w14:paraId="64D741E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微孔硅酸钙管壳</w:t>
                  </w:r>
                </w:p>
              </w:tc>
              <w:tc>
                <w:tcPr>
                  <w:tcW w:w="1963" w:type="dxa"/>
                  <w:vAlign w:val="top"/>
                </w:tcPr>
                <w:p w14:paraId="5D2F8EB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20～350</w:t>
                  </w:r>
                </w:p>
              </w:tc>
              <w:tc>
                <w:tcPr>
                  <w:tcW w:w="2653" w:type="dxa"/>
                  <w:vAlign w:val="top"/>
                </w:tcPr>
                <w:p w14:paraId="1F86F2E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0.055+0.00011 tcp</w:t>
                  </w:r>
                </w:p>
              </w:tc>
              <w:tc>
                <w:tcPr>
                  <w:tcW w:w="1268" w:type="dxa"/>
                  <w:vAlign w:val="top"/>
                </w:tcPr>
                <w:p w14:paraId="7F463FF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≮0.4</w:t>
                  </w:r>
                </w:p>
              </w:tc>
              <w:tc>
                <w:tcPr>
                  <w:tcW w:w="1266" w:type="dxa"/>
                  <w:vAlign w:val="top"/>
                </w:tcPr>
                <w:p w14:paraId="057C447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170～240</w:t>
                  </w:r>
                </w:p>
              </w:tc>
            </w:tr>
            <w:tr w14:paraId="7209D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vAlign w:val="top"/>
                </w:tcPr>
                <w:p w14:paraId="5F46310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微孔硅酸钙管瓦</w:t>
                  </w:r>
                </w:p>
              </w:tc>
              <w:tc>
                <w:tcPr>
                  <w:tcW w:w="1963" w:type="dxa"/>
                  <w:vAlign w:val="top"/>
                </w:tcPr>
                <w:p w14:paraId="50B66D6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20～350</w:t>
                  </w:r>
                </w:p>
              </w:tc>
              <w:tc>
                <w:tcPr>
                  <w:tcW w:w="2653" w:type="dxa"/>
                  <w:vAlign w:val="top"/>
                </w:tcPr>
                <w:p w14:paraId="77DDD17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 xml:space="preserve">  0.055+0.00011 tcp</w:t>
                  </w:r>
                </w:p>
              </w:tc>
              <w:tc>
                <w:tcPr>
                  <w:tcW w:w="1268" w:type="dxa"/>
                  <w:vAlign w:val="top"/>
                </w:tcPr>
                <w:p w14:paraId="6CDBE39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≮0.4</w:t>
                  </w:r>
                </w:p>
              </w:tc>
              <w:tc>
                <w:tcPr>
                  <w:tcW w:w="1266" w:type="dxa"/>
                  <w:vAlign w:val="top"/>
                </w:tcPr>
                <w:p w14:paraId="4DFA6E7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170～240</w:t>
                  </w:r>
                </w:p>
              </w:tc>
            </w:tr>
            <w:tr w14:paraId="3FAA8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vAlign w:val="top"/>
                </w:tcPr>
                <w:p w14:paraId="0D7D03C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硬质闭孔阻燃型</w:t>
                  </w:r>
                </w:p>
                <w:p w14:paraId="22CFE95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聚氨酯泡沫塑料</w:t>
                  </w:r>
                </w:p>
              </w:tc>
              <w:tc>
                <w:tcPr>
                  <w:tcW w:w="1963" w:type="dxa"/>
                  <w:vAlign w:val="top"/>
                </w:tcPr>
                <w:p w14:paraId="01F0012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-10～10</w:t>
                  </w:r>
                </w:p>
              </w:tc>
              <w:tc>
                <w:tcPr>
                  <w:tcW w:w="2653" w:type="dxa"/>
                  <w:vAlign w:val="top"/>
                </w:tcPr>
                <w:p w14:paraId="6306081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0.27</w:t>
                  </w:r>
                </w:p>
              </w:tc>
              <w:tc>
                <w:tcPr>
                  <w:tcW w:w="1268" w:type="dxa"/>
                  <w:vAlign w:val="top"/>
                </w:tcPr>
                <w:p w14:paraId="1FE80F9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≥0.2</w:t>
                  </w:r>
                </w:p>
              </w:tc>
              <w:tc>
                <w:tcPr>
                  <w:tcW w:w="1266" w:type="dxa"/>
                  <w:vAlign w:val="top"/>
                </w:tcPr>
                <w:p w14:paraId="5216852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50</w:t>
                  </w:r>
                </w:p>
              </w:tc>
            </w:tr>
          </w:tbl>
          <w:p w14:paraId="02D067C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注：用于奥氏体不锈钢设备和管道上的绝热材料，其氯离子含量符合GBJ126。</w:t>
            </w:r>
          </w:p>
          <w:p w14:paraId="7B5B530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8）绝热层固定件、支承件的安装</w:t>
            </w:r>
          </w:p>
          <w:p w14:paraId="1900459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绝热层固定件、支承件的材料，根据设备或垂直管道材质确定，采用普通碳钢板、型钢、圆钢制作。不锈钢设备绝热层的固定件采用碳钢材料制作时，加焊不锈钢材料的垫板。</w:t>
            </w:r>
          </w:p>
          <w:p w14:paraId="1AD295A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（3）防护栏</w:t>
            </w:r>
          </w:p>
          <w:p w14:paraId="61AC6C3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防护栏安装一览表</w:t>
            </w:r>
          </w:p>
          <w:tbl>
            <w:tblPr>
              <w:tblStyle w:val="8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
              <w:gridCol w:w="2549"/>
              <w:gridCol w:w="1631"/>
              <w:gridCol w:w="833"/>
            </w:tblGrid>
            <w:tr w14:paraId="52963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385D5A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序号</w:t>
                  </w:r>
                </w:p>
              </w:tc>
              <w:tc>
                <w:tcPr>
                  <w:tcW w:w="4536" w:type="dxa"/>
                  <w:vAlign w:val="center"/>
                </w:tcPr>
                <w:p w14:paraId="44FD60E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安装位置</w:t>
                  </w:r>
                </w:p>
              </w:tc>
              <w:tc>
                <w:tcPr>
                  <w:tcW w:w="2835" w:type="dxa"/>
                  <w:vAlign w:val="center"/>
                </w:tcPr>
                <w:p w14:paraId="656DF3B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安装高度</w:t>
                  </w:r>
                </w:p>
              </w:tc>
              <w:tc>
                <w:tcPr>
                  <w:tcW w:w="1354" w:type="dxa"/>
                  <w:vAlign w:val="center"/>
                </w:tcPr>
                <w:p w14:paraId="7CFE73E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防护栏高度</w:t>
                  </w:r>
                </w:p>
              </w:tc>
            </w:tr>
            <w:tr w14:paraId="09802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8A5885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1</w:t>
                  </w:r>
                </w:p>
              </w:tc>
              <w:tc>
                <w:tcPr>
                  <w:tcW w:w="4536" w:type="dxa"/>
                  <w:vAlign w:val="center"/>
                </w:tcPr>
                <w:p w14:paraId="09A2D63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装置生产框架</w:t>
                  </w:r>
                </w:p>
              </w:tc>
              <w:tc>
                <w:tcPr>
                  <w:tcW w:w="2835" w:type="dxa"/>
                  <w:vAlign w:val="center"/>
                </w:tcPr>
                <w:p w14:paraId="094BA24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w:t>
                  </w:r>
                </w:p>
              </w:tc>
              <w:tc>
                <w:tcPr>
                  <w:tcW w:w="1354" w:type="dxa"/>
                  <w:vAlign w:val="center"/>
                </w:tcPr>
                <w:p w14:paraId="7DDA796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1.2m</w:t>
                  </w:r>
                </w:p>
              </w:tc>
            </w:tr>
            <w:tr w14:paraId="4AD5B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D2A3FB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2</w:t>
                  </w:r>
                </w:p>
              </w:tc>
              <w:tc>
                <w:tcPr>
                  <w:tcW w:w="4536" w:type="dxa"/>
                  <w:vAlign w:val="center"/>
                </w:tcPr>
                <w:p w14:paraId="11E8356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凡高度超过 1m 的平台、人行通道等 有跌落危险的场所，在其敞开的边缘处均设置防护栏杆，同时，楼面临空部分和洞口四周均设置栏杆，临空高 度在 24ｍ以下时，也设置防护栏杆。</w:t>
                  </w:r>
                </w:p>
              </w:tc>
              <w:tc>
                <w:tcPr>
                  <w:tcW w:w="2835" w:type="dxa"/>
                  <w:vAlign w:val="center"/>
                </w:tcPr>
                <w:p w14:paraId="5A9A4F6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高度超过 1m 的平台、人行通道等有跌落危险的场所、楼面临空部分和洞口四周</w:t>
                  </w:r>
                </w:p>
              </w:tc>
              <w:tc>
                <w:tcPr>
                  <w:tcW w:w="1354" w:type="dxa"/>
                  <w:vAlign w:val="center"/>
                </w:tcPr>
                <w:p w14:paraId="33DDEAF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1.2m</w:t>
                  </w:r>
                </w:p>
              </w:tc>
            </w:tr>
          </w:tbl>
          <w:p w14:paraId="5F68A32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（4）安全标志、风向标</w:t>
            </w:r>
          </w:p>
          <w:p w14:paraId="534E25D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1）作业场所（硫酸、氟硅酸泵区）设置安全标志，公示化学品危险性，安全标志符合GB2894的规定，化学品危险性公示符合GB 13690和GB 30000的规定。</w:t>
            </w:r>
          </w:p>
          <w:p w14:paraId="5E56B62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2）跨越道路的管廊设置限高标志，管廊立柱应设置防撞设施或防撞安全警示标志。</w:t>
            </w:r>
          </w:p>
          <w:p w14:paraId="6D5FBD0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3）饱和蒸汽管道裸露的阀门等部位设置“当心烫伤”等安全警示标志。</w:t>
            </w:r>
          </w:p>
          <w:p w14:paraId="0E3A32A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1）警示标志及标识</w:t>
            </w:r>
          </w:p>
          <w:p w14:paraId="0928B71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fldChar w:fldCharType="begin"/>
            </w:r>
            <w:r>
              <w:rPr>
                <w:rFonts w:hint="eastAsia" w:ascii="宋体" w:hAnsi="Times New Roman" w:eastAsia="宋体" w:cs="宋体"/>
                <w:color w:val="000000"/>
                <w:sz w:val="21"/>
                <w:szCs w:val="21"/>
              </w:rPr>
              <w:instrText xml:space="preserve"> = 1 \* GB3 </w:instrText>
            </w:r>
            <w:r>
              <w:rPr>
                <w:rFonts w:hint="eastAsia" w:ascii="宋体" w:hAnsi="Times New Roman" w:eastAsia="宋体" w:cs="宋体"/>
                <w:color w:val="000000"/>
                <w:sz w:val="21"/>
                <w:szCs w:val="21"/>
              </w:rPr>
              <w:fldChar w:fldCharType="separate"/>
            </w:r>
            <w:r>
              <w:rPr>
                <w:rFonts w:hint="eastAsia" w:ascii="宋体" w:hAnsi="Times New Roman" w:eastAsia="宋体" w:cs="宋体"/>
                <w:color w:val="000000"/>
                <w:sz w:val="21"/>
                <w:szCs w:val="21"/>
              </w:rPr>
              <w:t>①</w:t>
            </w:r>
            <w:r>
              <w:rPr>
                <w:rFonts w:hint="eastAsia" w:ascii="宋体" w:hAnsi="Times New Roman" w:eastAsia="宋体" w:cs="宋体"/>
                <w:color w:val="000000"/>
                <w:sz w:val="21"/>
                <w:szCs w:val="21"/>
              </w:rPr>
              <w:fldChar w:fldCharType="end"/>
            </w:r>
            <w:r>
              <w:rPr>
                <w:rFonts w:hint="eastAsia" w:ascii="宋体" w:hAnsi="Times New Roman" w:eastAsia="宋体" w:cs="宋体"/>
                <w:color w:val="000000"/>
                <w:sz w:val="21"/>
                <w:szCs w:val="21"/>
              </w:rPr>
              <w:t>安全标志执行</w:t>
            </w:r>
            <w:r>
              <w:rPr>
                <w:rFonts w:hint="eastAsia" w:cs="宋体"/>
                <w:color w:val="000000"/>
                <w:sz w:val="21"/>
                <w:szCs w:val="21"/>
                <w:lang w:eastAsia="zh-CN"/>
              </w:rPr>
              <w:t>《安全色和安全标志》（GB2894-2025）</w:t>
            </w:r>
            <w:r>
              <w:rPr>
                <w:rFonts w:hint="eastAsia" w:ascii="宋体" w:hAnsi="Times New Roman" w:eastAsia="宋体" w:cs="宋体"/>
                <w:color w:val="000000"/>
                <w:sz w:val="21"/>
                <w:szCs w:val="21"/>
              </w:rPr>
              <w:t>的规定；职业病危害警示标识执行《工作场所职业病危害警示标识》（GBZ158-2003）的规定；</w:t>
            </w:r>
          </w:p>
          <w:p w14:paraId="20439D5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fldChar w:fldCharType="begin"/>
            </w:r>
            <w:r>
              <w:rPr>
                <w:rFonts w:hint="eastAsia" w:ascii="宋体" w:hAnsi="Times New Roman" w:eastAsia="宋体" w:cs="宋体"/>
                <w:color w:val="000000"/>
                <w:sz w:val="21"/>
                <w:szCs w:val="21"/>
              </w:rPr>
              <w:instrText xml:space="preserve"> = 2 \* GB3 </w:instrText>
            </w:r>
            <w:r>
              <w:rPr>
                <w:rFonts w:hint="eastAsia" w:ascii="宋体" w:hAnsi="Times New Roman" w:eastAsia="宋体" w:cs="宋体"/>
                <w:color w:val="000000"/>
                <w:sz w:val="21"/>
                <w:szCs w:val="21"/>
              </w:rPr>
              <w:fldChar w:fldCharType="separate"/>
            </w:r>
            <w:r>
              <w:rPr>
                <w:rFonts w:hint="eastAsia" w:ascii="宋体" w:hAnsi="Times New Roman" w:eastAsia="宋体" w:cs="宋体"/>
                <w:color w:val="000000"/>
                <w:sz w:val="21"/>
                <w:szCs w:val="21"/>
              </w:rPr>
              <w:t>②</w:t>
            </w:r>
            <w:r>
              <w:rPr>
                <w:rFonts w:hint="eastAsia" w:ascii="宋体" w:hAnsi="Times New Roman" w:eastAsia="宋体" w:cs="宋体"/>
                <w:color w:val="000000"/>
                <w:sz w:val="21"/>
                <w:szCs w:val="21"/>
              </w:rPr>
              <w:fldChar w:fldCharType="end"/>
            </w:r>
            <w:r>
              <w:rPr>
                <w:rFonts w:hint="eastAsia" w:ascii="宋体" w:hAnsi="Times New Roman" w:eastAsia="宋体" w:cs="宋体"/>
                <w:color w:val="000000"/>
                <w:sz w:val="21"/>
                <w:szCs w:val="21"/>
              </w:rPr>
              <w:t>装置区、罐区等危险区设置永久性“严禁烟火”标志；</w:t>
            </w:r>
          </w:p>
          <w:p w14:paraId="1B89740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fldChar w:fldCharType="begin"/>
            </w:r>
            <w:r>
              <w:rPr>
                <w:rFonts w:hint="eastAsia" w:ascii="宋体" w:hAnsi="Times New Roman" w:eastAsia="宋体" w:cs="宋体"/>
                <w:color w:val="000000"/>
                <w:sz w:val="21"/>
                <w:szCs w:val="21"/>
              </w:rPr>
              <w:instrText xml:space="preserve"> = 3 \* GB3 </w:instrText>
            </w:r>
            <w:r>
              <w:rPr>
                <w:rFonts w:hint="eastAsia" w:ascii="宋体" w:hAnsi="Times New Roman" w:eastAsia="宋体" w:cs="宋体"/>
                <w:color w:val="000000"/>
                <w:sz w:val="21"/>
                <w:szCs w:val="21"/>
              </w:rPr>
              <w:fldChar w:fldCharType="separate"/>
            </w:r>
            <w:r>
              <w:rPr>
                <w:rFonts w:hint="eastAsia" w:ascii="宋体" w:hAnsi="Times New Roman" w:eastAsia="宋体" w:cs="宋体"/>
                <w:color w:val="000000"/>
                <w:sz w:val="21"/>
                <w:szCs w:val="21"/>
              </w:rPr>
              <w:t>③</w:t>
            </w:r>
            <w:r>
              <w:rPr>
                <w:rFonts w:hint="eastAsia" w:ascii="宋体" w:hAnsi="Times New Roman" w:eastAsia="宋体" w:cs="宋体"/>
                <w:color w:val="000000"/>
                <w:sz w:val="21"/>
                <w:szCs w:val="21"/>
              </w:rPr>
              <w:fldChar w:fldCharType="end"/>
            </w:r>
            <w:r>
              <w:rPr>
                <w:rFonts w:hint="eastAsia" w:ascii="宋体" w:hAnsi="Times New Roman" w:eastAsia="宋体" w:cs="宋体"/>
                <w:color w:val="000000"/>
                <w:sz w:val="21"/>
                <w:szCs w:val="21"/>
              </w:rPr>
              <w:t>在有较大危险因素的生产场所和有关设施、设备上，设置明显的安全标志、警告标志、防误操作警示标志；</w:t>
            </w:r>
          </w:p>
          <w:p w14:paraId="5C1A98C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fldChar w:fldCharType="begin"/>
            </w:r>
            <w:r>
              <w:rPr>
                <w:rFonts w:hint="eastAsia" w:ascii="宋体" w:hAnsi="Times New Roman" w:eastAsia="宋体" w:cs="宋体"/>
                <w:color w:val="000000"/>
                <w:sz w:val="21"/>
                <w:szCs w:val="21"/>
              </w:rPr>
              <w:instrText xml:space="preserve"> = 4 \* GB3 </w:instrText>
            </w:r>
            <w:r>
              <w:rPr>
                <w:rFonts w:hint="eastAsia" w:ascii="宋体" w:hAnsi="Times New Roman" w:eastAsia="宋体" w:cs="宋体"/>
                <w:color w:val="000000"/>
                <w:sz w:val="21"/>
                <w:szCs w:val="21"/>
              </w:rPr>
              <w:fldChar w:fldCharType="separate"/>
            </w:r>
            <w:r>
              <w:rPr>
                <w:rFonts w:hint="eastAsia" w:ascii="宋体" w:hAnsi="Times New Roman" w:eastAsia="宋体" w:cs="宋体"/>
                <w:color w:val="000000"/>
                <w:sz w:val="21"/>
                <w:szCs w:val="21"/>
              </w:rPr>
              <w:t>④</w:t>
            </w:r>
            <w:r>
              <w:rPr>
                <w:rFonts w:hint="eastAsia" w:ascii="宋体" w:hAnsi="Times New Roman" w:eastAsia="宋体" w:cs="宋体"/>
                <w:color w:val="000000"/>
                <w:sz w:val="21"/>
                <w:szCs w:val="21"/>
              </w:rPr>
              <w:fldChar w:fldCharType="end"/>
            </w:r>
            <w:r>
              <w:rPr>
                <w:rFonts w:hint="eastAsia" w:ascii="宋体" w:hAnsi="Times New Roman" w:eastAsia="宋体" w:cs="宋体"/>
                <w:color w:val="000000"/>
                <w:sz w:val="21"/>
                <w:szCs w:val="21"/>
              </w:rPr>
              <w:t>安全疏散通道设疏散照明设施和设置明显的疏散指示标志；</w:t>
            </w:r>
          </w:p>
          <w:p w14:paraId="70DF3DC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fldChar w:fldCharType="begin"/>
            </w:r>
            <w:r>
              <w:rPr>
                <w:rFonts w:hint="eastAsia" w:ascii="宋体" w:hAnsi="Times New Roman" w:eastAsia="宋体" w:cs="宋体"/>
                <w:color w:val="000000"/>
                <w:sz w:val="21"/>
                <w:szCs w:val="21"/>
              </w:rPr>
              <w:instrText xml:space="preserve"> = 5 \* GB3 </w:instrText>
            </w:r>
            <w:r>
              <w:rPr>
                <w:rFonts w:hint="eastAsia" w:ascii="宋体" w:hAnsi="Times New Roman" w:eastAsia="宋体" w:cs="宋体"/>
                <w:color w:val="000000"/>
                <w:sz w:val="21"/>
                <w:szCs w:val="21"/>
              </w:rPr>
              <w:fldChar w:fldCharType="separate"/>
            </w:r>
            <w:r>
              <w:rPr>
                <w:rFonts w:hint="eastAsia" w:ascii="宋体" w:hAnsi="Times New Roman" w:eastAsia="宋体" w:cs="宋体"/>
                <w:color w:val="000000"/>
                <w:sz w:val="21"/>
                <w:szCs w:val="21"/>
              </w:rPr>
              <w:t>⑤</w:t>
            </w:r>
            <w:r>
              <w:rPr>
                <w:rFonts w:hint="eastAsia" w:ascii="宋体" w:hAnsi="Times New Roman" w:eastAsia="宋体" w:cs="宋体"/>
                <w:color w:val="000000"/>
                <w:sz w:val="21"/>
                <w:szCs w:val="21"/>
              </w:rPr>
              <w:fldChar w:fldCharType="end"/>
            </w:r>
            <w:r>
              <w:rPr>
                <w:rFonts w:hint="eastAsia" w:ascii="宋体" w:hAnsi="Times New Roman" w:eastAsia="宋体" w:cs="宋体"/>
                <w:color w:val="000000"/>
                <w:sz w:val="21"/>
                <w:szCs w:val="21"/>
              </w:rPr>
              <w:t>在存在有毒物品作业场所入口或作业场所的显著位置，根据需要，设置“当心中毒”或者“当心有毒气体”警告标识，“戴防毒面具”、“穿防护服”、“注意通风”等指令标识和“紧急出口”、“救援电话”等提示标识；</w:t>
            </w:r>
          </w:p>
          <w:p w14:paraId="64A9231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fldChar w:fldCharType="begin"/>
            </w:r>
            <w:r>
              <w:rPr>
                <w:rFonts w:hint="eastAsia" w:ascii="宋体" w:hAnsi="Times New Roman" w:eastAsia="宋体" w:cs="宋体"/>
                <w:color w:val="000000"/>
                <w:sz w:val="21"/>
                <w:szCs w:val="21"/>
              </w:rPr>
              <w:instrText xml:space="preserve"> = 6 \* GB3 </w:instrText>
            </w:r>
            <w:r>
              <w:rPr>
                <w:rFonts w:hint="eastAsia" w:ascii="宋体" w:hAnsi="Times New Roman" w:eastAsia="宋体" w:cs="宋体"/>
                <w:color w:val="000000"/>
                <w:sz w:val="21"/>
                <w:szCs w:val="21"/>
              </w:rPr>
              <w:fldChar w:fldCharType="separate"/>
            </w:r>
            <w:r>
              <w:rPr>
                <w:rFonts w:hint="eastAsia" w:ascii="宋体" w:hAnsi="Times New Roman" w:eastAsia="宋体" w:cs="宋体"/>
                <w:color w:val="000000"/>
                <w:sz w:val="21"/>
                <w:szCs w:val="21"/>
              </w:rPr>
              <w:t>⑥</w:t>
            </w:r>
            <w:r>
              <w:rPr>
                <w:rFonts w:hint="eastAsia" w:ascii="宋体" w:hAnsi="Times New Roman" w:eastAsia="宋体" w:cs="宋体"/>
                <w:color w:val="000000"/>
                <w:sz w:val="21"/>
                <w:szCs w:val="21"/>
              </w:rPr>
              <w:fldChar w:fldCharType="end"/>
            </w:r>
            <w:r>
              <w:rPr>
                <w:rFonts w:hint="eastAsia" w:ascii="宋体" w:hAnsi="Times New Roman" w:eastAsia="宋体" w:cs="宋体"/>
                <w:color w:val="000000"/>
                <w:sz w:val="21"/>
                <w:szCs w:val="21"/>
              </w:rPr>
              <w:t>在高温作业场所，设置“注意高温”警告标识；</w:t>
            </w:r>
          </w:p>
          <w:p w14:paraId="433810C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 xml:space="preserve"> </w:t>
            </w:r>
            <w:r>
              <w:rPr>
                <w:rFonts w:hint="eastAsia" w:ascii="宋体" w:hAnsi="Times New Roman" w:eastAsia="宋体" w:cs="宋体"/>
                <w:color w:val="000000"/>
                <w:sz w:val="21"/>
                <w:szCs w:val="21"/>
              </w:rPr>
              <w:fldChar w:fldCharType="begin"/>
            </w:r>
            <w:r>
              <w:rPr>
                <w:rFonts w:hint="eastAsia" w:ascii="宋体" w:hAnsi="Times New Roman" w:eastAsia="宋体" w:cs="宋体"/>
                <w:color w:val="000000"/>
                <w:sz w:val="21"/>
                <w:szCs w:val="21"/>
              </w:rPr>
              <w:instrText xml:space="preserve"> = 7 \* GB3 </w:instrText>
            </w:r>
            <w:r>
              <w:rPr>
                <w:rFonts w:hint="eastAsia" w:ascii="宋体" w:hAnsi="Times New Roman" w:eastAsia="宋体" w:cs="宋体"/>
                <w:color w:val="000000"/>
                <w:sz w:val="21"/>
                <w:szCs w:val="21"/>
              </w:rPr>
              <w:fldChar w:fldCharType="separate"/>
            </w:r>
            <w:r>
              <w:rPr>
                <w:rFonts w:hint="eastAsia" w:ascii="宋体" w:hAnsi="Times New Roman" w:eastAsia="宋体" w:cs="宋体"/>
                <w:color w:val="000000"/>
                <w:sz w:val="21"/>
                <w:szCs w:val="21"/>
              </w:rPr>
              <w:t>⑦</w:t>
            </w:r>
            <w:r>
              <w:rPr>
                <w:rFonts w:hint="eastAsia" w:ascii="宋体" w:hAnsi="Times New Roman" w:eastAsia="宋体" w:cs="宋体"/>
                <w:color w:val="000000"/>
                <w:sz w:val="21"/>
                <w:szCs w:val="21"/>
              </w:rPr>
              <w:fldChar w:fldCharType="end"/>
            </w:r>
            <w:r>
              <w:rPr>
                <w:rFonts w:hint="eastAsia" w:ascii="宋体" w:hAnsi="Times New Roman" w:eastAsia="宋体" w:cs="宋体"/>
                <w:color w:val="000000"/>
                <w:sz w:val="21"/>
                <w:szCs w:val="21"/>
              </w:rPr>
              <w:t>在可能造成跌落伤害的检查井、平台护栏门等处，设置“当心跌落”警告标识；</w:t>
            </w:r>
          </w:p>
          <w:p w14:paraId="1F7C44A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fldChar w:fldCharType="begin"/>
            </w:r>
            <w:r>
              <w:rPr>
                <w:rFonts w:hint="eastAsia" w:ascii="宋体" w:hAnsi="Times New Roman" w:eastAsia="宋体" w:cs="宋体"/>
                <w:color w:val="000000"/>
                <w:sz w:val="21"/>
                <w:szCs w:val="21"/>
              </w:rPr>
              <w:instrText xml:space="preserve"> eq \o\ac(○,8)</w:instrText>
            </w:r>
            <w:r>
              <w:rPr>
                <w:rFonts w:hint="eastAsia" w:ascii="宋体" w:hAnsi="Times New Roman" w:eastAsia="宋体" w:cs="宋体"/>
                <w:color w:val="000000"/>
                <w:sz w:val="21"/>
                <w:szCs w:val="21"/>
              </w:rPr>
              <w:fldChar w:fldCharType="end"/>
            </w:r>
            <w:r>
              <w:rPr>
                <w:rFonts w:hint="eastAsia" w:ascii="宋体" w:hAnsi="Times New Roman" w:eastAsia="宋体" w:cs="宋体"/>
                <w:color w:val="000000"/>
                <w:sz w:val="21"/>
                <w:szCs w:val="21"/>
              </w:rPr>
              <w:t>在可能产生职业性灼伤和腐蚀的作业场所，设置“当心腐蚀”警告标识和“穿防护服”、“戴防护手套”、“穿防护鞋”等指令标识。在高温作业场所，设置“注意高温”警告标识；</w:t>
            </w:r>
          </w:p>
          <w:p w14:paraId="5265759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⑫在主体生产装置和辅助生产工序中高噪声设备旁，设置“噪声有害”警示标识，对噪声职业卫生限值超标的岗位设置“戴护耳器”警示标识。</w:t>
            </w:r>
          </w:p>
          <w:p w14:paraId="3AB68AC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本项目安全警示标识详见安全警示标识设置一览表。</w:t>
            </w:r>
          </w:p>
          <w:p w14:paraId="60803EB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2）安全色</w:t>
            </w:r>
          </w:p>
          <w:p w14:paraId="3AE4BB1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装置安全色执行《安全色》（GB2893-2008）规定。消火栓、灭火器、灭火桶、火灾报警器等消防用具以及严禁人员进入的危险作业区的护栏采用红色；工作场所内安全通道、太平门等采用绿色，工具箱、更衣柜等采用绿色；化工装置的管道刷色和符号执行《工业管路的基本识别色、识别符号和安全标识》（GB7231-2003）的规定。</w:t>
            </w:r>
          </w:p>
          <w:p w14:paraId="519CC12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3）风向标</w:t>
            </w:r>
          </w:p>
          <w:p w14:paraId="69695B8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本工程暂定设置3处风向标，具体安装位置在设备、管道安装就位后，由建设项目单位确定。风向标的安置高度至少要高出周围障碍物6米以上，用于正常运行时观测风向以及事故时引导现场人员疏散。</w:t>
            </w:r>
          </w:p>
        </w:tc>
        <w:tc>
          <w:tcPr>
            <w:tcW w:w="2253" w:type="dxa"/>
            <w:tcBorders>
              <w:top w:val="single" w:color="auto" w:sz="4" w:space="0"/>
              <w:left w:val="single" w:color="auto" w:sz="4" w:space="0"/>
              <w:bottom w:val="single" w:color="auto" w:sz="4" w:space="0"/>
              <w:right w:val="single" w:color="auto" w:sz="4" w:space="0"/>
            </w:tcBorders>
            <w:noWrap w:val="0"/>
            <w:vAlign w:val="center"/>
          </w:tcPr>
          <w:p w14:paraId="0E5267D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（1）防噪声</w:t>
            </w:r>
          </w:p>
          <w:p w14:paraId="652D855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对于泵等设备运行时产生的噪音，主要采用集中控制及隔音、消音措施。</w:t>
            </w:r>
          </w:p>
          <w:p w14:paraId="585E0DF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（2）防灼烫、防冻</w:t>
            </w:r>
          </w:p>
          <w:p w14:paraId="6AA26FE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输送高温蒸汽的管道\设备均采取防烫保温设施。</w:t>
            </w:r>
          </w:p>
          <w:p w14:paraId="7B62D1B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（3）防护栏</w:t>
            </w:r>
          </w:p>
          <w:p w14:paraId="7312A20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装置生产框架，凡高度超过1m的平台、人行通道等有跌落危险的场所，在其敞开的边缘处均设置了防护栏杆，同时，楼面临空部分和洞口四周均设置栏杆，临空高度在24ｍ以下时，也设置防护栏杆。</w:t>
            </w:r>
          </w:p>
          <w:p w14:paraId="0FCBDEB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（4）安全标志、风向标</w:t>
            </w:r>
          </w:p>
          <w:p w14:paraId="0029187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1）警示标志及标识</w:t>
            </w:r>
          </w:p>
          <w:p w14:paraId="1F2CB62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本项目设置了相应的安全警示标识。</w:t>
            </w:r>
          </w:p>
          <w:p w14:paraId="408B66B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2）安全色</w:t>
            </w:r>
          </w:p>
          <w:p w14:paraId="20B3838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设置了相应安全色</w:t>
            </w:r>
          </w:p>
          <w:p w14:paraId="724F900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3）风向标</w:t>
            </w:r>
          </w:p>
          <w:p w14:paraId="4932FCA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该项目</w:t>
            </w:r>
            <w:r>
              <w:rPr>
                <w:rFonts w:hint="eastAsia" w:ascii="宋体" w:hAnsi="Times New Roman" w:eastAsia="宋体" w:cs="宋体"/>
                <w:color w:val="000000"/>
                <w:sz w:val="21"/>
                <w:szCs w:val="21"/>
                <w:lang w:val="en-US" w:eastAsia="zh-CN"/>
              </w:rPr>
              <w:t>依托厂区内</w:t>
            </w:r>
            <w:r>
              <w:rPr>
                <w:rFonts w:hint="eastAsia" w:ascii="宋体" w:hAnsi="Times New Roman" w:eastAsia="宋体" w:cs="宋体"/>
                <w:color w:val="000000"/>
                <w:sz w:val="21"/>
                <w:szCs w:val="21"/>
              </w:rPr>
              <w:t>的风向标。</w:t>
            </w:r>
          </w:p>
        </w:tc>
        <w:tc>
          <w:tcPr>
            <w:tcW w:w="729" w:type="dxa"/>
            <w:tcBorders>
              <w:top w:val="single" w:color="auto" w:sz="4" w:space="0"/>
              <w:left w:val="single" w:color="auto" w:sz="4" w:space="0"/>
              <w:bottom w:val="single" w:color="auto" w:sz="4" w:space="0"/>
              <w:right w:val="single" w:color="auto" w:sz="4" w:space="0"/>
            </w:tcBorders>
            <w:noWrap w:val="0"/>
            <w:vAlign w:val="center"/>
          </w:tcPr>
          <w:p w14:paraId="1F11ABA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rPr>
            </w:pPr>
            <w:r>
              <w:rPr>
                <w:color w:val="000000"/>
                <w:sz w:val="21"/>
                <w:szCs w:val="21"/>
                <w:lang w:bidi="ar"/>
              </w:rPr>
              <w:t>符合</w:t>
            </w:r>
          </w:p>
        </w:tc>
      </w:tr>
      <w:tr w14:paraId="1A228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dxa"/>
            <w:vMerge w:val="continue"/>
            <w:tcBorders>
              <w:top w:val="single" w:color="auto" w:sz="4" w:space="0"/>
              <w:left w:val="single" w:color="auto" w:sz="4" w:space="0"/>
              <w:bottom w:val="single" w:color="auto" w:sz="4" w:space="0"/>
              <w:right w:val="single" w:color="auto" w:sz="4" w:space="0"/>
            </w:tcBorders>
            <w:noWrap w:val="0"/>
            <w:vAlign w:val="center"/>
          </w:tcPr>
          <w:p w14:paraId="5CE2F3E0">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p>
        </w:tc>
        <w:tc>
          <w:tcPr>
            <w:tcW w:w="5705" w:type="dxa"/>
            <w:tcBorders>
              <w:top w:val="single" w:color="auto" w:sz="4" w:space="0"/>
              <w:left w:val="single" w:color="auto" w:sz="4" w:space="0"/>
              <w:bottom w:val="single" w:color="auto" w:sz="4" w:space="0"/>
              <w:right w:val="single" w:color="auto" w:sz="4" w:space="0"/>
            </w:tcBorders>
            <w:noWrap w:val="0"/>
            <w:vAlign w:val="center"/>
          </w:tcPr>
          <w:p w14:paraId="5714089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4.7.3个体防护装备的配备</w:t>
            </w:r>
          </w:p>
          <w:p w14:paraId="6E127EA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根据《个体防护装备配备规范 第2部分：石油、化工、天然气》（GB 39800.2-2020）要求，巡检岗位按最大班人数配备必要的劳动保护用品，如防护眼镜、防护手套、防护服、防护鞋、防噪声耳塞（耳罩）、防尘口罩等。</w:t>
            </w:r>
          </w:p>
          <w:p w14:paraId="2DF27EC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在有酸碱的岗位正常操作时穿相应的防酸碱工作服，戴化学安全防护眼镜和橡胶耐酸碱手套。工作后，彻底清洗，单独存放被毒物污染的衣服，洗后再用。</w:t>
            </w:r>
          </w:p>
          <w:p w14:paraId="73976D7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劳动防护用品详见个人防护装备配备一览表。</w:t>
            </w:r>
          </w:p>
        </w:tc>
        <w:tc>
          <w:tcPr>
            <w:tcW w:w="2253" w:type="dxa"/>
            <w:tcBorders>
              <w:top w:val="single" w:color="auto" w:sz="4" w:space="0"/>
              <w:left w:val="single" w:color="auto" w:sz="4" w:space="0"/>
              <w:bottom w:val="single" w:color="auto" w:sz="4" w:space="0"/>
              <w:right w:val="single" w:color="auto" w:sz="4" w:space="0"/>
            </w:tcBorders>
            <w:noWrap w:val="0"/>
            <w:vAlign w:val="center"/>
          </w:tcPr>
          <w:p w14:paraId="369191F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宋体" w:hAnsi="Times New Roman" w:eastAsia="宋体" w:cs="宋体"/>
                <w:color w:val="000000"/>
                <w:sz w:val="21"/>
                <w:szCs w:val="21"/>
                <w:lang w:val="en-US" w:eastAsia="zh-CN"/>
              </w:rPr>
            </w:pPr>
            <w:r>
              <w:rPr>
                <w:rFonts w:hint="eastAsia" w:ascii="宋体" w:hAnsi="Times New Roman" w:eastAsia="宋体" w:cs="宋体"/>
                <w:color w:val="000000"/>
                <w:sz w:val="21"/>
                <w:szCs w:val="21"/>
              </w:rPr>
              <w:t>该公司为从业人员配备了相应的劳动防护用品。</w:t>
            </w:r>
            <w:r>
              <w:rPr>
                <w:rFonts w:hint="eastAsia" w:ascii="宋体" w:hAnsi="Times New Roman" w:eastAsia="宋体" w:cs="宋体"/>
                <w:color w:val="000000"/>
                <w:sz w:val="21"/>
                <w:szCs w:val="21"/>
                <w:lang w:val="en-US" w:eastAsia="zh-CN"/>
              </w:rPr>
              <w:t>本项目依托主厂区的劳动用品。</w:t>
            </w:r>
          </w:p>
        </w:tc>
        <w:tc>
          <w:tcPr>
            <w:tcW w:w="729" w:type="dxa"/>
            <w:tcBorders>
              <w:top w:val="single" w:color="auto" w:sz="4" w:space="0"/>
              <w:left w:val="single" w:color="auto" w:sz="4" w:space="0"/>
              <w:bottom w:val="single" w:color="auto" w:sz="4" w:space="0"/>
              <w:right w:val="single" w:color="auto" w:sz="4" w:space="0"/>
            </w:tcBorders>
            <w:noWrap w:val="0"/>
            <w:vAlign w:val="center"/>
          </w:tcPr>
          <w:p w14:paraId="2F28CFD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000000"/>
                <w:sz w:val="21"/>
                <w:szCs w:val="21"/>
                <w:lang w:bidi="ar"/>
              </w:rPr>
            </w:pPr>
            <w:r>
              <w:rPr>
                <w:rFonts w:hint="eastAsia"/>
                <w:color w:val="000000"/>
                <w:sz w:val="21"/>
                <w:szCs w:val="21"/>
                <w:lang w:bidi="ar"/>
              </w:rPr>
              <w:t>符合</w:t>
            </w:r>
          </w:p>
        </w:tc>
      </w:tr>
      <w:tr w14:paraId="62741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dxa"/>
            <w:vMerge w:val="continue"/>
            <w:tcBorders>
              <w:top w:val="single" w:color="auto" w:sz="4" w:space="0"/>
              <w:left w:val="single" w:color="auto" w:sz="4" w:space="0"/>
              <w:bottom w:val="single" w:color="auto" w:sz="4" w:space="0"/>
              <w:right w:val="single" w:color="auto" w:sz="4" w:space="0"/>
            </w:tcBorders>
            <w:noWrap w:val="0"/>
            <w:vAlign w:val="center"/>
          </w:tcPr>
          <w:p w14:paraId="5E11DF27">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p>
        </w:tc>
        <w:tc>
          <w:tcPr>
            <w:tcW w:w="5705" w:type="dxa"/>
            <w:tcBorders>
              <w:top w:val="single" w:color="auto" w:sz="4" w:space="0"/>
              <w:left w:val="single" w:color="auto" w:sz="4" w:space="0"/>
              <w:bottom w:val="single" w:color="auto" w:sz="4" w:space="0"/>
              <w:right w:val="single" w:color="auto" w:sz="4" w:space="0"/>
            </w:tcBorders>
            <w:noWrap w:val="0"/>
            <w:vAlign w:val="center"/>
          </w:tcPr>
          <w:p w14:paraId="56FF0E9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bookmarkStart w:id="1132" w:name="_Toc405967983"/>
            <w:r>
              <w:rPr>
                <w:rFonts w:hint="eastAsia" w:ascii="宋体" w:hAnsi="Times New Roman" w:eastAsia="宋体" w:cs="宋体"/>
                <w:color w:val="000000"/>
                <w:sz w:val="21"/>
                <w:szCs w:val="21"/>
              </w:rPr>
              <w:t>4.7.4灭火措施</w:t>
            </w:r>
            <w:bookmarkEnd w:id="1132"/>
            <w:bookmarkStart w:id="1133" w:name="_Toc405967984"/>
            <w:bookmarkStart w:id="1134" w:name="_Toc349650334"/>
          </w:p>
          <w:bookmarkEnd w:id="1133"/>
          <w:bookmarkEnd w:id="1134"/>
          <w:p w14:paraId="6234E740">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本项目的消防水源及泵房依托云南祥丰石化有限公司消防水源及泵房，本项目的消防水加压和储存设施依托该泵房，不再新建。</w:t>
            </w:r>
          </w:p>
          <w:p w14:paraId="10A132B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p>
        </w:tc>
        <w:tc>
          <w:tcPr>
            <w:tcW w:w="2253" w:type="dxa"/>
            <w:tcBorders>
              <w:top w:val="single" w:color="auto" w:sz="4" w:space="0"/>
              <w:left w:val="single" w:color="auto" w:sz="4" w:space="0"/>
              <w:bottom w:val="single" w:color="auto" w:sz="4" w:space="0"/>
              <w:right w:val="single" w:color="auto" w:sz="4" w:space="0"/>
            </w:tcBorders>
            <w:noWrap w:val="0"/>
            <w:vAlign w:val="center"/>
          </w:tcPr>
          <w:p w14:paraId="6F393C7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本项目的消防水源及泵房依托云南祥丰石化有限公司消防水源及泵房，本项目的消防水加压和储存设施依托该泵房，不再新建。</w:t>
            </w:r>
          </w:p>
        </w:tc>
        <w:tc>
          <w:tcPr>
            <w:tcW w:w="729" w:type="dxa"/>
            <w:tcBorders>
              <w:top w:val="single" w:color="auto" w:sz="4" w:space="0"/>
              <w:left w:val="single" w:color="auto" w:sz="4" w:space="0"/>
              <w:bottom w:val="single" w:color="auto" w:sz="4" w:space="0"/>
              <w:right w:val="single" w:color="auto" w:sz="4" w:space="0"/>
            </w:tcBorders>
            <w:noWrap w:val="0"/>
            <w:vAlign w:val="center"/>
          </w:tcPr>
          <w:p w14:paraId="48CA0A6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000000"/>
                <w:sz w:val="21"/>
                <w:szCs w:val="21"/>
                <w:lang w:bidi="ar"/>
              </w:rPr>
            </w:pPr>
            <w:r>
              <w:rPr>
                <w:rFonts w:hint="eastAsia"/>
                <w:color w:val="000000"/>
                <w:sz w:val="21"/>
                <w:szCs w:val="21"/>
                <w:lang w:bidi="ar"/>
              </w:rPr>
              <w:t>符合</w:t>
            </w:r>
          </w:p>
        </w:tc>
      </w:tr>
      <w:tr w14:paraId="53E23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dxa"/>
            <w:vMerge w:val="restart"/>
            <w:tcBorders>
              <w:top w:val="single" w:color="auto" w:sz="4" w:space="0"/>
              <w:left w:val="single" w:color="auto" w:sz="4" w:space="0"/>
              <w:right w:val="single" w:color="auto" w:sz="4" w:space="0"/>
            </w:tcBorders>
            <w:noWrap w:val="0"/>
            <w:vAlign w:val="center"/>
          </w:tcPr>
          <w:p w14:paraId="2F543DCE">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r>
              <w:rPr>
                <w:rFonts w:hint="eastAsia"/>
                <w:color w:val="000000"/>
                <w:sz w:val="21"/>
                <w:szCs w:val="21"/>
              </w:rPr>
              <w:t>4.8</w:t>
            </w:r>
            <w:r>
              <w:rPr>
                <w:color w:val="000000"/>
                <w:sz w:val="21"/>
                <w:szCs w:val="21"/>
              </w:rPr>
              <w:t>事故应急措施及安全管理机构</w:t>
            </w:r>
          </w:p>
        </w:tc>
        <w:tc>
          <w:tcPr>
            <w:tcW w:w="5705" w:type="dxa"/>
            <w:tcBorders>
              <w:top w:val="single" w:color="auto" w:sz="4" w:space="0"/>
              <w:left w:val="single" w:color="auto" w:sz="4" w:space="0"/>
              <w:bottom w:val="single" w:color="auto" w:sz="4" w:space="0"/>
              <w:right w:val="single" w:color="auto" w:sz="4" w:space="0"/>
            </w:tcBorders>
            <w:noWrap w:val="0"/>
            <w:vAlign w:val="center"/>
          </w:tcPr>
          <w:p w14:paraId="5ED6178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val="zh-CN" w:bidi="ar"/>
              </w:rPr>
              <w:t>4.8.1主要事故应急救援设施</w:t>
            </w:r>
          </w:p>
          <w:p w14:paraId="4F5D1DA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val="zh-CN" w:bidi="ar"/>
              </w:rPr>
              <w:t>本项目为云南瓮福祥丰氟硅新材料有限公司3万吨/年无水氟化氢和2万吨/年电子级氢氟酸项目配套的厂外公用工程管道设施，事故应急依托云南瓮福祥丰氟硅新材料有限公司。</w:t>
            </w:r>
          </w:p>
          <w:p w14:paraId="660A6D2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val="zh-CN" w:bidi="ar"/>
              </w:rPr>
              <w:t>制定事故应急救援预案</w:t>
            </w:r>
          </w:p>
          <w:p w14:paraId="0A31E9D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val="zh-CN" w:bidi="ar"/>
              </w:rPr>
              <w:t>本工程在生产过程中存在有毒、腐蚀性物料，可以通过良好的维护、检查和管理来预防事故发生。但并不能完全消除事故风险，即绝对安全是达不到的，因而安全生产的另一个重要组成部分是如何降低重大事故的后果。降低事故后果的重要措施是事故应急救援预案，即认识事故可能发生，估计这种事故的后果，决定紧急处理步骤，这些步骤是在紧急事件时需要执行的。事故应急救援预案是企业根据实际情况预计可能发生的重大事故，为加强对重大事故的处理能力所预先制定的事故应急对策。</w:t>
            </w:r>
          </w:p>
          <w:p w14:paraId="146CE49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val="zh-CN" w:bidi="ar"/>
              </w:rPr>
              <w:t>根据《中华人民共和国安全生产法》的规定，本工程必须建立事故的应急救援预案，并将该预案纳入云南瓮福祥丰氟硅新材料有限公司的应急救援预案体系中。事故应急救援预案根据《生产经营单位生产安全事故应急预案编制导则》GB/T29639-2020，并结合本工程的具体情况来编制。</w:t>
            </w:r>
          </w:p>
          <w:p w14:paraId="5EF03DB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val="zh-CN" w:bidi="ar"/>
              </w:rPr>
              <w:t>生产过程中一旦发生事故，立即启动事故应急救援预案。</w:t>
            </w:r>
          </w:p>
          <w:p w14:paraId="564A468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bookmarkStart w:id="1135" w:name="_Toc279419114"/>
            <w:r>
              <w:rPr>
                <w:rFonts w:hint="eastAsia" w:ascii="宋体" w:hAnsi="Times New Roman" w:eastAsia="宋体" w:cs="宋体"/>
                <w:color w:val="000000"/>
                <w:sz w:val="21"/>
                <w:szCs w:val="21"/>
                <w:lang w:val="zh-CN" w:bidi="ar"/>
              </w:rPr>
              <w:t>应急救援组织或应急救援人员的设置或配备情况</w:t>
            </w:r>
            <w:bookmarkEnd w:id="1135"/>
          </w:p>
          <w:p w14:paraId="281DDC1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val="zh-CN" w:bidi="ar"/>
              </w:rPr>
              <w:t>建议云南瓮福祥丰氟硅新材料有限公司在生产准备阶段，试运行前建立应急救援组织并配备一定数量的应急救援人员。</w:t>
            </w:r>
          </w:p>
          <w:p w14:paraId="21B5697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val="zh-CN" w:bidi="ar"/>
              </w:rPr>
              <w:t>救援队伍包括通信联络、治安保卫、消防、抢修、医疗、物质供应、运输等相关人员。应急救援人员队伍由安全科组织、培训。</w:t>
            </w:r>
          </w:p>
          <w:p w14:paraId="37E3C6C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val="zh-CN" w:bidi="ar"/>
              </w:rPr>
              <w:t>应急救援器材的配备情况</w:t>
            </w:r>
          </w:p>
          <w:p w14:paraId="1B7237C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val="zh-CN" w:bidi="ar"/>
              </w:rPr>
              <w:t>（1）应急救援器材主要有自给正压式空气呼吸器、防毒全面罩、急救药品箱、防酸碱防化服等。对应急救援设施，建设单位进行经常性维护、保养、检修，定期检测其性能和效果，确保其处于正常状态，不得擅自拆除或停止使用。并建立应急救援设施、防护设施的维护、检测、使用管理制度。</w:t>
            </w:r>
          </w:p>
          <w:p w14:paraId="6BE42C5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val="zh-CN" w:bidi="ar"/>
              </w:rPr>
              <w:t>（2）应急救援设施均设有清晰的标识。</w:t>
            </w:r>
          </w:p>
          <w:p w14:paraId="53C290D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val="zh-CN" w:bidi="ar"/>
              </w:rPr>
              <w:t>（3）在可能接触有毒物质（气体）的岗位设置气防柜，每个气防柜配备符合质量要求的空气呼吸器和过滤式呼吸器，过滤式呼吸器的数量超过岗位每班生产值班人员的数量。厂内库存的空气呼吸器钢瓶数量和现场配备的空气呼吸器的数量一致。另外，生产现场还设置急救箱。</w:t>
            </w:r>
          </w:p>
          <w:p w14:paraId="1BD42AC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val="zh-CN" w:bidi="ar"/>
              </w:rPr>
              <w:t>（4）本项目共设3个气防柜和3个急救药品箱。气防柜、急救箱设置在便于劳动者取用的地点，并由专人负责定期检查与更新。</w:t>
            </w:r>
          </w:p>
          <w:p w14:paraId="3C795E8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val="zh-CN" w:bidi="ar"/>
              </w:rPr>
              <w:t>（5）现场配置的气防柜内个人防护设施主要为空气呼吸器、防毒全面罩等，防毒器具在气防柜内铅封存放。急救药品箱内配置适用于治疗化学灼伤、中毒的药品和急救用品。在液体毒性危害严重的作业场所和具有化学灼伤危险的作业场所，设置安全淋浴洗眼器。</w:t>
            </w:r>
          </w:p>
          <w:p w14:paraId="76EFE5A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val="zh-CN" w:bidi="ar"/>
              </w:rPr>
              <w:t>4.8.1.4事故状态下的应急处理措施</w:t>
            </w:r>
          </w:p>
          <w:p w14:paraId="44EA1CF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val="zh-CN" w:bidi="ar"/>
              </w:rPr>
              <w:t>（1）FCS系统和主要现场仪表采用不间断电源（UPS）供电，在电源发生事故期间，UPS至少可供系统正常工作30min。</w:t>
            </w:r>
          </w:p>
          <w:p w14:paraId="54AC570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val="zh-CN" w:bidi="ar"/>
              </w:rPr>
              <w:t>（2）仪表空气设置贮气罐。</w:t>
            </w:r>
          </w:p>
          <w:p w14:paraId="496FD9C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val="zh-CN" w:bidi="ar"/>
              </w:rPr>
              <w:t>（3）各主要操作点设置必要的事故停车开关，对关键安全联锁，设手动联锁复位按钮。</w:t>
            </w:r>
          </w:p>
          <w:p w14:paraId="4EF5808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val="zh-CN" w:bidi="ar"/>
              </w:rPr>
              <w:t>（4）紧急事故处理设施</w:t>
            </w:r>
          </w:p>
          <w:p w14:paraId="3A9507B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val="zh-CN" w:bidi="ar"/>
              </w:rPr>
              <w:t>本项目中有部分特别重要的低压负荷，对供电可靠性要求高，为此，在变电所设置柴油发电机作为重要负荷的应急电源。</w:t>
            </w:r>
          </w:p>
          <w:p w14:paraId="740ECD8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val="zh-CN" w:bidi="ar"/>
              </w:rPr>
              <w:t>（5）应急照明</w:t>
            </w:r>
          </w:p>
          <w:p w14:paraId="75B1417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val="zh-CN" w:bidi="ar"/>
              </w:rPr>
              <w:t>在变电所、控制室等场所，可由带蓄电池的直流电源装置或UPS交流不间断电源装置供电或采用带蓄电池的应急照明灯具；车间或装置区内，采用带蓄电池的应急照明灯具。</w:t>
            </w:r>
          </w:p>
          <w:p w14:paraId="473BA2B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val="zh-CN" w:bidi="ar"/>
              </w:rPr>
              <w:t>（6）急性中毒的急救措施和泄漏应急处理</w:t>
            </w:r>
          </w:p>
          <w:p w14:paraId="25431F1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val="zh-CN" w:bidi="ar"/>
              </w:rPr>
              <w:t>在正常生产过程中释放的有毒有害介质一般在短时间内不会造成急性中毒，但如果一旦发生事故，根据现场实际情况进行紧急处理，采取相应急救措施。</w:t>
            </w:r>
          </w:p>
          <w:p w14:paraId="56D8F80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val="zh-CN" w:bidi="ar"/>
              </w:rPr>
              <w:t>1）氟化氢</w:t>
            </w:r>
          </w:p>
          <w:p w14:paraId="03E8D18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val="zh-CN" w:bidi="ar"/>
              </w:rPr>
              <w:t>皮肤接触：立即脱去污染的衣着，用大量流动清水冲洗至少15分钟。就医。</w:t>
            </w:r>
          </w:p>
          <w:p w14:paraId="37253C1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val="zh-CN" w:bidi="ar"/>
              </w:rPr>
              <w:t>眼睛接触：立即提起眼睑，用大量流动清水或生理盐水彻底冲洗至少15分钟。就医。</w:t>
            </w:r>
          </w:p>
          <w:p w14:paraId="1BEDE6A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val="zh-CN" w:bidi="ar"/>
              </w:rPr>
              <w:t>吸入：迅速脱离现场至空气新鲜处。保持呼吸道通畅。如呼吸困难，给输氧。如呼吸停止，立即进行人工呼吸。就医。</w:t>
            </w:r>
          </w:p>
          <w:p w14:paraId="3A91F87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val="zh-CN" w:bidi="ar"/>
              </w:rPr>
              <w:t>食入：用水漱口，给饮牛奶或蛋清。就医。</w:t>
            </w:r>
          </w:p>
          <w:p w14:paraId="121C221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val="zh-CN" w:bidi="ar"/>
              </w:rPr>
              <w:t>应急处理：迅速撤离泄漏污染区人员至安全区，并立即隔离150m，严格限制出入。建议应急处理人员戴自给正压式呼吸器，穿防酸碱工作服。尽可能切断泄漏源。防止流入下水道、排洪沟等限制性空间。若是气体，合理通风，加速扩散。喷氨水或其它稀碱液中和。构筑围堤或挖坑收容产生的大量废水。也可以将残余气或漏出气用排风机送至水洗塔或与塔相连的通风橱内。漏气容器要妥善处理，修复、检验后再用。若是液体，用砂土或其它不燃材料吸附或吸收。也可以用大量水冲洗，洗水稀释后放入废水系统。若大量泄漏，构筑围堤或挖坑收容。用泵转移至槽车或专用收集器内，回收或运至废物处理场所处置。</w:t>
            </w:r>
          </w:p>
          <w:p w14:paraId="251C7FC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val="zh-CN" w:bidi="ar"/>
              </w:rPr>
              <w:t>2）氟硅酸</w:t>
            </w:r>
          </w:p>
          <w:p w14:paraId="2E0E459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val="zh-CN" w:bidi="ar"/>
              </w:rPr>
              <w:t>皮肤接触：立即脱去污染的衣着，用大量流动清水冲洗至少15分钟。就医。</w:t>
            </w:r>
          </w:p>
          <w:p w14:paraId="5311CF9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val="zh-CN" w:bidi="ar"/>
              </w:rPr>
              <w:t>眼睛接触：立即提起眼睑，用大量流动清水或生理盐水彻底冲洗至少15分钟。就医。</w:t>
            </w:r>
          </w:p>
          <w:p w14:paraId="6F277F1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val="zh-CN" w:bidi="ar"/>
              </w:rPr>
              <w:t>吸入：迅速脱离现场至空气新鲜处。保持呼吸道通畅。如呼吸困难，给输氧。如呼吸停止，立即进行人工呼吸。就医。</w:t>
            </w:r>
          </w:p>
          <w:p w14:paraId="744EFF0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val="zh-CN" w:bidi="ar"/>
              </w:rPr>
              <w:t>食入：用水漱口，给饮牛奶或蛋清。就医。</w:t>
            </w:r>
          </w:p>
          <w:p w14:paraId="717E80F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val="zh-CN" w:bidi="ar"/>
              </w:rPr>
              <w:t>应急处理：迅速撤离泄漏污染区人员至安全区，并进行隔离，严格限制出入。建议应急处理人员戴自给正压式呼吸器，穿防酸碱工作服。不要直接接触泄漏物。尽可能切断泄漏源。小量泄漏：用砂土或其它不燃材料吸附或吸收。也可以用大量水冲洗，洗水稀释后放入废水系统。大量泄漏：构筑围堤或挖坑收容。用泡沫覆盖，降低蒸气灾害。用泵转移至槽车或专用收集器内，回收或运至废物处理场所处置。</w:t>
            </w:r>
          </w:p>
          <w:p w14:paraId="60038A1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val="zh-CN" w:bidi="ar"/>
              </w:rPr>
              <w:t>3）硫酸</w:t>
            </w:r>
          </w:p>
          <w:p w14:paraId="2B0F089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val="zh-CN" w:bidi="ar"/>
              </w:rPr>
              <w:t>皮肤接触：立即脱去污染的衣着，用大量流动清水冲洗至少15分钟。就医。</w:t>
            </w:r>
          </w:p>
          <w:p w14:paraId="34F5D5C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val="zh-CN" w:bidi="ar"/>
              </w:rPr>
              <w:t>眼睛接触：立即提起眼睑，用大量流动清水或生理盐水彻底冲洗至少15分钟。就医。</w:t>
            </w:r>
          </w:p>
          <w:p w14:paraId="169D43E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val="zh-CN" w:bidi="ar"/>
              </w:rPr>
              <w:t>吸入：迅速脱离现场至空气新鲜处。保持呼吸道通畅。如呼吸困难，给输氧。如呼吸停止，立即进行人工呼吸。就医。</w:t>
            </w:r>
          </w:p>
          <w:p w14:paraId="5111A67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val="zh-CN" w:bidi="ar"/>
              </w:rPr>
              <w:t>食入：用水漱口，给饮牛奶或蛋清。就医。</w:t>
            </w:r>
          </w:p>
          <w:p w14:paraId="3062707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val="zh-CN" w:bidi="ar"/>
              </w:rPr>
              <w:t>应急处理：迅速撤离泄漏污染区人员至安全区，并进行隔离，严格限制出入。建议应急处理人员戴自给正压式呼吸器，穿防酸碱工作服。不要直接接触泄漏物。尽可能切断泄漏源。防止流入下水道、排洪沟等限制性空间。小量泄漏：用砂土、干燥石灰或苏打灰混合。也可以用大量水冲洗，洗水稀释后放入废水系统。大量泄漏：构筑围堤或挖坑收容。用泵转移至槽车或专用收集器内，回收或运至废物处理场所处置。</w:t>
            </w:r>
          </w:p>
        </w:tc>
        <w:tc>
          <w:tcPr>
            <w:tcW w:w="2253" w:type="dxa"/>
            <w:tcBorders>
              <w:top w:val="single" w:color="auto" w:sz="4" w:space="0"/>
              <w:left w:val="single" w:color="auto" w:sz="4" w:space="0"/>
              <w:bottom w:val="single" w:color="auto" w:sz="4" w:space="0"/>
              <w:right w:val="single" w:color="auto" w:sz="4" w:space="0"/>
            </w:tcBorders>
            <w:noWrap w:val="0"/>
            <w:vAlign w:val="center"/>
          </w:tcPr>
          <w:p w14:paraId="7C8D243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val="zh-CN" w:bidi="ar"/>
              </w:rPr>
              <w:t>本项目为云南瓮福祥丰氟硅新材料有限公司3万吨/年无水氟化氢和2万吨/年电子级氢氟酸项目配套的厂外公用工程管道设施，事故应急依托云南瓮福祥丰氟硅新材料有限公司。</w:t>
            </w:r>
          </w:p>
          <w:p w14:paraId="2B89E09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val="zh-CN" w:bidi="ar"/>
              </w:rPr>
              <w:t>该公司结合该项目编制了事故应急预案，成立了应急救援机构，定期进行事故应急演练及记录、评估，按安全设施设计专篇要求配置了应急救援器材。</w:t>
            </w:r>
          </w:p>
          <w:p w14:paraId="4CE1690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p>
        </w:tc>
        <w:tc>
          <w:tcPr>
            <w:tcW w:w="729" w:type="dxa"/>
            <w:tcBorders>
              <w:top w:val="single" w:color="auto" w:sz="4" w:space="0"/>
              <w:left w:val="single" w:color="auto" w:sz="4" w:space="0"/>
              <w:bottom w:val="single" w:color="auto" w:sz="4" w:space="0"/>
              <w:right w:val="single" w:color="auto" w:sz="4" w:space="0"/>
            </w:tcBorders>
            <w:noWrap w:val="0"/>
            <w:vAlign w:val="center"/>
          </w:tcPr>
          <w:p w14:paraId="4F8B790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000000"/>
                <w:sz w:val="21"/>
                <w:szCs w:val="21"/>
                <w:lang w:bidi="ar"/>
              </w:rPr>
            </w:pPr>
            <w:r>
              <w:rPr>
                <w:rFonts w:hint="eastAsia"/>
                <w:color w:val="000000"/>
                <w:sz w:val="21"/>
                <w:szCs w:val="21"/>
                <w:lang w:bidi="ar"/>
              </w:rPr>
              <w:t>符合</w:t>
            </w:r>
          </w:p>
        </w:tc>
      </w:tr>
      <w:tr w14:paraId="3DA51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dxa"/>
            <w:vMerge w:val="continue"/>
            <w:tcBorders>
              <w:left w:val="single" w:color="auto" w:sz="4" w:space="0"/>
              <w:right w:val="single" w:color="auto" w:sz="4" w:space="0"/>
            </w:tcBorders>
            <w:noWrap w:val="0"/>
            <w:vAlign w:val="center"/>
          </w:tcPr>
          <w:p w14:paraId="652FAA1B">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p>
        </w:tc>
        <w:tc>
          <w:tcPr>
            <w:tcW w:w="5705" w:type="dxa"/>
            <w:tcBorders>
              <w:top w:val="single" w:color="auto" w:sz="4" w:space="0"/>
              <w:left w:val="single" w:color="auto" w:sz="4" w:space="0"/>
              <w:bottom w:val="single" w:color="auto" w:sz="4" w:space="0"/>
              <w:right w:val="single" w:color="auto" w:sz="4" w:space="0"/>
            </w:tcBorders>
            <w:noWrap w:val="0"/>
            <w:vAlign w:val="center"/>
          </w:tcPr>
          <w:p w14:paraId="6A0C905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对安全管理机构设置及人员配备的建议</w:t>
            </w:r>
          </w:p>
          <w:p w14:paraId="1CB04E0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本项目为云南瓮福祥丰氟硅新材料有限公司3万吨/年无水氟化氢和2万吨/年电子级氢氟酸项目配套的厂外公用工程管道设施，不新增定员。安全环保工作由公司安全环保部负责，生产操作及管线巡检由公司生产部负责。公司已设置了安全管理机构，明确外管廊的具体管理部门，建立了安全生产责任制度；安全生产信息化管理制度；安全生产奖惩制度；安全生产教育培训制度；劳动防护用品使用维护管理制度；特殊作业管理制度以及法律法规规定的其他安全生产管理制度并结合生产工艺、作业任务特点以及岗位作业安全风险等情况编制岗位安全操作规程。按《生产经营单位生产安全事故应急预案编制导则》（GB/T29639-2020）的要求编制外管廊专项应急救援预案。</w:t>
            </w:r>
          </w:p>
          <w:p w14:paraId="2F4E642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1、根据《中华人民共和国安全生产法》（中华人民共和国主席令〔2021〕第88号修订）第二十五条及《云南省人民政府关于印发云南省生产经营单位安全生产主体责任规定的通知》（云政规〔2022〕4号）的规定，企业应设置安全管理机构，配备专职安全管理人员。</w:t>
            </w:r>
          </w:p>
          <w:p w14:paraId="75782C8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2、云南瓮福祥丰氟硅新材料有限公司3万吨/年无水氟化氢和2万吨/年电子级氢氟酸项目劳动定员总计68人，专职安全管理人员的数量不少于企业总人数的2%，配备至少2名专职安全员。并按照不少于安全生产管理人员15%的比例配备化工类注册安全工程师。</w:t>
            </w:r>
          </w:p>
          <w:p w14:paraId="3A477A8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云南瓮福祥丰氟硅新材料有限公司3万吨/年无水氟化氢和2万吨/年电子级氢氟酸项目设置安全环保部，定员3人，负责公司安全、环保、职业卫生、消防气防。此外，生产部也设置1名HSE安全管理员、质量管理员，负责HF装置安全、消防、职业卫生等。</w:t>
            </w:r>
          </w:p>
          <w:p w14:paraId="4DA2AA0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云南瓮福祥丰氟硅新材料有限公司3万吨/年无水氟化氢和2万吨/年电子级氢氟酸项目定岗定员要求符合《危险化学品生产建设项目安全风险防控指南（试行）》（应急[2022]52号）的相关规定，作业现场的最大人数不超过9人。</w:t>
            </w:r>
          </w:p>
          <w:p w14:paraId="59C47BA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3、云南瓮福祥丰氟硅新材料有限公司3万吨/年无水氟化氢和2万吨/年电子级氢氟酸项目涉及“两重点一重大”，按《应急管理部关于印发危险化学品企业安全分类整治目录（2020年）的通知》（应急〔2020〕84号）的要求：新入职的主要负责人和主管生产、设备、技术、安全的负责人及安全生产管理人员应具备化学、化工、安全等相关专业大专及以上学历或化工类中级及以上职称；新入职的涉及重大危险源、重点监管化工工艺的生产装置、储存设施操作人员应具备高中及以上学历或化工类中等及以上职业教育水平；新入职的涉及爆炸危险性化学品的生产装置和储存设施的操作人员应具备化工类大专及以上学历。</w:t>
            </w:r>
          </w:p>
          <w:p w14:paraId="5E51942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4、本项目涉及GC2级压力管道，云南瓮福祥丰氟硅新材料有限公司应根据《特种设备使用单位落实使用安全主体责任监督管理规定》（国家市场监督管理总局令第74号），设置专门特种设备安全管理机构，负责特种设备安全管理，并按照特种设备监督管理机构的要求进行报备及监管。</w:t>
            </w:r>
          </w:p>
          <w:p w14:paraId="3436DEE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特种设备管理人员按要求取的特种设备安全管理资格证书，并按要求设置特种设备安全总监。特种作业人员应当依照《特种作业人员安全技术培训考核管理规定》，经专门的安全技术培训并考核合格，取得特种作业操作证书。</w:t>
            </w:r>
          </w:p>
          <w:p w14:paraId="06E8C12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5、企业应当建立从主要负责人到一线岗位员工，覆盖本单位所有层级、各类岗位从业人员的全员安全生产责任制，明确各岗位的责任人员、责任范围和考核标准等内容，并建立相应的机制，加强落实情况的监督考核。</w:t>
            </w:r>
          </w:p>
          <w:p w14:paraId="119B693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6、企业主要负责人是本单位安全生产第一责任人，对本单位的安全生产工作全面负责。</w:t>
            </w:r>
          </w:p>
          <w:p w14:paraId="5606039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7、按照国家财政部和国家安监总局下发的《企业安全生产费用提取和使用管理办法》（财资〔2022〕136号），督促生产经营单位缴足风险抵押金和提取安全费用；</w:t>
            </w:r>
          </w:p>
          <w:p w14:paraId="3EF58F5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安全资金主要用在以下方面：</w:t>
            </w:r>
          </w:p>
          <w:p w14:paraId="4EF4433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从业人员配备劳动防护用品经费；</w:t>
            </w:r>
          </w:p>
          <w:p w14:paraId="3820FB1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安全设施、设备投入和维护保养费用；</w:t>
            </w:r>
          </w:p>
          <w:p w14:paraId="0861F9A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事故隐患整改费用；</w:t>
            </w:r>
          </w:p>
          <w:p w14:paraId="725B5E0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安全检查工作及其有关器材投入的维护保养费用；</w:t>
            </w:r>
          </w:p>
          <w:p w14:paraId="434643F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事故应急救援器材、设备投入和维护保养的费用；</w:t>
            </w:r>
          </w:p>
          <w:p w14:paraId="7FD1DC4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事故应急救援定期演练费用；</w:t>
            </w:r>
          </w:p>
          <w:p w14:paraId="75F58A6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缴存安全生产风险抵押金；</w:t>
            </w:r>
          </w:p>
          <w:p w14:paraId="2B7DEB1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bidi="ar"/>
              </w:rPr>
            </w:pPr>
            <w:r>
              <w:rPr>
                <w:rFonts w:hint="eastAsia" w:ascii="宋体" w:hAnsi="Times New Roman" w:eastAsia="宋体" w:cs="宋体"/>
                <w:color w:val="000000"/>
                <w:sz w:val="21"/>
                <w:szCs w:val="21"/>
                <w:lang w:bidi="ar"/>
              </w:rPr>
              <w:t>员工参加安全教育培训的经费。</w:t>
            </w:r>
          </w:p>
        </w:tc>
        <w:tc>
          <w:tcPr>
            <w:tcW w:w="225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88A686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企业设置了安全环保部，配备了2名专职安全管理人员（安全环保部1名、生产部1名）、1名化工安全注册安全工程师。</w:t>
            </w:r>
          </w:p>
          <w:p w14:paraId="2D959B1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主要负责人、生产负责人具有北京化工大学化学工程与工艺专业高中起点本科毕业证书；主要负责人和安全生产管理人员经培训合格，取得安全生产知识和管理能力考核合格证；生产部涉及重大危险源的生产装置、储存设施操作人员具备高中及以上学历或化工类中等及以上职业教育水平。</w:t>
            </w:r>
          </w:p>
          <w:p w14:paraId="67B89F2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高处作业、电工作业、化工自动化控制仪表作业、特种设备安全管理、压力容器作业、制冷与空调设备作业等特种作业人员和特种设备作业人员已经相关部门培训合格，持证上岗。</w:t>
            </w:r>
          </w:p>
          <w:p w14:paraId="3B8CB1B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建立了全员安全生产责任制，企业主要负责人对本单位的安全生产工作全面负责。</w:t>
            </w:r>
          </w:p>
          <w:p w14:paraId="0C2C76B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val="zh-CN" w:eastAsia="zh-CN" w:bidi="ar"/>
              </w:rPr>
            </w:pPr>
            <w:r>
              <w:rPr>
                <w:rFonts w:hint="eastAsia" w:ascii="宋体" w:hAnsi="Times New Roman" w:eastAsia="宋体" w:cs="宋体"/>
                <w:color w:val="000000"/>
                <w:sz w:val="21"/>
                <w:szCs w:val="21"/>
                <w:lang w:bidi="ar"/>
              </w:rPr>
              <w:t>该项目安全投资保障了安全投入，运行过程中企业将按规定提取、使用安全生产费用。</w:t>
            </w:r>
          </w:p>
        </w:tc>
        <w:tc>
          <w:tcPr>
            <w:tcW w:w="7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99DB1E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Times New Roman" w:eastAsia="宋体" w:cs="宋体"/>
                <w:color w:val="000000"/>
                <w:sz w:val="21"/>
                <w:szCs w:val="21"/>
                <w:lang w:val="en-US" w:eastAsia="zh-CN" w:bidi="ar"/>
              </w:rPr>
            </w:pPr>
            <w:r>
              <w:rPr>
                <w:color w:val="000000"/>
                <w:sz w:val="21"/>
                <w:szCs w:val="21"/>
                <w:lang w:bidi="ar"/>
              </w:rPr>
              <w:t>符合</w:t>
            </w:r>
          </w:p>
        </w:tc>
      </w:tr>
      <w:tr w14:paraId="2FA9F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dxa"/>
            <w:vMerge w:val="continue"/>
            <w:tcBorders>
              <w:left w:val="single" w:color="auto" w:sz="4" w:space="0"/>
              <w:right w:val="single" w:color="auto" w:sz="4" w:space="0"/>
            </w:tcBorders>
            <w:noWrap w:val="0"/>
            <w:vAlign w:val="center"/>
          </w:tcPr>
          <w:p w14:paraId="4E9AEBB9">
            <w:pPr>
              <w:keepNext w:val="0"/>
              <w:keepLines w:val="0"/>
              <w:pageBreakBefore w:val="0"/>
              <w:widowControl w:val="0"/>
              <w:kinsoku/>
              <w:wordWrap/>
              <w:overflowPunct/>
              <w:topLinePunct w:val="0"/>
              <w:autoSpaceDE/>
              <w:autoSpaceDN/>
              <w:bidi w:val="0"/>
              <w:adjustRightInd/>
              <w:snapToGrid w:val="0"/>
              <w:spacing w:line="240" w:lineRule="auto"/>
              <w:textAlignment w:val="auto"/>
              <w:rPr>
                <w:color w:val="000000"/>
                <w:sz w:val="21"/>
                <w:szCs w:val="21"/>
              </w:rPr>
            </w:pPr>
          </w:p>
        </w:tc>
        <w:tc>
          <w:tcPr>
            <w:tcW w:w="5705" w:type="dxa"/>
            <w:tcBorders>
              <w:top w:val="single" w:color="auto" w:sz="4" w:space="0"/>
              <w:left w:val="single" w:color="auto" w:sz="4" w:space="0"/>
              <w:bottom w:val="single" w:color="auto" w:sz="4" w:space="0"/>
              <w:right w:val="single" w:color="auto" w:sz="4" w:space="0"/>
            </w:tcBorders>
            <w:noWrap w:val="0"/>
            <w:vAlign w:val="center"/>
          </w:tcPr>
          <w:p w14:paraId="174D432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管道系统及管廊架管理机构及管理权限范围</w:t>
            </w:r>
          </w:p>
          <w:p w14:paraId="63FE368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本项目管道系统及管廊架管道均云南瓮福祥丰氟硅新材料有限公司的管理范围。浓硫酸和氟硅酸来自祥丰金麦，以泵出口阀门为分界管理，稀硫酸与渣浆水返回其金麦厂区储槽，以金麦厂区原有甩头阀门为分界。</w:t>
            </w:r>
          </w:p>
          <w:p w14:paraId="0B22AF9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根据《中华人民共和国安全生产法》（中华人民共和国主席令〔2021〕第88号修订）第二十五条及《云南省人民政府关于印发云南省生产经营单位安全生产主体责任规定的通知》（云政规〔2022〕4号）的规定，企业已设置安全管理机构，配备了专职安全管理人员。管道输送系统及管廊架管理机构引用公司现有管理机构，由公司安全环保部负责监督管理，由生产部负责具体管理，生产部配备一名专职安全管理人员，另配备了设备、工艺、电气、仪表专业技术人员，同时生产部每班组设置一名兼职安全管理人员，定期对管廊桥架及管道系统进行巡检，并结合无人机巡检图片进行隐患识别。各专业技术人员、班组人员对管道输送系统及管廊架管理不到位的，安全环保部应当按照有关规定进行考核。</w:t>
            </w:r>
          </w:p>
        </w:tc>
        <w:tc>
          <w:tcPr>
            <w:tcW w:w="2253" w:type="dxa"/>
            <w:tcBorders>
              <w:top w:val="single" w:color="auto" w:sz="4" w:space="0"/>
              <w:left w:val="single" w:color="auto" w:sz="4" w:space="0"/>
              <w:bottom w:val="single" w:color="auto" w:sz="4" w:space="0"/>
              <w:right w:val="single" w:color="auto" w:sz="4" w:space="0"/>
            </w:tcBorders>
            <w:noWrap w:val="0"/>
            <w:vAlign w:val="center"/>
          </w:tcPr>
          <w:p w14:paraId="4F10AAC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Times New Roman" w:eastAsia="宋体" w:cs="宋体"/>
                <w:color w:val="000000"/>
                <w:sz w:val="21"/>
                <w:szCs w:val="21"/>
                <w:lang w:bidi="ar"/>
              </w:rPr>
            </w:pPr>
            <w:r>
              <w:rPr>
                <w:rFonts w:hint="eastAsia" w:ascii="宋体" w:hAnsi="Times New Roman" w:eastAsia="宋体" w:cs="宋体"/>
                <w:color w:val="000000"/>
                <w:sz w:val="21"/>
                <w:szCs w:val="21"/>
                <w:lang w:bidi="ar"/>
              </w:rPr>
              <w:t>企业已设置安全管理机构，配备了专职安全管理人员。管道输送系统及管廊架管理机构引用公司现有管理机构，由公司安全环保部负责监督管理，由生产部负责具体管理，生产部配备一名专职安全管理人员，另配备了设备、工艺、电气、仪表专业技术人员，同时生产部每班组设置一名兼职安全管理人员，定期对管廊桥架及管道系统进行巡检，并结合无人机巡检图片进行隐患识别。</w:t>
            </w:r>
          </w:p>
        </w:tc>
        <w:tc>
          <w:tcPr>
            <w:tcW w:w="729" w:type="dxa"/>
            <w:tcBorders>
              <w:top w:val="single" w:color="auto" w:sz="4" w:space="0"/>
              <w:left w:val="single" w:color="auto" w:sz="4" w:space="0"/>
              <w:bottom w:val="single" w:color="auto" w:sz="4" w:space="0"/>
              <w:right w:val="single" w:color="auto" w:sz="4" w:space="0"/>
            </w:tcBorders>
            <w:noWrap w:val="0"/>
            <w:vAlign w:val="center"/>
          </w:tcPr>
          <w:p w14:paraId="28F4AB4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000000"/>
                <w:sz w:val="21"/>
                <w:szCs w:val="21"/>
                <w:lang w:bidi="ar"/>
              </w:rPr>
            </w:pPr>
            <w:r>
              <w:rPr>
                <w:color w:val="000000"/>
                <w:sz w:val="21"/>
                <w:szCs w:val="21"/>
                <w:lang w:bidi="ar"/>
              </w:rPr>
              <w:t>符合</w:t>
            </w:r>
          </w:p>
        </w:tc>
      </w:tr>
    </w:tbl>
    <w:p w14:paraId="695D4976">
      <w:pPr>
        <w:spacing w:line="500" w:lineRule="exact"/>
        <w:ind w:firstLine="560" w:firstLineChars="200"/>
        <w:rPr>
          <w:color w:val="000000"/>
          <w:sz w:val="28"/>
          <w:szCs w:val="28"/>
          <w:lang w:bidi="ar"/>
        </w:rPr>
      </w:pPr>
      <w:bookmarkStart w:id="1136" w:name="_Hlk522542234"/>
      <w:r>
        <w:rPr>
          <w:color w:val="000000"/>
          <w:sz w:val="28"/>
          <w:szCs w:val="28"/>
          <w:lang w:bidi="ar"/>
        </w:rPr>
        <w:t>由上述检查表检查结果可知</w:t>
      </w:r>
      <w:bookmarkStart w:id="1137" w:name="_Hlk517384577"/>
      <w:r>
        <w:rPr>
          <w:color w:val="000000"/>
          <w:sz w:val="28"/>
          <w:szCs w:val="28"/>
          <w:lang w:bidi="ar"/>
        </w:rPr>
        <w:t>：</w:t>
      </w:r>
      <w:bookmarkEnd w:id="1137"/>
      <w:r>
        <w:rPr>
          <w:color w:val="000000"/>
          <w:sz w:val="28"/>
          <w:szCs w:val="28"/>
          <w:lang w:bidi="ar"/>
        </w:rPr>
        <w:t>该项目在建设期间总体上已按照安全设施设计专篇中采取的安全对策措施进行了施工和管理</w:t>
      </w:r>
      <w:r>
        <w:rPr>
          <w:rFonts w:hint="eastAsia"/>
          <w:color w:val="000000"/>
          <w:sz w:val="28"/>
          <w:szCs w:val="28"/>
          <w:lang w:bidi="ar"/>
        </w:rPr>
        <w:t>。</w:t>
      </w:r>
      <w:bookmarkEnd w:id="1136"/>
      <w:r>
        <w:rPr>
          <w:color w:val="000000"/>
          <w:sz w:val="28"/>
          <w:szCs w:val="28"/>
          <w:lang w:bidi="ar"/>
        </w:rPr>
        <w:t>根据企业提供的</w:t>
      </w:r>
      <w:r>
        <w:rPr>
          <w:snapToGrid w:val="0"/>
          <w:color w:val="000000"/>
          <w:kern w:val="0"/>
          <w:sz w:val="28"/>
          <w:szCs w:val="28"/>
          <w:lang w:bidi="ar"/>
        </w:rPr>
        <w:t>《安全设施施工</w:t>
      </w:r>
      <w:r>
        <w:rPr>
          <w:rFonts w:hint="eastAsia"/>
          <w:snapToGrid w:val="0"/>
          <w:color w:val="000000"/>
          <w:kern w:val="0"/>
          <w:sz w:val="28"/>
          <w:szCs w:val="28"/>
          <w:lang w:bidi="ar"/>
        </w:rPr>
        <w:t>情况</w:t>
      </w:r>
      <w:r>
        <w:rPr>
          <w:snapToGrid w:val="0"/>
          <w:color w:val="000000"/>
          <w:kern w:val="0"/>
          <w:sz w:val="28"/>
          <w:szCs w:val="28"/>
          <w:lang w:bidi="ar"/>
        </w:rPr>
        <w:t>报告》、《安全设施监理</w:t>
      </w:r>
      <w:r>
        <w:rPr>
          <w:rFonts w:hint="eastAsia"/>
          <w:snapToGrid w:val="0"/>
          <w:color w:val="000000"/>
          <w:kern w:val="0"/>
          <w:sz w:val="28"/>
          <w:szCs w:val="28"/>
          <w:lang w:bidi="ar"/>
        </w:rPr>
        <w:t>情况</w:t>
      </w:r>
      <w:r>
        <w:rPr>
          <w:snapToGrid w:val="0"/>
          <w:color w:val="000000"/>
          <w:kern w:val="0"/>
          <w:sz w:val="28"/>
          <w:szCs w:val="28"/>
          <w:lang w:bidi="ar"/>
        </w:rPr>
        <w:t>报告》</w:t>
      </w:r>
      <w:r>
        <w:rPr>
          <w:rFonts w:hint="eastAsia"/>
          <w:snapToGrid w:val="0"/>
          <w:color w:val="000000"/>
          <w:kern w:val="0"/>
          <w:sz w:val="28"/>
          <w:szCs w:val="28"/>
          <w:lang w:bidi="ar"/>
        </w:rPr>
        <w:t>、《试生产总结报告》</w:t>
      </w:r>
      <w:r>
        <w:rPr>
          <w:color w:val="000000"/>
          <w:sz w:val="28"/>
          <w:szCs w:val="28"/>
          <w:lang w:bidi="ar"/>
        </w:rPr>
        <w:t>等资料，该项目施工质量合格，能够满足其安全生产的要求。</w:t>
      </w:r>
    </w:p>
    <w:p w14:paraId="061A2751">
      <w:pPr>
        <w:pStyle w:val="6"/>
        <w:keepNext/>
        <w:keepLines/>
        <w:pageBreakBefore w:val="0"/>
        <w:widowControl w:val="0"/>
        <w:numPr>
          <w:ilvl w:val="2"/>
          <w:numId w:val="0"/>
        </w:numPr>
        <w:tabs>
          <w:tab w:val="left" w:pos="931"/>
        </w:tabs>
        <w:kinsoku/>
        <w:wordWrap/>
        <w:overflowPunct/>
        <w:topLinePunct w:val="0"/>
        <w:autoSpaceDE/>
        <w:autoSpaceDN/>
        <w:bidi w:val="0"/>
        <w:adjustRightInd/>
        <w:snapToGrid w:val="0"/>
        <w:spacing w:line="360" w:lineRule="auto"/>
        <w:ind w:leftChars="100"/>
        <w:textAlignment w:val="auto"/>
        <w:outlineLvl w:val="3"/>
        <w:rPr>
          <w:rFonts w:hint="eastAsia" w:ascii="Times New Roman" w:hAnsi="Times New Roman" w:cs="Times New Roman"/>
          <w:snapToGrid w:val="0"/>
          <w:color w:val="000000"/>
          <w:kern w:val="0"/>
          <w:sz w:val="28"/>
          <w:szCs w:val="28"/>
          <w:lang w:val="en-US" w:eastAsia="zh-CN"/>
        </w:rPr>
      </w:pPr>
      <w:bookmarkStart w:id="1138" w:name="_Toc40969899"/>
      <w:bookmarkStart w:id="1139" w:name="_Toc9905"/>
      <w:bookmarkStart w:id="1140" w:name="_Toc523055236"/>
      <w:r>
        <w:rPr>
          <w:rFonts w:hint="eastAsia" w:ascii="Times New Roman" w:hAnsi="Times New Roman" w:cs="Times New Roman"/>
          <w:snapToGrid w:val="0"/>
          <w:color w:val="000000"/>
          <w:kern w:val="0"/>
          <w:sz w:val="28"/>
          <w:szCs w:val="28"/>
          <w:lang w:val="en-US" w:eastAsia="zh-CN"/>
        </w:rPr>
        <w:t>3.2.8.3</w:t>
      </w:r>
      <w:bookmarkEnd w:id="1138"/>
      <w:r>
        <w:rPr>
          <w:rFonts w:hint="eastAsia" w:ascii="Times New Roman" w:hAnsi="Times New Roman" w:cs="Times New Roman"/>
          <w:snapToGrid w:val="0"/>
          <w:color w:val="000000"/>
          <w:kern w:val="0"/>
          <w:sz w:val="28"/>
          <w:szCs w:val="28"/>
          <w:lang w:val="en-US" w:eastAsia="zh-CN"/>
        </w:rPr>
        <w:t>竣工验收条件安全评价子单元</w:t>
      </w:r>
      <w:bookmarkEnd w:id="1139"/>
    </w:p>
    <w:bookmarkEnd w:id="1140"/>
    <w:p w14:paraId="711293B2">
      <w:pPr>
        <w:spacing w:line="500" w:lineRule="exact"/>
        <w:ind w:firstLine="560" w:firstLineChars="200"/>
        <w:rPr>
          <w:rFonts w:hint="eastAsia"/>
          <w:color w:val="000000"/>
          <w:sz w:val="28"/>
          <w:szCs w:val="28"/>
          <w:lang w:bidi="ar"/>
        </w:rPr>
      </w:pPr>
      <w:r>
        <w:rPr>
          <w:rFonts w:hint="eastAsia"/>
          <w:color w:val="000000"/>
          <w:sz w:val="28"/>
          <w:szCs w:val="28"/>
          <w:lang w:bidi="ar"/>
        </w:rPr>
        <w:t>根据《危险化学品生产建设项目安全风险防控指南（试行）》（应急〔2022〕52号）中竣工验收的条件及《关于进一步加强危险化学品生产建设项目安全风险防控工作的通知》（云应急﹝2024﹞43号）相关要求，对该项目竣工验收条件的符合性进行检查，如下表所示。</w:t>
      </w:r>
    </w:p>
    <w:p w14:paraId="29144B59">
      <w:pPr>
        <w:pStyle w:val="169"/>
        <w:adjustRightInd w:val="0"/>
        <w:snapToGrid w:val="0"/>
        <w:ind w:firstLine="0" w:firstLineChars="0"/>
        <w:jc w:val="center"/>
        <w:rPr>
          <w:b/>
          <w:color w:val="000000"/>
          <w:kern w:val="3"/>
          <w:sz w:val="24"/>
        </w:rPr>
      </w:pPr>
      <w:r>
        <w:rPr>
          <w:rFonts w:hint="eastAsia"/>
          <w:b/>
          <w:color w:val="000000"/>
          <w:kern w:val="3"/>
          <w:sz w:val="24"/>
        </w:rPr>
        <w:t>附表3</w:t>
      </w:r>
      <w:r>
        <w:rPr>
          <w:rFonts w:hint="eastAsia"/>
          <w:b/>
          <w:color w:val="000000"/>
          <w:kern w:val="3"/>
          <w:sz w:val="24"/>
          <w:lang w:val="en-US" w:eastAsia="zh-CN"/>
        </w:rPr>
        <w:t>.2</w:t>
      </w:r>
      <w:r>
        <w:rPr>
          <w:rFonts w:hint="eastAsia"/>
          <w:b/>
          <w:color w:val="000000"/>
          <w:kern w:val="3"/>
          <w:sz w:val="24"/>
        </w:rPr>
        <w:t>-</w:t>
      </w:r>
      <w:r>
        <w:rPr>
          <w:rFonts w:hint="eastAsia"/>
          <w:b/>
          <w:color w:val="000000"/>
          <w:kern w:val="3"/>
          <w:sz w:val="24"/>
          <w:lang w:val="en-US" w:eastAsia="zh-CN"/>
        </w:rPr>
        <w:t>11</w:t>
      </w:r>
      <w:r>
        <w:rPr>
          <w:rFonts w:hint="eastAsia"/>
          <w:b/>
          <w:color w:val="000000"/>
          <w:kern w:val="3"/>
          <w:sz w:val="24"/>
        </w:rPr>
        <w:t xml:space="preserve"> 竣工验收条件的符合性</w:t>
      </w:r>
      <w:r>
        <w:rPr>
          <w:b/>
          <w:color w:val="000000"/>
          <w:kern w:val="3"/>
          <w:sz w:val="24"/>
        </w:rPr>
        <w:t>检查表</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
        <w:gridCol w:w="3775"/>
        <w:gridCol w:w="1788"/>
        <w:gridCol w:w="2646"/>
        <w:gridCol w:w="667"/>
      </w:tblGrid>
      <w:tr w14:paraId="236A2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516" w:type="dxa"/>
            <w:tcBorders>
              <w:top w:val="single" w:color="auto" w:sz="4" w:space="0"/>
              <w:left w:val="single" w:color="auto" w:sz="4" w:space="0"/>
              <w:bottom w:val="single" w:color="auto" w:sz="4" w:space="0"/>
              <w:right w:val="single" w:color="auto" w:sz="4" w:space="0"/>
            </w:tcBorders>
            <w:noWrap w:val="0"/>
            <w:vAlign w:val="center"/>
          </w:tcPr>
          <w:p w14:paraId="700E3B8A">
            <w:pPr>
              <w:keepNext w:val="0"/>
              <w:keepLines w:val="0"/>
              <w:pageBreakBefore w:val="0"/>
              <w:widowControl w:val="0"/>
              <w:kinsoku/>
              <w:wordWrap/>
              <w:overflowPunct/>
              <w:topLinePunct w:val="0"/>
              <w:autoSpaceDE/>
              <w:autoSpaceDN/>
              <w:bidi w:val="0"/>
              <w:snapToGrid w:val="0"/>
              <w:spacing w:line="240" w:lineRule="auto"/>
              <w:jc w:val="center"/>
              <w:textAlignment w:val="auto"/>
              <w:rPr>
                <w:b/>
                <w:color w:val="000000"/>
                <w:sz w:val="21"/>
                <w:szCs w:val="21"/>
              </w:rPr>
            </w:pPr>
            <w:r>
              <w:rPr>
                <w:b/>
                <w:color w:val="000000"/>
                <w:sz w:val="21"/>
                <w:szCs w:val="21"/>
              </w:rPr>
              <w:t>序号</w:t>
            </w:r>
          </w:p>
        </w:tc>
        <w:tc>
          <w:tcPr>
            <w:tcW w:w="3715" w:type="dxa"/>
            <w:tcBorders>
              <w:top w:val="single" w:color="auto" w:sz="4" w:space="0"/>
              <w:left w:val="single" w:color="auto" w:sz="4" w:space="0"/>
              <w:bottom w:val="single" w:color="auto" w:sz="4" w:space="0"/>
              <w:right w:val="single" w:color="auto" w:sz="4" w:space="0"/>
            </w:tcBorders>
            <w:noWrap w:val="0"/>
            <w:vAlign w:val="center"/>
          </w:tcPr>
          <w:p w14:paraId="70F1084C">
            <w:pPr>
              <w:keepNext w:val="0"/>
              <w:keepLines w:val="0"/>
              <w:pageBreakBefore w:val="0"/>
              <w:widowControl w:val="0"/>
              <w:kinsoku/>
              <w:wordWrap/>
              <w:overflowPunct/>
              <w:topLinePunct w:val="0"/>
              <w:autoSpaceDE/>
              <w:autoSpaceDN/>
              <w:bidi w:val="0"/>
              <w:snapToGrid w:val="0"/>
              <w:spacing w:line="240" w:lineRule="auto"/>
              <w:jc w:val="center"/>
              <w:textAlignment w:val="auto"/>
              <w:rPr>
                <w:b/>
                <w:color w:val="000000"/>
                <w:sz w:val="21"/>
                <w:szCs w:val="21"/>
              </w:rPr>
            </w:pPr>
            <w:r>
              <w:rPr>
                <w:b/>
                <w:color w:val="000000"/>
                <w:sz w:val="21"/>
                <w:szCs w:val="21"/>
              </w:rPr>
              <w:t>检查内容</w:t>
            </w:r>
          </w:p>
        </w:tc>
        <w:tc>
          <w:tcPr>
            <w:tcW w:w="1760" w:type="dxa"/>
            <w:tcBorders>
              <w:top w:val="single" w:color="auto" w:sz="4" w:space="0"/>
              <w:left w:val="single" w:color="auto" w:sz="4" w:space="0"/>
              <w:bottom w:val="single" w:color="auto" w:sz="4" w:space="0"/>
              <w:right w:val="single" w:color="auto" w:sz="4" w:space="0"/>
            </w:tcBorders>
            <w:noWrap w:val="0"/>
            <w:vAlign w:val="center"/>
          </w:tcPr>
          <w:p w14:paraId="3699CB62">
            <w:pPr>
              <w:keepNext w:val="0"/>
              <w:keepLines w:val="0"/>
              <w:pageBreakBefore w:val="0"/>
              <w:widowControl w:val="0"/>
              <w:kinsoku/>
              <w:wordWrap/>
              <w:overflowPunct/>
              <w:topLinePunct w:val="0"/>
              <w:autoSpaceDE/>
              <w:autoSpaceDN/>
              <w:bidi w:val="0"/>
              <w:snapToGrid w:val="0"/>
              <w:spacing w:line="240" w:lineRule="auto"/>
              <w:jc w:val="center"/>
              <w:textAlignment w:val="auto"/>
              <w:rPr>
                <w:b/>
                <w:color w:val="000000"/>
                <w:sz w:val="21"/>
                <w:szCs w:val="21"/>
              </w:rPr>
            </w:pPr>
            <w:r>
              <w:rPr>
                <w:b/>
                <w:color w:val="000000"/>
                <w:sz w:val="21"/>
                <w:szCs w:val="21"/>
              </w:rPr>
              <w:t>检查依据</w:t>
            </w:r>
          </w:p>
        </w:tc>
        <w:tc>
          <w:tcPr>
            <w:tcW w:w="2604" w:type="dxa"/>
            <w:tcBorders>
              <w:top w:val="single" w:color="auto" w:sz="4" w:space="0"/>
              <w:left w:val="single" w:color="auto" w:sz="4" w:space="0"/>
              <w:bottom w:val="single" w:color="auto" w:sz="4" w:space="0"/>
              <w:right w:val="single" w:color="auto" w:sz="4" w:space="0"/>
            </w:tcBorders>
            <w:noWrap w:val="0"/>
            <w:vAlign w:val="center"/>
          </w:tcPr>
          <w:p w14:paraId="682EEC42">
            <w:pPr>
              <w:keepNext w:val="0"/>
              <w:keepLines w:val="0"/>
              <w:pageBreakBefore w:val="0"/>
              <w:widowControl w:val="0"/>
              <w:kinsoku/>
              <w:wordWrap/>
              <w:overflowPunct/>
              <w:topLinePunct w:val="0"/>
              <w:autoSpaceDE/>
              <w:autoSpaceDN/>
              <w:bidi w:val="0"/>
              <w:snapToGrid w:val="0"/>
              <w:spacing w:line="240" w:lineRule="auto"/>
              <w:jc w:val="center"/>
              <w:textAlignment w:val="auto"/>
              <w:rPr>
                <w:b/>
                <w:color w:val="000000"/>
                <w:sz w:val="21"/>
                <w:szCs w:val="21"/>
              </w:rPr>
            </w:pPr>
            <w:r>
              <w:rPr>
                <w:b/>
                <w:color w:val="000000"/>
                <w:sz w:val="21"/>
                <w:szCs w:val="21"/>
              </w:rPr>
              <w:t>检查情况</w:t>
            </w:r>
          </w:p>
        </w:tc>
        <w:tc>
          <w:tcPr>
            <w:tcW w:w="656" w:type="dxa"/>
            <w:tcBorders>
              <w:top w:val="single" w:color="auto" w:sz="4" w:space="0"/>
              <w:left w:val="single" w:color="auto" w:sz="4" w:space="0"/>
              <w:bottom w:val="single" w:color="auto" w:sz="4" w:space="0"/>
              <w:right w:val="single" w:color="auto" w:sz="4" w:space="0"/>
            </w:tcBorders>
            <w:noWrap w:val="0"/>
            <w:vAlign w:val="center"/>
          </w:tcPr>
          <w:p w14:paraId="1C7561FB">
            <w:pPr>
              <w:keepNext w:val="0"/>
              <w:keepLines w:val="0"/>
              <w:pageBreakBefore w:val="0"/>
              <w:widowControl w:val="0"/>
              <w:kinsoku/>
              <w:wordWrap/>
              <w:overflowPunct/>
              <w:topLinePunct w:val="0"/>
              <w:autoSpaceDE/>
              <w:autoSpaceDN/>
              <w:bidi w:val="0"/>
              <w:snapToGrid w:val="0"/>
              <w:spacing w:line="240" w:lineRule="auto"/>
              <w:jc w:val="center"/>
              <w:textAlignment w:val="auto"/>
              <w:rPr>
                <w:b/>
                <w:color w:val="000000"/>
                <w:sz w:val="21"/>
                <w:szCs w:val="21"/>
              </w:rPr>
            </w:pPr>
            <w:r>
              <w:rPr>
                <w:b/>
                <w:color w:val="000000"/>
                <w:sz w:val="21"/>
                <w:szCs w:val="21"/>
              </w:rPr>
              <w:t>检查结果</w:t>
            </w:r>
          </w:p>
        </w:tc>
      </w:tr>
      <w:tr w14:paraId="76545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6" w:type="dxa"/>
            <w:tcBorders>
              <w:top w:val="single" w:color="auto" w:sz="4" w:space="0"/>
              <w:left w:val="single" w:color="auto" w:sz="4" w:space="0"/>
              <w:bottom w:val="single" w:color="auto" w:sz="4" w:space="0"/>
              <w:right w:val="single" w:color="auto" w:sz="4" w:space="0"/>
            </w:tcBorders>
            <w:noWrap w:val="0"/>
            <w:vAlign w:val="center"/>
          </w:tcPr>
          <w:p w14:paraId="5B59B6CC">
            <w:pPr>
              <w:keepNext w:val="0"/>
              <w:keepLines w:val="0"/>
              <w:pageBreakBefore w:val="0"/>
              <w:widowControl w:val="0"/>
              <w:numPr>
                <w:ilvl w:val="0"/>
                <w:numId w:val="46"/>
              </w:numPr>
              <w:tabs>
                <w:tab w:val="left" w:pos="352"/>
                <w:tab w:val="left" w:pos="759"/>
                <w:tab w:val="left" w:pos="825"/>
              </w:tabs>
              <w:kinsoku/>
              <w:wordWrap/>
              <w:overflowPunct/>
              <w:topLinePunct w:val="0"/>
              <w:autoSpaceDE/>
              <w:autoSpaceDN/>
              <w:bidi w:val="0"/>
              <w:adjustRightInd w:val="0"/>
              <w:snapToGrid w:val="0"/>
              <w:spacing w:line="240" w:lineRule="auto"/>
              <w:ind w:left="0" w:firstLine="0"/>
              <w:jc w:val="center"/>
              <w:textAlignment w:val="auto"/>
              <w:rPr>
                <w:smallCaps/>
                <w:color w:val="000000"/>
                <w:sz w:val="21"/>
                <w:szCs w:val="21"/>
              </w:rPr>
            </w:pPr>
          </w:p>
        </w:tc>
        <w:tc>
          <w:tcPr>
            <w:tcW w:w="3715" w:type="dxa"/>
            <w:tcBorders>
              <w:top w:val="single" w:color="auto" w:sz="4" w:space="0"/>
              <w:left w:val="single" w:color="auto" w:sz="4" w:space="0"/>
              <w:bottom w:val="single" w:color="auto" w:sz="4" w:space="0"/>
              <w:right w:val="single" w:color="auto" w:sz="4" w:space="0"/>
            </w:tcBorders>
            <w:noWrap w:val="0"/>
            <w:vAlign w:val="center"/>
          </w:tcPr>
          <w:p w14:paraId="567E8A99">
            <w:pPr>
              <w:keepNext w:val="0"/>
              <w:keepLines w:val="0"/>
              <w:pageBreakBefore w:val="0"/>
              <w:widowControl w:val="0"/>
              <w:kinsoku/>
              <w:wordWrap/>
              <w:overflowPunct/>
              <w:topLinePunct w:val="0"/>
              <w:autoSpaceDE/>
              <w:autoSpaceDN/>
              <w:bidi w:val="0"/>
              <w:snapToGrid w:val="0"/>
              <w:spacing w:line="240" w:lineRule="auto"/>
              <w:textAlignment w:val="auto"/>
              <w:rPr>
                <w:color w:val="000000"/>
                <w:sz w:val="21"/>
                <w:szCs w:val="21"/>
              </w:rPr>
            </w:pPr>
            <w:r>
              <w:rPr>
                <w:rFonts w:hint="eastAsia"/>
                <w:color w:val="000000"/>
                <w:sz w:val="21"/>
                <w:szCs w:val="21"/>
              </w:rPr>
              <w:t>a）试生产各项控制指标达到要求，安全设施有效运行，并已编制试生产总结报告；说明试生产期间是否发生事故、采取的防范措施以及整改情况；</w:t>
            </w:r>
          </w:p>
        </w:tc>
        <w:tc>
          <w:tcPr>
            <w:tcW w:w="1760" w:type="dxa"/>
            <w:vMerge w:val="restart"/>
            <w:tcBorders>
              <w:top w:val="single" w:color="auto" w:sz="4" w:space="0"/>
              <w:left w:val="single" w:color="auto" w:sz="4" w:space="0"/>
              <w:right w:val="single" w:color="auto" w:sz="4" w:space="0"/>
            </w:tcBorders>
            <w:noWrap w:val="0"/>
            <w:vAlign w:val="center"/>
          </w:tcPr>
          <w:p w14:paraId="6D96A7FE">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color w:val="000000"/>
                <w:sz w:val="21"/>
                <w:szCs w:val="21"/>
              </w:rPr>
            </w:pPr>
            <w:r>
              <w:rPr>
                <w:rFonts w:hint="eastAsia"/>
                <w:color w:val="000000"/>
                <w:sz w:val="21"/>
                <w:szCs w:val="21"/>
              </w:rPr>
              <w:t>《危险化学品生产建设项目安全风险防控指南（试行）》（应急〔2022〕52号）</w:t>
            </w:r>
          </w:p>
          <w:p w14:paraId="321D1554">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rFonts w:hint="eastAsia"/>
                <w:color w:val="000000"/>
                <w:sz w:val="21"/>
                <w:szCs w:val="21"/>
              </w:rPr>
              <w:t>10.3竣工验收要求-（3）竣工验收的条件</w:t>
            </w:r>
          </w:p>
        </w:tc>
        <w:tc>
          <w:tcPr>
            <w:tcW w:w="2604" w:type="dxa"/>
            <w:tcBorders>
              <w:top w:val="single" w:color="auto" w:sz="4" w:space="0"/>
              <w:left w:val="single" w:color="auto" w:sz="4" w:space="0"/>
              <w:bottom w:val="single" w:color="auto" w:sz="4" w:space="0"/>
              <w:right w:val="single" w:color="auto" w:sz="4" w:space="0"/>
            </w:tcBorders>
            <w:noWrap w:val="0"/>
            <w:vAlign w:val="center"/>
          </w:tcPr>
          <w:p w14:paraId="4E98FF55">
            <w:pPr>
              <w:keepNext w:val="0"/>
              <w:keepLines w:val="0"/>
              <w:pageBreakBefore w:val="0"/>
              <w:widowControl w:val="0"/>
              <w:kinsoku/>
              <w:wordWrap/>
              <w:overflowPunct/>
              <w:topLinePunct w:val="0"/>
              <w:autoSpaceDE/>
              <w:autoSpaceDN/>
              <w:bidi w:val="0"/>
              <w:snapToGrid w:val="0"/>
              <w:spacing w:line="240" w:lineRule="auto"/>
              <w:textAlignment w:val="auto"/>
              <w:rPr>
                <w:color w:val="000000"/>
                <w:sz w:val="21"/>
                <w:szCs w:val="21"/>
              </w:rPr>
            </w:pPr>
            <w:r>
              <w:rPr>
                <w:rFonts w:hint="eastAsia"/>
                <w:color w:val="000000"/>
                <w:sz w:val="21"/>
                <w:szCs w:val="21"/>
              </w:rPr>
              <w:t>根据企业提供的《试生产总结报告》，试生产期间安全设施有效运行，试生产期间未发生事故。</w:t>
            </w:r>
          </w:p>
        </w:tc>
        <w:tc>
          <w:tcPr>
            <w:tcW w:w="656" w:type="dxa"/>
            <w:tcBorders>
              <w:top w:val="single" w:color="auto" w:sz="4" w:space="0"/>
              <w:left w:val="single" w:color="auto" w:sz="4" w:space="0"/>
              <w:bottom w:val="single" w:color="auto" w:sz="4" w:space="0"/>
              <w:right w:val="single" w:color="auto" w:sz="4" w:space="0"/>
            </w:tcBorders>
            <w:noWrap w:val="0"/>
            <w:vAlign w:val="center"/>
          </w:tcPr>
          <w:p w14:paraId="46384830">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rPr>
              <w:t>符合</w:t>
            </w:r>
          </w:p>
        </w:tc>
      </w:tr>
      <w:tr w14:paraId="2059F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6" w:type="dxa"/>
            <w:tcBorders>
              <w:top w:val="single" w:color="auto" w:sz="4" w:space="0"/>
              <w:left w:val="single" w:color="auto" w:sz="4" w:space="0"/>
              <w:bottom w:val="single" w:color="auto" w:sz="4" w:space="0"/>
              <w:right w:val="single" w:color="auto" w:sz="4" w:space="0"/>
            </w:tcBorders>
            <w:noWrap w:val="0"/>
            <w:vAlign w:val="center"/>
          </w:tcPr>
          <w:p w14:paraId="2DE8CA4D">
            <w:pPr>
              <w:keepNext w:val="0"/>
              <w:keepLines w:val="0"/>
              <w:pageBreakBefore w:val="0"/>
              <w:widowControl w:val="0"/>
              <w:numPr>
                <w:ilvl w:val="0"/>
                <w:numId w:val="46"/>
              </w:numPr>
              <w:tabs>
                <w:tab w:val="left" w:pos="352"/>
                <w:tab w:val="left" w:pos="759"/>
                <w:tab w:val="left" w:pos="825"/>
              </w:tabs>
              <w:kinsoku/>
              <w:wordWrap/>
              <w:overflowPunct/>
              <w:topLinePunct w:val="0"/>
              <w:autoSpaceDE/>
              <w:autoSpaceDN/>
              <w:bidi w:val="0"/>
              <w:adjustRightInd w:val="0"/>
              <w:snapToGrid w:val="0"/>
              <w:spacing w:line="240" w:lineRule="auto"/>
              <w:ind w:left="0" w:firstLine="0"/>
              <w:jc w:val="center"/>
              <w:textAlignment w:val="auto"/>
              <w:rPr>
                <w:smallCaps/>
                <w:color w:val="000000"/>
                <w:sz w:val="21"/>
                <w:szCs w:val="21"/>
              </w:rPr>
            </w:pPr>
          </w:p>
        </w:tc>
        <w:tc>
          <w:tcPr>
            <w:tcW w:w="3715" w:type="dxa"/>
            <w:tcBorders>
              <w:top w:val="single" w:color="auto" w:sz="4" w:space="0"/>
              <w:left w:val="single" w:color="auto" w:sz="4" w:space="0"/>
              <w:bottom w:val="single" w:color="auto" w:sz="4" w:space="0"/>
              <w:right w:val="single" w:color="auto" w:sz="4" w:space="0"/>
            </w:tcBorders>
            <w:noWrap w:val="0"/>
            <w:vAlign w:val="center"/>
          </w:tcPr>
          <w:p w14:paraId="4B2056B8">
            <w:pPr>
              <w:keepNext w:val="0"/>
              <w:keepLines w:val="0"/>
              <w:pageBreakBefore w:val="0"/>
              <w:widowControl w:val="0"/>
              <w:kinsoku/>
              <w:wordWrap/>
              <w:overflowPunct/>
              <w:topLinePunct w:val="0"/>
              <w:autoSpaceDE/>
              <w:autoSpaceDN/>
              <w:bidi w:val="0"/>
              <w:snapToGrid w:val="0"/>
              <w:spacing w:line="240" w:lineRule="auto"/>
              <w:textAlignment w:val="auto"/>
              <w:rPr>
                <w:color w:val="000000"/>
                <w:sz w:val="21"/>
                <w:szCs w:val="21"/>
              </w:rPr>
            </w:pPr>
            <w:r>
              <w:rPr>
                <w:rFonts w:hint="eastAsia"/>
                <w:color w:val="000000"/>
                <w:sz w:val="21"/>
                <w:szCs w:val="21"/>
              </w:rPr>
              <w:t>b）消防设施取得消防验收意见书；</w:t>
            </w:r>
          </w:p>
        </w:tc>
        <w:tc>
          <w:tcPr>
            <w:tcW w:w="1760" w:type="dxa"/>
            <w:vMerge w:val="continue"/>
            <w:tcBorders>
              <w:left w:val="single" w:color="auto" w:sz="4" w:space="0"/>
              <w:right w:val="single" w:color="auto" w:sz="4" w:space="0"/>
            </w:tcBorders>
            <w:noWrap w:val="0"/>
            <w:vAlign w:val="center"/>
          </w:tcPr>
          <w:p w14:paraId="7E75A6AF">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color w:val="000000"/>
                <w:sz w:val="21"/>
                <w:szCs w:val="21"/>
              </w:rPr>
            </w:pPr>
          </w:p>
        </w:tc>
        <w:tc>
          <w:tcPr>
            <w:tcW w:w="2604" w:type="dxa"/>
            <w:tcBorders>
              <w:top w:val="single" w:color="auto" w:sz="4" w:space="0"/>
              <w:left w:val="single" w:color="auto" w:sz="4" w:space="0"/>
              <w:bottom w:val="single" w:color="auto" w:sz="4" w:space="0"/>
              <w:right w:val="single" w:color="auto" w:sz="4" w:space="0"/>
            </w:tcBorders>
            <w:noWrap w:val="0"/>
            <w:vAlign w:val="center"/>
          </w:tcPr>
          <w:p w14:paraId="723BB8E2">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本项目为云南瓮福祥丰氟硅新材料有限公司3万吨/年无水氟化氢和2万吨/年电子级氢氟酸项目配套的厂外公用工程管道设施</w:t>
            </w:r>
            <w:r>
              <w:rPr>
                <w:rFonts w:hint="eastAsia" w:ascii="宋体" w:hAnsi="Times New Roman" w:eastAsia="宋体" w:cs="宋体"/>
                <w:color w:val="000000"/>
                <w:sz w:val="21"/>
                <w:szCs w:val="21"/>
                <w:lang w:eastAsia="zh-CN"/>
              </w:rPr>
              <w:t>，</w:t>
            </w:r>
            <w:r>
              <w:rPr>
                <w:rFonts w:hint="eastAsia" w:ascii="宋体" w:hAnsi="Times New Roman" w:eastAsia="宋体" w:cs="宋体"/>
                <w:color w:val="000000"/>
                <w:sz w:val="21"/>
                <w:szCs w:val="21"/>
              </w:rPr>
              <w:t>该项目不属于特殊建设工程</w:t>
            </w:r>
            <w:r>
              <w:rPr>
                <w:rFonts w:hint="eastAsia" w:ascii="宋体" w:hAnsi="Times New Roman" w:eastAsia="宋体" w:cs="宋体"/>
                <w:color w:val="000000"/>
                <w:sz w:val="21"/>
                <w:szCs w:val="21"/>
                <w:lang w:eastAsia="zh-CN"/>
              </w:rPr>
              <w:t>。</w:t>
            </w:r>
            <w:r>
              <w:rPr>
                <w:rFonts w:hint="eastAsia" w:ascii="宋体" w:hAnsi="Times New Roman" w:eastAsia="宋体" w:cs="宋体"/>
                <w:color w:val="000000"/>
                <w:sz w:val="21"/>
                <w:szCs w:val="21"/>
                <w:lang w:val="en-US" w:eastAsia="zh-CN"/>
              </w:rPr>
              <w:t>主项目</w:t>
            </w:r>
            <w:r>
              <w:rPr>
                <w:rFonts w:hint="eastAsia" w:ascii="宋体" w:hAnsi="Times New Roman" w:eastAsia="宋体" w:cs="宋体"/>
                <w:color w:val="000000"/>
                <w:sz w:val="21"/>
                <w:szCs w:val="21"/>
              </w:rPr>
              <w:t>已取得安宁市住房和城乡建设局出具的《建设工程消防验收备案凭证》（安住消备凭字[2025]第 005号）。</w:t>
            </w:r>
          </w:p>
        </w:tc>
        <w:tc>
          <w:tcPr>
            <w:tcW w:w="656" w:type="dxa"/>
            <w:tcBorders>
              <w:top w:val="single" w:color="auto" w:sz="4" w:space="0"/>
              <w:left w:val="single" w:color="auto" w:sz="4" w:space="0"/>
              <w:bottom w:val="single" w:color="auto" w:sz="4" w:space="0"/>
              <w:right w:val="single" w:color="auto" w:sz="4" w:space="0"/>
            </w:tcBorders>
            <w:noWrap w:val="0"/>
            <w:vAlign w:val="center"/>
          </w:tcPr>
          <w:p w14:paraId="45E57D37">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宋体" w:hAnsi="Times New Roman" w:eastAsia="宋体" w:cs="宋体"/>
                <w:color w:val="000000"/>
                <w:sz w:val="21"/>
                <w:szCs w:val="21"/>
              </w:rPr>
            </w:pPr>
            <w:r>
              <w:rPr>
                <w:rFonts w:hint="eastAsia" w:ascii="宋体" w:hAnsi="Times New Roman" w:eastAsia="宋体" w:cs="宋体"/>
                <w:color w:val="000000"/>
                <w:sz w:val="21"/>
                <w:szCs w:val="21"/>
              </w:rPr>
              <w:t>符合</w:t>
            </w:r>
          </w:p>
        </w:tc>
      </w:tr>
      <w:tr w14:paraId="08229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6" w:type="dxa"/>
            <w:tcBorders>
              <w:top w:val="single" w:color="auto" w:sz="4" w:space="0"/>
              <w:left w:val="single" w:color="auto" w:sz="4" w:space="0"/>
              <w:bottom w:val="single" w:color="auto" w:sz="4" w:space="0"/>
              <w:right w:val="single" w:color="auto" w:sz="4" w:space="0"/>
            </w:tcBorders>
            <w:noWrap w:val="0"/>
            <w:vAlign w:val="center"/>
          </w:tcPr>
          <w:p w14:paraId="73095C98">
            <w:pPr>
              <w:keepNext w:val="0"/>
              <w:keepLines w:val="0"/>
              <w:pageBreakBefore w:val="0"/>
              <w:widowControl w:val="0"/>
              <w:numPr>
                <w:ilvl w:val="0"/>
                <w:numId w:val="46"/>
              </w:numPr>
              <w:tabs>
                <w:tab w:val="left" w:pos="352"/>
                <w:tab w:val="left" w:pos="759"/>
                <w:tab w:val="left" w:pos="825"/>
              </w:tabs>
              <w:kinsoku/>
              <w:wordWrap/>
              <w:overflowPunct/>
              <w:topLinePunct w:val="0"/>
              <w:autoSpaceDE/>
              <w:autoSpaceDN/>
              <w:bidi w:val="0"/>
              <w:adjustRightInd w:val="0"/>
              <w:snapToGrid w:val="0"/>
              <w:spacing w:line="240" w:lineRule="auto"/>
              <w:ind w:left="0" w:firstLine="0"/>
              <w:jc w:val="center"/>
              <w:textAlignment w:val="auto"/>
              <w:rPr>
                <w:smallCaps/>
                <w:color w:val="000000"/>
                <w:sz w:val="21"/>
                <w:szCs w:val="21"/>
              </w:rPr>
            </w:pPr>
          </w:p>
        </w:tc>
        <w:tc>
          <w:tcPr>
            <w:tcW w:w="3715" w:type="dxa"/>
            <w:tcBorders>
              <w:top w:val="single" w:color="auto" w:sz="4" w:space="0"/>
              <w:left w:val="single" w:color="auto" w:sz="4" w:space="0"/>
              <w:bottom w:val="single" w:color="auto" w:sz="4" w:space="0"/>
              <w:right w:val="single" w:color="auto" w:sz="4" w:space="0"/>
            </w:tcBorders>
            <w:noWrap w:val="0"/>
            <w:vAlign w:val="center"/>
          </w:tcPr>
          <w:p w14:paraId="004D6380">
            <w:pPr>
              <w:keepNext w:val="0"/>
              <w:keepLines w:val="0"/>
              <w:pageBreakBefore w:val="0"/>
              <w:widowControl w:val="0"/>
              <w:kinsoku/>
              <w:wordWrap/>
              <w:overflowPunct/>
              <w:topLinePunct w:val="0"/>
              <w:autoSpaceDE/>
              <w:autoSpaceDN/>
              <w:bidi w:val="0"/>
              <w:snapToGrid w:val="0"/>
              <w:spacing w:line="240" w:lineRule="auto"/>
              <w:jc w:val="left"/>
              <w:textAlignment w:val="auto"/>
              <w:rPr>
                <w:color w:val="000000"/>
                <w:sz w:val="21"/>
                <w:szCs w:val="21"/>
              </w:rPr>
            </w:pPr>
            <w:r>
              <w:rPr>
                <w:rFonts w:hint="eastAsia"/>
                <w:color w:val="000000"/>
                <w:sz w:val="21"/>
                <w:szCs w:val="21"/>
              </w:rPr>
              <w:t>c）安全设施设计专篇、投资概算中确定的安全设施已按设计建成投用；</w:t>
            </w:r>
          </w:p>
        </w:tc>
        <w:tc>
          <w:tcPr>
            <w:tcW w:w="1760" w:type="dxa"/>
            <w:vMerge w:val="continue"/>
            <w:tcBorders>
              <w:left w:val="single" w:color="auto" w:sz="4" w:space="0"/>
              <w:right w:val="single" w:color="auto" w:sz="4" w:space="0"/>
            </w:tcBorders>
            <w:noWrap w:val="0"/>
            <w:vAlign w:val="center"/>
          </w:tcPr>
          <w:p w14:paraId="60DC744C">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p>
        </w:tc>
        <w:tc>
          <w:tcPr>
            <w:tcW w:w="2604" w:type="dxa"/>
            <w:tcBorders>
              <w:top w:val="single" w:color="auto" w:sz="4" w:space="0"/>
              <w:left w:val="single" w:color="auto" w:sz="4" w:space="0"/>
              <w:bottom w:val="single" w:color="auto" w:sz="4" w:space="0"/>
              <w:right w:val="single" w:color="auto" w:sz="4" w:space="0"/>
            </w:tcBorders>
            <w:noWrap w:val="0"/>
            <w:vAlign w:val="center"/>
          </w:tcPr>
          <w:p w14:paraId="40D932EE">
            <w:pPr>
              <w:keepNext w:val="0"/>
              <w:keepLines w:val="0"/>
              <w:pageBreakBefore w:val="0"/>
              <w:widowControl w:val="0"/>
              <w:kinsoku/>
              <w:wordWrap/>
              <w:overflowPunct/>
              <w:topLinePunct w:val="0"/>
              <w:autoSpaceDE/>
              <w:autoSpaceDN/>
              <w:bidi w:val="0"/>
              <w:snapToGrid w:val="0"/>
              <w:spacing w:line="240" w:lineRule="auto"/>
              <w:textAlignment w:val="auto"/>
              <w:rPr>
                <w:rFonts w:hint="eastAsia"/>
                <w:color w:val="000000"/>
                <w:sz w:val="21"/>
                <w:szCs w:val="21"/>
              </w:rPr>
            </w:pPr>
            <w:r>
              <w:rPr>
                <w:rFonts w:hint="eastAsia"/>
                <w:color w:val="000000"/>
                <w:sz w:val="21"/>
                <w:szCs w:val="21"/>
              </w:rPr>
              <w:t>根据施工单位提供的《安全设施施工情况报告》和监理单位提供的《安全设施施工监理情况报告》，安全设施设计专篇中确定的安全设施已按设计建成投用。</w:t>
            </w:r>
          </w:p>
        </w:tc>
        <w:tc>
          <w:tcPr>
            <w:tcW w:w="656" w:type="dxa"/>
            <w:tcBorders>
              <w:top w:val="single" w:color="auto" w:sz="4" w:space="0"/>
              <w:left w:val="single" w:color="auto" w:sz="4" w:space="0"/>
              <w:bottom w:val="single" w:color="auto" w:sz="4" w:space="0"/>
              <w:right w:val="single" w:color="auto" w:sz="4" w:space="0"/>
            </w:tcBorders>
            <w:noWrap w:val="0"/>
            <w:vAlign w:val="center"/>
          </w:tcPr>
          <w:p w14:paraId="26B456D3">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rPr>
              <w:t>符合</w:t>
            </w:r>
          </w:p>
        </w:tc>
      </w:tr>
      <w:tr w14:paraId="1409B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6" w:type="dxa"/>
            <w:tcBorders>
              <w:top w:val="single" w:color="auto" w:sz="4" w:space="0"/>
              <w:left w:val="single" w:color="auto" w:sz="4" w:space="0"/>
              <w:bottom w:val="single" w:color="auto" w:sz="4" w:space="0"/>
              <w:right w:val="single" w:color="auto" w:sz="4" w:space="0"/>
            </w:tcBorders>
            <w:noWrap w:val="0"/>
            <w:vAlign w:val="center"/>
          </w:tcPr>
          <w:p w14:paraId="55F00679">
            <w:pPr>
              <w:keepNext w:val="0"/>
              <w:keepLines w:val="0"/>
              <w:pageBreakBefore w:val="0"/>
              <w:widowControl w:val="0"/>
              <w:numPr>
                <w:ilvl w:val="0"/>
                <w:numId w:val="46"/>
              </w:numPr>
              <w:tabs>
                <w:tab w:val="left" w:pos="352"/>
                <w:tab w:val="left" w:pos="759"/>
                <w:tab w:val="left" w:pos="825"/>
              </w:tabs>
              <w:kinsoku/>
              <w:wordWrap/>
              <w:overflowPunct/>
              <w:topLinePunct w:val="0"/>
              <w:autoSpaceDE/>
              <w:autoSpaceDN/>
              <w:bidi w:val="0"/>
              <w:adjustRightInd w:val="0"/>
              <w:snapToGrid w:val="0"/>
              <w:spacing w:line="240" w:lineRule="auto"/>
              <w:ind w:left="0" w:firstLine="0"/>
              <w:jc w:val="center"/>
              <w:textAlignment w:val="auto"/>
              <w:rPr>
                <w:smallCaps/>
                <w:color w:val="000000"/>
                <w:sz w:val="21"/>
                <w:szCs w:val="21"/>
              </w:rPr>
            </w:pPr>
          </w:p>
        </w:tc>
        <w:tc>
          <w:tcPr>
            <w:tcW w:w="3715" w:type="dxa"/>
            <w:tcBorders>
              <w:top w:val="single" w:color="auto" w:sz="4" w:space="0"/>
              <w:left w:val="single" w:color="auto" w:sz="4" w:space="0"/>
              <w:bottom w:val="single" w:color="auto" w:sz="4" w:space="0"/>
              <w:right w:val="single" w:color="auto" w:sz="4" w:space="0"/>
            </w:tcBorders>
            <w:noWrap w:val="0"/>
            <w:vAlign w:val="center"/>
          </w:tcPr>
          <w:p w14:paraId="048C144E">
            <w:pPr>
              <w:keepNext w:val="0"/>
              <w:keepLines w:val="0"/>
              <w:pageBreakBefore w:val="0"/>
              <w:widowControl w:val="0"/>
              <w:kinsoku/>
              <w:wordWrap/>
              <w:overflowPunct/>
              <w:topLinePunct w:val="0"/>
              <w:autoSpaceDE/>
              <w:autoSpaceDN/>
              <w:bidi w:val="0"/>
              <w:snapToGrid w:val="0"/>
              <w:spacing w:line="240" w:lineRule="auto"/>
              <w:textAlignment w:val="auto"/>
              <w:rPr>
                <w:color w:val="000000"/>
                <w:sz w:val="21"/>
                <w:szCs w:val="21"/>
              </w:rPr>
            </w:pPr>
            <w:r>
              <w:rPr>
                <w:rFonts w:hint="eastAsia"/>
                <w:color w:val="000000"/>
                <w:sz w:val="21"/>
                <w:szCs w:val="21"/>
              </w:rPr>
              <w:t>d）防雷装置已完成竣工验收，取得防雷防静电检测意见书；</w:t>
            </w:r>
          </w:p>
        </w:tc>
        <w:tc>
          <w:tcPr>
            <w:tcW w:w="1760" w:type="dxa"/>
            <w:vMerge w:val="continue"/>
            <w:tcBorders>
              <w:left w:val="single" w:color="auto" w:sz="4" w:space="0"/>
              <w:right w:val="single" w:color="auto" w:sz="4" w:space="0"/>
            </w:tcBorders>
            <w:noWrap w:val="0"/>
            <w:vAlign w:val="center"/>
          </w:tcPr>
          <w:p w14:paraId="10078EFB">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color w:val="000000"/>
                <w:sz w:val="21"/>
                <w:szCs w:val="21"/>
              </w:rPr>
            </w:pPr>
          </w:p>
        </w:tc>
        <w:tc>
          <w:tcPr>
            <w:tcW w:w="2604" w:type="dxa"/>
            <w:tcBorders>
              <w:top w:val="single" w:color="auto" w:sz="4" w:space="0"/>
              <w:left w:val="single" w:color="auto" w:sz="4" w:space="0"/>
              <w:bottom w:val="single" w:color="auto" w:sz="4" w:space="0"/>
              <w:right w:val="single" w:color="auto" w:sz="4" w:space="0"/>
            </w:tcBorders>
            <w:noWrap w:val="0"/>
            <w:vAlign w:val="center"/>
          </w:tcPr>
          <w:p w14:paraId="254E3B01">
            <w:pPr>
              <w:keepNext w:val="0"/>
              <w:keepLines w:val="0"/>
              <w:pageBreakBefore w:val="0"/>
              <w:widowControl w:val="0"/>
              <w:kinsoku/>
              <w:wordWrap/>
              <w:overflowPunct/>
              <w:topLinePunct w:val="0"/>
              <w:autoSpaceDE/>
              <w:autoSpaceDN/>
              <w:bidi w:val="0"/>
              <w:snapToGrid w:val="0"/>
              <w:spacing w:line="240" w:lineRule="auto"/>
              <w:textAlignment w:val="auto"/>
              <w:rPr>
                <w:color w:val="000000"/>
                <w:sz w:val="21"/>
                <w:szCs w:val="21"/>
              </w:rPr>
            </w:pPr>
            <w:r>
              <w:rPr>
                <w:color w:val="000000"/>
                <w:sz w:val="21"/>
                <w:szCs w:val="21"/>
              </w:rPr>
              <w:t>该项目的防雷、防静电装置已</w:t>
            </w:r>
            <w:r>
              <w:rPr>
                <w:rFonts w:hint="eastAsia"/>
                <w:snapToGrid w:val="0"/>
                <w:color w:val="000000"/>
                <w:sz w:val="21"/>
                <w:szCs w:val="21"/>
                <w:lang w:val="en-US" w:eastAsia="zh-CN"/>
              </w:rPr>
              <w:t>委托</w:t>
            </w:r>
            <w:r>
              <w:rPr>
                <w:rFonts w:hint="eastAsia"/>
                <w:snapToGrid w:val="0"/>
                <w:color w:val="000000"/>
                <w:sz w:val="21"/>
                <w:szCs w:val="21"/>
              </w:rPr>
              <w:t>云南省气象灾害防御技术中心</w:t>
            </w:r>
            <w:r>
              <w:rPr>
                <w:snapToGrid w:val="0"/>
                <w:color w:val="000000"/>
                <w:sz w:val="21"/>
                <w:szCs w:val="21"/>
              </w:rPr>
              <w:t>检测，</w:t>
            </w:r>
            <w:r>
              <w:rPr>
                <w:rFonts w:hint="eastAsia"/>
                <w:snapToGrid w:val="0"/>
                <w:color w:val="000000"/>
                <w:sz w:val="21"/>
                <w:szCs w:val="21"/>
                <w:lang w:val="en-US" w:eastAsia="zh-CN"/>
              </w:rPr>
              <w:t>2025年7月11日</w:t>
            </w:r>
            <w:r>
              <w:rPr>
                <w:snapToGrid w:val="0"/>
                <w:color w:val="000000"/>
                <w:sz w:val="21"/>
                <w:szCs w:val="21"/>
              </w:rPr>
              <w:t>出具《雷电防护装置检测报告》</w:t>
            </w:r>
            <w:r>
              <w:rPr>
                <w:color w:val="000000"/>
                <w:sz w:val="21"/>
                <w:szCs w:val="21"/>
              </w:rPr>
              <w:t>。</w:t>
            </w:r>
          </w:p>
        </w:tc>
        <w:tc>
          <w:tcPr>
            <w:tcW w:w="656" w:type="dxa"/>
            <w:tcBorders>
              <w:top w:val="single" w:color="auto" w:sz="4" w:space="0"/>
              <w:left w:val="single" w:color="auto" w:sz="4" w:space="0"/>
              <w:bottom w:val="single" w:color="auto" w:sz="4" w:space="0"/>
              <w:right w:val="single" w:color="auto" w:sz="4" w:space="0"/>
            </w:tcBorders>
            <w:noWrap w:val="0"/>
            <w:vAlign w:val="center"/>
          </w:tcPr>
          <w:p w14:paraId="3D84AA44">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eastAsia="宋体"/>
                <w:color w:val="000000"/>
                <w:sz w:val="21"/>
                <w:szCs w:val="21"/>
                <w:lang w:val="en-US" w:eastAsia="zh-CN"/>
              </w:rPr>
            </w:pPr>
            <w:r>
              <w:rPr>
                <w:bCs/>
                <w:color w:val="000000"/>
                <w:sz w:val="21"/>
                <w:szCs w:val="21"/>
              </w:rPr>
              <w:t>符合</w:t>
            </w:r>
          </w:p>
        </w:tc>
      </w:tr>
      <w:tr w14:paraId="4291A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6" w:type="dxa"/>
            <w:tcBorders>
              <w:top w:val="single" w:color="auto" w:sz="4" w:space="0"/>
              <w:left w:val="single" w:color="auto" w:sz="4" w:space="0"/>
              <w:bottom w:val="single" w:color="auto" w:sz="4" w:space="0"/>
              <w:right w:val="single" w:color="auto" w:sz="4" w:space="0"/>
            </w:tcBorders>
            <w:noWrap w:val="0"/>
            <w:vAlign w:val="center"/>
          </w:tcPr>
          <w:p w14:paraId="0A79E25D">
            <w:pPr>
              <w:keepNext w:val="0"/>
              <w:keepLines w:val="0"/>
              <w:pageBreakBefore w:val="0"/>
              <w:widowControl w:val="0"/>
              <w:numPr>
                <w:ilvl w:val="0"/>
                <w:numId w:val="46"/>
              </w:numPr>
              <w:tabs>
                <w:tab w:val="left" w:pos="352"/>
                <w:tab w:val="left" w:pos="759"/>
                <w:tab w:val="left" w:pos="825"/>
              </w:tabs>
              <w:kinsoku/>
              <w:wordWrap/>
              <w:overflowPunct/>
              <w:topLinePunct w:val="0"/>
              <w:autoSpaceDE/>
              <w:autoSpaceDN/>
              <w:bidi w:val="0"/>
              <w:adjustRightInd w:val="0"/>
              <w:snapToGrid w:val="0"/>
              <w:spacing w:line="240" w:lineRule="auto"/>
              <w:ind w:left="0" w:firstLine="0"/>
              <w:jc w:val="center"/>
              <w:textAlignment w:val="auto"/>
              <w:rPr>
                <w:smallCaps/>
                <w:color w:val="000000"/>
                <w:sz w:val="21"/>
                <w:szCs w:val="21"/>
              </w:rPr>
            </w:pPr>
          </w:p>
        </w:tc>
        <w:tc>
          <w:tcPr>
            <w:tcW w:w="3715" w:type="dxa"/>
            <w:tcBorders>
              <w:top w:val="single" w:color="auto" w:sz="4" w:space="0"/>
              <w:left w:val="single" w:color="auto" w:sz="4" w:space="0"/>
              <w:bottom w:val="single" w:color="auto" w:sz="4" w:space="0"/>
              <w:right w:val="single" w:color="auto" w:sz="4" w:space="0"/>
            </w:tcBorders>
            <w:noWrap w:val="0"/>
            <w:vAlign w:val="center"/>
          </w:tcPr>
          <w:p w14:paraId="3BD20870">
            <w:pPr>
              <w:keepNext w:val="0"/>
              <w:keepLines w:val="0"/>
              <w:pageBreakBefore w:val="0"/>
              <w:widowControl w:val="0"/>
              <w:kinsoku/>
              <w:wordWrap/>
              <w:overflowPunct/>
              <w:topLinePunct w:val="0"/>
              <w:autoSpaceDE/>
              <w:autoSpaceDN/>
              <w:bidi w:val="0"/>
              <w:snapToGrid w:val="0"/>
              <w:spacing w:line="240" w:lineRule="auto"/>
              <w:jc w:val="left"/>
              <w:textAlignment w:val="auto"/>
              <w:rPr>
                <w:bCs/>
                <w:color w:val="000000"/>
                <w:sz w:val="21"/>
                <w:szCs w:val="21"/>
              </w:rPr>
            </w:pPr>
            <w:r>
              <w:rPr>
                <w:rFonts w:hint="eastAsia"/>
                <w:bCs/>
                <w:color w:val="000000"/>
                <w:sz w:val="21"/>
                <w:szCs w:val="21"/>
              </w:rPr>
              <w:t>e）防爆电气的选型、安装应符合有关标准要求，并应经有资质的检测机构检测合格，取得防爆合格证；</w:t>
            </w:r>
          </w:p>
        </w:tc>
        <w:tc>
          <w:tcPr>
            <w:tcW w:w="1760" w:type="dxa"/>
            <w:vMerge w:val="continue"/>
            <w:tcBorders>
              <w:left w:val="single" w:color="auto" w:sz="4" w:space="0"/>
              <w:right w:val="single" w:color="auto" w:sz="4" w:space="0"/>
            </w:tcBorders>
            <w:noWrap w:val="0"/>
            <w:vAlign w:val="center"/>
          </w:tcPr>
          <w:p w14:paraId="7F552BE4">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rPr>
            </w:pPr>
          </w:p>
        </w:tc>
        <w:tc>
          <w:tcPr>
            <w:tcW w:w="2604" w:type="dxa"/>
            <w:tcBorders>
              <w:top w:val="single" w:color="auto" w:sz="4" w:space="0"/>
              <w:left w:val="single" w:color="auto" w:sz="4" w:space="0"/>
              <w:bottom w:val="single" w:color="auto" w:sz="4" w:space="0"/>
              <w:right w:val="single" w:color="auto" w:sz="4" w:space="0"/>
            </w:tcBorders>
            <w:noWrap w:val="0"/>
            <w:vAlign w:val="center"/>
          </w:tcPr>
          <w:p w14:paraId="6DF4D35F">
            <w:pPr>
              <w:keepNext w:val="0"/>
              <w:keepLines w:val="0"/>
              <w:pageBreakBefore w:val="0"/>
              <w:widowControl w:val="0"/>
              <w:kinsoku/>
              <w:wordWrap/>
              <w:overflowPunct/>
              <w:topLinePunct w:val="0"/>
              <w:autoSpaceDE/>
              <w:autoSpaceDN/>
              <w:bidi w:val="0"/>
              <w:snapToGrid w:val="0"/>
              <w:spacing w:line="240" w:lineRule="auto"/>
              <w:textAlignment w:val="auto"/>
              <w:rPr>
                <w:color w:val="000000"/>
                <w:sz w:val="21"/>
                <w:szCs w:val="21"/>
              </w:rPr>
            </w:pPr>
            <w:r>
              <w:rPr>
                <w:rFonts w:hint="eastAsia"/>
                <w:color w:val="000000"/>
                <w:kern w:val="0"/>
                <w:sz w:val="21"/>
                <w:szCs w:val="21"/>
                <w:lang w:bidi="ar"/>
              </w:rPr>
              <w:t>该项目正常生产过程中不涉及易燃易爆物质，不涉及爆炸危险场所</w:t>
            </w:r>
            <w:r>
              <w:rPr>
                <w:rFonts w:hint="eastAsia"/>
                <w:bCs/>
                <w:color w:val="000000"/>
                <w:sz w:val="21"/>
                <w:szCs w:val="21"/>
              </w:rPr>
              <w:t>。</w:t>
            </w:r>
          </w:p>
        </w:tc>
        <w:tc>
          <w:tcPr>
            <w:tcW w:w="656" w:type="dxa"/>
            <w:tcBorders>
              <w:top w:val="single" w:color="auto" w:sz="4" w:space="0"/>
              <w:left w:val="single" w:color="auto" w:sz="4" w:space="0"/>
              <w:bottom w:val="single" w:color="auto" w:sz="4" w:space="0"/>
              <w:right w:val="single" w:color="auto" w:sz="4" w:space="0"/>
            </w:tcBorders>
            <w:noWrap w:val="0"/>
            <w:vAlign w:val="center"/>
          </w:tcPr>
          <w:p w14:paraId="70EF12FE">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color w:val="000000"/>
                <w:sz w:val="21"/>
                <w:szCs w:val="21"/>
              </w:rPr>
            </w:pPr>
            <w:r>
              <w:rPr>
                <w:rFonts w:hint="eastAsia"/>
                <w:color w:val="000000"/>
                <w:sz w:val="21"/>
                <w:szCs w:val="21"/>
              </w:rPr>
              <w:t>不涉及</w:t>
            </w:r>
          </w:p>
        </w:tc>
      </w:tr>
      <w:tr w14:paraId="17714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6" w:type="dxa"/>
            <w:tcBorders>
              <w:top w:val="single" w:color="auto" w:sz="4" w:space="0"/>
              <w:left w:val="single" w:color="auto" w:sz="4" w:space="0"/>
              <w:bottom w:val="single" w:color="auto" w:sz="4" w:space="0"/>
              <w:right w:val="single" w:color="auto" w:sz="4" w:space="0"/>
            </w:tcBorders>
            <w:noWrap w:val="0"/>
            <w:vAlign w:val="center"/>
          </w:tcPr>
          <w:p w14:paraId="2CD665F7">
            <w:pPr>
              <w:keepNext w:val="0"/>
              <w:keepLines w:val="0"/>
              <w:pageBreakBefore w:val="0"/>
              <w:widowControl w:val="0"/>
              <w:numPr>
                <w:ilvl w:val="0"/>
                <w:numId w:val="46"/>
              </w:numPr>
              <w:tabs>
                <w:tab w:val="left" w:pos="352"/>
                <w:tab w:val="left" w:pos="759"/>
                <w:tab w:val="left" w:pos="825"/>
              </w:tabs>
              <w:kinsoku/>
              <w:wordWrap/>
              <w:overflowPunct/>
              <w:topLinePunct w:val="0"/>
              <w:autoSpaceDE/>
              <w:autoSpaceDN/>
              <w:bidi w:val="0"/>
              <w:adjustRightInd w:val="0"/>
              <w:snapToGrid w:val="0"/>
              <w:spacing w:line="240" w:lineRule="auto"/>
              <w:ind w:left="0" w:firstLine="0"/>
              <w:jc w:val="center"/>
              <w:textAlignment w:val="auto"/>
              <w:rPr>
                <w:smallCaps/>
                <w:color w:val="000000"/>
                <w:sz w:val="21"/>
                <w:szCs w:val="21"/>
              </w:rPr>
            </w:pPr>
          </w:p>
        </w:tc>
        <w:tc>
          <w:tcPr>
            <w:tcW w:w="3715" w:type="dxa"/>
            <w:tcBorders>
              <w:top w:val="single" w:color="auto" w:sz="4" w:space="0"/>
              <w:left w:val="single" w:color="auto" w:sz="4" w:space="0"/>
              <w:bottom w:val="single" w:color="auto" w:sz="4" w:space="0"/>
              <w:right w:val="single" w:color="auto" w:sz="4" w:space="0"/>
            </w:tcBorders>
            <w:noWrap w:val="0"/>
            <w:vAlign w:val="top"/>
          </w:tcPr>
          <w:p w14:paraId="63E9BC54">
            <w:pPr>
              <w:keepNext w:val="0"/>
              <w:keepLines w:val="0"/>
              <w:pageBreakBefore w:val="0"/>
              <w:widowControl w:val="0"/>
              <w:kinsoku/>
              <w:wordWrap/>
              <w:overflowPunct/>
              <w:topLinePunct w:val="0"/>
              <w:autoSpaceDE/>
              <w:autoSpaceDN/>
              <w:bidi w:val="0"/>
              <w:snapToGrid w:val="0"/>
              <w:spacing w:line="240" w:lineRule="auto"/>
              <w:jc w:val="left"/>
              <w:textAlignment w:val="auto"/>
              <w:rPr>
                <w:bCs/>
                <w:color w:val="000000"/>
                <w:sz w:val="21"/>
                <w:szCs w:val="21"/>
              </w:rPr>
            </w:pPr>
            <w:r>
              <w:rPr>
                <w:rFonts w:hint="eastAsia"/>
                <w:bCs/>
                <w:color w:val="000000"/>
                <w:sz w:val="21"/>
                <w:szCs w:val="21"/>
              </w:rPr>
              <w:t>f）锅炉、压力容器、压力管道、电梯、起重机械、厂内专用机动车辆等特种设备按照相关安全技术规范要求办理使用登记，安全附件如安全阀、压力表等经有资质的部门检测检验合格；</w:t>
            </w:r>
          </w:p>
        </w:tc>
        <w:tc>
          <w:tcPr>
            <w:tcW w:w="1760" w:type="dxa"/>
            <w:vMerge w:val="continue"/>
            <w:tcBorders>
              <w:left w:val="single" w:color="auto" w:sz="4" w:space="0"/>
              <w:right w:val="single" w:color="auto" w:sz="4" w:space="0"/>
            </w:tcBorders>
            <w:noWrap w:val="0"/>
            <w:vAlign w:val="top"/>
          </w:tcPr>
          <w:p w14:paraId="3362CC11">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rPr>
            </w:pPr>
          </w:p>
        </w:tc>
        <w:tc>
          <w:tcPr>
            <w:tcW w:w="2604" w:type="dxa"/>
            <w:tcBorders>
              <w:top w:val="single" w:color="auto" w:sz="4" w:space="0"/>
              <w:left w:val="single" w:color="auto" w:sz="4" w:space="0"/>
              <w:bottom w:val="single" w:color="auto" w:sz="4" w:space="0"/>
              <w:right w:val="single" w:color="auto" w:sz="4" w:space="0"/>
            </w:tcBorders>
            <w:noWrap w:val="0"/>
            <w:vAlign w:val="center"/>
          </w:tcPr>
          <w:p w14:paraId="24894AC9">
            <w:pPr>
              <w:keepNext w:val="0"/>
              <w:keepLines w:val="0"/>
              <w:pageBreakBefore w:val="0"/>
              <w:widowControl w:val="0"/>
              <w:kinsoku/>
              <w:wordWrap/>
              <w:overflowPunct/>
              <w:topLinePunct w:val="0"/>
              <w:autoSpaceDE/>
              <w:autoSpaceDN/>
              <w:bidi w:val="0"/>
              <w:snapToGrid w:val="0"/>
              <w:spacing w:line="240" w:lineRule="auto"/>
              <w:textAlignment w:val="auto"/>
              <w:rPr>
                <w:rFonts w:hint="eastAsia" w:eastAsia="宋体"/>
                <w:bCs/>
                <w:color w:val="000000"/>
                <w:sz w:val="21"/>
                <w:szCs w:val="21"/>
                <w:lang w:eastAsia="zh-CN"/>
              </w:rPr>
            </w:pPr>
            <w:r>
              <w:rPr>
                <w:rFonts w:hint="eastAsia"/>
                <w:bCs/>
                <w:color w:val="000000"/>
                <w:sz w:val="21"/>
                <w:szCs w:val="21"/>
              </w:rPr>
              <w:t>该项目压力管道已经安装监督检验合格，</w:t>
            </w:r>
            <w:r>
              <w:rPr>
                <w:rFonts w:hint="eastAsia"/>
                <w:bCs/>
                <w:color w:val="000000"/>
                <w:sz w:val="21"/>
                <w:szCs w:val="21"/>
                <w:lang w:val="en-US" w:eastAsia="zh-CN"/>
              </w:rPr>
              <w:t>并委托云南省特种设备安全检测研究院出具《特种设备监督检验证书》，但</w:t>
            </w:r>
            <w:r>
              <w:rPr>
                <w:rFonts w:hint="eastAsia"/>
                <w:bCs/>
                <w:color w:val="000000"/>
                <w:sz w:val="21"/>
                <w:szCs w:val="21"/>
              </w:rPr>
              <w:t>正在办理使用登记证</w:t>
            </w:r>
            <w:r>
              <w:rPr>
                <w:rFonts w:hint="eastAsia"/>
                <w:bCs/>
                <w:color w:val="000000"/>
                <w:sz w:val="21"/>
                <w:szCs w:val="21"/>
                <w:lang w:eastAsia="zh-CN"/>
              </w:rPr>
              <w:t>。</w:t>
            </w:r>
          </w:p>
        </w:tc>
        <w:tc>
          <w:tcPr>
            <w:tcW w:w="656" w:type="dxa"/>
            <w:tcBorders>
              <w:top w:val="single" w:color="auto" w:sz="4" w:space="0"/>
              <w:left w:val="single" w:color="auto" w:sz="4" w:space="0"/>
              <w:bottom w:val="single" w:color="auto" w:sz="4" w:space="0"/>
              <w:right w:val="single" w:color="auto" w:sz="4" w:space="0"/>
            </w:tcBorders>
            <w:noWrap w:val="0"/>
            <w:vAlign w:val="center"/>
          </w:tcPr>
          <w:p w14:paraId="1CD3FBC9">
            <w:pPr>
              <w:keepNext w:val="0"/>
              <w:keepLines w:val="0"/>
              <w:pageBreakBefore w:val="0"/>
              <w:widowControl w:val="0"/>
              <w:kinsoku/>
              <w:wordWrap/>
              <w:overflowPunct/>
              <w:topLinePunct w:val="0"/>
              <w:autoSpaceDE/>
              <w:autoSpaceDN/>
              <w:bidi w:val="0"/>
              <w:snapToGrid w:val="0"/>
              <w:spacing w:line="240" w:lineRule="auto"/>
              <w:jc w:val="left"/>
              <w:textAlignment w:val="auto"/>
              <w:rPr>
                <w:bCs/>
                <w:color w:val="000000"/>
                <w:sz w:val="21"/>
                <w:szCs w:val="21"/>
              </w:rPr>
            </w:pPr>
            <w:r>
              <w:rPr>
                <w:rFonts w:hint="eastAsia"/>
                <w:color w:val="000000"/>
                <w:sz w:val="21"/>
                <w:szCs w:val="21"/>
                <w:lang w:val="en-US" w:eastAsia="zh-CN"/>
              </w:rPr>
              <w:t>完善</w:t>
            </w:r>
          </w:p>
        </w:tc>
      </w:tr>
      <w:tr w14:paraId="1EC1C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6" w:type="dxa"/>
            <w:tcBorders>
              <w:top w:val="single" w:color="auto" w:sz="4" w:space="0"/>
              <w:left w:val="single" w:color="auto" w:sz="4" w:space="0"/>
              <w:bottom w:val="single" w:color="auto" w:sz="4" w:space="0"/>
              <w:right w:val="single" w:color="auto" w:sz="4" w:space="0"/>
            </w:tcBorders>
            <w:noWrap w:val="0"/>
            <w:vAlign w:val="center"/>
          </w:tcPr>
          <w:p w14:paraId="19EDFF85">
            <w:pPr>
              <w:keepNext w:val="0"/>
              <w:keepLines w:val="0"/>
              <w:pageBreakBefore w:val="0"/>
              <w:widowControl w:val="0"/>
              <w:numPr>
                <w:ilvl w:val="0"/>
                <w:numId w:val="46"/>
              </w:numPr>
              <w:tabs>
                <w:tab w:val="left" w:pos="352"/>
                <w:tab w:val="left" w:pos="759"/>
                <w:tab w:val="left" w:pos="825"/>
              </w:tabs>
              <w:kinsoku/>
              <w:wordWrap/>
              <w:overflowPunct/>
              <w:topLinePunct w:val="0"/>
              <w:autoSpaceDE/>
              <w:autoSpaceDN/>
              <w:bidi w:val="0"/>
              <w:adjustRightInd w:val="0"/>
              <w:snapToGrid w:val="0"/>
              <w:spacing w:line="240" w:lineRule="auto"/>
              <w:ind w:left="0" w:firstLine="0"/>
              <w:jc w:val="center"/>
              <w:textAlignment w:val="auto"/>
              <w:rPr>
                <w:smallCaps/>
                <w:color w:val="000000"/>
                <w:sz w:val="21"/>
                <w:szCs w:val="21"/>
              </w:rPr>
            </w:pPr>
          </w:p>
        </w:tc>
        <w:tc>
          <w:tcPr>
            <w:tcW w:w="3715" w:type="dxa"/>
            <w:tcBorders>
              <w:top w:val="single" w:color="auto" w:sz="4" w:space="0"/>
              <w:left w:val="single" w:color="auto" w:sz="4" w:space="0"/>
              <w:bottom w:val="single" w:color="auto" w:sz="4" w:space="0"/>
              <w:right w:val="single" w:color="auto" w:sz="4" w:space="0"/>
            </w:tcBorders>
            <w:noWrap w:val="0"/>
            <w:vAlign w:val="center"/>
          </w:tcPr>
          <w:p w14:paraId="41E0E3AD">
            <w:pPr>
              <w:keepNext w:val="0"/>
              <w:keepLines w:val="0"/>
              <w:pageBreakBefore w:val="0"/>
              <w:widowControl w:val="0"/>
              <w:kinsoku/>
              <w:wordWrap/>
              <w:overflowPunct/>
              <w:topLinePunct w:val="0"/>
              <w:autoSpaceDE/>
              <w:autoSpaceDN/>
              <w:bidi w:val="0"/>
              <w:snapToGrid w:val="0"/>
              <w:spacing w:line="240" w:lineRule="auto"/>
              <w:jc w:val="left"/>
              <w:textAlignment w:val="auto"/>
              <w:rPr>
                <w:bCs/>
                <w:color w:val="000000"/>
                <w:sz w:val="21"/>
                <w:szCs w:val="21"/>
              </w:rPr>
            </w:pPr>
            <w:r>
              <w:rPr>
                <w:rFonts w:hint="eastAsia"/>
                <w:bCs/>
                <w:color w:val="000000"/>
                <w:sz w:val="21"/>
                <w:szCs w:val="21"/>
              </w:rPr>
              <w:t>g）组织机构已健全，设置了安全生产管理机构和配备专职安全生产管理人员；</w:t>
            </w:r>
          </w:p>
        </w:tc>
        <w:tc>
          <w:tcPr>
            <w:tcW w:w="1760" w:type="dxa"/>
            <w:vMerge w:val="continue"/>
            <w:tcBorders>
              <w:left w:val="single" w:color="auto" w:sz="4" w:space="0"/>
              <w:right w:val="single" w:color="auto" w:sz="4" w:space="0"/>
            </w:tcBorders>
            <w:noWrap w:val="0"/>
            <w:vAlign w:val="center"/>
          </w:tcPr>
          <w:p w14:paraId="4AA7B9C9">
            <w:pPr>
              <w:keepNext w:val="0"/>
              <w:keepLines w:val="0"/>
              <w:pageBreakBefore w:val="0"/>
              <w:widowControl w:val="0"/>
              <w:kinsoku/>
              <w:wordWrap/>
              <w:overflowPunct/>
              <w:topLinePunct w:val="0"/>
              <w:autoSpaceDE/>
              <w:autoSpaceDN/>
              <w:bidi w:val="0"/>
              <w:snapToGrid w:val="0"/>
              <w:spacing w:line="240" w:lineRule="auto"/>
              <w:textAlignment w:val="auto"/>
              <w:rPr>
                <w:bCs/>
                <w:color w:val="000000"/>
                <w:sz w:val="21"/>
                <w:szCs w:val="21"/>
              </w:rPr>
            </w:pPr>
          </w:p>
        </w:tc>
        <w:tc>
          <w:tcPr>
            <w:tcW w:w="2604" w:type="dxa"/>
            <w:tcBorders>
              <w:top w:val="single" w:color="auto" w:sz="4" w:space="0"/>
              <w:left w:val="single" w:color="auto" w:sz="4" w:space="0"/>
              <w:bottom w:val="single" w:color="auto" w:sz="4" w:space="0"/>
              <w:right w:val="single" w:color="auto" w:sz="4" w:space="0"/>
            </w:tcBorders>
            <w:noWrap w:val="0"/>
            <w:vAlign w:val="center"/>
          </w:tcPr>
          <w:p w14:paraId="307B9A4A">
            <w:pPr>
              <w:keepNext w:val="0"/>
              <w:keepLines w:val="0"/>
              <w:pageBreakBefore w:val="0"/>
              <w:widowControl w:val="0"/>
              <w:kinsoku/>
              <w:wordWrap/>
              <w:overflowPunct/>
              <w:topLinePunct w:val="0"/>
              <w:autoSpaceDE/>
              <w:autoSpaceDN/>
              <w:bidi w:val="0"/>
              <w:snapToGrid w:val="0"/>
              <w:spacing w:line="240" w:lineRule="auto"/>
              <w:textAlignment w:val="auto"/>
              <w:rPr>
                <w:rFonts w:hint="eastAsia"/>
                <w:bCs/>
                <w:color w:val="000000"/>
                <w:sz w:val="21"/>
                <w:szCs w:val="21"/>
              </w:rPr>
            </w:pPr>
            <w:r>
              <w:rPr>
                <w:rFonts w:hint="eastAsia"/>
                <w:bCs/>
                <w:color w:val="000000"/>
                <w:sz w:val="21"/>
                <w:szCs w:val="21"/>
              </w:rPr>
              <w:t>该公司组织机构健全，设置了安全环保部，配备了专职安全生产管理人员。</w:t>
            </w:r>
          </w:p>
        </w:tc>
        <w:tc>
          <w:tcPr>
            <w:tcW w:w="656" w:type="dxa"/>
            <w:tcBorders>
              <w:top w:val="single" w:color="auto" w:sz="4" w:space="0"/>
              <w:left w:val="single" w:color="auto" w:sz="4" w:space="0"/>
              <w:bottom w:val="single" w:color="auto" w:sz="4" w:space="0"/>
              <w:right w:val="single" w:color="auto" w:sz="4" w:space="0"/>
            </w:tcBorders>
            <w:noWrap w:val="0"/>
            <w:vAlign w:val="center"/>
          </w:tcPr>
          <w:p w14:paraId="0FD1424D">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rPr>
            </w:pPr>
            <w:r>
              <w:rPr>
                <w:bCs/>
                <w:color w:val="000000"/>
                <w:sz w:val="21"/>
                <w:szCs w:val="21"/>
              </w:rPr>
              <w:t>符合</w:t>
            </w:r>
          </w:p>
        </w:tc>
      </w:tr>
      <w:tr w14:paraId="74998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6" w:type="dxa"/>
            <w:tcBorders>
              <w:top w:val="single" w:color="auto" w:sz="4" w:space="0"/>
              <w:left w:val="single" w:color="auto" w:sz="4" w:space="0"/>
              <w:bottom w:val="single" w:color="auto" w:sz="4" w:space="0"/>
              <w:right w:val="single" w:color="auto" w:sz="4" w:space="0"/>
            </w:tcBorders>
            <w:noWrap w:val="0"/>
            <w:vAlign w:val="center"/>
          </w:tcPr>
          <w:p w14:paraId="262A97C2">
            <w:pPr>
              <w:keepNext w:val="0"/>
              <w:keepLines w:val="0"/>
              <w:pageBreakBefore w:val="0"/>
              <w:widowControl w:val="0"/>
              <w:numPr>
                <w:ilvl w:val="0"/>
                <w:numId w:val="46"/>
              </w:numPr>
              <w:tabs>
                <w:tab w:val="left" w:pos="352"/>
                <w:tab w:val="left" w:pos="759"/>
                <w:tab w:val="left" w:pos="825"/>
              </w:tabs>
              <w:kinsoku/>
              <w:wordWrap/>
              <w:overflowPunct/>
              <w:topLinePunct w:val="0"/>
              <w:autoSpaceDE/>
              <w:autoSpaceDN/>
              <w:bidi w:val="0"/>
              <w:adjustRightInd w:val="0"/>
              <w:snapToGrid w:val="0"/>
              <w:spacing w:line="240" w:lineRule="auto"/>
              <w:ind w:left="0" w:firstLine="0"/>
              <w:jc w:val="center"/>
              <w:textAlignment w:val="auto"/>
              <w:rPr>
                <w:smallCaps/>
                <w:color w:val="000000"/>
                <w:sz w:val="21"/>
                <w:szCs w:val="21"/>
              </w:rPr>
            </w:pPr>
          </w:p>
        </w:tc>
        <w:tc>
          <w:tcPr>
            <w:tcW w:w="3715" w:type="dxa"/>
            <w:tcBorders>
              <w:top w:val="single" w:color="auto" w:sz="4" w:space="0"/>
              <w:left w:val="single" w:color="auto" w:sz="4" w:space="0"/>
              <w:bottom w:val="single" w:color="auto" w:sz="4" w:space="0"/>
              <w:right w:val="single" w:color="auto" w:sz="4" w:space="0"/>
            </w:tcBorders>
            <w:noWrap w:val="0"/>
            <w:vAlign w:val="center"/>
          </w:tcPr>
          <w:p w14:paraId="28F7BC58">
            <w:pPr>
              <w:keepNext w:val="0"/>
              <w:keepLines w:val="0"/>
              <w:pageBreakBefore w:val="0"/>
              <w:widowControl w:val="0"/>
              <w:kinsoku/>
              <w:wordWrap/>
              <w:overflowPunct/>
              <w:topLinePunct w:val="0"/>
              <w:autoSpaceDE/>
              <w:autoSpaceDN/>
              <w:bidi w:val="0"/>
              <w:snapToGrid w:val="0"/>
              <w:spacing w:line="240" w:lineRule="auto"/>
              <w:jc w:val="left"/>
              <w:textAlignment w:val="auto"/>
              <w:rPr>
                <w:bCs/>
                <w:color w:val="000000"/>
                <w:sz w:val="21"/>
                <w:szCs w:val="21"/>
              </w:rPr>
            </w:pPr>
            <w:r>
              <w:rPr>
                <w:rFonts w:hint="eastAsia"/>
                <w:bCs/>
                <w:color w:val="000000"/>
                <w:sz w:val="21"/>
                <w:szCs w:val="21"/>
              </w:rPr>
              <w:t>h）各项生产管理制度、责任制、操作规程已建立清单并颁布实施；</w:t>
            </w:r>
          </w:p>
        </w:tc>
        <w:tc>
          <w:tcPr>
            <w:tcW w:w="1760" w:type="dxa"/>
            <w:vMerge w:val="continue"/>
            <w:tcBorders>
              <w:left w:val="single" w:color="auto" w:sz="4" w:space="0"/>
              <w:right w:val="single" w:color="auto" w:sz="4" w:space="0"/>
            </w:tcBorders>
            <w:noWrap w:val="0"/>
            <w:vAlign w:val="center"/>
          </w:tcPr>
          <w:p w14:paraId="4F0A9387">
            <w:pPr>
              <w:keepNext w:val="0"/>
              <w:keepLines w:val="0"/>
              <w:pageBreakBefore w:val="0"/>
              <w:widowControl w:val="0"/>
              <w:kinsoku/>
              <w:wordWrap/>
              <w:overflowPunct/>
              <w:topLinePunct w:val="0"/>
              <w:autoSpaceDE/>
              <w:autoSpaceDN/>
              <w:bidi w:val="0"/>
              <w:snapToGrid w:val="0"/>
              <w:spacing w:line="240" w:lineRule="auto"/>
              <w:textAlignment w:val="auto"/>
              <w:rPr>
                <w:bCs/>
                <w:color w:val="000000"/>
                <w:sz w:val="21"/>
                <w:szCs w:val="21"/>
              </w:rPr>
            </w:pPr>
          </w:p>
        </w:tc>
        <w:tc>
          <w:tcPr>
            <w:tcW w:w="2604" w:type="dxa"/>
            <w:tcBorders>
              <w:top w:val="single" w:color="auto" w:sz="4" w:space="0"/>
              <w:left w:val="single" w:color="auto" w:sz="4" w:space="0"/>
              <w:bottom w:val="single" w:color="auto" w:sz="4" w:space="0"/>
              <w:right w:val="single" w:color="auto" w:sz="4" w:space="0"/>
            </w:tcBorders>
            <w:noWrap w:val="0"/>
            <w:vAlign w:val="center"/>
          </w:tcPr>
          <w:p w14:paraId="59ADB7DC">
            <w:pPr>
              <w:keepNext w:val="0"/>
              <w:keepLines w:val="0"/>
              <w:pageBreakBefore w:val="0"/>
              <w:widowControl w:val="0"/>
              <w:kinsoku/>
              <w:wordWrap/>
              <w:overflowPunct/>
              <w:topLinePunct w:val="0"/>
              <w:autoSpaceDE/>
              <w:autoSpaceDN/>
              <w:bidi w:val="0"/>
              <w:snapToGrid w:val="0"/>
              <w:spacing w:line="240" w:lineRule="auto"/>
              <w:textAlignment w:val="auto"/>
              <w:rPr>
                <w:color w:val="000000"/>
                <w:sz w:val="21"/>
                <w:szCs w:val="21"/>
              </w:rPr>
            </w:pPr>
            <w:r>
              <w:rPr>
                <w:rFonts w:hint="eastAsia"/>
                <w:bCs/>
                <w:color w:val="000000"/>
                <w:sz w:val="21"/>
                <w:szCs w:val="21"/>
              </w:rPr>
              <w:t>该公司建立有相应的生产管理制度、责任制、操作规程并颁布实施。</w:t>
            </w:r>
          </w:p>
        </w:tc>
        <w:tc>
          <w:tcPr>
            <w:tcW w:w="656" w:type="dxa"/>
            <w:tcBorders>
              <w:top w:val="single" w:color="auto" w:sz="4" w:space="0"/>
              <w:left w:val="single" w:color="auto" w:sz="4" w:space="0"/>
              <w:bottom w:val="single" w:color="auto" w:sz="4" w:space="0"/>
              <w:right w:val="single" w:color="auto" w:sz="4" w:space="0"/>
            </w:tcBorders>
            <w:noWrap w:val="0"/>
            <w:vAlign w:val="center"/>
          </w:tcPr>
          <w:p w14:paraId="1D3FF6A8">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rPr>
            </w:pPr>
            <w:r>
              <w:rPr>
                <w:bCs/>
                <w:color w:val="000000"/>
                <w:sz w:val="21"/>
                <w:szCs w:val="21"/>
              </w:rPr>
              <w:t>符合</w:t>
            </w:r>
          </w:p>
        </w:tc>
      </w:tr>
      <w:tr w14:paraId="3AD58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6" w:type="dxa"/>
            <w:tcBorders>
              <w:top w:val="single" w:color="auto" w:sz="4" w:space="0"/>
              <w:left w:val="single" w:color="auto" w:sz="4" w:space="0"/>
              <w:bottom w:val="single" w:color="auto" w:sz="4" w:space="0"/>
              <w:right w:val="single" w:color="auto" w:sz="4" w:space="0"/>
            </w:tcBorders>
            <w:noWrap w:val="0"/>
            <w:vAlign w:val="center"/>
          </w:tcPr>
          <w:p w14:paraId="36C37BE1">
            <w:pPr>
              <w:keepNext w:val="0"/>
              <w:keepLines w:val="0"/>
              <w:pageBreakBefore w:val="0"/>
              <w:widowControl w:val="0"/>
              <w:numPr>
                <w:ilvl w:val="0"/>
                <w:numId w:val="46"/>
              </w:numPr>
              <w:tabs>
                <w:tab w:val="left" w:pos="352"/>
                <w:tab w:val="left" w:pos="759"/>
                <w:tab w:val="left" w:pos="825"/>
              </w:tabs>
              <w:kinsoku/>
              <w:wordWrap/>
              <w:overflowPunct/>
              <w:topLinePunct w:val="0"/>
              <w:autoSpaceDE/>
              <w:autoSpaceDN/>
              <w:bidi w:val="0"/>
              <w:adjustRightInd w:val="0"/>
              <w:snapToGrid w:val="0"/>
              <w:spacing w:line="240" w:lineRule="auto"/>
              <w:ind w:left="0" w:firstLine="0"/>
              <w:jc w:val="center"/>
              <w:textAlignment w:val="auto"/>
              <w:rPr>
                <w:smallCaps/>
                <w:color w:val="000000"/>
                <w:sz w:val="21"/>
                <w:szCs w:val="21"/>
              </w:rPr>
            </w:pPr>
          </w:p>
        </w:tc>
        <w:tc>
          <w:tcPr>
            <w:tcW w:w="3715" w:type="dxa"/>
            <w:tcBorders>
              <w:top w:val="single" w:color="auto" w:sz="4" w:space="0"/>
              <w:left w:val="single" w:color="auto" w:sz="4" w:space="0"/>
              <w:bottom w:val="single" w:color="auto" w:sz="4" w:space="0"/>
              <w:right w:val="single" w:color="auto" w:sz="4" w:space="0"/>
            </w:tcBorders>
            <w:noWrap w:val="0"/>
            <w:vAlign w:val="center"/>
          </w:tcPr>
          <w:p w14:paraId="12C847CC">
            <w:pPr>
              <w:keepNext w:val="0"/>
              <w:keepLines w:val="0"/>
              <w:pageBreakBefore w:val="0"/>
              <w:widowControl w:val="0"/>
              <w:kinsoku/>
              <w:wordWrap/>
              <w:overflowPunct/>
              <w:topLinePunct w:val="0"/>
              <w:autoSpaceDE/>
              <w:autoSpaceDN/>
              <w:bidi w:val="0"/>
              <w:snapToGrid w:val="0"/>
              <w:spacing w:line="240" w:lineRule="auto"/>
              <w:jc w:val="left"/>
              <w:textAlignment w:val="auto"/>
              <w:rPr>
                <w:bCs/>
                <w:color w:val="000000"/>
                <w:sz w:val="21"/>
                <w:szCs w:val="21"/>
              </w:rPr>
            </w:pPr>
            <w:r>
              <w:rPr>
                <w:rFonts w:hint="eastAsia"/>
                <w:bCs/>
                <w:color w:val="000000"/>
                <w:sz w:val="21"/>
                <w:szCs w:val="21"/>
              </w:rPr>
              <w:t>i）特种作业人员、特种设备操作人员、注册安全工程师已持证上岗，主管生产、设备、工艺、安全等方面负责人的专业、学历及经验方面符合性证明材料，从业人员安全教育、培训合格的证明材料；</w:t>
            </w:r>
          </w:p>
        </w:tc>
        <w:tc>
          <w:tcPr>
            <w:tcW w:w="1760" w:type="dxa"/>
            <w:vMerge w:val="continue"/>
            <w:tcBorders>
              <w:left w:val="single" w:color="auto" w:sz="4" w:space="0"/>
              <w:right w:val="single" w:color="auto" w:sz="4" w:space="0"/>
            </w:tcBorders>
            <w:noWrap w:val="0"/>
            <w:vAlign w:val="center"/>
          </w:tcPr>
          <w:p w14:paraId="5CA6B1C9">
            <w:pPr>
              <w:keepNext w:val="0"/>
              <w:keepLines w:val="0"/>
              <w:pageBreakBefore w:val="0"/>
              <w:widowControl w:val="0"/>
              <w:kinsoku/>
              <w:wordWrap/>
              <w:overflowPunct/>
              <w:topLinePunct w:val="0"/>
              <w:autoSpaceDE/>
              <w:autoSpaceDN/>
              <w:bidi w:val="0"/>
              <w:snapToGrid w:val="0"/>
              <w:spacing w:line="240" w:lineRule="auto"/>
              <w:jc w:val="center"/>
              <w:textAlignment w:val="auto"/>
              <w:rPr>
                <w:bCs/>
                <w:color w:val="000000"/>
                <w:sz w:val="21"/>
                <w:szCs w:val="21"/>
              </w:rPr>
            </w:pPr>
          </w:p>
        </w:tc>
        <w:tc>
          <w:tcPr>
            <w:tcW w:w="2604" w:type="dxa"/>
            <w:tcBorders>
              <w:top w:val="single" w:color="auto" w:sz="4" w:space="0"/>
              <w:left w:val="single" w:color="auto" w:sz="4" w:space="0"/>
              <w:bottom w:val="single" w:color="auto" w:sz="4" w:space="0"/>
              <w:right w:val="single" w:color="auto" w:sz="4" w:space="0"/>
            </w:tcBorders>
            <w:noWrap w:val="0"/>
            <w:vAlign w:val="center"/>
          </w:tcPr>
          <w:p w14:paraId="1CF5EA3A">
            <w:pPr>
              <w:keepNext w:val="0"/>
              <w:keepLines w:val="0"/>
              <w:pageBreakBefore w:val="0"/>
              <w:widowControl w:val="0"/>
              <w:kinsoku/>
              <w:wordWrap/>
              <w:overflowPunct/>
              <w:topLinePunct w:val="0"/>
              <w:autoSpaceDE/>
              <w:autoSpaceDN/>
              <w:bidi w:val="0"/>
              <w:snapToGrid w:val="0"/>
              <w:spacing w:line="240" w:lineRule="auto"/>
              <w:textAlignment w:val="auto"/>
              <w:rPr>
                <w:rFonts w:hint="eastAsia"/>
                <w:bCs/>
                <w:color w:val="000000"/>
                <w:sz w:val="21"/>
                <w:szCs w:val="21"/>
              </w:rPr>
            </w:pPr>
            <w:r>
              <w:rPr>
                <w:rFonts w:hint="eastAsia"/>
                <w:bCs/>
                <w:color w:val="000000"/>
                <w:sz w:val="21"/>
                <w:szCs w:val="21"/>
              </w:rPr>
              <w:t>该公司特种作业人员、特种设备操作人员、注册安全工程师已持证上岗；主要负责人、安全管理员等已取得了安全生产知识及管理能力考核合格证；主要负责人、分管生产副总经理具有北京化工大学化学工程与工艺专业高中起点本科毕业证书；其他从业人员经内部培训合格后上岗作业。</w:t>
            </w:r>
          </w:p>
        </w:tc>
        <w:tc>
          <w:tcPr>
            <w:tcW w:w="656" w:type="dxa"/>
            <w:tcBorders>
              <w:top w:val="single" w:color="auto" w:sz="4" w:space="0"/>
              <w:left w:val="single" w:color="auto" w:sz="4" w:space="0"/>
              <w:bottom w:val="single" w:color="auto" w:sz="4" w:space="0"/>
              <w:right w:val="single" w:color="auto" w:sz="4" w:space="0"/>
            </w:tcBorders>
            <w:noWrap w:val="0"/>
            <w:vAlign w:val="center"/>
          </w:tcPr>
          <w:p w14:paraId="426E0F04">
            <w:pPr>
              <w:keepNext w:val="0"/>
              <w:keepLines w:val="0"/>
              <w:pageBreakBefore w:val="0"/>
              <w:widowControl w:val="0"/>
              <w:kinsoku/>
              <w:wordWrap/>
              <w:overflowPunct/>
              <w:topLinePunct w:val="0"/>
              <w:autoSpaceDE/>
              <w:autoSpaceDN/>
              <w:bidi w:val="0"/>
              <w:snapToGrid w:val="0"/>
              <w:spacing w:line="240" w:lineRule="auto"/>
              <w:jc w:val="left"/>
              <w:textAlignment w:val="auto"/>
              <w:rPr>
                <w:bCs/>
                <w:color w:val="000000"/>
                <w:sz w:val="21"/>
                <w:szCs w:val="21"/>
              </w:rPr>
            </w:pPr>
            <w:r>
              <w:rPr>
                <w:bCs/>
                <w:color w:val="000000"/>
                <w:sz w:val="21"/>
                <w:szCs w:val="21"/>
              </w:rPr>
              <w:t>符合</w:t>
            </w:r>
          </w:p>
        </w:tc>
      </w:tr>
      <w:tr w14:paraId="18A08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6" w:type="dxa"/>
            <w:noWrap w:val="0"/>
            <w:vAlign w:val="center"/>
          </w:tcPr>
          <w:p w14:paraId="129F2649">
            <w:pPr>
              <w:keepNext w:val="0"/>
              <w:keepLines w:val="0"/>
              <w:pageBreakBefore w:val="0"/>
              <w:widowControl w:val="0"/>
              <w:numPr>
                <w:ilvl w:val="0"/>
                <w:numId w:val="46"/>
              </w:numPr>
              <w:tabs>
                <w:tab w:val="left" w:pos="352"/>
                <w:tab w:val="left" w:pos="759"/>
                <w:tab w:val="left" w:pos="825"/>
              </w:tabs>
              <w:kinsoku/>
              <w:wordWrap/>
              <w:overflowPunct/>
              <w:topLinePunct w:val="0"/>
              <w:autoSpaceDE/>
              <w:autoSpaceDN/>
              <w:bidi w:val="0"/>
              <w:adjustRightInd w:val="0"/>
              <w:snapToGrid w:val="0"/>
              <w:spacing w:line="240" w:lineRule="auto"/>
              <w:ind w:left="0" w:firstLine="0"/>
              <w:jc w:val="center"/>
              <w:textAlignment w:val="auto"/>
              <w:rPr>
                <w:smallCaps/>
                <w:color w:val="000000"/>
                <w:sz w:val="21"/>
                <w:szCs w:val="21"/>
              </w:rPr>
            </w:pPr>
          </w:p>
        </w:tc>
        <w:tc>
          <w:tcPr>
            <w:tcW w:w="3715" w:type="dxa"/>
            <w:noWrap w:val="0"/>
            <w:vAlign w:val="center"/>
          </w:tcPr>
          <w:p w14:paraId="177D1E97">
            <w:pPr>
              <w:keepNext w:val="0"/>
              <w:keepLines w:val="0"/>
              <w:pageBreakBefore w:val="0"/>
              <w:widowControl w:val="0"/>
              <w:kinsoku/>
              <w:wordWrap/>
              <w:overflowPunct/>
              <w:topLinePunct w:val="0"/>
              <w:autoSpaceDE/>
              <w:autoSpaceDN/>
              <w:bidi w:val="0"/>
              <w:snapToGrid w:val="0"/>
              <w:spacing w:line="240" w:lineRule="auto"/>
              <w:textAlignment w:val="auto"/>
              <w:rPr>
                <w:color w:val="000000"/>
                <w:sz w:val="21"/>
                <w:szCs w:val="21"/>
              </w:rPr>
            </w:pPr>
            <w:r>
              <w:rPr>
                <w:rFonts w:hint="eastAsia"/>
                <w:color w:val="000000"/>
                <w:sz w:val="21"/>
                <w:szCs w:val="21"/>
              </w:rPr>
              <w:t>j）为从业者提供符合国家标准、行业标准的劳动防护用品，并监督、教育从业人员按使用规则佩戴使用；</w:t>
            </w:r>
          </w:p>
        </w:tc>
        <w:tc>
          <w:tcPr>
            <w:tcW w:w="1760" w:type="dxa"/>
            <w:vMerge w:val="continue"/>
            <w:tcBorders>
              <w:left w:val="single" w:color="auto" w:sz="4" w:space="0"/>
              <w:right w:val="single" w:color="auto" w:sz="4" w:space="0"/>
            </w:tcBorders>
            <w:noWrap w:val="0"/>
            <w:vAlign w:val="center"/>
          </w:tcPr>
          <w:p w14:paraId="74971435">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color w:val="000000"/>
                <w:sz w:val="21"/>
                <w:szCs w:val="21"/>
              </w:rPr>
            </w:pPr>
          </w:p>
        </w:tc>
        <w:tc>
          <w:tcPr>
            <w:tcW w:w="2604" w:type="dxa"/>
            <w:noWrap w:val="0"/>
            <w:vAlign w:val="center"/>
          </w:tcPr>
          <w:p w14:paraId="73908730">
            <w:pPr>
              <w:keepNext w:val="0"/>
              <w:keepLines w:val="0"/>
              <w:pageBreakBefore w:val="0"/>
              <w:widowControl w:val="0"/>
              <w:kinsoku/>
              <w:wordWrap/>
              <w:overflowPunct/>
              <w:topLinePunct w:val="0"/>
              <w:autoSpaceDE/>
              <w:autoSpaceDN/>
              <w:bidi w:val="0"/>
              <w:snapToGrid w:val="0"/>
              <w:spacing w:line="240" w:lineRule="auto"/>
              <w:textAlignment w:val="auto"/>
              <w:rPr>
                <w:color w:val="000000"/>
                <w:sz w:val="21"/>
                <w:szCs w:val="21"/>
              </w:rPr>
            </w:pPr>
            <w:r>
              <w:rPr>
                <w:rFonts w:hint="eastAsia"/>
                <w:color w:val="000000"/>
                <w:sz w:val="21"/>
                <w:szCs w:val="21"/>
              </w:rPr>
              <w:t>该公司为作业人员提供了符合国家标准、行业标准的劳动防护用品，并监督、教育从业人员按使用规则佩戴使用。</w:t>
            </w:r>
          </w:p>
        </w:tc>
        <w:tc>
          <w:tcPr>
            <w:tcW w:w="656" w:type="dxa"/>
            <w:noWrap w:val="0"/>
            <w:vAlign w:val="center"/>
          </w:tcPr>
          <w:p w14:paraId="64B1EB71">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rPr>
              <w:t>符合</w:t>
            </w:r>
          </w:p>
        </w:tc>
      </w:tr>
      <w:tr w14:paraId="66828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6" w:type="dxa"/>
            <w:noWrap w:val="0"/>
            <w:vAlign w:val="center"/>
          </w:tcPr>
          <w:p w14:paraId="4509FEE3">
            <w:pPr>
              <w:keepNext w:val="0"/>
              <w:keepLines w:val="0"/>
              <w:pageBreakBefore w:val="0"/>
              <w:widowControl w:val="0"/>
              <w:numPr>
                <w:ilvl w:val="0"/>
                <w:numId w:val="46"/>
              </w:numPr>
              <w:tabs>
                <w:tab w:val="left" w:pos="352"/>
                <w:tab w:val="left" w:pos="759"/>
                <w:tab w:val="left" w:pos="825"/>
              </w:tabs>
              <w:kinsoku/>
              <w:wordWrap/>
              <w:overflowPunct/>
              <w:topLinePunct w:val="0"/>
              <w:autoSpaceDE/>
              <w:autoSpaceDN/>
              <w:bidi w:val="0"/>
              <w:adjustRightInd w:val="0"/>
              <w:snapToGrid w:val="0"/>
              <w:spacing w:line="240" w:lineRule="auto"/>
              <w:ind w:left="0" w:firstLine="0"/>
              <w:jc w:val="center"/>
              <w:textAlignment w:val="auto"/>
              <w:rPr>
                <w:smallCaps/>
                <w:color w:val="000000"/>
                <w:sz w:val="21"/>
                <w:szCs w:val="21"/>
              </w:rPr>
            </w:pPr>
          </w:p>
        </w:tc>
        <w:tc>
          <w:tcPr>
            <w:tcW w:w="3715" w:type="dxa"/>
            <w:noWrap w:val="0"/>
            <w:vAlign w:val="center"/>
          </w:tcPr>
          <w:p w14:paraId="44448450">
            <w:pPr>
              <w:keepNext w:val="0"/>
              <w:keepLines w:val="0"/>
              <w:pageBreakBefore w:val="0"/>
              <w:widowControl w:val="0"/>
              <w:kinsoku/>
              <w:wordWrap/>
              <w:overflowPunct/>
              <w:topLinePunct w:val="0"/>
              <w:autoSpaceDE/>
              <w:autoSpaceDN/>
              <w:bidi w:val="0"/>
              <w:snapToGrid w:val="0"/>
              <w:spacing w:line="240" w:lineRule="auto"/>
              <w:textAlignment w:val="auto"/>
              <w:rPr>
                <w:color w:val="000000"/>
                <w:sz w:val="21"/>
                <w:szCs w:val="21"/>
              </w:rPr>
            </w:pPr>
            <w:r>
              <w:rPr>
                <w:rFonts w:hint="eastAsia"/>
                <w:color w:val="000000"/>
                <w:sz w:val="21"/>
                <w:szCs w:val="21"/>
              </w:rPr>
              <w:t>k）为从业人员缴纳工伤保险费的证明材料，属于国家规定的高危行业、领域的项目企业投保安全生产责任保险的证明材料；</w:t>
            </w:r>
          </w:p>
        </w:tc>
        <w:tc>
          <w:tcPr>
            <w:tcW w:w="1760" w:type="dxa"/>
            <w:vMerge w:val="continue"/>
            <w:tcBorders>
              <w:left w:val="single" w:color="auto" w:sz="4" w:space="0"/>
              <w:right w:val="single" w:color="auto" w:sz="4" w:space="0"/>
            </w:tcBorders>
            <w:noWrap w:val="0"/>
            <w:vAlign w:val="center"/>
          </w:tcPr>
          <w:p w14:paraId="004879F4">
            <w:pPr>
              <w:keepNext w:val="0"/>
              <w:keepLines w:val="0"/>
              <w:pageBreakBefore w:val="0"/>
              <w:widowControl w:val="0"/>
              <w:kinsoku/>
              <w:wordWrap/>
              <w:overflowPunct/>
              <w:topLinePunct w:val="0"/>
              <w:autoSpaceDE/>
              <w:autoSpaceDN/>
              <w:bidi w:val="0"/>
              <w:snapToGrid w:val="0"/>
              <w:spacing w:line="240" w:lineRule="auto"/>
              <w:textAlignment w:val="auto"/>
              <w:rPr>
                <w:color w:val="000000"/>
                <w:sz w:val="21"/>
                <w:szCs w:val="21"/>
              </w:rPr>
            </w:pPr>
          </w:p>
        </w:tc>
        <w:tc>
          <w:tcPr>
            <w:tcW w:w="2604" w:type="dxa"/>
            <w:noWrap w:val="0"/>
            <w:vAlign w:val="center"/>
          </w:tcPr>
          <w:p w14:paraId="5F765ED0">
            <w:pPr>
              <w:keepNext w:val="0"/>
              <w:keepLines w:val="0"/>
              <w:pageBreakBefore w:val="0"/>
              <w:widowControl w:val="0"/>
              <w:kinsoku/>
              <w:wordWrap/>
              <w:overflowPunct/>
              <w:topLinePunct w:val="0"/>
              <w:autoSpaceDE/>
              <w:autoSpaceDN/>
              <w:bidi w:val="0"/>
              <w:snapToGrid w:val="0"/>
              <w:spacing w:line="240" w:lineRule="auto"/>
              <w:textAlignment w:val="auto"/>
              <w:rPr>
                <w:rFonts w:hint="eastAsia"/>
                <w:color w:val="000000"/>
                <w:sz w:val="21"/>
                <w:szCs w:val="21"/>
              </w:rPr>
            </w:pPr>
            <w:r>
              <w:rPr>
                <w:rFonts w:hint="eastAsia"/>
                <w:color w:val="000000"/>
                <w:sz w:val="21"/>
                <w:szCs w:val="21"/>
              </w:rPr>
              <w:t>该公司按要求为从业人员缴纳了工伤保险；投保了安全生产责任保险。</w:t>
            </w:r>
          </w:p>
        </w:tc>
        <w:tc>
          <w:tcPr>
            <w:tcW w:w="656" w:type="dxa"/>
            <w:noWrap w:val="0"/>
            <w:vAlign w:val="center"/>
          </w:tcPr>
          <w:p w14:paraId="7DC033D6">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rPr>
              <w:t>符合</w:t>
            </w:r>
          </w:p>
        </w:tc>
      </w:tr>
      <w:tr w14:paraId="17EFC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6" w:type="dxa"/>
            <w:noWrap w:val="0"/>
            <w:vAlign w:val="center"/>
          </w:tcPr>
          <w:p w14:paraId="16A69739">
            <w:pPr>
              <w:keepNext w:val="0"/>
              <w:keepLines w:val="0"/>
              <w:pageBreakBefore w:val="0"/>
              <w:widowControl w:val="0"/>
              <w:numPr>
                <w:ilvl w:val="0"/>
                <w:numId w:val="46"/>
              </w:numPr>
              <w:tabs>
                <w:tab w:val="left" w:pos="352"/>
                <w:tab w:val="left" w:pos="759"/>
                <w:tab w:val="left" w:pos="825"/>
              </w:tabs>
              <w:kinsoku/>
              <w:wordWrap/>
              <w:overflowPunct/>
              <w:topLinePunct w:val="0"/>
              <w:autoSpaceDE/>
              <w:autoSpaceDN/>
              <w:bidi w:val="0"/>
              <w:adjustRightInd w:val="0"/>
              <w:snapToGrid w:val="0"/>
              <w:spacing w:line="240" w:lineRule="auto"/>
              <w:ind w:left="0" w:firstLine="0"/>
              <w:jc w:val="center"/>
              <w:textAlignment w:val="auto"/>
              <w:rPr>
                <w:smallCaps/>
                <w:color w:val="000000"/>
                <w:sz w:val="21"/>
                <w:szCs w:val="21"/>
              </w:rPr>
            </w:pPr>
          </w:p>
        </w:tc>
        <w:tc>
          <w:tcPr>
            <w:tcW w:w="3715" w:type="dxa"/>
            <w:noWrap w:val="0"/>
            <w:vAlign w:val="center"/>
          </w:tcPr>
          <w:p w14:paraId="06346BE2">
            <w:pPr>
              <w:keepNext w:val="0"/>
              <w:keepLines w:val="0"/>
              <w:pageBreakBefore w:val="0"/>
              <w:widowControl w:val="0"/>
              <w:kinsoku/>
              <w:wordWrap/>
              <w:overflowPunct/>
              <w:topLinePunct w:val="0"/>
              <w:autoSpaceDE/>
              <w:autoSpaceDN/>
              <w:bidi w:val="0"/>
              <w:snapToGrid w:val="0"/>
              <w:spacing w:line="240" w:lineRule="auto"/>
              <w:textAlignment w:val="auto"/>
              <w:rPr>
                <w:color w:val="000000"/>
                <w:kern w:val="0"/>
                <w:sz w:val="21"/>
                <w:szCs w:val="21"/>
              </w:rPr>
            </w:pPr>
            <w:r>
              <w:rPr>
                <w:rFonts w:hint="eastAsia"/>
                <w:color w:val="000000"/>
                <w:kern w:val="0"/>
                <w:sz w:val="21"/>
                <w:szCs w:val="21"/>
              </w:rPr>
              <w:t>l）已编制完成建设项目安全设施施工、监理情况报告；提供建设项目施工、监理单位资质证书；</w:t>
            </w:r>
          </w:p>
        </w:tc>
        <w:tc>
          <w:tcPr>
            <w:tcW w:w="1760" w:type="dxa"/>
            <w:vMerge w:val="continue"/>
            <w:tcBorders>
              <w:left w:val="single" w:color="auto" w:sz="4" w:space="0"/>
              <w:right w:val="single" w:color="auto" w:sz="4" w:space="0"/>
            </w:tcBorders>
            <w:noWrap w:val="0"/>
            <w:vAlign w:val="center"/>
          </w:tcPr>
          <w:p w14:paraId="01606053">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p>
        </w:tc>
        <w:tc>
          <w:tcPr>
            <w:tcW w:w="2604" w:type="dxa"/>
            <w:noWrap w:val="0"/>
            <w:vAlign w:val="center"/>
          </w:tcPr>
          <w:p w14:paraId="7A0328CB">
            <w:pPr>
              <w:keepNext w:val="0"/>
              <w:keepLines w:val="0"/>
              <w:pageBreakBefore w:val="0"/>
              <w:widowControl w:val="0"/>
              <w:kinsoku/>
              <w:wordWrap/>
              <w:overflowPunct/>
              <w:topLinePunct w:val="0"/>
              <w:autoSpaceDE/>
              <w:autoSpaceDN/>
              <w:bidi w:val="0"/>
              <w:snapToGrid w:val="0"/>
              <w:spacing w:line="240" w:lineRule="auto"/>
              <w:textAlignment w:val="auto"/>
              <w:rPr>
                <w:color w:val="000000"/>
                <w:kern w:val="0"/>
                <w:sz w:val="21"/>
                <w:szCs w:val="21"/>
              </w:rPr>
            </w:pPr>
            <w:r>
              <w:rPr>
                <w:rFonts w:hint="eastAsia"/>
                <w:color w:val="000000"/>
                <w:kern w:val="0"/>
                <w:sz w:val="21"/>
                <w:szCs w:val="21"/>
              </w:rPr>
              <w:t>施工单位、监理单位具有相应资质，已编制完成建设项目安全设施施工、监理情况报告。</w:t>
            </w:r>
          </w:p>
        </w:tc>
        <w:tc>
          <w:tcPr>
            <w:tcW w:w="656" w:type="dxa"/>
            <w:noWrap w:val="0"/>
            <w:vAlign w:val="center"/>
          </w:tcPr>
          <w:p w14:paraId="337DBBB0">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rPr>
              <w:t>符合</w:t>
            </w:r>
          </w:p>
        </w:tc>
      </w:tr>
      <w:tr w14:paraId="23BCB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6" w:type="dxa"/>
            <w:noWrap w:val="0"/>
            <w:vAlign w:val="center"/>
          </w:tcPr>
          <w:p w14:paraId="0EE37D0E">
            <w:pPr>
              <w:keepNext w:val="0"/>
              <w:keepLines w:val="0"/>
              <w:pageBreakBefore w:val="0"/>
              <w:widowControl w:val="0"/>
              <w:numPr>
                <w:ilvl w:val="0"/>
                <w:numId w:val="46"/>
              </w:numPr>
              <w:tabs>
                <w:tab w:val="left" w:pos="352"/>
                <w:tab w:val="left" w:pos="759"/>
                <w:tab w:val="left" w:pos="825"/>
              </w:tabs>
              <w:kinsoku/>
              <w:wordWrap/>
              <w:overflowPunct/>
              <w:topLinePunct w:val="0"/>
              <w:autoSpaceDE/>
              <w:autoSpaceDN/>
              <w:bidi w:val="0"/>
              <w:adjustRightInd w:val="0"/>
              <w:snapToGrid w:val="0"/>
              <w:spacing w:line="240" w:lineRule="auto"/>
              <w:ind w:left="0" w:firstLine="0"/>
              <w:jc w:val="center"/>
              <w:textAlignment w:val="auto"/>
              <w:rPr>
                <w:smallCaps/>
                <w:color w:val="000000"/>
                <w:sz w:val="21"/>
                <w:szCs w:val="21"/>
              </w:rPr>
            </w:pPr>
          </w:p>
        </w:tc>
        <w:tc>
          <w:tcPr>
            <w:tcW w:w="3715" w:type="dxa"/>
            <w:noWrap w:val="0"/>
            <w:vAlign w:val="center"/>
          </w:tcPr>
          <w:p w14:paraId="35809E5A">
            <w:pPr>
              <w:keepNext w:val="0"/>
              <w:keepLines w:val="0"/>
              <w:pageBreakBefore w:val="0"/>
              <w:widowControl w:val="0"/>
              <w:kinsoku/>
              <w:wordWrap/>
              <w:overflowPunct/>
              <w:topLinePunct w:val="0"/>
              <w:autoSpaceDE/>
              <w:autoSpaceDN/>
              <w:bidi w:val="0"/>
              <w:snapToGrid w:val="0"/>
              <w:spacing w:line="240" w:lineRule="auto"/>
              <w:textAlignment w:val="auto"/>
              <w:rPr>
                <w:color w:val="000000"/>
                <w:kern w:val="0"/>
                <w:sz w:val="21"/>
                <w:szCs w:val="21"/>
              </w:rPr>
            </w:pPr>
            <w:r>
              <w:rPr>
                <w:rFonts w:hint="eastAsia"/>
                <w:color w:val="000000"/>
                <w:kern w:val="0"/>
                <w:sz w:val="21"/>
                <w:szCs w:val="21"/>
              </w:rPr>
              <w:t>m）已编制安全验收评价报告；</w:t>
            </w:r>
          </w:p>
        </w:tc>
        <w:tc>
          <w:tcPr>
            <w:tcW w:w="1760" w:type="dxa"/>
            <w:vMerge w:val="continue"/>
            <w:tcBorders>
              <w:left w:val="single" w:color="auto" w:sz="4" w:space="0"/>
              <w:right w:val="single" w:color="auto" w:sz="4" w:space="0"/>
            </w:tcBorders>
            <w:noWrap w:val="0"/>
            <w:vAlign w:val="center"/>
          </w:tcPr>
          <w:p w14:paraId="773EDB6C">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p>
        </w:tc>
        <w:tc>
          <w:tcPr>
            <w:tcW w:w="2604" w:type="dxa"/>
            <w:noWrap w:val="0"/>
            <w:vAlign w:val="center"/>
          </w:tcPr>
          <w:p w14:paraId="3F7B1FED">
            <w:pPr>
              <w:keepNext w:val="0"/>
              <w:keepLines w:val="0"/>
              <w:pageBreakBefore w:val="0"/>
              <w:widowControl w:val="0"/>
              <w:kinsoku/>
              <w:wordWrap/>
              <w:overflowPunct/>
              <w:topLinePunct w:val="0"/>
              <w:autoSpaceDE/>
              <w:autoSpaceDN/>
              <w:bidi w:val="0"/>
              <w:snapToGrid w:val="0"/>
              <w:spacing w:line="240" w:lineRule="auto"/>
              <w:textAlignment w:val="auto"/>
              <w:rPr>
                <w:color w:val="000000"/>
                <w:kern w:val="0"/>
                <w:sz w:val="21"/>
                <w:szCs w:val="21"/>
              </w:rPr>
            </w:pPr>
            <w:r>
              <w:rPr>
                <w:rFonts w:hint="eastAsia"/>
                <w:color w:val="000000"/>
                <w:kern w:val="0"/>
                <w:sz w:val="21"/>
                <w:szCs w:val="21"/>
              </w:rPr>
              <w:t>本报告即该项目安全验收评价报告。</w:t>
            </w:r>
          </w:p>
        </w:tc>
        <w:tc>
          <w:tcPr>
            <w:tcW w:w="656" w:type="dxa"/>
            <w:noWrap w:val="0"/>
            <w:vAlign w:val="center"/>
          </w:tcPr>
          <w:p w14:paraId="3E2B6E89">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rPr>
              <w:t>符合</w:t>
            </w:r>
          </w:p>
        </w:tc>
      </w:tr>
      <w:tr w14:paraId="4D5C2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6" w:type="dxa"/>
            <w:noWrap w:val="0"/>
            <w:vAlign w:val="center"/>
          </w:tcPr>
          <w:p w14:paraId="1D6F9E3B">
            <w:pPr>
              <w:keepNext w:val="0"/>
              <w:keepLines w:val="0"/>
              <w:pageBreakBefore w:val="0"/>
              <w:widowControl w:val="0"/>
              <w:numPr>
                <w:ilvl w:val="0"/>
                <w:numId w:val="46"/>
              </w:numPr>
              <w:tabs>
                <w:tab w:val="left" w:pos="352"/>
                <w:tab w:val="left" w:pos="759"/>
                <w:tab w:val="left" w:pos="825"/>
              </w:tabs>
              <w:kinsoku/>
              <w:wordWrap/>
              <w:overflowPunct/>
              <w:topLinePunct w:val="0"/>
              <w:autoSpaceDE/>
              <w:autoSpaceDN/>
              <w:bidi w:val="0"/>
              <w:adjustRightInd w:val="0"/>
              <w:snapToGrid w:val="0"/>
              <w:spacing w:line="240" w:lineRule="auto"/>
              <w:ind w:left="0" w:firstLine="0"/>
              <w:jc w:val="center"/>
              <w:textAlignment w:val="auto"/>
              <w:rPr>
                <w:smallCaps/>
                <w:color w:val="000000"/>
                <w:sz w:val="21"/>
                <w:szCs w:val="21"/>
              </w:rPr>
            </w:pPr>
          </w:p>
        </w:tc>
        <w:tc>
          <w:tcPr>
            <w:tcW w:w="3715" w:type="dxa"/>
            <w:noWrap w:val="0"/>
            <w:vAlign w:val="center"/>
          </w:tcPr>
          <w:p w14:paraId="13AF2D4E">
            <w:pPr>
              <w:keepNext w:val="0"/>
              <w:keepLines w:val="0"/>
              <w:pageBreakBefore w:val="0"/>
              <w:widowControl w:val="0"/>
              <w:kinsoku/>
              <w:wordWrap/>
              <w:overflowPunct/>
              <w:topLinePunct w:val="0"/>
              <w:autoSpaceDE/>
              <w:autoSpaceDN/>
              <w:bidi w:val="0"/>
              <w:snapToGrid w:val="0"/>
              <w:spacing w:line="240" w:lineRule="auto"/>
              <w:textAlignment w:val="auto"/>
              <w:rPr>
                <w:color w:val="000000"/>
                <w:kern w:val="0"/>
                <w:sz w:val="21"/>
                <w:szCs w:val="21"/>
              </w:rPr>
            </w:pPr>
            <w:r>
              <w:rPr>
                <w:rFonts w:hint="eastAsia"/>
                <w:color w:val="000000"/>
                <w:kern w:val="0"/>
                <w:sz w:val="21"/>
                <w:szCs w:val="21"/>
              </w:rPr>
              <w:t>n）完成重大危险源安全监测监控有关数据接入危险化学品安全生产风险监测预警系统，提交危险化学品重大危险源备案证明文件；</w:t>
            </w:r>
          </w:p>
        </w:tc>
        <w:tc>
          <w:tcPr>
            <w:tcW w:w="1760" w:type="dxa"/>
            <w:vMerge w:val="continue"/>
            <w:tcBorders>
              <w:left w:val="single" w:color="auto" w:sz="4" w:space="0"/>
              <w:right w:val="single" w:color="auto" w:sz="4" w:space="0"/>
            </w:tcBorders>
            <w:noWrap w:val="0"/>
            <w:vAlign w:val="center"/>
          </w:tcPr>
          <w:p w14:paraId="0E311FE4">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p>
        </w:tc>
        <w:tc>
          <w:tcPr>
            <w:tcW w:w="2604" w:type="dxa"/>
            <w:noWrap w:val="0"/>
            <w:vAlign w:val="center"/>
          </w:tcPr>
          <w:p w14:paraId="53D499C7">
            <w:pPr>
              <w:keepNext w:val="0"/>
              <w:keepLines w:val="0"/>
              <w:pageBreakBefore w:val="0"/>
              <w:widowControl w:val="0"/>
              <w:kinsoku/>
              <w:wordWrap/>
              <w:overflowPunct/>
              <w:topLinePunct w:val="0"/>
              <w:autoSpaceDE/>
              <w:autoSpaceDN/>
              <w:bidi w:val="0"/>
              <w:snapToGrid w:val="0"/>
              <w:spacing w:line="240" w:lineRule="auto"/>
              <w:textAlignment w:val="auto"/>
              <w:rPr>
                <w:color w:val="000000"/>
                <w:kern w:val="0"/>
                <w:sz w:val="21"/>
                <w:szCs w:val="21"/>
              </w:rPr>
            </w:pPr>
            <w:r>
              <w:rPr>
                <w:rFonts w:hint="eastAsia"/>
                <w:color w:val="000000"/>
                <w:kern w:val="0"/>
                <w:sz w:val="21"/>
                <w:szCs w:val="21"/>
                <w:lang w:val="en-US" w:eastAsia="zh-CN"/>
              </w:rPr>
              <w:t>本项目不涉及重大危险源</w:t>
            </w:r>
            <w:r>
              <w:rPr>
                <w:rFonts w:hint="eastAsia"/>
                <w:color w:val="000000"/>
                <w:kern w:val="0"/>
                <w:sz w:val="21"/>
                <w:szCs w:val="21"/>
              </w:rPr>
              <w:t>。</w:t>
            </w:r>
          </w:p>
        </w:tc>
        <w:tc>
          <w:tcPr>
            <w:tcW w:w="656" w:type="dxa"/>
            <w:noWrap w:val="0"/>
            <w:vAlign w:val="center"/>
          </w:tcPr>
          <w:p w14:paraId="5D30D744">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color w:val="000000"/>
                <w:sz w:val="21"/>
                <w:szCs w:val="21"/>
              </w:rPr>
            </w:pPr>
            <w:r>
              <w:rPr>
                <w:rFonts w:hint="eastAsia"/>
                <w:color w:val="000000"/>
                <w:sz w:val="21"/>
                <w:szCs w:val="21"/>
              </w:rPr>
              <w:t>不涉及</w:t>
            </w:r>
          </w:p>
        </w:tc>
      </w:tr>
      <w:tr w14:paraId="2E244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6" w:type="dxa"/>
            <w:noWrap w:val="0"/>
            <w:vAlign w:val="center"/>
          </w:tcPr>
          <w:p w14:paraId="7F6757F4">
            <w:pPr>
              <w:keepNext w:val="0"/>
              <w:keepLines w:val="0"/>
              <w:pageBreakBefore w:val="0"/>
              <w:widowControl w:val="0"/>
              <w:numPr>
                <w:ilvl w:val="0"/>
                <w:numId w:val="46"/>
              </w:numPr>
              <w:tabs>
                <w:tab w:val="left" w:pos="352"/>
                <w:tab w:val="left" w:pos="759"/>
                <w:tab w:val="left" w:pos="825"/>
              </w:tabs>
              <w:kinsoku/>
              <w:wordWrap/>
              <w:overflowPunct/>
              <w:topLinePunct w:val="0"/>
              <w:autoSpaceDE/>
              <w:autoSpaceDN/>
              <w:bidi w:val="0"/>
              <w:adjustRightInd w:val="0"/>
              <w:snapToGrid w:val="0"/>
              <w:spacing w:line="240" w:lineRule="auto"/>
              <w:ind w:left="0" w:firstLine="0"/>
              <w:jc w:val="center"/>
              <w:textAlignment w:val="auto"/>
              <w:rPr>
                <w:smallCaps/>
                <w:color w:val="000000"/>
                <w:sz w:val="21"/>
                <w:szCs w:val="21"/>
              </w:rPr>
            </w:pPr>
          </w:p>
        </w:tc>
        <w:tc>
          <w:tcPr>
            <w:tcW w:w="3715" w:type="dxa"/>
            <w:noWrap w:val="0"/>
            <w:vAlign w:val="center"/>
          </w:tcPr>
          <w:p w14:paraId="3FCFDECC">
            <w:pPr>
              <w:keepNext w:val="0"/>
              <w:keepLines w:val="0"/>
              <w:pageBreakBefore w:val="0"/>
              <w:widowControl w:val="0"/>
              <w:kinsoku/>
              <w:wordWrap/>
              <w:overflowPunct/>
              <w:topLinePunct w:val="0"/>
              <w:autoSpaceDE/>
              <w:autoSpaceDN/>
              <w:bidi w:val="0"/>
              <w:snapToGrid w:val="0"/>
              <w:spacing w:line="240" w:lineRule="auto"/>
              <w:textAlignment w:val="auto"/>
              <w:rPr>
                <w:color w:val="000000"/>
                <w:kern w:val="0"/>
                <w:sz w:val="21"/>
                <w:szCs w:val="21"/>
              </w:rPr>
            </w:pPr>
            <w:r>
              <w:rPr>
                <w:rFonts w:hint="eastAsia"/>
                <w:color w:val="000000"/>
                <w:kern w:val="0"/>
                <w:sz w:val="21"/>
                <w:szCs w:val="21"/>
              </w:rPr>
              <w:t>o）完成化学品登记和应急预案备案。</w:t>
            </w:r>
          </w:p>
        </w:tc>
        <w:tc>
          <w:tcPr>
            <w:tcW w:w="1760" w:type="dxa"/>
            <w:vMerge w:val="continue"/>
            <w:tcBorders>
              <w:left w:val="single" w:color="auto" w:sz="4" w:space="0"/>
              <w:right w:val="single" w:color="auto" w:sz="4" w:space="0"/>
            </w:tcBorders>
            <w:noWrap w:val="0"/>
            <w:vAlign w:val="center"/>
          </w:tcPr>
          <w:p w14:paraId="4A0F9044">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p>
        </w:tc>
        <w:tc>
          <w:tcPr>
            <w:tcW w:w="2604" w:type="dxa"/>
            <w:noWrap w:val="0"/>
            <w:vAlign w:val="center"/>
          </w:tcPr>
          <w:p w14:paraId="6FB75BFD">
            <w:pPr>
              <w:keepNext w:val="0"/>
              <w:keepLines w:val="0"/>
              <w:pageBreakBefore w:val="0"/>
              <w:widowControl w:val="0"/>
              <w:kinsoku/>
              <w:wordWrap/>
              <w:overflowPunct/>
              <w:topLinePunct w:val="0"/>
              <w:autoSpaceDE/>
              <w:autoSpaceDN/>
              <w:bidi w:val="0"/>
              <w:snapToGrid w:val="0"/>
              <w:spacing w:line="240" w:lineRule="auto"/>
              <w:textAlignment w:val="auto"/>
              <w:rPr>
                <w:color w:val="000000"/>
                <w:kern w:val="0"/>
                <w:sz w:val="21"/>
                <w:szCs w:val="21"/>
              </w:rPr>
            </w:pPr>
            <w:r>
              <w:rPr>
                <w:rFonts w:hint="eastAsia"/>
                <w:color w:val="000000"/>
                <w:kern w:val="0"/>
                <w:sz w:val="21"/>
                <w:szCs w:val="21"/>
              </w:rPr>
              <w:t>该公司已完成化学品登记和应急预案备案。</w:t>
            </w:r>
          </w:p>
        </w:tc>
        <w:tc>
          <w:tcPr>
            <w:tcW w:w="656" w:type="dxa"/>
            <w:noWrap w:val="0"/>
            <w:vAlign w:val="center"/>
          </w:tcPr>
          <w:p w14:paraId="5755A579">
            <w:pPr>
              <w:keepNext w:val="0"/>
              <w:keepLines w:val="0"/>
              <w:pageBreakBefore w:val="0"/>
              <w:widowControl w:val="0"/>
              <w:kinsoku/>
              <w:wordWrap/>
              <w:overflowPunct/>
              <w:topLinePunct w:val="0"/>
              <w:autoSpaceDE/>
              <w:autoSpaceDN/>
              <w:bidi w:val="0"/>
              <w:snapToGrid w:val="0"/>
              <w:spacing w:line="240" w:lineRule="auto"/>
              <w:jc w:val="center"/>
              <w:textAlignment w:val="auto"/>
              <w:rPr>
                <w:color w:val="000000"/>
                <w:sz w:val="21"/>
                <w:szCs w:val="21"/>
              </w:rPr>
            </w:pPr>
            <w:r>
              <w:rPr>
                <w:color w:val="000000"/>
                <w:sz w:val="21"/>
                <w:szCs w:val="21"/>
              </w:rPr>
              <w:t>符合</w:t>
            </w:r>
          </w:p>
        </w:tc>
      </w:tr>
      <w:tr w14:paraId="721B8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6" w:type="dxa"/>
            <w:noWrap w:val="0"/>
            <w:vAlign w:val="center"/>
          </w:tcPr>
          <w:p w14:paraId="0FD829F0">
            <w:pPr>
              <w:keepNext w:val="0"/>
              <w:keepLines w:val="0"/>
              <w:pageBreakBefore w:val="0"/>
              <w:widowControl w:val="0"/>
              <w:numPr>
                <w:ilvl w:val="0"/>
                <w:numId w:val="46"/>
              </w:numPr>
              <w:tabs>
                <w:tab w:val="left" w:pos="352"/>
                <w:tab w:val="left" w:pos="759"/>
                <w:tab w:val="left" w:pos="825"/>
              </w:tabs>
              <w:kinsoku/>
              <w:wordWrap/>
              <w:overflowPunct/>
              <w:topLinePunct w:val="0"/>
              <w:autoSpaceDE/>
              <w:autoSpaceDN/>
              <w:bidi w:val="0"/>
              <w:adjustRightInd w:val="0"/>
              <w:snapToGrid w:val="0"/>
              <w:spacing w:line="240" w:lineRule="auto"/>
              <w:ind w:left="0" w:firstLine="0"/>
              <w:jc w:val="center"/>
              <w:textAlignment w:val="auto"/>
              <w:rPr>
                <w:smallCaps/>
                <w:color w:val="000000"/>
                <w:sz w:val="21"/>
                <w:szCs w:val="21"/>
              </w:rPr>
            </w:pPr>
          </w:p>
        </w:tc>
        <w:tc>
          <w:tcPr>
            <w:tcW w:w="3715" w:type="dxa"/>
            <w:noWrap w:val="0"/>
            <w:vAlign w:val="center"/>
          </w:tcPr>
          <w:p w14:paraId="1D7BBE27">
            <w:pPr>
              <w:keepNext w:val="0"/>
              <w:keepLines w:val="0"/>
              <w:pageBreakBefore w:val="0"/>
              <w:widowControl w:val="0"/>
              <w:kinsoku/>
              <w:wordWrap/>
              <w:overflowPunct/>
              <w:topLinePunct w:val="0"/>
              <w:autoSpaceDE/>
              <w:autoSpaceDN/>
              <w:bidi w:val="0"/>
              <w:snapToGrid w:val="0"/>
              <w:spacing w:line="240" w:lineRule="auto"/>
              <w:textAlignment w:val="auto"/>
              <w:rPr>
                <w:rFonts w:hint="eastAsia" w:eastAsia="宋体"/>
                <w:color w:val="000000"/>
                <w:kern w:val="0"/>
                <w:sz w:val="21"/>
                <w:szCs w:val="21"/>
                <w:lang w:val="en-US" w:eastAsia="zh-CN"/>
              </w:rPr>
            </w:pPr>
            <w:r>
              <w:rPr>
                <w:rFonts w:hint="eastAsia"/>
                <w:color w:val="000000"/>
                <w:kern w:val="0"/>
                <w:sz w:val="21"/>
                <w:szCs w:val="21"/>
              </w:rPr>
              <w:t>承担验收评价的机构在编制建设项目安全验收评价报告过程中，应当全面核查建设项目现场实际与安全设施设计专篇、专业施工图的一致性(包括:总平面布置图、装置设备布置图、工艺流程图&lt;PFD&gt;、带控制点的工艺管道和仪表流程图&lt;PID&gt;、联锁逻辑图、可燃/有毒气体泄漏检测报警仪布置图、火灾自动报警系统图、自动喷水灭火系统图消防水系统图和消防设施布置图、供电系统图等与安全设施设计审查阶段批准图纸是否保持一致)、自动控制系统与设计方案的一致性。安全评价机构对出具的建设项目验收安全评价报告及其评价结论负责</w:t>
            </w:r>
            <w:r>
              <w:rPr>
                <w:rFonts w:hint="eastAsia"/>
                <w:color w:val="000000"/>
                <w:kern w:val="0"/>
                <w:sz w:val="21"/>
                <w:szCs w:val="21"/>
                <w:lang w:eastAsia="zh-CN"/>
              </w:rPr>
              <w:t>。</w:t>
            </w:r>
          </w:p>
        </w:tc>
        <w:tc>
          <w:tcPr>
            <w:tcW w:w="1760" w:type="dxa"/>
            <w:tcBorders>
              <w:left w:val="single" w:color="auto" w:sz="4" w:space="0"/>
              <w:right w:val="single" w:color="auto" w:sz="4" w:space="0"/>
            </w:tcBorders>
            <w:noWrap w:val="0"/>
            <w:vAlign w:val="center"/>
          </w:tcPr>
          <w:p w14:paraId="4224680A">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color w:val="000000"/>
                <w:sz w:val="21"/>
                <w:szCs w:val="21"/>
              </w:rPr>
            </w:pPr>
            <w:r>
              <w:rPr>
                <w:rFonts w:hint="eastAsia"/>
                <w:color w:val="000000"/>
                <w:sz w:val="21"/>
                <w:szCs w:val="21"/>
              </w:rPr>
              <w:t>《关于进一步加强危险化学品生产建设项目安全风险防控工作的通知》（云应急﹝2024﹞43号）</w:t>
            </w:r>
          </w:p>
          <w:p w14:paraId="5383E056">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color w:val="000000"/>
                <w:kern w:val="2"/>
                <w:sz w:val="21"/>
                <w:szCs w:val="21"/>
                <w:lang w:val="en-US" w:eastAsia="zh-CN" w:bidi="ar-SA"/>
              </w:rPr>
            </w:pPr>
            <w:r>
              <w:rPr>
                <w:rFonts w:hint="eastAsia"/>
                <w:color w:val="000000"/>
                <w:sz w:val="21"/>
                <w:szCs w:val="21"/>
              </w:rPr>
              <w:t>（十</w:t>
            </w:r>
            <w:r>
              <w:rPr>
                <w:rFonts w:hint="eastAsia"/>
                <w:color w:val="000000"/>
                <w:sz w:val="21"/>
                <w:szCs w:val="21"/>
                <w:lang w:val="en-US" w:eastAsia="zh-CN"/>
              </w:rPr>
              <w:t>五</w:t>
            </w:r>
            <w:r>
              <w:rPr>
                <w:rFonts w:hint="eastAsia"/>
                <w:color w:val="000000"/>
                <w:sz w:val="21"/>
                <w:szCs w:val="21"/>
              </w:rPr>
              <w:t>）</w:t>
            </w:r>
            <w:r>
              <w:rPr>
                <w:rFonts w:hint="eastAsia"/>
                <w:color w:val="000000"/>
                <w:sz w:val="21"/>
                <w:szCs w:val="21"/>
                <w:lang w:val="en-US" w:eastAsia="zh-CN"/>
              </w:rPr>
              <w:t>严格项目安全验收评价</w:t>
            </w:r>
          </w:p>
        </w:tc>
        <w:tc>
          <w:tcPr>
            <w:tcW w:w="2604" w:type="dxa"/>
            <w:noWrap w:val="0"/>
            <w:vAlign w:val="center"/>
          </w:tcPr>
          <w:p w14:paraId="324B4A6D">
            <w:pPr>
              <w:keepNext w:val="0"/>
              <w:keepLines w:val="0"/>
              <w:pageBreakBefore w:val="0"/>
              <w:widowControl w:val="0"/>
              <w:kinsoku/>
              <w:wordWrap/>
              <w:overflowPunct/>
              <w:topLinePunct w:val="0"/>
              <w:autoSpaceDE/>
              <w:autoSpaceDN/>
              <w:bidi w:val="0"/>
              <w:snapToGrid w:val="0"/>
              <w:spacing w:line="240" w:lineRule="auto"/>
              <w:textAlignment w:val="auto"/>
              <w:rPr>
                <w:rFonts w:hint="default" w:eastAsia="宋体"/>
                <w:color w:val="000000"/>
                <w:kern w:val="0"/>
                <w:sz w:val="21"/>
                <w:szCs w:val="21"/>
                <w:lang w:val="en-US" w:eastAsia="zh-CN"/>
              </w:rPr>
            </w:pPr>
            <w:r>
              <w:rPr>
                <w:rFonts w:hint="eastAsia"/>
                <w:color w:val="000000"/>
                <w:kern w:val="0"/>
                <w:sz w:val="21"/>
                <w:szCs w:val="21"/>
                <w:lang w:val="en-US" w:eastAsia="zh-CN"/>
              </w:rPr>
              <w:t>根据本报告“2.5.2设计变更情况”及企业提供的《关于“建设项目现场实际与安全设施设计专篇、专业施工图的一致性”及“自动控制系统与设计方案的一致性”的情况说明》（详见本报告“附件资料”），该项目施工图设计（包括：管廊平面布置图、管廊断面布置图）与安全设施设计审查阶段批准图纸保持一致，最终竣工后的上述竣工图纸与安全设施设计专篇、施工图设计及设计变更内容基本保持一致，不一致的方面均履行了相应变更手续，由设计单位同意、相关单位出具了设计变更说明。</w:t>
            </w:r>
          </w:p>
        </w:tc>
        <w:tc>
          <w:tcPr>
            <w:tcW w:w="656" w:type="dxa"/>
            <w:noWrap w:val="0"/>
            <w:vAlign w:val="center"/>
          </w:tcPr>
          <w:p w14:paraId="478061ED">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eastAsia="宋体"/>
                <w:color w:val="000000"/>
                <w:sz w:val="21"/>
                <w:szCs w:val="21"/>
                <w:lang w:val="en-US" w:eastAsia="zh-CN"/>
              </w:rPr>
            </w:pPr>
            <w:r>
              <w:rPr>
                <w:rFonts w:hint="eastAsia"/>
                <w:color w:val="000000"/>
                <w:sz w:val="21"/>
                <w:szCs w:val="21"/>
                <w:lang w:val="en-US" w:eastAsia="zh-CN"/>
              </w:rPr>
              <w:t>符合</w:t>
            </w:r>
          </w:p>
        </w:tc>
      </w:tr>
      <w:tr w14:paraId="4530F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6" w:type="dxa"/>
            <w:noWrap w:val="0"/>
            <w:vAlign w:val="center"/>
          </w:tcPr>
          <w:p w14:paraId="597F154D">
            <w:pPr>
              <w:keepNext w:val="0"/>
              <w:keepLines w:val="0"/>
              <w:pageBreakBefore w:val="0"/>
              <w:widowControl w:val="0"/>
              <w:numPr>
                <w:ilvl w:val="0"/>
                <w:numId w:val="46"/>
              </w:numPr>
              <w:tabs>
                <w:tab w:val="left" w:pos="352"/>
                <w:tab w:val="left" w:pos="759"/>
                <w:tab w:val="left" w:pos="825"/>
              </w:tabs>
              <w:kinsoku/>
              <w:wordWrap/>
              <w:overflowPunct/>
              <w:topLinePunct w:val="0"/>
              <w:autoSpaceDE/>
              <w:autoSpaceDN/>
              <w:bidi w:val="0"/>
              <w:adjustRightInd w:val="0"/>
              <w:snapToGrid w:val="0"/>
              <w:spacing w:line="240" w:lineRule="auto"/>
              <w:ind w:left="0" w:firstLine="0"/>
              <w:jc w:val="center"/>
              <w:textAlignment w:val="auto"/>
              <w:rPr>
                <w:smallCaps/>
                <w:color w:val="000000"/>
                <w:sz w:val="21"/>
                <w:szCs w:val="21"/>
              </w:rPr>
            </w:pPr>
          </w:p>
        </w:tc>
        <w:tc>
          <w:tcPr>
            <w:tcW w:w="3715" w:type="dxa"/>
            <w:noWrap w:val="0"/>
            <w:vAlign w:val="center"/>
          </w:tcPr>
          <w:p w14:paraId="79161B8F">
            <w:pPr>
              <w:keepNext w:val="0"/>
              <w:keepLines w:val="0"/>
              <w:pageBreakBefore w:val="0"/>
              <w:widowControl w:val="0"/>
              <w:kinsoku/>
              <w:wordWrap/>
              <w:overflowPunct/>
              <w:topLinePunct w:val="0"/>
              <w:autoSpaceDE/>
              <w:autoSpaceDN/>
              <w:bidi w:val="0"/>
              <w:snapToGrid w:val="0"/>
              <w:spacing w:line="240" w:lineRule="auto"/>
              <w:textAlignment w:val="auto"/>
              <w:rPr>
                <w:rFonts w:hint="eastAsia"/>
                <w:color w:val="000000"/>
                <w:kern w:val="0"/>
                <w:sz w:val="21"/>
                <w:szCs w:val="21"/>
                <w:lang w:val="en-US" w:eastAsia="zh-CN" w:bidi="ar-SA"/>
              </w:rPr>
            </w:pPr>
            <w:r>
              <w:rPr>
                <w:rFonts w:hint="eastAsia"/>
                <w:color w:val="000000"/>
                <w:kern w:val="0"/>
                <w:sz w:val="21"/>
                <w:szCs w:val="21"/>
              </w:rPr>
              <w:t>竣工验收时，建设单位应当向专家组提供《指南》10.3竣工验收要求的“竣工验收的条件”中明确的15项材料。</w:t>
            </w:r>
          </w:p>
        </w:tc>
        <w:tc>
          <w:tcPr>
            <w:tcW w:w="1760" w:type="dxa"/>
            <w:tcBorders>
              <w:left w:val="single" w:color="auto" w:sz="4" w:space="0"/>
              <w:right w:val="single" w:color="auto" w:sz="4" w:space="0"/>
            </w:tcBorders>
            <w:noWrap w:val="0"/>
            <w:vAlign w:val="center"/>
          </w:tcPr>
          <w:p w14:paraId="7FE5D0C0">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color w:val="000000"/>
                <w:sz w:val="21"/>
                <w:szCs w:val="21"/>
              </w:rPr>
            </w:pPr>
            <w:r>
              <w:rPr>
                <w:rFonts w:hint="eastAsia"/>
                <w:color w:val="000000"/>
                <w:sz w:val="21"/>
                <w:szCs w:val="21"/>
              </w:rPr>
              <w:t>《关于进一步加强危险化学品生产建设项目安全风险防控工作的通知》（云应急﹝2024﹞43号）</w:t>
            </w:r>
          </w:p>
          <w:p w14:paraId="55D62EA1">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color w:val="000000"/>
                <w:kern w:val="2"/>
                <w:sz w:val="21"/>
                <w:szCs w:val="21"/>
                <w:lang w:val="en-US" w:eastAsia="zh-CN" w:bidi="ar-SA"/>
              </w:rPr>
            </w:pPr>
            <w:r>
              <w:rPr>
                <w:rFonts w:hint="eastAsia"/>
                <w:color w:val="000000"/>
                <w:sz w:val="21"/>
                <w:szCs w:val="21"/>
              </w:rPr>
              <w:t>（十六）落实项目竣工验收要求</w:t>
            </w:r>
          </w:p>
        </w:tc>
        <w:tc>
          <w:tcPr>
            <w:tcW w:w="2604" w:type="dxa"/>
            <w:noWrap w:val="0"/>
            <w:vAlign w:val="center"/>
          </w:tcPr>
          <w:p w14:paraId="1DE43560">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宋体" w:hAnsi="Times New Roman" w:eastAsia="宋体" w:cs="宋体"/>
                <w:color w:val="000000"/>
                <w:kern w:val="0"/>
                <w:sz w:val="21"/>
                <w:szCs w:val="21"/>
                <w:lang w:val="en-US" w:eastAsia="zh-CN"/>
              </w:rPr>
            </w:pPr>
            <w:r>
              <w:rPr>
                <w:rFonts w:hint="eastAsia" w:ascii="宋体" w:hAnsi="Times New Roman" w:eastAsia="宋体" w:cs="宋体"/>
                <w:color w:val="000000"/>
                <w:kern w:val="0"/>
                <w:sz w:val="21"/>
                <w:szCs w:val="21"/>
              </w:rPr>
              <w:t>根据本表上述序号1~15的检查结果，企业已完善相关材料。</w:t>
            </w:r>
          </w:p>
        </w:tc>
        <w:tc>
          <w:tcPr>
            <w:tcW w:w="656" w:type="dxa"/>
            <w:noWrap w:val="0"/>
            <w:vAlign w:val="center"/>
          </w:tcPr>
          <w:p w14:paraId="207E5346">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宋体" w:hAnsi="Times New Roman" w:eastAsia="宋体" w:cs="宋体"/>
                <w:color w:val="000000"/>
                <w:kern w:val="0"/>
                <w:sz w:val="21"/>
                <w:szCs w:val="21"/>
                <w:lang w:val="en-US" w:eastAsia="zh-CN"/>
              </w:rPr>
            </w:pPr>
            <w:r>
              <w:rPr>
                <w:rFonts w:hint="eastAsia"/>
                <w:color w:val="000000"/>
                <w:sz w:val="21"/>
                <w:szCs w:val="21"/>
                <w:lang w:val="en-US" w:eastAsia="zh-CN"/>
              </w:rPr>
              <w:t>符合</w:t>
            </w:r>
          </w:p>
        </w:tc>
      </w:tr>
    </w:tbl>
    <w:p w14:paraId="6B952E11">
      <w:pPr>
        <w:spacing w:line="500" w:lineRule="exact"/>
        <w:ind w:firstLine="560" w:firstLineChars="200"/>
        <w:rPr>
          <w:color w:val="000000"/>
          <w:sz w:val="28"/>
          <w:szCs w:val="28"/>
          <w:lang w:bidi="ar"/>
        </w:rPr>
      </w:pPr>
      <w:r>
        <w:rPr>
          <w:rFonts w:hint="eastAsia"/>
          <w:color w:val="000000"/>
          <w:sz w:val="28"/>
          <w:szCs w:val="28"/>
          <w:lang w:bidi="ar"/>
        </w:rPr>
        <w:t>由上述安全检查结果可知：该项目具备《危险化学品生产建设项目安全风险防控指南》（应急﹝2022﹞52号）、《关于进一步加强危险化学品生产建设项目安全风险防控工作的通知》（云应急﹝2024﹞43号）要求的竣工验收的条件。</w:t>
      </w:r>
    </w:p>
    <w:p w14:paraId="56A887A5">
      <w:pPr>
        <w:tabs>
          <w:tab w:val="left" w:pos="0"/>
        </w:tabs>
        <w:ind w:firstLine="560" w:firstLineChars="200"/>
        <w:jc w:val="left"/>
        <w:rPr>
          <w:rFonts w:ascii="Times New Roman" w:hAnsi="Times New Roman"/>
          <w:bCs/>
          <w:color w:val="auto"/>
          <w:szCs w:val="28"/>
        </w:rPr>
        <w:sectPr>
          <w:headerReference r:id="rId15" w:type="default"/>
          <w:pgSz w:w="11905" w:h="16838"/>
          <w:pgMar w:top="1417" w:right="1134" w:bottom="1134" w:left="1587" w:header="850" w:footer="680" w:gutter="0"/>
          <w:pgNumType w:fmt="decimal"/>
          <w:cols w:space="0" w:num="1"/>
          <w:rtlGutter w:val="0"/>
          <w:docGrid w:type="lines" w:linePitch="386" w:charSpace="0"/>
        </w:sectPr>
      </w:pPr>
    </w:p>
    <w:bookmarkEnd w:id="1111"/>
    <w:bookmarkEnd w:id="1112"/>
    <w:bookmarkEnd w:id="1113"/>
    <w:bookmarkEnd w:id="1114"/>
    <w:bookmarkEnd w:id="1115"/>
    <w:bookmarkEnd w:id="1116"/>
    <w:bookmarkEnd w:id="1117"/>
    <w:p w14:paraId="4C8F88EC">
      <w:pPr>
        <w:pStyle w:val="3"/>
        <w:spacing w:line="500" w:lineRule="exact"/>
        <w:jc w:val="center"/>
        <w:rPr>
          <w:rFonts w:hint="default" w:ascii="黑体" w:hAnsi="黑体" w:eastAsia="黑体" w:cs="黑体"/>
          <w:snapToGrid w:val="0"/>
          <w:color w:val="000000"/>
          <w:kern w:val="0"/>
          <w:sz w:val="44"/>
          <w:szCs w:val="44"/>
        </w:rPr>
      </w:pPr>
      <w:bookmarkStart w:id="1141" w:name="_Toc195159205"/>
      <w:bookmarkStart w:id="1142" w:name="_Toc203402591"/>
      <w:bookmarkStart w:id="1143" w:name="_Toc6592"/>
      <w:bookmarkStart w:id="1144" w:name="_Toc9410621"/>
      <w:bookmarkStart w:id="1145" w:name="_Toc195181200"/>
      <w:bookmarkStart w:id="1146" w:name="_Toc220134455"/>
      <w:bookmarkStart w:id="1147" w:name="_Toc285551734"/>
      <w:bookmarkStart w:id="1148" w:name="_Toc27868"/>
      <w:bookmarkStart w:id="1149" w:name="_Toc185829560"/>
      <w:bookmarkStart w:id="1150" w:name="_Toc170396341"/>
      <w:bookmarkStart w:id="1151" w:name="_Toc188863909"/>
      <w:bookmarkStart w:id="1152" w:name="_Toc157394704"/>
      <w:r>
        <w:rPr>
          <w:rFonts w:hint="default" w:ascii="黑体" w:hAnsi="黑体" w:eastAsia="黑体" w:cs="黑体"/>
          <w:snapToGrid w:val="0"/>
          <w:color w:val="000000"/>
          <w:kern w:val="0"/>
          <w:sz w:val="44"/>
          <w:szCs w:val="44"/>
        </w:rPr>
        <w:t>附件4</w:t>
      </w:r>
      <w:r>
        <w:rPr>
          <w:rFonts w:hint="eastAsia" w:ascii="黑体" w:hAnsi="黑体" w:eastAsia="黑体" w:cs="黑体"/>
          <w:snapToGrid w:val="0"/>
          <w:color w:val="000000"/>
          <w:kern w:val="0"/>
          <w:sz w:val="44"/>
          <w:szCs w:val="44"/>
        </w:rPr>
        <w:t xml:space="preserve"> 安全评价依据</w:t>
      </w:r>
      <w:bookmarkEnd w:id="1141"/>
      <w:bookmarkEnd w:id="1142"/>
      <w:bookmarkEnd w:id="1143"/>
      <w:bookmarkEnd w:id="1144"/>
      <w:bookmarkEnd w:id="1145"/>
      <w:bookmarkEnd w:id="1146"/>
      <w:bookmarkEnd w:id="1147"/>
      <w:bookmarkEnd w:id="1148"/>
    </w:p>
    <w:p w14:paraId="72E03663">
      <w:pPr>
        <w:pStyle w:val="4"/>
        <w:keepNext/>
        <w:keepLines/>
        <w:pageBreakBefore w:val="0"/>
        <w:widowControl w:val="0"/>
        <w:numPr>
          <w:ilvl w:val="1"/>
          <w:numId w:val="0"/>
        </w:numPr>
        <w:kinsoku/>
        <w:wordWrap/>
        <w:overflowPunct/>
        <w:topLinePunct w:val="0"/>
        <w:autoSpaceDE/>
        <w:autoSpaceDN/>
        <w:bidi w:val="0"/>
        <w:adjustRightInd/>
        <w:snapToGrid w:val="0"/>
        <w:spacing w:before="193"/>
        <w:ind w:leftChars="0"/>
        <w:jc w:val="left"/>
        <w:textAlignment w:val="auto"/>
        <w:rPr>
          <w:rFonts w:hint="eastAsia" w:ascii="黑体" w:hAnsi="黑体" w:eastAsia="黑体" w:cs="黑体"/>
          <w:b/>
          <w:bCs w:val="0"/>
          <w:color w:val="auto"/>
          <w:sz w:val="36"/>
          <w:szCs w:val="36"/>
          <w:lang w:val="en-US" w:eastAsia="zh-CN"/>
        </w:rPr>
      </w:pPr>
      <w:bookmarkStart w:id="1153" w:name="_Toc10043"/>
      <w:bookmarkStart w:id="1154" w:name="_Toc469"/>
      <w:bookmarkStart w:id="1155" w:name="_Toc187780644"/>
      <w:r>
        <w:rPr>
          <w:rFonts w:hint="eastAsia" w:ascii="黑体" w:hAnsi="黑体" w:eastAsia="黑体" w:cs="黑体"/>
          <w:b/>
          <w:bCs w:val="0"/>
          <w:color w:val="auto"/>
          <w:sz w:val="36"/>
          <w:szCs w:val="36"/>
          <w:lang w:val="en-US" w:eastAsia="zh-CN"/>
        </w:rPr>
        <w:t>4.1国家法律</w:t>
      </w:r>
      <w:bookmarkEnd w:id="1153"/>
      <w:bookmarkEnd w:id="1154"/>
    </w:p>
    <w:p w14:paraId="56A321AE">
      <w:pPr>
        <w:keepNext w:val="0"/>
        <w:keepLines w:val="0"/>
        <w:pageBreakBefore w:val="0"/>
        <w:widowControl w:val="0"/>
        <w:numPr>
          <w:ilvl w:val="3"/>
          <w:numId w:val="47"/>
        </w:numPr>
        <w:tabs>
          <w:tab w:val="left" w:pos="567"/>
          <w:tab w:val="left" w:pos="720"/>
          <w:tab w:val="left" w:pos="945"/>
        </w:tabs>
        <w:kinsoku/>
        <w:wordWrap/>
        <w:overflowPunct/>
        <w:topLinePunct w:val="0"/>
        <w:autoSpaceDE/>
        <w:autoSpaceDN/>
        <w:bidi w:val="0"/>
        <w:adjustRightInd w:val="0"/>
        <w:snapToGrid w:val="0"/>
        <w:spacing w:line="500" w:lineRule="exact"/>
        <w:ind w:left="0" w:firstLine="560" w:firstLineChars="200"/>
        <w:textAlignment w:val="auto"/>
        <w:rPr>
          <w:rFonts w:hint="default" w:ascii="Times New Roman" w:hAnsi="Times New Roman" w:cs="Times New Roman"/>
          <w:color w:val="auto"/>
          <w:kern w:val="0"/>
          <w:sz w:val="28"/>
          <w:szCs w:val="28"/>
        </w:rPr>
      </w:pPr>
      <w:bookmarkStart w:id="1156" w:name="_Toc5827"/>
      <w:r>
        <w:rPr>
          <w:rFonts w:hint="default" w:ascii="Times New Roman" w:hAnsi="Times New Roman" w:cs="Times New Roman"/>
          <w:color w:val="auto"/>
          <w:kern w:val="0"/>
          <w:sz w:val="28"/>
          <w:szCs w:val="28"/>
        </w:rPr>
        <w:t>《中华人民共和国安全生产法》（中华人民共和国主席令第88号，自2021年9月1日起施行）</w:t>
      </w:r>
    </w:p>
    <w:p w14:paraId="7DE90230">
      <w:pPr>
        <w:keepNext w:val="0"/>
        <w:keepLines w:val="0"/>
        <w:pageBreakBefore w:val="0"/>
        <w:widowControl w:val="0"/>
        <w:numPr>
          <w:ilvl w:val="3"/>
          <w:numId w:val="47"/>
        </w:numPr>
        <w:tabs>
          <w:tab w:val="left" w:pos="567"/>
          <w:tab w:val="left" w:pos="720"/>
          <w:tab w:val="left" w:pos="945"/>
        </w:tabs>
        <w:kinsoku/>
        <w:wordWrap/>
        <w:overflowPunct/>
        <w:topLinePunct w:val="0"/>
        <w:autoSpaceDE/>
        <w:autoSpaceDN/>
        <w:bidi w:val="0"/>
        <w:adjustRightInd w:val="0"/>
        <w:snapToGrid w:val="0"/>
        <w:spacing w:line="500" w:lineRule="exact"/>
        <w:ind w:left="0" w:firstLine="560" w:firstLineChars="200"/>
        <w:textAlignment w:val="auto"/>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《中华人民共和国劳动合同法》（中华人民共和国主席令第73号，2013年7月1日施行）</w:t>
      </w:r>
    </w:p>
    <w:p w14:paraId="2E6C7ABA">
      <w:pPr>
        <w:keepNext w:val="0"/>
        <w:keepLines w:val="0"/>
        <w:pageBreakBefore w:val="0"/>
        <w:widowControl w:val="0"/>
        <w:numPr>
          <w:ilvl w:val="3"/>
          <w:numId w:val="47"/>
        </w:numPr>
        <w:tabs>
          <w:tab w:val="left" w:pos="567"/>
          <w:tab w:val="left" w:pos="720"/>
          <w:tab w:val="left" w:pos="945"/>
        </w:tabs>
        <w:kinsoku/>
        <w:wordWrap/>
        <w:overflowPunct/>
        <w:topLinePunct w:val="0"/>
        <w:autoSpaceDE/>
        <w:autoSpaceDN/>
        <w:bidi w:val="0"/>
        <w:adjustRightInd w:val="0"/>
        <w:snapToGrid w:val="0"/>
        <w:spacing w:line="500" w:lineRule="exact"/>
        <w:ind w:left="0" w:firstLine="560" w:firstLineChars="200"/>
        <w:textAlignment w:val="auto"/>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《中华人民共和国特种设备安全法》（中华人民共和国主席令第4号，自2014年1月1日起施行）</w:t>
      </w:r>
    </w:p>
    <w:p w14:paraId="4B779D87">
      <w:pPr>
        <w:keepNext w:val="0"/>
        <w:keepLines w:val="0"/>
        <w:pageBreakBefore w:val="0"/>
        <w:widowControl w:val="0"/>
        <w:numPr>
          <w:ilvl w:val="3"/>
          <w:numId w:val="47"/>
        </w:numPr>
        <w:tabs>
          <w:tab w:val="left" w:pos="567"/>
          <w:tab w:val="left" w:pos="720"/>
          <w:tab w:val="left" w:pos="945"/>
        </w:tabs>
        <w:kinsoku/>
        <w:wordWrap/>
        <w:overflowPunct/>
        <w:topLinePunct w:val="0"/>
        <w:autoSpaceDE/>
        <w:autoSpaceDN/>
        <w:bidi w:val="0"/>
        <w:adjustRightInd w:val="0"/>
        <w:snapToGrid w:val="0"/>
        <w:spacing w:line="500" w:lineRule="exact"/>
        <w:ind w:left="0" w:firstLine="560" w:firstLineChars="200"/>
        <w:textAlignment w:val="auto"/>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《中华人民共和国环境保护法》（中华人民共和国主席令第22号，自2015年1月1日起施行）</w:t>
      </w:r>
    </w:p>
    <w:p w14:paraId="022CA6D2">
      <w:pPr>
        <w:keepNext w:val="0"/>
        <w:keepLines w:val="0"/>
        <w:pageBreakBefore w:val="0"/>
        <w:widowControl w:val="0"/>
        <w:numPr>
          <w:ilvl w:val="3"/>
          <w:numId w:val="47"/>
        </w:numPr>
        <w:tabs>
          <w:tab w:val="left" w:pos="567"/>
          <w:tab w:val="left" w:pos="720"/>
          <w:tab w:val="left" w:pos="945"/>
        </w:tabs>
        <w:kinsoku/>
        <w:wordWrap/>
        <w:overflowPunct/>
        <w:topLinePunct w:val="0"/>
        <w:autoSpaceDE/>
        <w:autoSpaceDN/>
        <w:bidi w:val="0"/>
        <w:adjustRightInd w:val="0"/>
        <w:snapToGrid w:val="0"/>
        <w:spacing w:line="500" w:lineRule="exact"/>
        <w:ind w:left="0" w:firstLine="560" w:firstLineChars="200"/>
        <w:textAlignment w:val="auto"/>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《中华人民共和国大气污染防治法》（中华人民共和国主席令第31号，自2018年10月26日起施行）</w:t>
      </w:r>
    </w:p>
    <w:p w14:paraId="10C637A9">
      <w:pPr>
        <w:keepNext w:val="0"/>
        <w:keepLines w:val="0"/>
        <w:pageBreakBefore w:val="0"/>
        <w:widowControl w:val="0"/>
        <w:numPr>
          <w:ilvl w:val="3"/>
          <w:numId w:val="47"/>
        </w:numPr>
        <w:tabs>
          <w:tab w:val="left" w:pos="567"/>
          <w:tab w:val="left" w:pos="720"/>
          <w:tab w:val="left" w:pos="945"/>
        </w:tabs>
        <w:kinsoku/>
        <w:wordWrap/>
        <w:overflowPunct/>
        <w:topLinePunct w:val="0"/>
        <w:autoSpaceDE/>
        <w:autoSpaceDN/>
        <w:bidi w:val="0"/>
        <w:adjustRightInd w:val="0"/>
        <w:snapToGrid w:val="0"/>
        <w:spacing w:line="500" w:lineRule="exact"/>
        <w:ind w:left="0" w:firstLine="560" w:firstLineChars="200"/>
        <w:textAlignment w:val="auto"/>
        <w:rPr>
          <w:rFonts w:hint="eastAsia" w:ascii="Times New Roman" w:hAnsi="Times New Roman" w:eastAsia="宋体" w:cs="Times New Roman"/>
          <w:color w:val="auto"/>
          <w:kern w:val="0"/>
          <w:sz w:val="28"/>
          <w:szCs w:val="28"/>
        </w:rPr>
      </w:pPr>
      <w:r>
        <w:rPr>
          <w:rFonts w:hint="eastAsia" w:ascii="Times New Roman" w:hAnsi="Times New Roman" w:eastAsia="宋体" w:cs="Times New Roman"/>
          <w:color w:val="auto"/>
          <w:kern w:val="0"/>
          <w:sz w:val="28"/>
          <w:szCs w:val="28"/>
        </w:rPr>
        <w:t>《中华人民共和国职业病防治法》（中华人民共和国主席令[2018]第二十四号，根据2018年12月29日第十三届全国人民代表大会常务委员会第七次会议《关于修改等七部法律的决定》第四次修正，2018年12月29日起施行）</w:t>
      </w:r>
    </w:p>
    <w:p w14:paraId="17DDEC33">
      <w:pPr>
        <w:keepNext w:val="0"/>
        <w:keepLines w:val="0"/>
        <w:pageBreakBefore w:val="0"/>
        <w:widowControl w:val="0"/>
        <w:numPr>
          <w:ilvl w:val="3"/>
          <w:numId w:val="47"/>
        </w:numPr>
        <w:tabs>
          <w:tab w:val="left" w:pos="567"/>
          <w:tab w:val="left" w:pos="720"/>
          <w:tab w:val="left" w:pos="945"/>
        </w:tabs>
        <w:kinsoku/>
        <w:wordWrap/>
        <w:overflowPunct/>
        <w:topLinePunct w:val="0"/>
        <w:autoSpaceDE/>
        <w:autoSpaceDN/>
        <w:bidi w:val="0"/>
        <w:adjustRightInd w:val="0"/>
        <w:snapToGrid w:val="0"/>
        <w:spacing w:line="500" w:lineRule="exact"/>
        <w:ind w:left="0" w:firstLine="560" w:firstLineChars="200"/>
        <w:textAlignment w:val="auto"/>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《中华人民共和国劳动法》（</w:t>
      </w:r>
      <w:r>
        <w:rPr>
          <w:rFonts w:hint="eastAsia" w:ascii="Times New Roman" w:hAnsi="Times New Roman" w:eastAsia="宋体" w:cs="Times New Roman"/>
          <w:color w:val="auto"/>
          <w:kern w:val="0"/>
          <w:sz w:val="28"/>
          <w:szCs w:val="28"/>
        </w:rPr>
        <w:t>中华人民共和国主席令第二十八号，根据2018年12月29日第十三届全国人民代表大会常务委员会第七次会议《关于修改〈中华人民共和国劳动法〉等七部法律的决定》第二次修正，2019年1月9日起施行</w:t>
      </w:r>
      <w:r>
        <w:rPr>
          <w:rFonts w:hint="default" w:ascii="Times New Roman" w:hAnsi="Times New Roman" w:eastAsia="宋体" w:cs="Times New Roman"/>
          <w:color w:val="auto"/>
          <w:kern w:val="0"/>
          <w:sz w:val="28"/>
          <w:szCs w:val="28"/>
        </w:rPr>
        <w:t>）</w:t>
      </w:r>
    </w:p>
    <w:p w14:paraId="7519BAA6">
      <w:pPr>
        <w:keepNext w:val="0"/>
        <w:keepLines w:val="0"/>
        <w:pageBreakBefore w:val="0"/>
        <w:widowControl w:val="0"/>
        <w:numPr>
          <w:ilvl w:val="3"/>
          <w:numId w:val="47"/>
        </w:numPr>
        <w:tabs>
          <w:tab w:val="left" w:pos="567"/>
          <w:tab w:val="left" w:pos="720"/>
          <w:tab w:val="left" w:pos="945"/>
        </w:tabs>
        <w:kinsoku/>
        <w:wordWrap/>
        <w:overflowPunct/>
        <w:topLinePunct w:val="0"/>
        <w:autoSpaceDE/>
        <w:autoSpaceDN/>
        <w:bidi w:val="0"/>
        <w:adjustRightInd w:val="0"/>
        <w:snapToGrid w:val="0"/>
        <w:spacing w:line="500" w:lineRule="exact"/>
        <w:ind w:left="0" w:firstLine="560" w:firstLineChars="200"/>
        <w:textAlignment w:val="auto"/>
        <w:rPr>
          <w:rFonts w:hint="default" w:ascii="Times New Roman" w:hAnsi="Times New Roman" w:eastAsia="宋体" w:cs="Times New Roman"/>
          <w:color w:val="auto"/>
          <w:kern w:val="0"/>
          <w:sz w:val="28"/>
          <w:szCs w:val="28"/>
          <w:lang w:val="en-US" w:eastAsia="zh-CN"/>
        </w:rPr>
      </w:pPr>
      <w:r>
        <w:rPr>
          <w:rFonts w:hint="default" w:ascii="Times New Roman" w:hAnsi="Times New Roman" w:eastAsia="宋体" w:cs="Times New Roman"/>
          <w:color w:val="auto"/>
          <w:kern w:val="0"/>
          <w:sz w:val="28"/>
          <w:szCs w:val="28"/>
          <w:lang w:val="en-US" w:eastAsia="zh-CN"/>
        </w:rPr>
        <w:t>《中华人民共和国气象法》（中华人民共和国主席令第九号，2016年修订版）</w:t>
      </w:r>
    </w:p>
    <w:p w14:paraId="06584217">
      <w:pPr>
        <w:keepNext w:val="0"/>
        <w:keepLines w:val="0"/>
        <w:pageBreakBefore w:val="0"/>
        <w:widowControl w:val="0"/>
        <w:numPr>
          <w:ilvl w:val="3"/>
          <w:numId w:val="47"/>
        </w:numPr>
        <w:tabs>
          <w:tab w:val="left" w:pos="567"/>
          <w:tab w:val="left" w:pos="720"/>
          <w:tab w:val="left" w:pos="945"/>
        </w:tabs>
        <w:kinsoku/>
        <w:wordWrap/>
        <w:overflowPunct/>
        <w:topLinePunct w:val="0"/>
        <w:autoSpaceDE/>
        <w:autoSpaceDN/>
        <w:bidi w:val="0"/>
        <w:adjustRightInd w:val="0"/>
        <w:snapToGrid w:val="0"/>
        <w:spacing w:line="500" w:lineRule="exact"/>
        <w:ind w:left="0" w:firstLine="560" w:firstLineChars="200"/>
        <w:textAlignment w:val="auto"/>
        <w:rPr>
          <w:rFonts w:hint="default" w:ascii="Times New Roman" w:hAnsi="Times New Roman" w:eastAsia="宋体" w:cs="Times New Roman"/>
          <w:color w:val="auto"/>
          <w:kern w:val="0"/>
          <w:sz w:val="28"/>
          <w:szCs w:val="28"/>
          <w:lang w:val="sq-AL"/>
        </w:rPr>
      </w:pPr>
      <w:r>
        <w:rPr>
          <w:rFonts w:hint="default" w:ascii="Times New Roman" w:hAnsi="Times New Roman" w:eastAsia="宋体" w:cs="Times New Roman"/>
          <w:color w:val="auto"/>
          <w:kern w:val="0"/>
          <w:sz w:val="28"/>
          <w:szCs w:val="28"/>
        </w:rPr>
        <w:t>《中华人民共和国消防法》（中华人民共和国主席令第81号，2021年4月29日起施行）</w:t>
      </w:r>
    </w:p>
    <w:p w14:paraId="6351591B">
      <w:pPr>
        <w:keepNext w:val="0"/>
        <w:keepLines w:val="0"/>
        <w:pageBreakBefore w:val="0"/>
        <w:widowControl w:val="0"/>
        <w:numPr>
          <w:ilvl w:val="3"/>
          <w:numId w:val="47"/>
        </w:numPr>
        <w:tabs>
          <w:tab w:val="left" w:pos="567"/>
          <w:tab w:val="left" w:pos="720"/>
          <w:tab w:val="left" w:pos="945"/>
        </w:tabs>
        <w:kinsoku/>
        <w:wordWrap/>
        <w:overflowPunct/>
        <w:topLinePunct w:val="0"/>
        <w:autoSpaceDE/>
        <w:autoSpaceDN/>
        <w:bidi w:val="0"/>
        <w:adjustRightInd w:val="0"/>
        <w:snapToGrid w:val="0"/>
        <w:spacing w:line="500" w:lineRule="exact"/>
        <w:ind w:left="0" w:firstLine="560" w:firstLineChars="200"/>
        <w:textAlignment w:val="auto"/>
        <w:rPr>
          <w:rFonts w:hint="default" w:ascii="Times New Roman" w:hAnsi="Times New Roman" w:cs="Times New Roman"/>
          <w:snapToGrid w:val="0"/>
          <w:color w:val="auto"/>
          <w:sz w:val="30"/>
          <w:szCs w:val="30"/>
          <w:lang w:val="sq-AL"/>
        </w:rPr>
      </w:pPr>
      <w:r>
        <w:rPr>
          <w:rFonts w:hint="default" w:ascii="Times New Roman" w:hAnsi="Times New Roman" w:cs="Times New Roman"/>
          <w:color w:val="auto"/>
          <w:kern w:val="0"/>
          <w:sz w:val="28"/>
          <w:szCs w:val="28"/>
        </w:rPr>
        <w:t>《中华人民共和国突发事件应对法》（中华人民共和国主席令第</w:t>
      </w:r>
      <w:r>
        <w:rPr>
          <w:rFonts w:hint="default" w:ascii="Times New Roman" w:hAnsi="Times New Roman" w:cs="Times New Roman"/>
          <w:color w:val="auto"/>
          <w:kern w:val="0"/>
          <w:sz w:val="28"/>
          <w:szCs w:val="28"/>
          <w:lang w:val="en-US" w:eastAsia="zh-CN"/>
        </w:rPr>
        <w:t>25</w:t>
      </w:r>
      <w:r>
        <w:rPr>
          <w:rFonts w:hint="default" w:ascii="Times New Roman" w:hAnsi="Times New Roman" w:cs="Times New Roman"/>
          <w:color w:val="auto"/>
          <w:kern w:val="0"/>
          <w:sz w:val="28"/>
          <w:szCs w:val="28"/>
        </w:rPr>
        <w:t>号，20</w:t>
      </w:r>
      <w:r>
        <w:rPr>
          <w:rFonts w:hint="default" w:ascii="Times New Roman" w:hAnsi="Times New Roman" w:cs="Times New Roman"/>
          <w:color w:val="auto"/>
          <w:kern w:val="0"/>
          <w:sz w:val="28"/>
          <w:szCs w:val="28"/>
          <w:lang w:val="en-US" w:eastAsia="zh-CN"/>
        </w:rPr>
        <w:t>24</w:t>
      </w:r>
      <w:r>
        <w:rPr>
          <w:rFonts w:hint="default" w:ascii="Times New Roman" w:hAnsi="Times New Roman" w:cs="Times New Roman"/>
          <w:color w:val="auto"/>
          <w:kern w:val="0"/>
          <w:sz w:val="28"/>
          <w:szCs w:val="28"/>
        </w:rPr>
        <w:t>年11月1日起施行）</w:t>
      </w:r>
    </w:p>
    <w:p w14:paraId="466C0489">
      <w:pPr>
        <w:pStyle w:val="4"/>
        <w:keepNext/>
        <w:keepLines/>
        <w:pageBreakBefore w:val="0"/>
        <w:widowControl w:val="0"/>
        <w:numPr>
          <w:ilvl w:val="1"/>
          <w:numId w:val="0"/>
        </w:numPr>
        <w:kinsoku/>
        <w:wordWrap/>
        <w:overflowPunct/>
        <w:topLinePunct w:val="0"/>
        <w:autoSpaceDE/>
        <w:autoSpaceDN/>
        <w:bidi w:val="0"/>
        <w:adjustRightInd/>
        <w:snapToGrid w:val="0"/>
        <w:spacing w:before="193"/>
        <w:ind w:leftChars="0"/>
        <w:jc w:val="left"/>
        <w:textAlignment w:val="auto"/>
        <w:rPr>
          <w:rFonts w:hint="eastAsia" w:ascii="黑体" w:hAnsi="黑体" w:eastAsia="黑体" w:cs="黑体"/>
          <w:b/>
          <w:bCs w:val="0"/>
          <w:color w:val="auto"/>
          <w:sz w:val="36"/>
          <w:szCs w:val="36"/>
          <w:lang w:val="en-US" w:eastAsia="zh-CN"/>
        </w:rPr>
      </w:pPr>
      <w:bookmarkStart w:id="1157" w:name="_Toc27911"/>
      <w:r>
        <w:rPr>
          <w:rFonts w:hint="eastAsia" w:ascii="黑体" w:hAnsi="黑体" w:eastAsia="黑体" w:cs="黑体"/>
          <w:b/>
          <w:bCs w:val="0"/>
          <w:color w:val="auto"/>
          <w:sz w:val="36"/>
          <w:szCs w:val="36"/>
          <w:lang w:val="en-US" w:eastAsia="zh-CN"/>
        </w:rPr>
        <w:t>4.2 行政法规</w:t>
      </w:r>
      <w:bookmarkEnd w:id="1156"/>
      <w:bookmarkEnd w:id="1157"/>
    </w:p>
    <w:p w14:paraId="7F7F6248">
      <w:pPr>
        <w:keepNext w:val="0"/>
        <w:keepLines w:val="0"/>
        <w:pageBreakBefore w:val="0"/>
        <w:widowControl w:val="0"/>
        <w:numPr>
          <w:ilvl w:val="3"/>
          <w:numId w:val="48"/>
        </w:numPr>
        <w:tabs>
          <w:tab w:val="left" w:pos="567"/>
          <w:tab w:val="left" w:pos="720"/>
          <w:tab w:val="left" w:pos="945"/>
        </w:tabs>
        <w:kinsoku/>
        <w:wordWrap/>
        <w:overflowPunct/>
        <w:topLinePunct w:val="0"/>
        <w:autoSpaceDE/>
        <w:autoSpaceDN/>
        <w:bidi w:val="0"/>
        <w:adjustRightInd w:val="0"/>
        <w:snapToGrid w:val="0"/>
        <w:spacing w:line="500" w:lineRule="exact"/>
        <w:ind w:left="0" w:firstLine="560" w:firstLineChars="200"/>
        <w:textAlignment w:val="auto"/>
        <w:rPr>
          <w:rFonts w:hint="default" w:ascii="Times New Roman" w:hAnsi="Times New Roman" w:eastAsia="宋体" w:cs="Times New Roman"/>
          <w:color w:val="auto"/>
          <w:kern w:val="0"/>
          <w:sz w:val="28"/>
          <w:szCs w:val="28"/>
        </w:rPr>
      </w:pPr>
      <w:bookmarkStart w:id="1158" w:name="_Toc11484"/>
      <w:r>
        <w:rPr>
          <w:rFonts w:hint="default" w:ascii="Times New Roman" w:hAnsi="Times New Roman" w:eastAsia="宋体" w:cs="Times New Roman"/>
          <w:color w:val="auto"/>
          <w:kern w:val="0"/>
          <w:sz w:val="28"/>
          <w:szCs w:val="28"/>
        </w:rPr>
        <w:t>《建设工程安全生产管理条例》（中华人民共和国国务院令第393号，自2004年2月1日起施行）</w:t>
      </w:r>
    </w:p>
    <w:p w14:paraId="05348FB2">
      <w:pPr>
        <w:keepNext w:val="0"/>
        <w:keepLines w:val="0"/>
        <w:pageBreakBefore w:val="0"/>
        <w:widowControl w:val="0"/>
        <w:numPr>
          <w:ilvl w:val="3"/>
          <w:numId w:val="48"/>
        </w:numPr>
        <w:tabs>
          <w:tab w:val="left" w:pos="567"/>
          <w:tab w:val="left" w:pos="720"/>
          <w:tab w:val="left" w:pos="945"/>
        </w:tabs>
        <w:kinsoku/>
        <w:wordWrap/>
        <w:overflowPunct/>
        <w:topLinePunct w:val="0"/>
        <w:autoSpaceDE/>
        <w:autoSpaceDN/>
        <w:bidi w:val="0"/>
        <w:adjustRightInd w:val="0"/>
        <w:snapToGrid w:val="0"/>
        <w:spacing w:line="500" w:lineRule="exact"/>
        <w:ind w:left="0" w:firstLine="560" w:firstLineChars="200"/>
        <w:textAlignment w:val="auto"/>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《地质灾害防治条例》（中华人民共和国国务院令第394号，自2004年3月1日起施行）</w:t>
      </w:r>
    </w:p>
    <w:p w14:paraId="0D57C3F2">
      <w:pPr>
        <w:keepNext w:val="0"/>
        <w:keepLines w:val="0"/>
        <w:pageBreakBefore w:val="0"/>
        <w:widowControl w:val="0"/>
        <w:numPr>
          <w:ilvl w:val="3"/>
          <w:numId w:val="48"/>
        </w:numPr>
        <w:tabs>
          <w:tab w:val="left" w:pos="567"/>
          <w:tab w:val="left" w:pos="720"/>
          <w:tab w:val="left" w:pos="945"/>
        </w:tabs>
        <w:kinsoku/>
        <w:wordWrap/>
        <w:overflowPunct/>
        <w:topLinePunct w:val="0"/>
        <w:autoSpaceDE/>
        <w:autoSpaceDN/>
        <w:bidi w:val="0"/>
        <w:adjustRightInd w:val="0"/>
        <w:snapToGrid w:val="0"/>
        <w:spacing w:line="500" w:lineRule="exact"/>
        <w:ind w:left="0" w:firstLine="560" w:firstLineChars="200"/>
        <w:textAlignment w:val="auto"/>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《生产安全事故报告和调查处理条例》（中华人民共和国国务院493号令，自2007年6月1日起施行）</w:t>
      </w:r>
    </w:p>
    <w:p w14:paraId="59414997">
      <w:pPr>
        <w:keepNext w:val="0"/>
        <w:keepLines w:val="0"/>
        <w:pageBreakBefore w:val="0"/>
        <w:widowControl w:val="0"/>
        <w:numPr>
          <w:ilvl w:val="3"/>
          <w:numId w:val="48"/>
        </w:numPr>
        <w:tabs>
          <w:tab w:val="left" w:pos="567"/>
          <w:tab w:val="left" w:pos="720"/>
          <w:tab w:val="left" w:pos="945"/>
        </w:tabs>
        <w:kinsoku/>
        <w:wordWrap/>
        <w:overflowPunct/>
        <w:topLinePunct w:val="0"/>
        <w:autoSpaceDE/>
        <w:autoSpaceDN/>
        <w:bidi w:val="0"/>
        <w:adjustRightInd w:val="0"/>
        <w:snapToGrid w:val="0"/>
        <w:spacing w:line="500" w:lineRule="exact"/>
        <w:ind w:left="0" w:firstLine="560" w:firstLineChars="200"/>
        <w:textAlignment w:val="auto"/>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《生产安全事故应急条例》（中华人民共和国国务院令第708号，自2019年4月1日起施行）</w:t>
      </w:r>
    </w:p>
    <w:p w14:paraId="1CF9A997">
      <w:pPr>
        <w:keepNext w:val="0"/>
        <w:keepLines w:val="0"/>
        <w:pageBreakBefore w:val="0"/>
        <w:widowControl w:val="0"/>
        <w:numPr>
          <w:ilvl w:val="3"/>
          <w:numId w:val="48"/>
        </w:numPr>
        <w:tabs>
          <w:tab w:val="left" w:pos="567"/>
          <w:tab w:val="left" w:pos="720"/>
          <w:tab w:val="left" w:pos="945"/>
        </w:tabs>
        <w:kinsoku/>
        <w:wordWrap/>
        <w:overflowPunct/>
        <w:topLinePunct w:val="0"/>
        <w:autoSpaceDE/>
        <w:autoSpaceDN/>
        <w:bidi w:val="0"/>
        <w:adjustRightInd w:val="0"/>
        <w:snapToGrid w:val="0"/>
        <w:spacing w:line="500" w:lineRule="exact"/>
        <w:ind w:left="0" w:firstLine="560" w:firstLineChars="200"/>
        <w:textAlignment w:val="auto"/>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《工伤保险条例》（中华人民共和国国务院令375号，根据2010年12月10日《国务院关于修改〈工伤保险条例〉的决定》修正，自2011年1月1日起施行）</w:t>
      </w:r>
    </w:p>
    <w:p w14:paraId="3D25F024">
      <w:pPr>
        <w:keepNext w:val="0"/>
        <w:keepLines w:val="0"/>
        <w:pageBreakBefore w:val="0"/>
        <w:widowControl w:val="0"/>
        <w:numPr>
          <w:ilvl w:val="3"/>
          <w:numId w:val="48"/>
        </w:numPr>
        <w:tabs>
          <w:tab w:val="left" w:pos="567"/>
          <w:tab w:val="left" w:pos="720"/>
          <w:tab w:val="left" w:pos="945"/>
        </w:tabs>
        <w:kinsoku/>
        <w:wordWrap/>
        <w:overflowPunct/>
        <w:topLinePunct w:val="0"/>
        <w:autoSpaceDE/>
        <w:autoSpaceDN/>
        <w:bidi w:val="0"/>
        <w:adjustRightInd w:val="0"/>
        <w:snapToGrid w:val="0"/>
        <w:spacing w:line="500" w:lineRule="exact"/>
        <w:ind w:left="0" w:firstLine="560" w:firstLineChars="200"/>
        <w:textAlignment w:val="auto"/>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《特种设备安全监察条例》（中华人民共和国国务院令第549号，自2009年5月1日起施行）</w:t>
      </w:r>
    </w:p>
    <w:p w14:paraId="68BE4373">
      <w:pPr>
        <w:keepNext w:val="0"/>
        <w:keepLines w:val="0"/>
        <w:pageBreakBefore w:val="0"/>
        <w:widowControl w:val="0"/>
        <w:numPr>
          <w:ilvl w:val="3"/>
          <w:numId w:val="48"/>
        </w:numPr>
        <w:tabs>
          <w:tab w:val="left" w:pos="567"/>
          <w:tab w:val="left" w:pos="720"/>
          <w:tab w:val="left" w:pos="945"/>
        </w:tabs>
        <w:kinsoku/>
        <w:wordWrap/>
        <w:overflowPunct/>
        <w:topLinePunct w:val="0"/>
        <w:autoSpaceDE/>
        <w:autoSpaceDN/>
        <w:bidi w:val="0"/>
        <w:adjustRightInd w:val="0"/>
        <w:snapToGrid w:val="0"/>
        <w:spacing w:line="500" w:lineRule="exact"/>
        <w:ind w:left="0" w:firstLine="560" w:firstLineChars="200"/>
        <w:textAlignment w:val="auto"/>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《危险化学品安全管理条例》（中华人民共和国国务院令第344号发布，中华人民共和国国务院令第591号修订，中华人民共和国国务院令第645号修正，自2013年12月7日起施行）</w:t>
      </w:r>
    </w:p>
    <w:p w14:paraId="504E3AC5">
      <w:pPr>
        <w:keepNext w:val="0"/>
        <w:keepLines w:val="0"/>
        <w:pageBreakBefore w:val="0"/>
        <w:widowControl w:val="0"/>
        <w:numPr>
          <w:ilvl w:val="3"/>
          <w:numId w:val="48"/>
        </w:numPr>
        <w:tabs>
          <w:tab w:val="left" w:pos="567"/>
          <w:tab w:val="left" w:pos="720"/>
          <w:tab w:val="left" w:pos="945"/>
        </w:tabs>
        <w:kinsoku/>
        <w:wordWrap/>
        <w:overflowPunct/>
        <w:topLinePunct w:val="0"/>
        <w:autoSpaceDE/>
        <w:autoSpaceDN/>
        <w:bidi w:val="0"/>
        <w:adjustRightInd w:val="0"/>
        <w:snapToGrid w:val="0"/>
        <w:spacing w:line="500" w:lineRule="exact"/>
        <w:ind w:left="0" w:firstLine="560" w:firstLineChars="200"/>
        <w:textAlignment w:val="auto"/>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《易制毒化学品管理条例》（中华人民共和国国务院令第445号发布，自2018年9月18日起施行）</w:t>
      </w:r>
    </w:p>
    <w:p w14:paraId="61EF6D54">
      <w:pPr>
        <w:keepNext w:val="0"/>
        <w:keepLines w:val="0"/>
        <w:pageBreakBefore w:val="0"/>
        <w:widowControl w:val="0"/>
        <w:numPr>
          <w:ilvl w:val="3"/>
          <w:numId w:val="48"/>
        </w:numPr>
        <w:tabs>
          <w:tab w:val="left" w:pos="567"/>
          <w:tab w:val="left" w:pos="720"/>
          <w:tab w:val="left" w:pos="945"/>
        </w:tabs>
        <w:kinsoku/>
        <w:wordWrap/>
        <w:overflowPunct/>
        <w:topLinePunct w:val="0"/>
        <w:autoSpaceDE/>
        <w:autoSpaceDN/>
        <w:bidi w:val="0"/>
        <w:adjustRightInd w:val="0"/>
        <w:snapToGrid w:val="0"/>
        <w:spacing w:line="500" w:lineRule="exact"/>
        <w:ind w:left="0" w:firstLine="560" w:firstLineChars="200"/>
        <w:textAlignment w:val="auto"/>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《中华人民共和国监控化学品管理条例》（中华人民共和国国务院令第190号公布，中华人民共和国国务院令第588号修订，自2011年1月8日起施行）</w:t>
      </w:r>
    </w:p>
    <w:p w14:paraId="6F6C13A4">
      <w:pPr>
        <w:keepNext w:val="0"/>
        <w:keepLines w:val="0"/>
        <w:pageBreakBefore w:val="0"/>
        <w:widowControl w:val="0"/>
        <w:numPr>
          <w:ilvl w:val="3"/>
          <w:numId w:val="48"/>
        </w:numPr>
        <w:tabs>
          <w:tab w:val="left" w:pos="567"/>
          <w:tab w:val="left" w:pos="720"/>
          <w:tab w:val="left" w:pos="945"/>
        </w:tabs>
        <w:kinsoku/>
        <w:wordWrap/>
        <w:overflowPunct/>
        <w:topLinePunct w:val="0"/>
        <w:autoSpaceDE/>
        <w:autoSpaceDN/>
        <w:bidi w:val="0"/>
        <w:adjustRightInd w:val="0"/>
        <w:snapToGrid w:val="0"/>
        <w:spacing w:line="500" w:lineRule="exact"/>
        <w:ind w:left="0" w:firstLine="560" w:firstLineChars="200"/>
        <w:textAlignment w:val="auto"/>
        <w:rPr>
          <w:rFonts w:hint="eastAsia" w:ascii="Times New Roman" w:hAnsi="Times New Roman" w:eastAsia="宋体" w:cs="Times New Roman"/>
          <w:color w:val="auto"/>
          <w:kern w:val="0"/>
          <w:sz w:val="28"/>
          <w:szCs w:val="28"/>
          <w:lang w:val="en-US" w:eastAsia="zh-CN"/>
        </w:rPr>
      </w:pPr>
      <w:r>
        <w:rPr>
          <w:rFonts w:hint="default" w:ascii="Times New Roman" w:hAnsi="Times New Roman" w:eastAsia="宋体" w:cs="Times New Roman"/>
          <w:color w:val="auto"/>
          <w:kern w:val="0"/>
          <w:sz w:val="28"/>
          <w:szCs w:val="28"/>
          <w:lang w:val="en-US" w:eastAsia="zh-CN"/>
        </w:rPr>
        <w:t>《中华人民共和国劳动合同法实施条例》（中华人民共和国国务院令第</w:t>
      </w:r>
      <w:r>
        <w:rPr>
          <w:rFonts w:hint="default" w:ascii="Times New Roman" w:hAnsi="Times New Roman" w:eastAsia="宋体" w:cs="Times New Roman"/>
          <w:color w:val="auto"/>
          <w:kern w:val="0"/>
          <w:sz w:val="28"/>
          <w:szCs w:val="28"/>
        </w:rPr>
        <w:t>535号，自2008年9月18日起施行）</w:t>
      </w:r>
    </w:p>
    <w:p w14:paraId="67E0614A">
      <w:pPr>
        <w:pStyle w:val="4"/>
        <w:keepNext/>
        <w:keepLines/>
        <w:pageBreakBefore w:val="0"/>
        <w:widowControl w:val="0"/>
        <w:numPr>
          <w:ilvl w:val="1"/>
          <w:numId w:val="0"/>
        </w:numPr>
        <w:kinsoku/>
        <w:wordWrap/>
        <w:overflowPunct/>
        <w:topLinePunct w:val="0"/>
        <w:autoSpaceDE/>
        <w:autoSpaceDN/>
        <w:bidi w:val="0"/>
        <w:adjustRightInd/>
        <w:snapToGrid w:val="0"/>
        <w:spacing w:before="193"/>
        <w:ind w:leftChars="0"/>
        <w:jc w:val="left"/>
        <w:textAlignment w:val="auto"/>
        <w:rPr>
          <w:rFonts w:hint="eastAsia" w:ascii="黑体" w:hAnsi="黑体" w:eastAsia="黑体" w:cs="黑体"/>
          <w:b/>
          <w:bCs w:val="0"/>
          <w:color w:val="auto"/>
          <w:sz w:val="36"/>
          <w:szCs w:val="36"/>
          <w:lang w:val="en-US" w:eastAsia="zh-CN"/>
        </w:rPr>
      </w:pPr>
      <w:bookmarkStart w:id="1159" w:name="_Toc13978"/>
      <w:r>
        <w:rPr>
          <w:rFonts w:hint="eastAsia" w:ascii="黑体" w:hAnsi="黑体" w:eastAsia="黑体" w:cs="黑体"/>
          <w:b/>
          <w:bCs w:val="0"/>
          <w:color w:val="auto"/>
          <w:sz w:val="36"/>
          <w:szCs w:val="36"/>
          <w:lang w:val="en-US" w:eastAsia="zh-CN"/>
        </w:rPr>
        <w:t>4.3部门规章及规范性文件</w:t>
      </w:r>
      <w:bookmarkEnd w:id="1158"/>
      <w:bookmarkEnd w:id="1159"/>
    </w:p>
    <w:p w14:paraId="29370A18">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《危险化学品输送管道安全管理规定》（国家安监总局第43号令，第79号令修订）</w:t>
      </w:r>
    </w:p>
    <w:p w14:paraId="3BFDD84A">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《国家安全监管总局关于加强化工过程安全管理的指导意见》（安监总管三〔2013〕88号）</w:t>
      </w:r>
    </w:p>
    <w:p w14:paraId="4B5A69EB">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《国家安全监管总局关于加强化工企业泄漏管理的指导意见》（安监总管三〔2014〕94号）</w:t>
      </w:r>
    </w:p>
    <w:p w14:paraId="0F84A21A">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《危险化学品建设项目安全监督管理办法》（2012年1月30日国家安全监管总局令第45号公布，根据2015年5月27日国家安全监管总局令第79号修正）</w:t>
      </w:r>
    </w:p>
    <w:p w14:paraId="2AA7782E">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《生产安全事故应急预案管理办法》（2016年6月3日国家安全生产监督管理总局令第88号公布，根据2019年7月11日应急管理部令第2号《应急管理部关于修改&lt;生产安全事故应急预案管理办法&gt;的决定》修正）</w:t>
      </w:r>
    </w:p>
    <w:p w14:paraId="4866FB83">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《国家安全监管总局住房城乡建设部关于进一步加强危险化学品建设项目安全设计管理的通知》（安监总管三〔2013〕76号）</w:t>
      </w:r>
    </w:p>
    <w:p w14:paraId="24671A64">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《国家安全监管总局关于印发&lt;化工（危险化学品）企业安全检查重点指导目录&gt;的通知》（安监总管三〔2015〕113号）</w:t>
      </w:r>
    </w:p>
    <w:p w14:paraId="5336DE20">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《安全生产事故隐患排查治理暂行规定》（国家安全生产监督管理总局令第16号，自2008年2月1日起施行）</w:t>
      </w:r>
    </w:p>
    <w:p w14:paraId="5EAF44A8">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《安全生产培训管理办法》（国家安全生产监督管理总局令第44号，根据2013年8月29日国家安全监管总局令第63号第一次修正，根据2015年5月29日国家安全监管总局令第80号第二次修正）</w:t>
      </w:r>
    </w:p>
    <w:p w14:paraId="4141A4C9">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《特种作业人员安全技术培训考核管理规定》（国家安全生产监督管理总局令第30号，根据2013年8月29日国家安全监管总局令第63号第一次修正，根据2015年5月29日国家安全监管总局令第80号第二次修正）</w:t>
      </w:r>
    </w:p>
    <w:p w14:paraId="6B15CDDB">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w:t>
      </w:r>
      <w:r>
        <w:rPr>
          <w:rFonts w:hint="eastAsia" w:ascii="宋体" w:hAnsi="宋体" w:eastAsia="宋体" w:cs="宋体"/>
          <w:color w:val="auto"/>
          <w:sz w:val="28"/>
          <w:szCs w:val="28"/>
          <w:lang w:val="zh-CN"/>
        </w:rPr>
        <w:t>质检总局关于修订</w:t>
      </w:r>
      <w:r>
        <w:rPr>
          <w:rFonts w:hint="eastAsia" w:ascii="宋体" w:hAnsi="宋体" w:eastAsia="宋体" w:cs="宋体"/>
          <w:color w:val="auto"/>
          <w:sz w:val="28"/>
          <w:szCs w:val="28"/>
        </w:rPr>
        <w:t>&lt;特种设备目录&gt;的公告</w:t>
      </w:r>
      <w:r>
        <w:rPr>
          <w:rFonts w:hint="eastAsia" w:ascii="宋体" w:hAnsi="宋体" w:eastAsia="宋体" w:cs="宋体"/>
          <w:color w:val="auto"/>
          <w:sz w:val="28"/>
          <w:szCs w:val="28"/>
          <w:lang w:val="zh-CN"/>
        </w:rPr>
        <w:t>》（质检总局，</w:t>
      </w:r>
      <w:r>
        <w:rPr>
          <w:rFonts w:hint="eastAsia" w:ascii="宋体" w:hAnsi="宋体" w:eastAsia="宋体" w:cs="宋体"/>
          <w:color w:val="auto"/>
          <w:sz w:val="28"/>
          <w:szCs w:val="28"/>
        </w:rPr>
        <w:t>2014年114号</w:t>
      </w:r>
      <w:r>
        <w:rPr>
          <w:rFonts w:hint="eastAsia" w:ascii="宋体" w:hAnsi="宋体" w:eastAsia="宋体" w:cs="宋体"/>
          <w:color w:val="auto"/>
          <w:sz w:val="28"/>
          <w:szCs w:val="28"/>
          <w:lang w:val="zh-CN"/>
        </w:rPr>
        <w:t>）</w:t>
      </w:r>
    </w:p>
    <w:p w14:paraId="12EA9B17">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《市场监管总局关于特种设备行政许可有关事项的公告》（国家市场监督管理总局公告 2021年第41号）</w:t>
      </w:r>
    </w:p>
    <w:p w14:paraId="0BAF61C4">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《特种设备使用单位落实使用安全主体责任监督管理规定》（2023年4月4日国家市场监督管理总局令第74号公布 自2023年5月5日起施行）</w:t>
      </w:r>
    </w:p>
    <w:p w14:paraId="1ED96522">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《国家质量监督检验检疫总局关于修改&lt;特种设备作业人员监督管理办法&gt;的决定》（国家质量监督检验检疫总局令第140号）</w:t>
      </w:r>
    </w:p>
    <w:p w14:paraId="01671F02">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《特别管控危险化学品目录（第一版）》（应急管理部 工业和信息化部 公安部 交通运输部公告2020年第3号）</w:t>
      </w:r>
    </w:p>
    <w:p w14:paraId="61041D44">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《产业结构调整指导目录》（2024年本）</w:t>
      </w:r>
    </w:p>
    <w:p w14:paraId="44B94CF5">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《国家安全监管总局关于印发淘汰落后安全技术装备目录（2015年第一批）的通知》（安监总科技〔2015〕75号）</w:t>
      </w:r>
    </w:p>
    <w:p w14:paraId="47BA574D">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《国家安全监管总局关于印发淘汰落后安全技术工艺、设备目录（2016年）的通知》（安监总科技〔2016〕137号）</w:t>
      </w:r>
    </w:p>
    <w:p w14:paraId="43FF955D">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《应急管理部办公厅关于印发《淘汰落后危险化学品安全生产工艺技术设备目录（第一批）》的通知》（应急厅〔2020〕38号）</w:t>
      </w:r>
    </w:p>
    <w:p w14:paraId="7367ED6D">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《应急管理部办公厅关于印发&lt;淘汰落后危险化学品安全生产工艺技术设备目录（第二批）&gt;的通知》（应急厅〔2024〕86号）</w:t>
      </w:r>
    </w:p>
    <w:p w14:paraId="243A127A">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《危险化学品目录》（2015年版，根据应急管理部等10部委公告 2022年第8号调整）</w:t>
      </w:r>
    </w:p>
    <w:p w14:paraId="20B7A763">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《国家安全监管总局办公厅关于印发危险化学品目录（2015版）实施指南（试行）的通知》（安监总厅管三〔2015〕80号，根据应急厅函[2022]300号修改）</w:t>
      </w:r>
    </w:p>
    <w:p w14:paraId="28F74C29">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《国家安全监管总局关于公布首批重点监管的危险化学品名录的通知》（安监总管三[2011]95号）</w:t>
      </w:r>
    </w:p>
    <w:p w14:paraId="2204AEF2">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《国家安全监管总局关于公布第二批重点监管危险化学品名录的通知》（安监总管三[2013]12号）</w:t>
      </w:r>
    </w:p>
    <w:p w14:paraId="7B889747">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《国家安全监管总局办公厅关于印发首批重点监管的危险化学品安全措施和应急处置原则的通知》（安监总厅管三〔2011〕142号）</w:t>
      </w:r>
    </w:p>
    <w:p w14:paraId="2D6D7088">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《国家安全监管总局关于公布首批重点监管的危险化工工艺目录的通知》（安监总管三[2009]116号）</w:t>
      </w:r>
    </w:p>
    <w:p w14:paraId="5D2D920D">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《国家安全监管总局关于公布第二批重点监管危险化工工艺目录和调整首批重点监管危险化工工艺中部分典型工艺的通知》（安监总管三〔2013〕3号）</w:t>
      </w:r>
    </w:p>
    <w:p w14:paraId="33714E10">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《易制爆危险化学品名录（2017年版）》</w:t>
      </w:r>
    </w:p>
    <w:p w14:paraId="78A19FA3">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《国务院办公厅关于同意将 N-苯乙基-4-哌啶酮、4-苯胺基-N-苯乙基哌啶、 N-甲基-1-苯基-1-氯-2-丙胺、溴素、1-苯基-1-丙酮列入易制毒化学品品种目录的函》（国办函〔2017〕120号）</w:t>
      </w:r>
    </w:p>
    <w:p w14:paraId="3065C351">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《工作场所职业卫生监督管理规定》（中华人民共和国国家卫生健康委员会令第5号）</w:t>
      </w:r>
    </w:p>
    <w:p w14:paraId="26F26099">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《建设工程消防设计审查验收管理暂行规定》（2020年4月1日住房和城乡建设部令第51号公布，根据2023年8月21日住房和城乡建设部令第58号修正）</w:t>
      </w:r>
    </w:p>
    <w:p w14:paraId="77C8D53E">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《雷电防护装置设计审核和竣工验收规定》（中国气象局令第37号）</w:t>
      </w:r>
    </w:p>
    <w:p w14:paraId="54F612EF">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《关于印发&lt;企业安全生产费用提取和使用管理办法&gt;的通知》（财资〔2022〕136号）</w:t>
      </w:r>
    </w:p>
    <w:p w14:paraId="5415CA2E">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《危险化学品建设项目安全评价细则（试行）》（安监总危化[2007]255号）</w:t>
      </w:r>
    </w:p>
    <w:p w14:paraId="1110F2B0">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《国家安全监管总局办公厅关于修改用人单位劳动防护用品管理规范的通知》（安监总厅安健〔2018〕3号）</w:t>
      </w:r>
    </w:p>
    <w:p w14:paraId="1C25A353">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国家安全监管总局关于印发《化工和危险化学品生产经营单位重大生产安全事故隐患判定标准（试行）》和《烟花爆竹生产经营单位重大生产安全事故隐患判定标准（试行）》的通知》（安监总管三〔2017〕121号）</w:t>
      </w:r>
    </w:p>
    <w:p w14:paraId="2BEFB5FA">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《应急管理部关于全面实施危险化学品企业安全风险研判与承诺公告制度的通知》（应急〔2018〕74号）</w:t>
      </w:r>
    </w:p>
    <w:p w14:paraId="261DC988">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《应急管理部办公厅关于印发&lt;化工园区安全风险智能化管控平台建设指南（试行）&gt;和&lt;危险化学品安全风险智能化管控平台建设指南（试行）&gt;的通知》（应急厅〔2022〕5号）</w:t>
      </w:r>
    </w:p>
    <w:p w14:paraId="3EAD4848">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《“工业互联网+危化安全生产”特殊作业许可与作业过程管理系统建设应用指南（试行）》等三项指南的通知（应急管理部危化监管一司2021年9月10日）</w:t>
      </w:r>
    </w:p>
    <w:p w14:paraId="53C50E6F">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《“工业互联网+危化安全生产”试点建设方案》（应急厅[2021]27号）</w:t>
      </w:r>
    </w:p>
    <w:p w14:paraId="20A96545">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《“工业互联网+危化安全生产”试点建设实施指南》（应急厅[2021]27号）</w:t>
      </w:r>
    </w:p>
    <w:p w14:paraId="0B806507">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《危险化学品企业双重预防机制数字化建设工作指南（试行）》</w:t>
      </w:r>
    </w:p>
    <w:p w14:paraId="0DD79C79">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《“工业互联网+危化安全生产”智能巡检系统建设应用指南（试行）》</w:t>
      </w:r>
    </w:p>
    <w:p w14:paraId="31A0CD5E">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《“工业互联网+危化安全生产”人员定位系统建设应用指南（试行）》</w:t>
      </w:r>
    </w:p>
    <w:p w14:paraId="53BC3381">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《国家安全监管总局 保监会 财政部关于印发《安全生产责任保险实施办法》的通知》（安监总办〔2017〕140号）</w:t>
      </w:r>
    </w:p>
    <w:p w14:paraId="19210E70">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《关于印发&lt;危险化学品生产建设项目安全风险防控指南（试行）&gt;的通知》（应急〔2022〕52号）</w:t>
      </w:r>
    </w:p>
    <w:p w14:paraId="08857DA7">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《国务院安全生产委员会关于印发《危险化学品产业转移项目和化工园区安全风险防控专项整治工作方案》的通知》（安委办〔2021〕7号）</w:t>
      </w:r>
    </w:p>
    <w:p w14:paraId="1AA3730B">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《关于发布《工作场所有害因素职业接触限值 第1部分：化学有害因素》（GB/Z 2.1-2019）第1号修改单的通知》（国卫通[2022]14号）</w:t>
      </w:r>
    </w:p>
    <w:p w14:paraId="3B0BE930">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《危险化学品企业重点人员安全资质达标导则（试行）》（应急危化二〔2021〕1号）</w:t>
      </w:r>
    </w:p>
    <w:p w14:paraId="41D7E3F5">
      <w:pPr>
        <w:pStyle w:val="169"/>
        <w:keepNext w:val="0"/>
        <w:keepLines w:val="0"/>
        <w:pageBreakBefore w:val="0"/>
        <w:widowControl w:val="0"/>
        <w:numPr>
          <w:ilvl w:val="0"/>
          <w:numId w:val="49"/>
        </w:numPr>
        <w:kinsoku/>
        <w:wordWrap/>
        <w:overflowPunct/>
        <w:topLinePunct w:val="0"/>
        <w:autoSpaceDE/>
        <w:autoSpaceDN/>
        <w:bidi w:val="0"/>
        <w:adjustRightInd/>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《危险化学品双重预防机制建设指导手册》（应急管理部化学品登记中心 2021年8月）</w:t>
      </w:r>
    </w:p>
    <w:p w14:paraId="0F63FFD4">
      <w:pPr>
        <w:pStyle w:val="4"/>
        <w:keepNext/>
        <w:keepLines/>
        <w:pageBreakBefore w:val="0"/>
        <w:widowControl w:val="0"/>
        <w:numPr>
          <w:ilvl w:val="1"/>
          <w:numId w:val="0"/>
        </w:numPr>
        <w:kinsoku/>
        <w:wordWrap/>
        <w:overflowPunct/>
        <w:topLinePunct w:val="0"/>
        <w:autoSpaceDE/>
        <w:autoSpaceDN/>
        <w:bidi w:val="0"/>
        <w:adjustRightInd/>
        <w:snapToGrid w:val="0"/>
        <w:spacing w:before="193"/>
        <w:ind w:leftChars="0"/>
        <w:jc w:val="left"/>
        <w:textAlignment w:val="auto"/>
        <w:rPr>
          <w:rFonts w:hint="eastAsia" w:ascii="黑体" w:hAnsi="黑体" w:eastAsia="黑体" w:cs="黑体"/>
          <w:b/>
          <w:bCs w:val="0"/>
          <w:color w:val="auto"/>
          <w:sz w:val="36"/>
          <w:szCs w:val="36"/>
          <w:lang w:val="en-US" w:eastAsia="zh-CN"/>
        </w:rPr>
      </w:pPr>
      <w:bookmarkStart w:id="1160" w:name="_Toc14996"/>
      <w:bookmarkStart w:id="1161" w:name="_Toc6124"/>
      <w:r>
        <w:rPr>
          <w:rFonts w:hint="eastAsia" w:ascii="黑体" w:hAnsi="黑体" w:eastAsia="黑体" w:cs="黑体"/>
          <w:b/>
          <w:bCs w:val="0"/>
          <w:color w:val="auto"/>
          <w:sz w:val="36"/>
          <w:szCs w:val="36"/>
          <w:lang w:val="en-US" w:eastAsia="zh-CN"/>
        </w:rPr>
        <w:t>4.4地方有关法规、文件</w:t>
      </w:r>
      <w:bookmarkEnd w:id="1160"/>
      <w:bookmarkEnd w:id="1161"/>
    </w:p>
    <w:p w14:paraId="6559CF22">
      <w:pPr>
        <w:keepNext w:val="0"/>
        <w:keepLines w:val="0"/>
        <w:pageBreakBefore w:val="0"/>
        <w:widowControl w:val="0"/>
        <w:numPr>
          <w:ilvl w:val="0"/>
          <w:numId w:val="50"/>
        </w:numPr>
        <w:tabs>
          <w:tab w:val="left" w:pos="980"/>
          <w:tab w:val="clear" w:pos="0"/>
        </w:tabs>
        <w:kinsoku/>
        <w:wordWrap/>
        <w:overflowPunct/>
        <w:topLinePunct w:val="0"/>
        <w:autoSpaceDE w:val="0"/>
        <w:autoSpaceDN w:val="0"/>
        <w:bidi w:val="0"/>
        <w:adjustRightInd w:val="0"/>
        <w:snapToGrid w:val="0"/>
        <w:spacing w:line="360" w:lineRule="auto"/>
        <w:ind w:firstLine="560" w:firstLineChars="200"/>
        <w:textAlignment w:val="auto"/>
        <w:rPr>
          <w:color w:val="000000"/>
          <w:sz w:val="28"/>
          <w:szCs w:val="28"/>
          <w:lang w:val="zh-CN"/>
        </w:rPr>
      </w:pPr>
      <w:bookmarkStart w:id="1162" w:name="_Toc30031"/>
      <w:r>
        <w:rPr>
          <w:color w:val="000000"/>
          <w:sz w:val="28"/>
          <w:szCs w:val="28"/>
          <w:lang w:val="zh-CN"/>
        </w:rPr>
        <w:t>《云南省安全生产条例》（云南省第十二届人民代表大会常务委员会公告第63号修订，2018年1月1日起施行）</w:t>
      </w:r>
    </w:p>
    <w:p w14:paraId="35CB39E7">
      <w:pPr>
        <w:keepNext w:val="0"/>
        <w:keepLines w:val="0"/>
        <w:pageBreakBefore w:val="0"/>
        <w:widowControl w:val="0"/>
        <w:numPr>
          <w:ilvl w:val="0"/>
          <w:numId w:val="50"/>
        </w:numPr>
        <w:tabs>
          <w:tab w:val="left" w:pos="980"/>
          <w:tab w:val="clear" w:pos="0"/>
        </w:tabs>
        <w:kinsoku/>
        <w:wordWrap/>
        <w:overflowPunct/>
        <w:topLinePunct w:val="0"/>
        <w:autoSpaceDE w:val="0"/>
        <w:autoSpaceDN w:val="0"/>
        <w:bidi w:val="0"/>
        <w:adjustRightInd w:val="0"/>
        <w:snapToGrid w:val="0"/>
        <w:spacing w:line="360" w:lineRule="auto"/>
        <w:ind w:firstLine="560" w:firstLineChars="200"/>
        <w:textAlignment w:val="auto"/>
        <w:rPr>
          <w:color w:val="000000"/>
          <w:sz w:val="28"/>
          <w:szCs w:val="28"/>
          <w:lang w:val="zh-CN"/>
        </w:rPr>
      </w:pPr>
      <w:r>
        <w:rPr>
          <w:color w:val="000000"/>
          <w:sz w:val="28"/>
          <w:szCs w:val="28"/>
          <w:lang w:val="zh-CN"/>
        </w:rPr>
        <w:t>《云南省消防条例》（2020年11月25日云南省第十三届人民代表大会常务委员会第二十一次会议《云南省人民代表大会常务委员会关于修改部分地方性法规的决定》修正）</w:t>
      </w:r>
    </w:p>
    <w:p w14:paraId="5D7E9454">
      <w:pPr>
        <w:keepNext w:val="0"/>
        <w:keepLines w:val="0"/>
        <w:pageBreakBefore w:val="0"/>
        <w:widowControl w:val="0"/>
        <w:numPr>
          <w:ilvl w:val="0"/>
          <w:numId w:val="50"/>
        </w:numPr>
        <w:tabs>
          <w:tab w:val="left" w:pos="980"/>
          <w:tab w:val="clear" w:pos="0"/>
        </w:tabs>
        <w:kinsoku/>
        <w:wordWrap/>
        <w:overflowPunct/>
        <w:topLinePunct w:val="0"/>
        <w:autoSpaceDE w:val="0"/>
        <w:autoSpaceDN w:val="0"/>
        <w:bidi w:val="0"/>
        <w:adjustRightInd w:val="0"/>
        <w:snapToGrid w:val="0"/>
        <w:spacing w:line="360" w:lineRule="auto"/>
        <w:ind w:firstLine="560" w:firstLineChars="200"/>
        <w:textAlignment w:val="auto"/>
        <w:rPr>
          <w:color w:val="000000"/>
          <w:sz w:val="28"/>
          <w:szCs w:val="28"/>
          <w:lang w:val="zh-CN"/>
        </w:rPr>
      </w:pPr>
      <w:r>
        <w:rPr>
          <w:color w:val="000000"/>
          <w:sz w:val="28"/>
          <w:szCs w:val="28"/>
          <w:lang w:val="zh-CN"/>
        </w:rPr>
        <w:t>《云南省突发事件应对条例》（2014年7月27日云南省第十二届人民代表大会常务委员会第十次会议通过）</w:t>
      </w:r>
    </w:p>
    <w:p w14:paraId="02DF99EB">
      <w:pPr>
        <w:keepNext w:val="0"/>
        <w:keepLines w:val="0"/>
        <w:pageBreakBefore w:val="0"/>
        <w:widowControl w:val="0"/>
        <w:numPr>
          <w:ilvl w:val="0"/>
          <w:numId w:val="50"/>
        </w:numPr>
        <w:tabs>
          <w:tab w:val="left" w:pos="980"/>
          <w:tab w:val="clear" w:pos="0"/>
        </w:tabs>
        <w:kinsoku/>
        <w:wordWrap/>
        <w:overflowPunct/>
        <w:topLinePunct w:val="0"/>
        <w:autoSpaceDE w:val="0"/>
        <w:autoSpaceDN w:val="0"/>
        <w:bidi w:val="0"/>
        <w:adjustRightInd w:val="0"/>
        <w:snapToGrid w:val="0"/>
        <w:spacing w:line="360" w:lineRule="auto"/>
        <w:ind w:firstLine="560" w:firstLineChars="200"/>
        <w:textAlignment w:val="auto"/>
        <w:rPr>
          <w:color w:val="000000"/>
          <w:sz w:val="28"/>
          <w:szCs w:val="28"/>
          <w:lang w:val="zh-CN"/>
        </w:rPr>
      </w:pPr>
      <w:r>
        <w:rPr>
          <w:rFonts w:hint="eastAsia"/>
          <w:color w:val="000000"/>
          <w:sz w:val="28"/>
          <w:szCs w:val="28"/>
          <w:lang w:val="zh-CN"/>
        </w:rPr>
        <w:t>《云南省安全生产委员会办公室关于遏制重特大事故构建双重预防机制的实施意见》（云安办〔2016〕42号）</w:t>
      </w:r>
    </w:p>
    <w:p w14:paraId="7BDD4278">
      <w:pPr>
        <w:keepNext w:val="0"/>
        <w:keepLines w:val="0"/>
        <w:pageBreakBefore w:val="0"/>
        <w:widowControl w:val="0"/>
        <w:numPr>
          <w:ilvl w:val="0"/>
          <w:numId w:val="50"/>
        </w:numPr>
        <w:tabs>
          <w:tab w:val="left" w:pos="980"/>
          <w:tab w:val="clear" w:pos="0"/>
        </w:tabs>
        <w:kinsoku/>
        <w:wordWrap/>
        <w:overflowPunct/>
        <w:topLinePunct w:val="0"/>
        <w:autoSpaceDE w:val="0"/>
        <w:autoSpaceDN w:val="0"/>
        <w:bidi w:val="0"/>
        <w:adjustRightInd w:val="0"/>
        <w:snapToGrid w:val="0"/>
        <w:spacing w:line="360" w:lineRule="auto"/>
        <w:ind w:firstLine="560" w:firstLineChars="200"/>
        <w:textAlignment w:val="auto"/>
        <w:rPr>
          <w:color w:val="000000"/>
          <w:sz w:val="28"/>
          <w:szCs w:val="28"/>
          <w:lang w:val="zh-CN"/>
        </w:rPr>
      </w:pPr>
      <w:r>
        <w:rPr>
          <w:color w:val="000000"/>
          <w:sz w:val="28"/>
          <w:szCs w:val="28"/>
          <w:lang w:val="zh-CN"/>
        </w:rPr>
        <w:t>《云南省应急管理厅关于印发云南省危险化学品生产储存企业化工安全仪表系统管理指导意见的通知》（云应急〔2019〕9号）</w:t>
      </w:r>
    </w:p>
    <w:p w14:paraId="78FF99ED">
      <w:pPr>
        <w:keepNext w:val="0"/>
        <w:keepLines w:val="0"/>
        <w:pageBreakBefore w:val="0"/>
        <w:widowControl w:val="0"/>
        <w:numPr>
          <w:ilvl w:val="0"/>
          <w:numId w:val="50"/>
        </w:numPr>
        <w:tabs>
          <w:tab w:val="left" w:pos="980"/>
          <w:tab w:val="clear" w:pos="0"/>
        </w:tabs>
        <w:kinsoku/>
        <w:wordWrap/>
        <w:overflowPunct/>
        <w:topLinePunct w:val="0"/>
        <w:autoSpaceDE w:val="0"/>
        <w:autoSpaceDN w:val="0"/>
        <w:bidi w:val="0"/>
        <w:adjustRightInd w:val="0"/>
        <w:snapToGrid w:val="0"/>
        <w:spacing w:line="360" w:lineRule="auto"/>
        <w:ind w:firstLine="560" w:firstLineChars="200"/>
        <w:textAlignment w:val="auto"/>
        <w:rPr>
          <w:color w:val="000000"/>
          <w:sz w:val="28"/>
          <w:szCs w:val="28"/>
          <w:lang w:val="zh-CN"/>
        </w:rPr>
      </w:pPr>
      <w:r>
        <w:rPr>
          <w:rFonts w:hint="eastAsia"/>
          <w:color w:val="000000"/>
          <w:sz w:val="28"/>
          <w:szCs w:val="28"/>
          <w:lang w:val="zh-CN"/>
        </w:rPr>
        <w:t>《云南省应急管理厅关于印发云南省危险化学品生产储存企业四区分离技术指导意见的通知》（云应急</w:t>
      </w:r>
      <w:r>
        <w:rPr>
          <w:color w:val="000000"/>
          <w:sz w:val="28"/>
          <w:szCs w:val="28"/>
          <w:lang w:val="zh-CN"/>
        </w:rPr>
        <w:t>〔20</w:t>
      </w:r>
      <w:r>
        <w:rPr>
          <w:rFonts w:hint="eastAsia"/>
          <w:color w:val="000000"/>
          <w:sz w:val="28"/>
          <w:szCs w:val="28"/>
          <w:lang w:val="zh-CN"/>
        </w:rPr>
        <w:t>21</w:t>
      </w:r>
      <w:r>
        <w:rPr>
          <w:color w:val="000000"/>
          <w:sz w:val="28"/>
          <w:szCs w:val="28"/>
          <w:lang w:val="zh-CN"/>
        </w:rPr>
        <w:t>〕4</w:t>
      </w:r>
      <w:r>
        <w:rPr>
          <w:rFonts w:hint="eastAsia"/>
          <w:color w:val="000000"/>
          <w:sz w:val="28"/>
          <w:szCs w:val="28"/>
          <w:lang w:val="zh-CN"/>
        </w:rPr>
        <w:t>号）</w:t>
      </w:r>
    </w:p>
    <w:p w14:paraId="4CEA862C">
      <w:pPr>
        <w:keepNext w:val="0"/>
        <w:keepLines w:val="0"/>
        <w:pageBreakBefore w:val="0"/>
        <w:widowControl w:val="0"/>
        <w:numPr>
          <w:ilvl w:val="0"/>
          <w:numId w:val="50"/>
        </w:numPr>
        <w:tabs>
          <w:tab w:val="left" w:pos="980"/>
          <w:tab w:val="clear" w:pos="0"/>
        </w:tabs>
        <w:kinsoku/>
        <w:wordWrap/>
        <w:overflowPunct/>
        <w:topLinePunct w:val="0"/>
        <w:autoSpaceDE w:val="0"/>
        <w:autoSpaceDN w:val="0"/>
        <w:bidi w:val="0"/>
        <w:adjustRightInd w:val="0"/>
        <w:snapToGrid w:val="0"/>
        <w:spacing w:line="360" w:lineRule="auto"/>
        <w:ind w:firstLine="560" w:firstLineChars="200"/>
        <w:textAlignment w:val="auto"/>
        <w:rPr>
          <w:rFonts w:hint="eastAsia"/>
          <w:color w:val="000000"/>
          <w:sz w:val="28"/>
          <w:szCs w:val="28"/>
          <w:lang w:val="zh-CN"/>
        </w:rPr>
      </w:pPr>
      <w:r>
        <w:rPr>
          <w:rFonts w:hint="eastAsia"/>
          <w:color w:val="000000"/>
          <w:sz w:val="28"/>
          <w:szCs w:val="28"/>
          <w:lang w:val="zh-CN"/>
        </w:rPr>
        <w:t>《云南省安全生产委员会关于建立完善安全风险分级管控和隐患排查治理双重预防机制的指导意见》（云安〔2021〕3号）</w:t>
      </w:r>
    </w:p>
    <w:p w14:paraId="10A47948">
      <w:pPr>
        <w:keepNext w:val="0"/>
        <w:keepLines w:val="0"/>
        <w:pageBreakBefore w:val="0"/>
        <w:widowControl w:val="0"/>
        <w:numPr>
          <w:ilvl w:val="0"/>
          <w:numId w:val="50"/>
        </w:numPr>
        <w:tabs>
          <w:tab w:val="left" w:pos="980"/>
          <w:tab w:val="clear" w:pos="0"/>
        </w:tabs>
        <w:kinsoku/>
        <w:wordWrap/>
        <w:overflowPunct/>
        <w:topLinePunct w:val="0"/>
        <w:autoSpaceDE w:val="0"/>
        <w:autoSpaceDN w:val="0"/>
        <w:bidi w:val="0"/>
        <w:adjustRightInd w:val="0"/>
        <w:snapToGrid w:val="0"/>
        <w:spacing w:line="360" w:lineRule="auto"/>
        <w:ind w:firstLine="560" w:firstLineChars="200"/>
        <w:textAlignment w:val="auto"/>
        <w:rPr>
          <w:rFonts w:hint="eastAsia"/>
          <w:color w:val="000000"/>
          <w:sz w:val="28"/>
          <w:szCs w:val="28"/>
          <w:lang w:val="zh-CN"/>
        </w:rPr>
      </w:pPr>
      <w:r>
        <w:rPr>
          <w:rFonts w:hint="eastAsia"/>
          <w:color w:val="000000"/>
          <w:sz w:val="28"/>
          <w:szCs w:val="28"/>
          <w:lang w:val="zh-CN"/>
        </w:rPr>
        <w:t>《</w:t>
      </w:r>
      <w:r>
        <w:rPr>
          <w:color w:val="000000"/>
          <w:sz w:val="28"/>
          <w:szCs w:val="28"/>
          <w:lang w:val="zh-CN"/>
        </w:rPr>
        <w:t>云南省应急管理厅 云南银保监局关于规范推进安全生产责任保险工作的通知</w:t>
      </w:r>
      <w:r>
        <w:rPr>
          <w:rFonts w:hint="eastAsia"/>
          <w:color w:val="000000"/>
          <w:sz w:val="28"/>
          <w:szCs w:val="28"/>
          <w:lang w:val="zh-CN"/>
        </w:rPr>
        <w:t>》</w:t>
      </w:r>
      <w:r>
        <w:rPr>
          <w:color w:val="000000"/>
          <w:sz w:val="28"/>
          <w:szCs w:val="28"/>
          <w:lang w:val="zh-CN"/>
        </w:rPr>
        <w:t>（云应急〔2022〕48号）</w:t>
      </w:r>
    </w:p>
    <w:p w14:paraId="29F1E700">
      <w:pPr>
        <w:keepNext w:val="0"/>
        <w:keepLines w:val="0"/>
        <w:pageBreakBefore w:val="0"/>
        <w:widowControl w:val="0"/>
        <w:numPr>
          <w:ilvl w:val="0"/>
          <w:numId w:val="50"/>
        </w:numPr>
        <w:tabs>
          <w:tab w:val="left" w:pos="980"/>
          <w:tab w:val="clear" w:pos="0"/>
        </w:tabs>
        <w:kinsoku/>
        <w:wordWrap/>
        <w:overflowPunct/>
        <w:topLinePunct w:val="0"/>
        <w:autoSpaceDE w:val="0"/>
        <w:autoSpaceDN w:val="0"/>
        <w:bidi w:val="0"/>
        <w:adjustRightInd w:val="0"/>
        <w:snapToGrid w:val="0"/>
        <w:spacing w:line="360" w:lineRule="auto"/>
        <w:ind w:firstLine="560" w:firstLineChars="200"/>
        <w:textAlignment w:val="auto"/>
        <w:rPr>
          <w:rFonts w:hint="eastAsia"/>
          <w:color w:val="000000"/>
          <w:sz w:val="28"/>
          <w:szCs w:val="28"/>
          <w:lang w:val="zh-CN"/>
        </w:rPr>
      </w:pPr>
      <w:r>
        <w:rPr>
          <w:rFonts w:hint="eastAsia"/>
          <w:color w:val="000000"/>
          <w:sz w:val="28"/>
          <w:szCs w:val="28"/>
          <w:lang w:val="zh-CN"/>
        </w:rPr>
        <w:t>《云南省应急管理厅关于印发《云南省危险化学品企业双重预防机制数字化建设实施方案》的通知》（云应急函〔2022〕74号）</w:t>
      </w:r>
    </w:p>
    <w:p w14:paraId="0A9AD3EB">
      <w:pPr>
        <w:keepNext w:val="0"/>
        <w:keepLines w:val="0"/>
        <w:pageBreakBefore w:val="0"/>
        <w:widowControl w:val="0"/>
        <w:numPr>
          <w:ilvl w:val="0"/>
          <w:numId w:val="50"/>
        </w:numPr>
        <w:tabs>
          <w:tab w:val="left" w:pos="980"/>
          <w:tab w:val="clear" w:pos="0"/>
        </w:tabs>
        <w:kinsoku/>
        <w:wordWrap/>
        <w:overflowPunct/>
        <w:topLinePunct w:val="0"/>
        <w:autoSpaceDE w:val="0"/>
        <w:autoSpaceDN w:val="0"/>
        <w:bidi w:val="0"/>
        <w:adjustRightInd w:val="0"/>
        <w:snapToGrid w:val="0"/>
        <w:spacing w:line="360" w:lineRule="auto"/>
        <w:ind w:firstLine="560" w:firstLineChars="200"/>
        <w:textAlignment w:val="auto"/>
        <w:rPr>
          <w:color w:val="000000"/>
          <w:sz w:val="28"/>
          <w:szCs w:val="28"/>
          <w:lang w:val="zh-CN"/>
        </w:rPr>
      </w:pPr>
      <w:r>
        <w:rPr>
          <w:rFonts w:hint="eastAsia"/>
          <w:color w:val="000000"/>
          <w:sz w:val="28"/>
          <w:szCs w:val="28"/>
          <w:lang w:val="zh-CN"/>
        </w:rPr>
        <w:t>《云南省细化落实安全生产十五条措施工作方案》（云安[2022]12号）</w:t>
      </w:r>
    </w:p>
    <w:p w14:paraId="4E01928F">
      <w:pPr>
        <w:keepNext w:val="0"/>
        <w:keepLines w:val="0"/>
        <w:pageBreakBefore w:val="0"/>
        <w:widowControl w:val="0"/>
        <w:numPr>
          <w:ilvl w:val="0"/>
          <w:numId w:val="50"/>
        </w:numPr>
        <w:tabs>
          <w:tab w:val="left" w:pos="980"/>
          <w:tab w:val="clear" w:pos="0"/>
        </w:tabs>
        <w:kinsoku/>
        <w:wordWrap/>
        <w:overflowPunct/>
        <w:topLinePunct w:val="0"/>
        <w:autoSpaceDE w:val="0"/>
        <w:autoSpaceDN w:val="0"/>
        <w:bidi w:val="0"/>
        <w:adjustRightInd w:val="0"/>
        <w:snapToGrid w:val="0"/>
        <w:spacing w:line="360" w:lineRule="auto"/>
        <w:ind w:firstLine="560" w:firstLineChars="200"/>
        <w:textAlignment w:val="auto"/>
        <w:rPr>
          <w:color w:val="000000"/>
          <w:sz w:val="28"/>
          <w:szCs w:val="28"/>
          <w:lang w:val="zh-CN"/>
        </w:rPr>
      </w:pPr>
      <w:r>
        <w:rPr>
          <w:color w:val="000000"/>
          <w:sz w:val="28"/>
          <w:szCs w:val="28"/>
          <w:lang w:val="zh-CN"/>
        </w:rPr>
        <w:t>《云南省人民政府关于印发云南省生产经营单位安全生产主体责任规定的通知》（云政规〔2022〕4号）</w:t>
      </w:r>
    </w:p>
    <w:p w14:paraId="113229E0">
      <w:pPr>
        <w:keepNext w:val="0"/>
        <w:keepLines w:val="0"/>
        <w:pageBreakBefore w:val="0"/>
        <w:widowControl w:val="0"/>
        <w:numPr>
          <w:ilvl w:val="0"/>
          <w:numId w:val="50"/>
        </w:numPr>
        <w:tabs>
          <w:tab w:val="left" w:pos="980"/>
          <w:tab w:val="clear" w:pos="0"/>
        </w:tabs>
        <w:kinsoku/>
        <w:wordWrap/>
        <w:overflowPunct/>
        <w:topLinePunct w:val="0"/>
        <w:autoSpaceDE w:val="0"/>
        <w:autoSpaceDN w:val="0"/>
        <w:bidi w:val="0"/>
        <w:adjustRightInd w:val="0"/>
        <w:snapToGrid w:val="0"/>
        <w:spacing w:line="360" w:lineRule="auto"/>
        <w:ind w:firstLine="560" w:firstLineChars="200"/>
        <w:textAlignment w:val="auto"/>
        <w:rPr>
          <w:color w:val="000000"/>
          <w:sz w:val="28"/>
          <w:szCs w:val="28"/>
          <w:lang w:val="zh-CN"/>
        </w:rPr>
      </w:pPr>
      <w:r>
        <w:rPr>
          <w:rFonts w:hint="eastAsia"/>
          <w:color w:val="000000"/>
          <w:sz w:val="28"/>
          <w:szCs w:val="28"/>
          <w:lang w:val="zh-CN"/>
        </w:rPr>
        <w:t>《云南省安全生产委员会办公室关于印发云南省化工项目安全准入条件（试行）的通知》（云安办</w:t>
      </w:r>
      <w:r>
        <w:rPr>
          <w:color w:val="000000"/>
          <w:sz w:val="28"/>
          <w:szCs w:val="28"/>
          <w:lang w:val="zh-CN"/>
        </w:rPr>
        <w:t>〔2022〕1</w:t>
      </w:r>
      <w:r>
        <w:rPr>
          <w:rFonts w:hint="eastAsia"/>
          <w:color w:val="000000"/>
          <w:sz w:val="28"/>
          <w:szCs w:val="28"/>
          <w:lang w:val="zh-CN"/>
        </w:rPr>
        <w:t>号）</w:t>
      </w:r>
    </w:p>
    <w:p w14:paraId="5AEE40C0">
      <w:pPr>
        <w:keepNext w:val="0"/>
        <w:keepLines w:val="0"/>
        <w:pageBreakBefore w:val="0"/>
        <w:widowControl w:val="0"/>
        <w:numPr>
          <w:ilvl w:val="0"/>
          <w:numId w:val="50"/>
        </w:numPr>
        <w:tabs>
          <w:tab w:val="left" w:pos="980"/>
          <w:tab w:val="clear" w:pos="0"/>
        </w:tabs>
        <w:kinsoku/>
        <w:wordWrap/>
        <w:overflowPunct/>
        <w:topLinePunct w:val="0"/>
        <w:autoSpaceDE w:val="0"/>
        <w:autoSpaceDN w:val="0"/>
        <w:bidi w:val="0"/>
        <w:adjustRightInd w:val="0"/>
        <w:snapToGrid w:val="0"/>
        <w:spacing w:line="360" w:lineRule="auto"/>
        <w:ind w:firstLine="560" w:firstLineChars="200"/>
        <w:textAlignment w:val="auto"/>
        <w:rPr>
          <w:color w:val="000000"/>
          <w:sz w:val="28"/>
          <w:szCs w:val="28"/>
          <w:lang w:val="zh-CN"/>
        </w:rPr>
      </w:pPr>
      <w:r>
        <w:rPr>
          <w:color w:val="000000"/>
          <w:sz w:val="28"/>
          <w:szCs w:val="28"/>
          <w:lang w:val="zh-CN"/>
        </w:rPr>
        <w:t>《云南省安全生产委员会办公室关于进一步加强企业安全培训教育工作的通知》（云安办〔2022〕9号）</w:t>
      </w:r>
    </w:p>
    <w:p w14:paraId="1016F423">
      <w:pPr>
        <w:keepNext w:val="0"/>
        <w:keepLines w:val="0"/>
        <w:pageBreakBefore w:val="0"/>
        <w:widowControl w:val="0"/>
        <w:numPr>
          <w:ilvl w:val="0"/>
          <w:numId w:val="50"/>
        </w:numPr>
        <w:tabs>
          <w:tab w:val="left" w:pos="980"/>
          <w:tab w:val="clear" w:pos="0"/>
        </w:tabs>
        <w:kinsoku/>
        <w:wordWrap/>
        <w:overflowPunct/>
        <w:topLinePunct w:val="0"/>
        <w:autoSpaceDE w:val="0"/>
        <w:autoSpaceDN w:val="0"/>
        <w:bidi w:val="0"/>
        <w:adjustRightInd w:val="0"/>
        <w:snapToGrid w:val="0"/>
        <w:spacing w:line="360" w:lineRule="auto"/>
        <w:ind w:firstLine="560" w:firstLineChars="200"/>
        <w:textAlignment w:val="auto"/>
        <w:rPr>
          <w:color w:val="000000"/>
          <w:sz w:val="28"/>
          <w:szCs w:val="28"/>
          <w:lang w:val="zh-CN"/>
        </w:rPr>
      </w:pPr>
      <w:r>
        <w:rPr>
          <w:color w:val="000000"/>
          <w:sz w:val="28"/>
          <w:szCs w:val="28"/>
          <w:lang w:val="zh-CN"/>
        </w:rPr>
        <w:t>《云南省生产安全事故应急办法》（云南省人民政府令第227号）</w:t>
      </w:r>
    </w:p>
    <w:p w14:paraId="475119A8">
      <w:pPr>
        <w:keepNext w:val="0"/>
        <w:keepLines w:val="0"/>
        <w:pageBreakBefore w:val="0"/>
        <w:widowControl w:val="0"/>
        <w:numPr>
          <w:ilvl w:val="0"/>
          <w:numId w:val="50"/>
        </w:numPr>
        <w:tabs>
          <w:tab w:val="left" w:pos="980"/>
          <w:tab w:val="clear" w:pos="0"/>
        </w:tabs>
        <w:kinsoku/>
        <w:wordWrap/>
        <w:overflowPunct/>
        <w:topLinePunct w:val="0"/>
        <w:autoSpaceDE w:val="0"/>
        <w:autoSpaceDN w:val="0"/>
        <w:bidi w:val="0"/>
        <w:adjustRightInd w:val="0"/>
        <w:snapToGrid w:val="0"/>
        <w:spacing w:line="360" w:lineRule="auto"/>
        <w:ind w:firstLine="560" w:firstLineChars="200"/>
        <w:textAlignment w:val="auto"/>
        <w:rPr>
          <w:color w:val="000000"/>
          <w:sz w:val="28"/>
          <w:szCs w:val="28"/>
          <w:lang w:val="zh-CN"/>
        </w:rPr>
      </w:pPr>
      <w:r>
        <w:rPr>
          <w:rFonts w:hint="eastAsia"/>
          <w:color w:val="000000"/>
          <w:sz w:val="28"/>
          <w:szCs w:val="28"/>
          <w:lang w:val="zh-CN"/>
        </w:rPr>
        <w:t>《云南省可制毒化学品管理规定》（云南省人民政府令第231号）</w:t>
      </w:r>
    </w:p>
    <w:p w14:paraId="2690FB22">
      <w:pPr>
        <w:keepNext w:val="0"/>
        <w:keepLines w:val="0"/>
        <w:pageBreakBefore w:val="0"/>
        <w:widowControl w:val="0"/>
        <w:numPr>
          <w:ilvl w:val="0"/>
          <w:numId w:val="50"/>
        </w:numPr>
        <w:tabs>
          <w:tab w:val="left" w:pos="980"/>
          <w:tab w:val="clear" w:pos="0"/>
        </w:tabs>
        <w:kinsoku/>
        <w:wordWrap/>
        <w:overflowPunct/>
        <w:topLinePunct w:val="0"/>
        <w:autoSpaceDE w:val="0"/>
        <w:autoSpaceDN w:val="0"/>
        <w:bidi w:val="0"/>
        <w:adjustRightInd w:val="0"/>
        <w:snapToGrid w:val="0"/>
        <w:spacing w:line="360" w:lineRule="auto"/>
        <w:ind w:firstLine="560" w:firstLineChars="200"/>
        <w:textAlignment w:val="auto"/>
        <w:rPr>
          <w:color w:val="000000"/>
          <w:sz w:val="28"/>
          <w:szCs w:val="28"/>
          <w:lang w:val="zh-CN"/>
        </w:rPr>
      </w:pPr>
      <w:r>
        <w:rPr>
          <w:rFonts w:hint="eastAsia"/>
          <w:color w:val="000000"/>
          <w:sz w:val="28"/>
          <w:szCs w:val="28"/>
          <w:lang w:val="zh-CN"/>
        </w:rPr>
        <w:t>《关于进一步明确危险化学品建设项目安全审查范围的通知》（云应急〔2024〕18号）</w:t>
      </w:r>
    </w:p>
    <w:p w14:paraId="534B590D">
      <w:pPr>
        <w:keepNext w:val="0"/>
        <w:keepLines w:val="0"/>
        <w:pageBreakBefore w:val="0"/>
        <w:widowControl w:val="0"/>
        <w:numPr>
          <w:ilvl w:val="0"/>
          <w:numId w:val="50"/>
        </w:numPr>
        <w:tabs>
          <w:tab w:val="left" w:pos="980"/>
          <w:tab w:val="clear" w:pos="0"/>
        </w:tabs>
        <w:kinsoku/>
        <w:wordWrap/>
        <w:overflowPunct/>
        <w:topLinePunct w:val="0"/>
        <w:autoSpaceDE w:val="0"/>
        <w:autoSpaceDN w:val="0"/>
        <w:bidi w:val="0"/>
        <w:adjustRightInd w:val="0"/>
        <w:snapToGrid w:val="0"/>
        <w:spacing w:line="360" w:lineRule="auto"/>
        <w:ind w:firstLine="560" w:firstLineChars="200"/>
        <w:textAlignment w:val="auto"/>
        <w:rPr>
          <w:color w:val="000000"/>
          <w:sz w:val="28"/>
          <w:szCs w:val="28"/>
          <w:lang w:val="zh-CN"/>
        </w:rPr>
      </w:pPr>
      <w:r>
        <w:rPr>
          <w:rFonts w:hint="eastAsia"/>
          <w:color w:val="000000"/>
          <w:sz w:val="28"/>
          <w:szCs w:val="28"/>
          <w:lang w:val="zh-CN"/>
        </w:rPr>
        <w:t>《关于进一步加强危险化学品生产建设项目安全风险防控工作的通知》（云应急﹝2024﹞43号）</w:t>
      </w:r>
    </w:p>
    <w:p w14:paraId="269B8631">
      <w:pPr>
        <w:keepNext w:val="0"/>
        <w:keepLines w:val="0"/>
        <w:pageBreakBefore w:val="0"/>
        <w:widowControl w:val="0"/>
        <w:numPr>
          <w:ilvl w:val="0"/>
          <w:numId w:val="50"/>
        </w:numPr>
        <w:tabs>
          <w:tab w:val="left" w:pos="980"/>
          <w:tab w:val="clear" w:pos="0"/>
        </w:tabs>
        <w:kinsoku/>
        <w:wordWrap/>
        <w:overflowPunct/>
        <w:topLinePunct w:val="0"/>
        <w:autoSpaceDE w:val="0"/>
        <w:autoSpaceDN w:val="0"/>
        <w:bidi w:val="0"/>
        <w:adjustRightInd w:val="0"/>
        <w:snapToGrid w:val="0"/>
        <w:spacing w:line="360" w:lineRule="auto"/>
        <w:ind w:firstLine="560" w:firstLineChars="200"/>
        <w:textAlignment w:val="auto"/>
        <w:rPr>
          <w:color w:val="000000"/>
          <w:sz w:val="28"/>
          <w:szCs w:val="28"/>
          <w:lang w:val="zh-CN"/>
        </w:rPr>
      </w:pPr>
      <w:r>
        <w:rPr>
          <w:rFonts w:hint="eastAsia"/>
          <w:color w:val="000000"/>
          <w:sz w:val="28"/>
          <w:szCs w:val="28"/>
          <w:lang w:val="zh-CN"/>
        </w:rPr>
        <w:t>《昆明市安全生产条例》（</w:t>
      </w:r>
      <w:r>
        <w:rPr>
          <w:color w:val="000000"/>
          <w:sz w:val="28"/>
          <w:szCs w:val="28"/>
          <w:lang w:val="zh-CN"/>
        </w:rPr>
        <w:t xml:space="preserve">2023 </w:t>
      </w:r>
      <w:r>
        <w:rPr>
          <w:rFonts w:hint="eastAsia"/>
          <w:color w:val="000000"/>
          <w:sz w:val="28"/>
          <w:szCs w:val="28"/>
          <w:lang w:val="zh-CN"/>
        </w:rPr>
        <w:t>年</w:t>
      </w:r>
      <w:r>
        <w:rPr>
          <w:color w:val="000000"/>
          <w:sz w:val="28"/>
          <w:szCs w:val="28"/>
          <w:lang w:val="zh-CN"/>
        </w:rPr>
        <w:t>2</w:t>
      </w:r>
      <w:r>
        <w:rPr>
          <w:rFonts w:hint="eastAsia"/>
          <w:color w:val="000000"/>
          <w:sz w:val="28"/>
          <w:szCs w:val="28"/>
          <w:lang w:val="zh-CN"/>
        </w:rPr>
        <w:t>月</w:t>
      </w:r>
      <w:r>
        <w:rPr>
          <w:color w:val="000000"/>
          <w:sz w:val="28"/>
          <w:szCs w:val="28"/>
          <w:lang w:val="zh-CN"/>
        </w:rPr>
        <w:t>1</w:t>
      </w:r>
      <w:r>
        <w:rPr>
          <w:rFonts w:hint="eastAsia"/>
          <w:color w:val="000000"/>
          <w:sz w:val="28"/>
          <w:szCs w:val="28"/>
          <w:lang w:val="zh-CN"/>
        </w:rPr>
        <w:t>日起施行）</w:t>
      </w:r>
    </w:p>
    <w:p w14:paraId="7DD5B079">
      <w:pPr>
        <w:pStyle w:val="4"/>
        <w:keepNext/>
        <w:keepLines/>
        <w:pageBreakBefore w:val="0"/>
        <w:widowControl w:val="0"/>
        <w:numPr>
          <w:ilvl w:val="1"/>
          <w:numId w:val="0"/>
        </w:numPr>
        <w:kinsoku/>
        <w:wordWrap/>
        <w:overflowPunct/>
        <w:topLinePunct w:val="0"/>
        <w:autoSpaceDE/>
        <w:autoSpaceDN/>
        <w:bidi w:val="0"/>
        <w:adjustRightInd/>
        <w:snapToGrid w:val="0"/>
        <w:spacing w:before="193"/>
        <w:ind w:leftChars="0"/>
        <w:jc w:val="left"/>
        <w:textAlignment w:val="auto"/>
        <w:rPr>
          <w:rFonts w:hint="eastAsia" w:ascii="黑体" w:hAnsi="黑体" w:eastAsia="黑体" w:cs="黑体"/>
          <w:b/>
          <w:bCs w:val="0"/>
          <w:color w:val="auto"/>
          <w:sz w:val="36"/>
          <w:szCs w:val="36"/>
          <w:lang w:val="en-US" w:eastAsia="zh-CN"/>
        </w:rPr>
      </w:pPr>
      <w:bookmarkStart w:id="1163" w:name="_Toc19717"/>
      <w:r>
        <w:rPr>
          <w:rFonts w:hint="eastAsia" w:ascii="黑体" w:hAnsi="黑体" w:eastAsia="黑体" w:cs="黑体"/>
          <w:b/>
          <w:bCs w:val="0"/>
          <w:color w:val="auto"/>
          <w:sz w:val="36"/>
          <w:szCs w:val="36"/>
          <w:lang w:val="en-US" w:eastAsia="zh-CN"/>
        </w:rPr>
        <w:t>4.5国家标准、规范</w:t>
      </w:r>
      <w:bookmarkEnd w:id="1162"/>
      <w:bookmarkEnd w:id="1163"/>
    </w:p>
    <w:p w14:paraId="385BEE3D">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《建筑设计防火规范》（GB 50016-2014</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2018年版）</w:t>
      </w:r>
    </w:p>
    <w:p w14:paraId="7F74F871">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《石油化工企业设计防火标准》（GB 50160-2008</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2018年版）</w:t>
      </w:r>
    </w:p>
    <w:p w14:paraId="1345015F">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《建筑防火通用规范》（GB 55037-2022）</w:t>
      </w:r>
    </w:p>
    <w:p w14:paraId="5C5C8056">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《危险货物品名表》（</w:t>
      </w:r>
      <w:r>
        <w:rPr>
          <w:rFonts w:hint="eastAsia" w:ascii="宋体" w:hAnsi="宋体" w:eastAsia="宋体" w:cs="宋体"/>
          <w:color w:val="auto"/>
          <w:sz w:val="28"/>
          <w:szCs w:val="28"/>
          <w:lang w:eastAsia="zh-CN"/>
        </w:rPr>
        <w:t>GB12268-2025</w:t>
      </w:r>
      <w:r>
        <w:rPr>
          <w:rFonts w:hint="eastAsia" w:ascii="宋体" w:hAnsi="宋体" w:eastAsia="宋体" w:cs="宋体"/>
          <w:color w:val="auto"/>
          <w:sz w:val="28"/>
          <w:szCs w:val="28"/>
        </w:rPr>
        <w:t>）</w:t>
      </w:r>
    </w:p>
    <w:p w14:paraId="0DE3FFFE">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消防设施通用规范</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GB 55036-2022</w:t>
      </w:r>
      <w:r>
        <w:rPr>
          <w:rFonts w:hint="eastAsia" w:ascii="宋体" w:hAnsi="宋体" w:eastAsia="宋体" w:cs="宋体"/>
          <w:color w:val="auto"/>
          <w:sz w:val="28"/>
          <w:szCs w:val="28"/>
          <w:lang w:eastAsia="zh-CN"/>
        </w:rPr>
        <w:t>）</w:t>
      </w:r>
    </w:p>
    <w:p w14:paraId="22559D5E">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《消防安全标志 第1部分：标志》（GB 13495.1-2015）</w:t>
      </w:r>
    </w:p>
    <w:p w14:paraId="38EDAEA7">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《钢结构防火涂料》（GB 14907-2018）</w:t>
      </w:r>
    </w:p>
    <w:p w14:paraId="5994E401">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《工业建筑防腐蚀设计规范》（GB50046-2008）</w:t>
      </w:r>
    </w:p>
    <w:p w14:paraId="7AF0A936">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《危险化学品重大危险源辨识》（GB 18218-2018）</w:t>
      </w:r>
    </w:p>
    <w:p w14:paraId="73A33D97">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《危险化学品企业特殊作业安全规范》》（GB 30871-2022）</w:t>
      </w:r>
    </w:p>
    <w:p w14:paraId="4E11978C">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《固定式钢梯及平台安全要求 第1部分：钢直梯》</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（GB 4053.1-2009）</w:t>
      </w:r>
    </w:p>
    <w:p w14:paraId="52F8AC94">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《固定式钢梯及平台安全要求 第2部分：钢斜梯》</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（GB 4053.2-2009）</w:t>
      </w:r>
    </w:p>
    <w:p w14:paraId="6F1F8577">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《固定式钢梯及平台安全要求 第3部分：工业防护栏杆及钢平台》（GB 4053.3-2009）</w:t>
      </w:r>
    </w:p>
    <w:p w14:paraId="4C958988">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《建筑物防雷设计规范》（GB50057-2010）</w:t>
      </w:r>
    </w:p>
    <w:p w14:paraId="5C0BC5C4">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《构筑物抗震设计规范》（GB 50191-2012）</w:t>
      </w:r>
    </w:p>
    <w:p w14:paraId="5EF6832F">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《建筑抗震设计标准》（GB/T50011-2010，2024年版）</w:t>
      </w:r>
    </w:p>
    <w:p w14:paraId="644672A0">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《中国地震动参数区划图》（GB18306-2015）</w:t>
      </w:r>
    </w:p>
    <w:p w14:paraId="79BB82BC">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《钢结构设计标准》（GB 50017-2017）</w:t>
      </w:r>
    </w:p>
    <w:p w14:paraId="2CA87352">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《供配电系统设计规范》（GB 50052-2009）</w:t>
      </w:r>
    </w:p>
    <w:p w14:paraId="70CE8E4A">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《低压配电设计规范》（GB 50054-2011）</w:t>
      </w:r>
    </w:p>
    <w:p w14:paraId="791A57AF">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《通用用电设备配电设计规范》（GB 50055-2011）</w:t>
      </w:r>
    </w:p>
    <w:p w14:paraId="257E41DC">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《工业企业总平面设计规范》（GB 50187-2012）</w:t>
      </w:r>
    </w:p>
    <w:p w14:paraId="23EDC272">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《化工企业总图运输设计规范》（GB 50489-2009）</w:t>
      </w:r>
    </w:p>
    <w:p w14:paraId="27B092A6">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《化工园区公共管廊管理规程》（GB/T 36762-2018）</w:t>
      </w:r>
    </w:p>
    <w:p w14:paraId="6CFEA9A0">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石油化工厂际管道工程技术标准</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GB/T 51359-2019</w:t>
      </w:r>
      <w:r>
        <w:rPr>
          <w:rFonts w:hint="eastAsia" w:ascii="宋体" w:hAnsi="宋体" w:eastAsia="宋体" w:cs="宋体"/>
          <w:color w:val="auto"/>
          <w:sz w:val="28"/>
          <w:szCs w:val="28"/>
          <w:lang w:eastAsia="zh-CN"/>
        </w:rPr>
        <w:t>）</w:t>
      </w:r>
    </w:p>
    <w:p w14:paraId="789BC9D4">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66KV及以下架空电力线路设计规范</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GB 50061-2010</w:t>
      </w:r>
      <w:r>
        <w:rPr>
          <w:rFonts w:hint="eastAsia" w:ascii="宋体" w:hAnsi="宋体" w:eastAsia="宋体" w:cs="宋体"/>
          <w:color w:val="auto"/>
          <w:sz w:val="28"/>
          <w:szCs w:val="28"/>
          <w:lang w:eastAsia="zh-CN"/>
        </w:rPr>
        <w:t>）</w:t>
      </w:r>
    </w:p>
    <w:p w14:paraId="46DDCFC6">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110～750KV架空输电线路设计规范</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GB 50545-2010</w:t>
      </w:r>
      <w:r>
        <w:rPr>
          <w:rFonts w:hint="eastAsia" w:ascii="宋体" w:hAnsi="宋体" w:eastAsia="宋体" w:cs="宋体"/>
          <w:color w:val="auto"/>
          <w:sz w:val="28"/>
          <w:szCs w:val="28"/>
          <w:lang w:eastAsia="zh-CN"/>
        </w:rPr>
        <w:t>）</w:t>
      </w:r>
    </w:p>
    <w:p w14:paraId="64940BBD">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《用电安全导则》（GB/T 13869-2017）</w:t>
      </w:r>
    </w:p>
    <w:p w14:paraId="27E84250">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《工业金属管道设计规范》</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GB50316-2000</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2008年版）</w:t>
      </w:r>
    </w:p>
    <w:p w14:paraId="6A389546">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《压力管道规范 工业管道 第1部分:总则》（GB/T 20801.1-2020）</w:t>
      </w:r>
    </w:p>
    <w:p w14:paraId="1EAE5902">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《压力管道规范 工业管道 第6部分:安全防护》（GB/T 20801.6-2020）</w:t>
      </w:r>
    </w:p>
    <w:p w14:paraId="3F2DA89B">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《电气设备安全设计导则》（GB/T 25295-2010）</w:t>
      </w:r>
    </w:p>
    <w:p w14:paraId="082A459B">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《安全色和安全标志》</w:t>
      </w:r>
      <w:r>
        <w:rPr>
          <w:rFonts w:hint="eastAsia" w:hAnsi="宋体" w:cs="宋体"/>
          <w:color w:val="auto"/>
          <w:sz w:val="28"/>
          <w:szCs w:val="28"/>
          <w:lang w:eastAsia="zh-CN"/>
        </w:rPr>
        <w:t>（</w:t>
      </w:r>
      <w:r>
        <w:rPr>
          <w:rFonts w:hint="eastAsia" w:ascii="宋体" w:hAnsi="宋体" w:eastAsia="宋体" w:cs="宋体"/>
          <w:color w:val="auto"/>
          <w:sz w:val="28"/>
          <w:szCs w:val="28"/>
        </w:rPr>
        <w:t>GB2894-2025</w:t>
      </w:r>
      <w:r>
        <w:rPr>
          <w:rFonts w:hint="eastAsia" w:hAnsi="宋体" w:cs="宋体"/>
          <w:color w:val="auto"/>
          <w:sz w:val="28"/>
          <w:szCs w:val="28"/>
          <w:lang w:eastAsia="zh-CN"/>
        </w:rPr>
        <w:t>）</w:t>
      </w:r>
    </w:p>
    <w:p w14:paraId="7DBF1011">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《电气安全标志》（GB/T 29481-2013）</w:t>
      </w:r>
    </w:p>
    <w:p w14:paraId="3E8AA0C6">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《个体防护装备配备规范 第1部分：总则》（GB39800.1-2020）</w:t>
      </w:r>
    </w:p>
    <w:p w14:paraId="5C2131C8">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《个体防护装备配备规范 第2部分：石油、化工、天然气》（GB39800.2-2020</w:t>
      </w:r>
    </w:p>
    <w:p w14:paraId="197B6862">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《生产经营单位生产安全事故应急预案编制导则》（GB/T 29639-2020）</w:t>
      </w:r>
    </w:p>
    <w:p w14:paraId="19C8A133">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《气瓶安全泄压装置》（GB/T 33215-2016）</w:t>
      </w:r>
    </w:p>
    <w:p w14:paraId="62657346">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《工业企业设计卫生标准》（GBZ 1-2010）</w:t>
      </w:r>
    </w:p>
    <w:p w14:paraId="266F1539">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《工作场所职业病危害警示标识》（GBZ 158-2003）</w:t>
      </w:r>
    </w:p>
    <w:p w14:paraId="2A017E3F">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《工作场所有害因素职业接触限值 第1部分：化学有害因素》（GBZ 2.1-2019）</w:t>
      </w:r>
    </w:p>
    <w:p w14:paraId="187FC79A">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《工作场所有害因素职业接触限值 第2部分:物理因素》（GBZ 2.2-2007）</w:t>
      </w:r>
    </w:p>
    <w:p w14:paraId="403AED18">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《工作场所职业病危害作业分级 第2部分:化学物》（GBZ/T 229.2-2010）</w:t>
      </w:r>
    </w:p>
    <w:p w14:paraId="06FD9BFB">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《工作场所职业病危害作业分级 第3部分:高温》（GBZ/T 229.3-2010）</w:t>
      </w:r>
    </w:p>
    <w:p w14:paraId="70D8A75D">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《工作场所职业病危害作业分级 第4部分：噪声》（GBZ/T 229.4-2012）；</w:t>
      </w:r>
    </w:p>
    <w:p w14:paraId="3E4B6807">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《企业职工伤亡事故分类》（GB/T 6441-1986）</w:t>
      </w:r>
    </w:p>
    <w:p w14:paraId="7B00CD40">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《生产过程危险和有害因素分类与代码》（GB/T13861-2022）</w:t>
      </w:r>
    </w:p>
    <w:p w14:paraId="76A1521F">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《危险化学品单位应急救援物资配备要求》（GB30077-2023）</w:t>
      </w:r>
    </w:p>
    <w:p w14:paraId="73D048A1">
      <w:pPr>
        <w:pStyle w:val="169"/>
        <w:numPr>
          <w:ilvl w:val="0"/>
          <w:numId w:val="51"/>
        </w:numPr>
        <w:ind w:firstLineChars="0"/>
        <w:rPr>
          <w:rFonts w:hint="eastAsia" w:ascii="宋体" w:hAnsi="宋体" w:eastAsia="宋体" w:cs="宋体"/>
          <w:color w:val="auto"/>
          <w:sz w:val="28"/>
          <w:szCs w:val="28"/>
        </w:rPr>
      </w:pPr>
      <w:r>
        <w:rPr>
          <w:rFonts w:hint="eastAsia" w:ascii="宋体" w:hAnsi="宋体" w:eastAsia="宋体" w:cs="宋体"/>
          <w:color w:val="auto"/>
          <w:sz w:val="28"/>
          <w:szCs w:val="28"/>
        </w:rPr>
        <w:t>《生产设备安全卫生设计总则》（GB5083-2023）</w:t>
      </w:r>
    </w:p>
    <w:p w14:paraId="63CA89B6">
      <w:pPr>
        <w:pStyle w:val="4"/>
        <w:keepNext/>
        <w:keepLines/>
        <w:pageBreakBefore w:val="0"/>
        <w:widowControl w:val="0"/>
        <w:numPr>
          <w:ilvl w:val="1"/>
          <w:numId w:val="0"/>
        </w:numPr>
        <w:kinsoku/>
        <w:wordWrap/>
        <w:overflowPunct/>
        <w:topLinePunct w:val="0"/>
        <w:autoSpaceDE/>
        <w:autoSpaceDN/>
        <w:bidi w:val="0"/>
        <w:adjustRightInd/>
        <w:snapToGrid w:val="0"/>
        <w:spacing w:before="193"/>
        <w:ind w:leftChars="0"/>
        <w:jc w:val="left"/>
        <w:textAlignment w:val="auto"/>
        <w:rPr>
          <w:rFonts w:hint="eastAsia" w:ascii="黑体" w:hAnsi="黑体" w:eastAsia="黑体" w:cs="黑体"/>
          <w:b/>
          <w:bCs w:val="0"/>
          <w:color w:val="auto"/>
          <w:sz w:val="36"/>
          <w:szCs w:val="36"/>
          <w:lang w:val="en-US" w:eastAsia="zh-CN"/>
        </w:rPr>
      </w:pPr>
      <w:bookmarkStart w:id="1164" w:name="_Toc10493"/>
      <w:bookmarkStart w:id="1165" w:name="_Toc23973"/>
      <w:r>
        <w:rPr>
          <w:rFonts w:hint="eastAsia" w:ascii="黑体" w:hAnsi="黑体" w:eastAsia="黑体" w:cs="黑体"/>
          <w:b/>
          <w:bCs w:val="0"/>
          <w:color w:val="auto"/>
          <w:sz w:val="36"/>
          <w:szCs w:val="36"/>
          <w:lang w:val="en-US" w:eastAsia="zh-CN"/>
        </w:rPr>
        <w:t>4.6行业标准、规范</w:t>
      </w:r>
      <w:bookmarkEnd w:id="1164"/>
      <w:bookmarkEnd w:id="1165"/>
    </w:p>
    <w:p w14:paraId="78E72ACE">
      <w:pPr>
        <w:pStyle w:val="169"/>
        <w:numPr>
          <w:ilvl w:val="0"/>
          <w:numId w:val="52"/>
        </w:numPr>
        <w:ind w:firstLineChars="0"/>
        <w:rPr>
          <w:rFonts w:hint="eastAsia" w:ascii="宋体" w:hAnsi="宋体" w:eastAsia="宋体" w:cs="宋体"/>
          <w:color w:val="auto"/>
          <w:sz w:val="28"/>
          <w:szCs w:val="28"/>
          <w:lang w:val="en-US" w:eastAsia="zh-CN" w:bidi="ar-SA"/>
        </w:rPr>
      </w:pPr>
      <w:bookmarkStart w:id="1166" w:name="_Toc171873135"/>
      <w:bookmarkStart w:id="1167" w:name="_Toc200880693"/>
      <w:r>
        <w:rPr>
          <w:rFonts w:hint="eastAsia" w:ascii="宋体" w:hAnsi="宋体" w:eastAsia="宋体" w:cs="宋体"/>
          <w:color w:val="auto"/>
          <w:sz w:val="28"/>
          <w:szCs w:val="28"/>
          <w:lang w:val="en-US" w:eastAsia="zh-CN" w:bidi="ar-SA"/>
        </w:rPr>
        <w:t>《安全验收评价导则》（AQ8003-2007）</w:t>
      </w:r>
    </w:p>
    <w:p w14:paraId="54057949">
      <w:pPr>
        <w:pStyle w:val="169"/>
        <w:numPr>
          <w:ilvl w:val="0"/>
          <w:numId w:val="52"/>
        </w:numPr>
        <w:ind w:firstLineChars="0"/>
        <w:rPr>
          <w:rFonts w:hint="eastAsia" w:ascii="宋体" w:hAnsi="宋体" w:eastAsia="宋体" w:cs="宋体"/>
          <w:color w:val="auto"/>
          <w:sz w:val="28"/>
          <w:szCs w:val="28"/>
          <w:lang w:val="en-US" w:eastAsia="zh-CN" w:bidi="ar-SA"/>
        </w:rPr>
      </w:pPr>
      <w:r>
        <w:rPr>
          <w:rFonts w:hint="eastAsia" w:ascii="宋体" w:hAnsi="宋体" w:eastAsia="宋体" w:cs="宋体"/>
          <w:color w:val="auto"/>
          <w:sz w:val="28"/>
          <w:szCs w:val="28"/>
          <w:lang w:val="zh-CN" w:eastAsia="zh-CN" w:bidi="ar-SA"/>
        </w:rPr>
        <w:t>《化工建设项目安全设计管理导则》（AQ/T3033-2022）</w:t>
      </w:r>
    </w:p>
    <w:p w14:paraId="34F2471B">
      <w:pPr>
        <w:pStyle w:val="169"/>
        <w:numPr>
          <w:ilvl w:val="0"/>
          <w:numId w:val="52"/>
        </w:numPr>
        <w:ind w:firstLineChars="0"/>
        <w:rPr>
          <w:rFonts w:hint="default" w:ascii="宋体" w:hAnsi="宋体" w:eastAsia="宋体" w:cs="宋体"/>
          <w:color w:val="auto"/>
          <w:sz w:val="28"/>
          <w:szCs w:val="28"/>
          <w:lang w:val="en-US" w:eastAsia="zh-CN" w:bidi="ar-SA"/>
        </w:rPr>
      </w:pPr>
      <w:r>
        <w:rPr>
          <w:rFonts w:hint="default" w:ascii="宋体" w:hAnsi="宋体" w:eastAsia="宋体" w:cs="宋体"/>
          <w:color w:val="auto"/>
          <w:sz w:val="28"/>
          <w:szCs w:val="28"/>
          <w:lang w:val="en-US" w:eastAsia="zh-CN" w:bidi="ar-SA"/>
        </w:rPr>
        <w:t>《化工过程安全管理导则》（AQ/T 3034-2022）</w:t>
      </w:r>
    </w:p>
    <w:p w14:paraId="4000EE73">
      <w:pPr>
        <w:pStyle w:val="169"/>
        <w:numPr>
          <w:ilvl w:val="0"/>
          <w:numId w:val="52"/>
        </w:numPr>
        <w:ind w:firstLineChars="0"/>
        <w:rPr>
          <w:rFonts w:hint="eastAsia" w:ascii="宋体" w:hAnsi="宋体" w:eastAsia="宋体" w:cs="宋体"/>
          <w:color w:val="auto"/>
          <w:sz w:val="28"/>
          <w:szCs w:val="28"/>
          <w:lang w:val="en-US" w:eastAsia="zh-CN" w:bidi="ar-SA"/>
        </w:rPr>
      </w:pPr>
      <w:r>
        <w:rPr>
          <w:rFonts w:hint="eastAsia" w:ascii="宋体" w:hAnsi="宋体" w:eastAsia="宋体" w:cs="宋体"/>
          <w:color w:val="auto"/>
          <w:sz w:val="28"/>
          <w:szCs w:val="28"/>
          <w:lang w:val="en-US" w:eastAsia="zh-CN" w:bidi="ar-SA"/>
        </w:rPr>
        <w:t>《化工装置设备布置设计规定》（HG/T20546-2009）</w:t>
      </w:r>
    </w:p>
    <w:p w14:paraId="1D302489">
      <w:pPr>
        <w:pStyle w:val="169"/>
        <w:numPr>
          <w:ilvl w:val="0"/>
          <w:numId w:val="52"/>
        </w:numPr>
        <w:ind w:firstLineChars="0"/>
        <w:rPr>
          <w:rFonts w:hint="eastAsia" w:ascii="宋体" w:hAnsi="宋体" w:eastAsia="宋体" w:cs="宋体"/>
          <w:color w:val="auto"/>
          <w:sz w:val="28"/>
          <w:szCs w:val="28"/>
          <w:lang w:val="en-US" w:eastAsia="zh-CN" w:bidi="ar-SA"/>
        </w:rPr>
      </w:pPr>
      <w:r>
        <w:rPr>
          <w:rFonts w:hint="eastAsia" w:ascii="宋体" w:hAnsi="宋体" w:eastAsia="宋体" w:cs="宋体"/>
          <w:color w:val="auto"/>
          <w:sz w:val="28"/>
          <w:szCs w:val="28"/>
          <w:lang w:val="en-US" w:eastAsia="zh-CN" w:bidi="ar-SA"/>
        </w:rPr>
        <w:t>《化工企业安全卫生设计规范》（HG20571-2014）</w:t>
      </w:r>
    </w:p>
    <w:p w14:paraId="69376F0E">
      <w:pPr>
        <w:pStyle w:val="169"/>
        <w:numPr>
          <w:ilvl w:val="0"/>
          <w:numId w:val="52"/>
        </w:numPr>
        <w:ind w:firstLineChars="0"/>
        <w:rPr>
          <w:rFonts w:hint="eastAsia" w:ascii="宋体" w:hAnsi="宋体" w:eastAsia="宋体" w:cs="宋体"/>
          <w:color w:val="auto"/>
          <w:sz w:val="28"/>
          <w:szCs w:val="28"/>
          <w:lang w:val="en-US" w:eastAsia="zh-CN" w:bidi="ar-SA"/>
        </w:rPr>
      </w:pPr>
      <w:r>
        <w:rPr>
          <w:rFonts w:hint="eastAsia" w:ascii="宋体" w:hAnsi="宋体" w:eastAsia="宋体" w:cs="宋体"/>
          <w:color w:val="auto"/>
          <w:sz w:val="28"/>
          <w:szCs w:val="28"/>
          <w:lang w:val="en-US" w:eastAsia="zh-CN" w:bidi="ar-SA"/>
        </w:rPr>
        <w:t>《压力管道安全技术监察规程—工业管道》（TSG D0001-2009）</w:t>
      </w:r>
    </w:p>
    <w:p w14:paraId="11A9F344">
      <w:pPr>
        <w:pStyle w:val="169"/>
        <w:numPr>
          <w:ilvl w:val="0"/>
          <w:numId w:val="52"/>
        </w:numPr>
        <w:ind w:firstLineChars="0"/>
        <w:rPr>
          <w:rFonts w:hint="eastAsia" w:ascii="宋体" w:hAnsi="宋体" w:eastAsia="宋体" w:cs="宋体"/>
          <w:color w:val="auto"/>
          <w:sz w:val="28"/>
          <w:szCs w:val="28"/>
          <w:lang w:val="en-US" w:eastAsia="zh-CN" w:bidi="ar-SA"/>
        </w:rPr>
      </w:pPr>
      <w:r>
        <w:rPr>
          <w:rFonts w:hint="eastAsia" w:ascii="宋体" w:hAnsi="宋体" w:eastAsia="宋体" w:cs="宋体"/>
          <w:color w:val="auto"/>
          <w:sz w:val="28"/>
          <w:szCs w:val="28"/>
          <w:lang w:val="en-US" w:eastAsia="zh-CN" w:bidi="ar-SA"/>
        </w:rPr>
        <w:t>《特种设备使用管理规则》（TS G08-2017）</w:t>
      </w:r>
    </w:p>
    <w:p w14:paraId="61AEF63D">
      <w:pPr>
        <w:pStyle w:val="169"/>
        <w:numPr>
          <w:ilvl w:val="0"/>
          <w:numId w:val="52"/>
        </w:numPr>
        <w:ind w:firstLineChars="0"/>
        <w:rPr>
          <w:rFonts w:hint="eastAsia" w:ascii="宋体" w:hAnsi="宋体" w:eastAsia="宋体" w:cs="宋体"/>
          <w:color w:val="auto"/>
          <w:sz w:val="28"/>
          <w:szCs w:val="28"/>
          <w:lang w:val="en-US" w:eastAsia="zh-CN" w:bidi="ar-SA"/>
        </w:rPr>
      </w:pPr>
      <w:r>
        <w:rPr>
          <w:rFonts w:hint="eastAsia" w:ascii="宋体" w:hAnsi="宋体" w:eastAsia="宋体" w:cs="宋体"/>
          <w:color w:val="auto"/>
          <w:sz w:val="28"/>
          <w:szCs w:val="28"/>
          <w:lang w:val="en-US" w:eastAsia="zh-CN" w:bidi="ar-SA"/>
        </w:rPr>
        <w:t>《酸类物质泄漏的处理处置方法 第2部分：硫酸》（HG/T 4335.2-2012）</w:t>
      </w:r>
    </w:p>
    <w:p w14:paraId="6DB52C06">
      <w:pPr>
        <w:pStyle w:val="169"/>
        <w:numPr>
          <w:ilvl w:val="0"/>
          <w:numId w:val="52"/>
        </w:numPr>
        <w:ind w:firstLineChars="0"/>
        <w:rPr>
          <w:rFonts w:hint="eastAsia" w:ascii="宋体" w:hAnsi="宋体" w:eastAsia="宋体" w:cs="宋体"/>
          <w:color w:val="auto"/>
          <w:sz w:val="28"/>
          <w:szCs w:val="28"/>
          <w:lang w:val="en-US" w:eastAsia="zh-CN" w:bidi="ar-SA"/>
        </w:rPr>
      </w:pPr>
      <w:r>
        <w:rPr>
          <w:rFonts w:hint="eastAsia" w:ascii="宋体" w:hAnsi="宋体" w:eastAsia="宋体" w:cs="宋体"/>
          <w:color w:val="auto"/>
          <w:sz w:val="28"/>
          <w:szCs w:val="28"/>
          <w:lang w:val="en-US" w:eastAsia="zh-CN" w:bidi="ar-SA"/>
        </w:rPr>
        <w:t>《酸类物质泄漏的处理处置方法 第10部分：氟硅酸》（HG/T 4335.10-2012）</w:t>
      </w:r>
    </w:p>
    <w:bookmarkEnd w:id="1166"/>
    <w:bookmarkEnd w:id="1167"/>
    <w:p w14:paraId="05BDDEBA">
      <w:pPr>
        <w:pStyle w:val="169"/>
        <w:numPr>
          <w:ilvl w:val="0"/>
          <w:numId w:val="52"/>
        </w:numPr>
        <w:ind w:firstLineChars="0"/>
        <w:rPr>
          <w:rFonts w:hint="eastAsia" w:ascii="宋体" w:hAnsi="宋体" w:eastAsia="宋体" w:cs="宋体"/>
          <w:color w:val="auto"/>
          <w:sz w:val="28"/>
          <w:szCs w:val="28"/>
          <w:lang w:val="en-US" w:eastAsia="zh-CN" w:bidi="ar-SA"/>
        </w:rPr>
      </w:pPr>
      <w:r>
        <w:rPr>
          <w:rFonts w:hint="eastAsia" w:ascii="宋体" w:hAnsi="宋体" w:eastAsia="宋体" w:cs="宋体"/>
          <w:color w:val="auto"/>
          <w:sz w:val="28"/>
          <w:szCs w:val="28"/>
          <w:lang w:val="en-US" w:eastAsia="zh-CN" w:bidi="ar-SA"/>
        </w:rPr>
        <w:t>《化学品作业场所安全警示标志规范》（AQ 3047-2013）</w:t>
      </w:r>
    </w:p>
    <w:p w14:paraId="57DF8F6C">
      <w:pPr>
        <w:pStyle w:val="169"/>
        <w:numPr>
          <w:ilvl w:val="0"/>
          <w:numId w:val="52"/>
        </w:numPr>
        <w:ind w:firstLineChars="0"/>
        <w:rPr>
          <w:rFonts w:hint="eastAsia" w:ascii="宋体" w:hAnsi="宋体" w:eastAsia="宋体" w:cs="宋体"/>
          <w:color w:val="auto"/>
          <w:sz w:val="28"/>
          <w:szCs w:val="28"/>
          <w:lang w:val="en-US" w:eastAsia="zh-CN" w:bidi="ar-SA"/>
        </w:rPr>
      </w:pPr>
      <w:r>
        <w:rPr>
          <w:rFonts w:hint="eastAsia" w:ascii="宋体" w:hAnsi="宋体" w:eastAsia="宋体" w:cs="宋体"/>
          <w:color w:val="auto"/>
          <w:sz w:val="28"/>
          <w:szCs w:val="28"/>
          <w:lang w:val="en-US" w:eastAsia="zh-CN" w:bidi="ar-SA"/>
        </w:rPr>
        <w:t>《生产安全事故应急演练基本规范》（AQ/T9007-2019）</w:t>
      </w:r>
    </w:p>
    <w:p w14:paraId="59EBFAD3">
      <w:pPr>
        <w:pStyle w:val="169"/>
        <w:numPr>
          <w:ilvl w:val="0"/>
          <w:numId w:val="52"/>
        </w:numPr>
        <w:ind w:firstLineChars="0"/>
        <w:rPr>
          <w:rFonts w:hint="eastAsia" w:ascii="宋体" w:hAnsi="宋体" w:eastAsia="宋体" w:cs="宋体"/>
          <w:color w:val="auto"/>
          <w:sz w:val="28"/>
          <w:szCs w:val="28"/>
          <w:lang w:val="en-US" w:eastAsia="zh-CN" w:bidi="ar-SA"/>
        </w:rPr>
      </w:pPr>
      <w:r>
        <w:rPr>
          <w:rFonts w:hint="eastAsia" w:ascii="宋体" w:hAnsi="宋体" w:eastAsia="宋体" w:cs="宋体"/>
          <w:color w:val="auto"/>
          <w:sz w:val="28"/>
          <w:szCs w:val="28"/>
          <w:lang w:val="en-US" w:eastAsia="zh-CN" w:bidi="ar-SA"/>
        </w:rPr>
        <w:t>《生产安全事故应急演练评估规范》（AQ/T9009-2015）</w:t>
      </w:r>
    </w:p>
    <w:p w14:paraId="3478512E">
      <w:pPr>
        <w:pStyle w:val="169"/>
        <w:numPr>
          <w:ilvl w:val="0"/>
          <w:numId w:val="52"/>
        </w:numPr>
        <w:ind w:firstLineChars="0"/>
        <w:rPr>
          <w:rFonts w:hint="eastAsia" w:ascii="宋体" w:hAnsi="宋体" w:eastAsia="宋体" w:cs="宋体"/>
          <w:color w:val="auto"/>
          <w:sz w:val="28"/>
          <w:szCs w:val="28"/>
          <w:lang w:val="en-US" w:eastAsia="zh-CN" w:bidi="ar-SA"/>
        </w:rPr>
      </w:pPr>
      <w:r>
        <w:rPr>
          <w:rFonts w:hint="eastAsia" w:ascii="宋体" w:hAnsi="宋体" w:eastAsia="宋体" w:cs="宋体"/>
          <w:color w:val="auto"/>
          <w:sz w:val="28"/>
          <w:szCs w:val="28"/>
          <w:lang w:val="en-US" w:eastAsia="zh-CN" w:bidi="ar-SA"/>
        </w:rPr>
        <w:t>《生产经营单位生产安全事故应急预案评估指南》 （AQ/T9011-2019）</w:t>
      </w:r>
    </w:p>
    <w:p w14:paraId="211BB9F2">
      <w:pPr>
        <w:pStyle w:val="169"/>
        <w:numPr>
          <w:ilvl w:val="0"/>
          <w:numId w:val="52"/>
        </w:numPr>
        <w:ind w:firstLineChars="0"/>
        <w:rPr>
          <w:rFonts w:hint="eastAsia" w:ascii="宋体" w:hAnsi="宋体" w:eastAsia="宋体" w:cs="宋体"/>
          <w:color w:val="auto"/>
          <w:sz w:val="28"/>
          <w:szCs w:val="28"/>
          <w:lang w:val="en-US" w:eastAsia="zh-CN" w:bidi="ar-SA"/>
        </w:rPr>
      </w:pPr>
      <w:r>
        <w:rPr>
          <w:rFonts w:hint="eastAsia" w:ascii="宋体" w:hAnsi="宋体" w:eastAsia="宋体" w:cs="宋体"/>
          <w:color w:val="auto"/>
          <w:sz w:val="28"/>
          <w:szCs w:val="28"/>
          <w:lang w:val="en-US" w:eastAsia="zh-CN" w:bidi="ar-SA"/>
        </w:rPr>
        <w:t>《危险化学品建设项目安全评价细则(试行)》（安监总危化〔2007〕255号）</w:t>
      </w:r>
    </w:p>
    <w:p w14:paraId="192074E0">
      <w:pPr>
        <w:pStyle w:val="169"/>
        <w:numPr>
          <w:ilvl w:val="0"/>
          <w:numId w:val="52"/>
        </w:numPr>
        <w:ind w:firstLineChars="0"/>
        <w:rPr>
          <w:rFonts w:hint="eastAsia" w:ascii="宋体" w:hAnsi="宋体" w:eastAsia="宋体" w:cs="宋体"/>
          <w:color w:val="auto"/>
          <w:sz w:val="28"/>
          <w:szCs w:val="28"/>
          <w:lang w:val="en-US" w:eastAsia="zh-CN" w:bidi="ar-SA"/>
        </w:rPr>
      </w:pPr>
      <w:r>
        <w:rPr>
          <w:rFonts w:hint="eastAsia" w:ascii="宋体" w:hAnsi="宋体" w:eastAsia="宋体" w:cs="宋体"/>
          <w:color w:val="auto"/>
          <w:sz w:val="28"/>
          <w:szCs w:val="28"/>
          <w:lang w:val="en-US" w:eastAsia="zh-CN" w:bidi="ar-SA"/>
        </w:rPr>
        <w:t>《安全评价通则》（AQ8001-2007）</w:t>
      </w:r>
      <w:bookmarkEnd w:id="1149"/>
      <w:bookmarkEnd w:id="1150"/>
      <w:bookmarkEnd w:id="1151"/>
      <w:bookmarkEnd w:id="1152"/>
      <w:bookmarkEnd w:id="1155"/>
    </w:p>
    <w:p w14:paraId="0FD43E6E">
      <w:pPr>
        <w:pStyle w:val="3"/>
        <w:adjustRightInd w:val="0"/>
        <w:spacing w:before="120" w:after="120"/>
        <w:rPr>
          <w:rFonts w:hint="eastAsia" w:ascii="Times New Roman" w:hAnsi="Times New Roman"/>
          <w:b w:val="0"/>
          <w:color w:val="auto"/>
          <w:lang w:val="en-US" w:eastAsia="zh-CN"/>
        </w:rPr>
      </w:pPr>
      <w:r>
        <w:rPr>
          <w:rFonts w:ascii="Times New Roman" w:hAnsi="Times New Roman"/>
          <w:color w:val="auto"/>
        </w:rPr>
        <w:br w:type="page"/>
      </w:r>
      <w:bookmarkStart w:id="1168" w:name="_Toc25602"/>
      <w:bookmarkStart w:id="1169" w:name="_Toc20476"/>
      <w:r>
        <w:rPr>
          <w:rFonts w:hint="eastAsia" w:ascii="Times New Roman" w:hAnsi="Times New Roman"/>
          <w:b w:val="0"/>
          <w:color w:val="auto"/>
        </w:rPr>
        <w:t>附件</w:t>
      </w:r>
      <w:r>
        <w:rPr>
          <w:rFonts w:hint="eastAsia" w:ascii="Times New Roman" w:hAnsi="Times New Roman"/>
          <w:b w:val="0"/>
          <w:color w:val="auto"/>
          <w:lang w:val="en-US" w:eastAsia="zh-CN"/>
        </w:rPr>
        <w:t>5</w:t>
      </w:r>
      <w:r>
        <w:rPr>
          <w:rFonts w:hint="eastAsia" w:ascii="Times New Roman" w:hAnsi="Times New Roman"/>
          <w:b w:val="0"/>
          <w:color w:val="auto"/>
        </w:rPr>
        <w:t>收集的附件</w:t>
      </w:r>
      <w:r>
        <w:rPr>
          <w:rFonts w:hint="eastAsia" w:ascii="Times New Roman" w:hAnsi="Times New Roman"/>
          <w:b w:val="0"/>
          <w:color w:val="auto"/>
          <w:lang w:val="en-US" w:eastAsia="zh-CN"/>
        </w:rPr>
        <w:t>资料</w:t>
      </w:r>
      <w:bookmarkEnd w:id="1168"/>
      <w:bookmarkEnd w:id="1169"/>
    </w:p>
    <w:p w14:paraId="6AAB05E8">
      <w:pPr>
        <w:rPr>
          <w:rFonts w:hint="eastAsia"/>
          <w:lang w:val="en-US" w:eastAsia="zh-CN"/>
        </w:rPr>
      </w:pPr>
    </w:p>
    <w:sectPr>
      <w:pgSz w:w="11905" w:h="16838"/>
      <w:pgMar w:top="1417" w:right="1134" w:bottom="1134" w:left="1587" w:header="850" w:footer="680" w:gutter="0"/>
      <w:pgNumType w:fmt="decimal"/>
      <w:cols w:space="0" w:num="1"/>
      <w:rtlGutter w:val="0"/>
      <w:docGrid w:type="lines" w:linePitch="38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Trebuchet MS">
    <w:panose1 w:val="020B0603020202020204"/>
    <w:charset w:val="00"/>
    <w:family w:val="swiss"/>
    <w:pitch w:val="default"/>
    <w:sig w:usb0="00000687" w:usb1="00000000" w:usb2="00000000" w:usb3="00000000" w:csb0="2000009F" w:csb1="00000000"/>
  </w:font>
  <w:font w:name="Verdana">
    <w:panose1 w:val="020B0604030504040204"/>
    <w:charset w:val="00"/>
    <w:family w:val="swiss"/>
    <w:pitch w:val="default"/>
    <w:sig w:usb0="A0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font>
  <w:font w:name="ˎ̥">
    <w:altName w:val="Times New Roman"/>
    <w:panose1 w:val="00000000000000000000"/>
    <w:charset w:val="00"/>
    <w:family w:val="roman"/>
    <w:pitch w:val="default"/>
    <w:sig w:usb0="00000000" w:usb1="00000000" w:usb2="00000000" w:usb3="00000000" w:csb0="00040001" w:csb1="00000000"/>
  </w:font>
  <w:font w:name="華康中明體">
    <w:altName w:val="Microsoft JhengHei"/>
    <w:panose1 w:val="00000000000000000000"/>
    <w:charset w:val="88"/>
    <w:family w:val="modern"/>
    <w:pitch w:val="default"/>
    <w:sig w:usb0="00000000" w:usb1="00000000" w:usb2="00000016" w:usb3="00000000" w:csb0="00100000" w:csb1="00000000"/>
  </w:font>
  <w:font w:name="Microsoft JhengHei">
    <w:panose1 w:val="020B0604030504040204"/>
    <w:charset w:val="88"/>
    <w:family w:val="auto"/>
    <w:pitch w:val="default"/>
    <w:sig w:usb0="000002A7" w:usb1="28CF4400" w:usb2="00000016" w:usb3="00000000" w:csb0="00100009" w:csb1="00000000"/>
  </w:font>
  <w:font w:name="微软雅黑">
    <w:panose1 w:val="020B0503020204020204"/>
    <w:charset w:val="86"/>
    <w:family w:val="swiss"/>
    <w:pitch w:val="default"/>
    <w:sig w:usb0="80000287" w:usb1="2ACF3C50" w:usb2="00000016" w:usb3="00000000" w:csb0="0004001F" w:csb1="00000000"/>
  </w:font>
  <w:font w:name="Bahnschrift Light">
    <w:panose1 w:val="020B0502040204020203"/>
    <w:charset w:val="00"/>
    <w:family w:val="swiss"/>
    <w:pitch w:val="default"/>
    <w:sig w:usb0="A00002C7" w:usb1="00000002" w:usb2="00000000" w:usb3="00000000" w:csb0="2000019F" w:csb1="00000000"/>
  </w:font>
  <w:font w:name="華康中黑體">
    <w:altName w:val="Microsoft JhengHei"/>
    <w:panose1 w:val="00000000000000000000"/>
    <w:charset w:val="88"/>
    <w:family w:val="modern"/>
    <w:pitch w:val="default"/>
    <w:sig w:usb0="00000000" w:usb1="00000000" w:usb2="00000016" w:usb3="00000000" w:csb0="00100000" w:csb1="00000000"/>
  </w:font>
  <w:font w:name="DFKai-SB">
    <w:altName w:val="Microsoft JhengHei Light"/>
    <w:panose1 w:val="00000000000000000000"/>
    <w:charset w:val="88"/>
    <w:family w:val="script"/>
    <w:pitch w:val="default"/>
    <w:sig w:usb0="00000000" w:usb1="00000000" w:usb2="00000016" w:usb3="00000000" w:csb0="00100001" w:csb1="00000000"/>
  </w:font>
  <w:font w:name="Microsoft JhengHei Light">
    <w:panose1 w:val="020B0304030504040204"/>
    <w:charset w:val="88"/>
    <w:family w:val="auto"/>
    <w:pitch w:val="default"/>
    <w:sig w:usb0="800002A7" w:usb1="28CF4400" w:usb2="00000016" w:usb3="00000000" w:csb0="00100009" w:csb1="00000000"/>
  </w:font>
  <w:font w:name="华文细黑">
    <w:panose1 w:val="02010600040101010101"/>
    <w:charset w:val="86"/>
    <w:family w:val="auto"/>
    <w:pitch w:val="default"/>
    <w:sig w:usb0="00000287" w:usb1="080F0000" w:usb2="00000000" w:usb3="00000000" w:csb0="0004009F" w:csb1="DFD70000"/>
  </w:font>
  <w:font w:name="Bahnschrift SemiBold">
    <w:panose1 w:val="020B0502040204020203"/>
    <w:charset w:val="00"/>
    <w:family w:val="swiss"/>
    <w:pitch w:val="default"/>
    <w:sig w:usb0="A00002C7" w:usb1="00000002" w:usb2="00000000" w:usb3="00000000" w:csb0="2000019F"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Georgia">
    <w:panose1 w:val="02040502050405020303"/>
    <w:charset w:val="00"/>
    <w:family w:val="roman"/>
    <w:pitch w:val="default"/>
    <w:sig w:usb0="00000287" w:usb1="00000000" w:usb2="00000000" w:usb3="00000000" w:csb0="2000009F" w:csb1="00000000"/>
  </w:font>
  <w:font w:name="Impact">
    <w:panose1 w:val="020B0806030902050204"/>
    <w:charset w:val="00"/>
    <w:family w:val="swiss"/>
    <w:pitch w:val="default"/>
    <w:sig w:usb0="00000287" w:usb1="00000000" w:usb2="00000000" w:usb3="00000000" w:csb0="2000009F" w:csb1="DFD70000"/>
  </w:font>
  <w:font w:name="Gulim">
    <w:altName w:val="Malgun Gothic"/>
    <w:panose1 w:val="020B0600000101010101"/>
    <w:charset w:val="81"/>
    <w:family w:val="swiss"/>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新宋体">
    <w:panose1 w:val="02010609030101010101"/>
    <w:charset w:val="86"/>
    <w:family w:val="modern"/>
    <w:pitch w:val="default"/>
    <w:sig w:usb0="00000203" w:usb1="288F0000" w:usb2="00000006" w:usb3="00000000" w:csb0="00040001" w:csb1="00000000"/>
  </w:font>
  <w:font w:name="MS Mincho">
    <w:altName w:val="Yu Gothic UI"/>
    <w:panose1 w:val="02020609040205080304"/>
    <w:charset w:val="80"/>
    <w:family w:val="modern"/>
    <w:pitch w:val="default"/>
    <w:sig w:usb0="00000000" w:usb1="00000000" w:usb2="00000010" w:usb3="00000000" w:csb0="4002009F" w:csb1="DFD70000"/>
  </w:font>
  <w:font w:name="Yu Gothic UI">
    <w:panose1 w:val="020B0500000000000000"/>
    <w:charset w:val="80"/>
    <w:family w:val="auto"/>
    <w:pitch w:val="default"/>
    <w:sig w:usb0="E00002FF" w:usb1="2AC7FDFF" w:usb2="00000016" w:usb3="00000000" w:csb0="2002009F" w:csb1="00000000"/>
  </w:font>
  <w:font w:name="..ì.">
    <w:altName w:val="Calibri"/>
    <w:panose1 w:val="00000000000000000000"/>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254A1">
    <w:pPr>
      <w:pStyle w:val="51"/>
      <w:pBdr>
        <w:top w:val="none" w:color="auto" w:sz="0" w:space="0"/>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12551">
    <w:pPr>
      <w:pBdr>
        <w:top w:val="none" w:color="auto" w:sz="0" w:space="1"/>
      </w:pBdr>
      <w:jc w:val="left"/>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995A3">
    <w:pPr>
      <w:pStyle w:val="51"/>
      <w:pBdr>
        <w:top w:val="none" w:color="auto" w:sz="0" w:space="0"/>
      </w:pBdr>
      <w:tabs>
        <w:tab w:val="center" w:pos="4153"/>
        <w:tab w:val="right" w:pos="8306"/>
      </w:tabs>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7A059">
    <w:pPr>
      <w:pStyle w:val="51"/>
      <w:jc w:val="left"/>
      <w:rPr>
        <w:rFonts w:hint="eastAsia" w:eastAsia="宋体"/>
        <w:sz w:val="21"/>
        <w:szCs w:val="21"/>
        <w:lang w:eastAsia="zh-CN"/>
      </w:rPr>
    </w:pPr>
    <w:r>
      <w:rPr>
        <w:rFonts w:hint="eastAsia"/>
        <w:sz w:val="21"/>
        <w:szCs w:val="21"/>
        <w:lang w:eastAsia="zh-CN"/>
      </w:rPr>
      <w:t>昭通市鼎安科技有限公司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8FD62">
    <w:pPr>
      <w:pStyle w:val="51"/>
      <w:jc w:val="left"/>
      <w:rPr>
        <w:rFonts w:hint="eastAsia" w:eastAsia="宋体"/>
        <w:sz w:val="21"/>
        <w:szCs w:val="21"/>
        <w:lang w:eastAsia="zh-CN"/>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6CEC13">
                          <w:pPr>
                            <w:pStyle w:val="51"/>
                            <w:keepNext w:val="0"/>
                            <w:keepLines w:val="0"/>
                            <w:pageBreakBefore w:val="0"/>
                            <w:widowControl w:val="0"/>
                            <w:pBdr>
                              <w:top w:val="none" w:color="auto" w:sz="0" w:space="1"/>
                              <w:left w:val="none" w:color="auto" w:sz="0" w:space="0"/>
                              <w:bottom w:val="none" w:color="auto" w:sz="0" w:space="0"/>
                              <w:right w:val="none" w:color="auto" w:sz="0" w:space="0"/>
                              <w:between w:val="none" w:color="auto" w:sz="0" w:space="0"/>
                            </w:pBdr>
                            <w:kinsoku/>
                            <w:wordWrap/>
                            <w:overflowPunct/>
                            <w:topLinePunct w:val="0"/>
                            <w:bidi w:val="0"/>
                            <w:adjustRightInd/>
                            <w:snapToGrid/>
                            <w:textAlignment w:val="auto"/>
                            <w:rPr>
                              <w:sz w:val="21"/>
                              <w:szCs w:val="21"/>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6E6CEC13">
                    <w:pPr>
                      <w:pStyle w:val="51"/>
                      <w:keepNext w:val="0"/>
                      <w:keepLines w:val="0"/>
                      <w:pageBreakBefore w:val="0"/>
                      <w:widowControl w:val="0"/>
                      <w:pBdr>
                        <w:top w:val="none" w:color="auto" w:sz="0" w:space="1"/>
                        <w:left w:val="none" w:color="auto" w:sz="0" w:space="0"/>
                        <w:bottom w:val="none" w:color="auto" w:sz="0" w:space="0"/>
                        <w:right w:val="none" w:color="auto" w:sz="0" w:space="0"/>
                        <w:between w:val="none" w:color="auto" w:sz="0" w:space="0"/>
                      </w:pBdr>
                      <w:kinsoku/>
                      <w:wordWrap/>
                      <w:overflowPunct/>
                      <w:topLinePunct w:val="0"/>
                      <w:bidi w:val="0"/>
                      <w:adjustRightInd/>
                      <w:snapToGrid/>
                      <w:textAlignment w:val="auto"/>
                      <w:rPr>
                        <w:sz w:val="21"/>
                        <w:szCs w:val="21"/>
                      </w:rPr>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sz w:val="21"/>
        <w:szCs w:val="21"/>
        <w:lang w:eastAsia="zh-CN"/>
      </w:rPr>
      <w:t>昭通市鼎安科技有限公司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4D340">
    <w:pPr>
      <w:pStyle w:val="51"/>
      <w:tabs>
        <w:tab w:val="center" w:pos="4592"/>
        <w:tab w:val="clear" w:pos="4153"/>
      </w:tabs>
      <w:jc w:val="left"/>
      <w:rPr>
        <w:rFonts w:hint="eastAsia" w:eastAsia="宋体"/>
        <w:sz w:val="21"/>
        <w:szCs w:val="21"/>
        <w:lang w:eastAsia="zh-CN"/>
      </w:rPr>
    </w:pPr>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324485"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32448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169B2C">
                          <w:pPr>
                            <w:pStyle w:val="51"/>
                            <w:keepNext w:val="0"/>
                            <w:keepLines w:val="0"/>
                            <w:pageBreakBefore w:val="0"/>
                            <w:widowControl w:val="0"/>
                            <w:pBdr>
                              <w:top w:val="none" w:color="auto" w:sz="0" w:space="1"/>
                              <w:left w:val="none" w:color="auto" w:sz="0" w:space="0"/>
                              <w:bottom w:val="none" w:color="auto" w:sz="0" w:space="0"/>
                              <w:right w:val="none" w:color="auto" w:sz="0" w:space="0"/>
                              <w:between w:val="none" w:color="auto" w:sz="0" w:space="0"/>
                            </w:pBdr>
                            <w:kinsoku/>
                            <w:wordWrap/>
                            <w:overflowPunct/>
                            <w:topLinePunct w:val="0"/>
                            <w:bidi w:val="0"/>
                            <w:adjustRightInd/>
                            <w:snapToGrid/>
                            <w:textAlignment w:val="auto"/>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25.55pt;mso-position-horizontal:center;mso-position-horizontal-relative:margin;z-index:251667456;mso-width-relative:page;mso-height-relative:page;" filled="f" stroked="f" coordsize="21600,21600" o:gfxdata="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pJxFrTAAAABAEAAA8AAAAAAAAAAQAgAAAAIgAAAGRycy9kb3ducmV2&#10;LnhtbFBLAQIUABQAAAAIAIdO4kCovjGzOgIAAGQEAAAOAAAAAAAAAAEAIAAAACIBAABkcnMvZTJv&#10;RG9jLnhtbFBLBQYAAAAABgAGAFkBAADOBQAAAAA=&#10;">
              <v:fill on="f" focussize="0,0"/>
              <v:stroke on="f" weight="0.5pt"/>
              <v:imagedata o:title=""/>
              <o:lock v:ext="edit" aspectratio="f"/>
              <v:textbox inset="0mm,0mm,0mm,0mm" style="mso-fit-shape-to-text:t;">
                <w:txbxContent>
                  <w:p w14:paraId="37169B2C">
                    <w:pPr>
                      <w:pStyle w:val="51"/>
                      <w:keepNext w:val="0"/>
                      <w:keepLines w:val="0"/>
                      <w:pageBreakBefore w:val="0"/>
                      <w:widowControl w:val="0"/>
                      <w:pBdr>
                        <w:top w:val="none" w:color="auto" w:sz="0" w:space="1"/>
                        <w:left w:val="none" w:color="auto" w:sz="0" w:space="0"/>
                        <w:bottom w:val="none" w:color="auto" w:sz="0" w:space="0"/>
                        <w:right w:val="none" w:color="auto" w:sz="0" w:space="0"/>
                        <w:between w:val="none" w:color="auto" w:sz="0" w:space="0"/>
                      </w:pBdr>
                      <w:kinsoku/>
                      <w:wordWrap/>
                      <w:overflowPunct/>
                      <w:topLinePunct w:val="0"/>
                      <w:bidi w:val="0"/>
                      <w:adjustRightInd/>
                      <w:snapToGrid/>
                      <w:textAlignment w:val="auto"/>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v:textbox>
            </v:shape>
          </w:pict>
        </mc:Fallback>
      </mc:AlternateContent>
    </w:r>
    <w:r>
      <w:rPr>
        <w:rFonts w:hint="eastAsia"/>
        <w:sz w:val="21"/>
        <w:szCs w:val="21"/>
        <w:lang w:eastAsia="zh-CN"/>
      </w:rPr>
      <w:t>昭通市鼎安科技有限公司</w:t>
    </w:r>
    <w:r>
      <w:rPr>
        <w:rFonts w:hint="eastAsia"/>
        <w:sz w:val="21"/>
        <w:szCs w:val="21"/>
        <w:lang w:eastAsia="zh-C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9092E">
    <w:pPr>
      <w:pStyle w:val="53"/>
      <w:pBdr>
        <w:bottom w:val="none" w:color="auto" w:sz="0" w:space="0"/>
      </w:pBdr>
      <w:tabs>
        <w:tab w:val="left" w:pos="4200"/>
        <w:tab w:val="left" w:pos="4620"/>
        <w:tab w:val="clear" w:pos="8306"/>
      </w:tabs>
      <w:jc w:val="left"/>
    </w:pPr>
    <w:r>
      <w:tab/>
    </w:r>
    <w:r>
      <w:tab/>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8157C">
    <w:pPr>
      <w:pStyle w:val="5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20F29">
    <w:pPr>
      <w:pStyle w:val="53"/>
      <w:pBdr>
        <w:bottom w:val="none" w:color="auto" w:sz="0" w:space="1"/>
      </w:pBdr>
      <w:rPr>
        <w:b/>
        <w:bC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DB762">
    <w:pPr>
      <w:pStyle w:val="53"/>
      <w:rPr>
        <w:rFonts w:hint="default" w:ascii="Times New Roman" w:hAnsi="Times New Roman" w:eastAsia="宋体" w:cs="Times New Roman"/>
        <w:sz w:val="21"/>
        <w:szCs w:val="21"/>
      </w:rPr>
    </w:pPr>
    <w:r>
      <w:rPr>
        <w:rFonts w:hint="default" w:ascii="Times New Roman" w:hAnsi="Times New Roman" w:eastAsia="宋体" w:cs="Times New Roman"/>
        <w:color w:val="000000" w:themeColor="text1"/>
        <w:sz w:val="21"/>
        <w:szCs w:val="21"/>
        <w14:textFill>
          <w14:solidFill>
            <w14:schemeClr w14:val="tx1"/>
          </w14:solidFill>
        </w14:textFill>
      </w:rPr>
      <w:t>云南瓮福祥丰氟硅新材料有限公司</w:t>
    </w:r>
    <w:r>
      <w:rPr>
        <w:rFonts w:hint="default" w:ascii="Times New Roman" w:hAnsi="Times New Roman" w:eastAsia="宋体" w:cs="Times New Roman"/>
        <w:sz w:val="21"/>
        <w:szCs w:val="21"/>
      </w:rPr>
      <w:t>3万吨/年无水氟化氢和2万吨/年电子级氢氟酸厂外公用工程管架建设项目安全</w:t>
    </w:r>
    <w:r>
      <w:rPr>
        <w:rFonts w:hint="default" w:ascii="Times New Roman" w:hAnsi="Times New Roman" w:eastAsia="宋体" w:cs="Times New Roman"/>
        <w:sz w:val="21"/>
        <w:szCs w:val="21"/>
        <w:lang w:val="en-US" w:eastAsia="zh-CN"/>
      </w:rPr>
      <w:t>验收</w:t>
    </w:r>
    <w:r>
      <w:rPr>
        <w:rFonts w:hint="default" w:ascii="Times New Roman" w:hAnsi="Times New Roman" w:eastAsia="宋体" w:cs="Times New Roman"/>
        <w:sz w:val="21"/>
        <w:szCs w:val="21"/>
      </w:rPr>
      <w:t>评价报告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C32DA">
    <w:pPr>
      <w:pStyle w:val="53"/>
      <w:rPr>
        <w:sz w:val="21"/>
        <w:szCs w:val="21"/>
      </w:rPr>
    </w:pPr>
    <w:r>
      <w:rPr>
        <w:rFonts w:hint="eastAsia"/>
        <w:color w:val="000000" w:themeColor="text1"/>
        <w:sz w:val="21"/>
        <w:szCs w:val="21"/>
        <w14:textFill>
          <w14:solidFill>
            <w14:schemeClr w14:val="tx1"/>
          </w14:solidFill>
        </w14:textFill>
      </w:rPr>
      <w:t>云南瓮福祥丰氟硅新材料有限公司3万吨/年无水氟化氢和2万吨/年电子级氢氟酸厂外公用工程管架建设项目安全预评价报告</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附件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C98BE8"/>
    <w:multiLevelType w:val="singleLevel"/>
    <w:tmpl w:val="81C98BE8"/>
    <w:lvl w:ilvl="0" w:tentative="0">
      <w:start w:val="1"/>
      <w:numFmt w:val="decimalEnclosedCircleChinese"/>
      <w:suff w:val="nothing"/>
      <w:lvlText w:val="%1　"/>
      <w:lvlJc w:val="left"/>
      <w:pPr>
        <w:ind w:left="0" w:firstLine="400"/>
      </w:pPr>
      <w:rPr>
        <w:rFonts w:hint="eastAsia"/>
      </w:rPr>
    </w:lvl>
  </w:abstractNum>
  <w:abstractNum w:abstractNumId="1">
    <w:nsid w:val="8DC96F64"/>
    <w:multiLevelType w:val="singleLevel"/>
    <w:tmpl w:val="8DC96F64"/>
    <w:lvl w:ilvl="0" w:tentative="0">
      <w:start w:val="1"/>
      <w:numFmt w:val="decimal"/>
      <w:suff w:val="nothing"/>
      <w:lvlText w:val="%1、"/>
      <w:lvlJc w:val="left"/>
    </w:lvl>
  </w:abstractNum>
  <w:abstractNum w:abstractNumId="2">
    <w:nsid w:val="A52C8ADF"/>
    <w:multiLevelType w:val="singleLevel"/>
    <w:tmpl w:val="A52C8ADF"/>
    <w:lvl w:ilvl="0" w:tentative="0">
      <w:start w:val="1"/>
      <w:numFmt w:val="decimal"/>
      <w:suff w:val="nothing"/>
      <w:lvlText w:val="（%1）"/>
      <w:lvlJc w:val="left"/>
    </w:lvl>
  </w:abstractNum>
  <w:abstractNum w:abstractNumId="3">
    <w:nsid w:val="A8A9E6F7"/>
    <w:multiLevelType w:val="singleLevel"/>
    <w:tmpl w:val="A8A9E6F7"/>
    <w:lvl w:ilvl="0" w:tentative="0">
      <w:start w:val="1"/>
      <w:numFmt w:val="decimal"/>
      <w:suff w:val="nothing"/>
      <w:lvlText w:val="%1、"/>
      <w:lvlJc w:val="left"/>
    </w:lvl>
  </w:abstractNum>
  <w:abstractNum w:abstractNumId="4">
    <w:nsid w:val="ADF78D36"/>
    <w:multiLevelType w:val="singleLevel"/>
    <w:tmpl w:val="ADF78D36"/>
    <w:lvl w:ilvl="0" w:tentative="0">
      <w:start w:val="1"/>
      <w:numFmt w:val="decimalEnclosedCircleChinese"/>
      <w:suff w:val="nothing"/>
      <w:lvlText w:val="%1　"/>
      <w:lvlJc w:val="left"/>
      <w:pPr>
        <w:ind w:left="0" w:firstLine="400"/>
      </w:pPr>
      <w:rPr>
        <w:rFonts w:hint="eastAsia"/>
      </w:rPr>
    </w:lvl>
  </w:abstractNum>
  <w:abstractNum w:abstractNumId="5">
    <w:nsid w:val="B1B197F4"/>
    <w:multiLevelType w:val="multilevel"/>
    <w:tmpl w:val="B1B197F4"/>
    <w:lvl w:ilvl="0" w:tentative="0">
      <w:start w:val="1"/>
      <w:numFmt w:val="decimal"/>
      <w:suff w:val="space"/>
      <w:lvlText w:val="第%1章"/>
      <w:lvlJc w:val="left"/>
      <w:pPr>
        <w:ind w:left="993" w:firstLine="0"/>
      </w:pPr>
      <w:rPr>
        <w:rFonts w:hint="eastAsia"/>
        <w:lang w:val="en-US"/>
      </w:rPr>
    </w:lvl>
    <w:lvl w:ilvl="1" w:tentative="0">
      <w:start w:val="1"/>
      <w:numFmt w:val="decimal"/>
      <w:pStyle w:val="4"/>
      <w:suff w:val="space"/>
      <w:lvlText w:val="%1.%2"/>
      <w:lvlJc w:val="left"/>
      <w:pPr>
        <w:ind w:left="0" w:firstLine="0"/>
      </w:pPr>
      <w:rPr>
        <w:rFonts w:hint="default" w:ascii="Times New Roman" w:hAnsi="Times New Roman" w:eastAsia="黑体" w:cs="Times New Roman"/>
        <w:sz w:val="36"/>
        <w:szCs w:val="36"/>
      </w:rPr>
    </w:lvl>
    <w:lvl w:ilvl="2" w:tentative="0">
      <w:start w:val="1"/>
      <w:numFmt w:val="decimal"/>
      <w:suff w:val="space"/>
      <w:lvlText w:val="%1.%2.%3"/>
      <w:lvlJc w:val="left"/>
      <w:pPr>
        <w:ind w:left="0" w:firstLine="0"/>
      </w:pPr>
      <w:rPr>
        <w:rFonts w:hint="default" w:ascii="Times New Roman" w:hAnsi="Times New Roman" w:eastAsia="黑体" w:cs="Times New Roman"/>
        <w:sz w:val="32"/>
        <w:szCs w:val="32"/>
      </w:rPr>
    </w:lvl>
    <w:lvl w:ilvl="3" w:tentative="0">
      <w:start w:val="1"/>
      <w:numFmt w:val="decimal"/>
      <w:suff w:val="space"/>
      <w:lvlText w:val="%1.%2.%3.%4"/>
      <w:lvlJc w:val="left"/>
      <w:pPr>
        <w:ind w:left="1130" w:hanging="280"/>
      </w:pPr>
      <w:rPr>
        <w:rFonts w:hint="default" w:ascii="Times New Roman" w:hAnsi="Times New Roman" w:eastAsia="黑体" w:cs="Times New Roman"/>
        <w:sz w:val="28"/>
        <w:szCs w:val="28"/>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6">
    <w:nsid w:val="B4898EFD"/>
    <w:multiLevelType w:val="singleLevel"/>
    <w:tmpl w:val="B4898EFD"/>
    <w:lvl w:ilvl="0" w:tentative="0">
      <w:start w:val="1"/>
      <w:numFmt w:val="decimalEnclosedCircleChinese"/>
      <w:suff w:val="nothing"/>
      <w:lvlText w:val="%1　"/>
      <w:lvlJc w:val="left"/>
      <w:pPr>
        <w:ind w:left="0" w:firstLine="400"/>
      </w:pPr>
      <w:rPr>
        <w:rFonts w:hint="eastAsia"/>
      </w:rPr>
    </w:lvl>
  </w:abstractNum>
  <w:abstractNum w:abstractNumId="7">
    <w:nsid w:val="CAF92782"/>
    <w:multiLevelType w:val="multilevel"/>
    <w:tmpl w:val="CAF92782"/>
    <w:lvl w:ilvl="0" w:tentative="0">
      <w:start w:val="1"/>
      <w:numFmt w:val="decimal"/>
      <w:lvlText w:val="%1."/>
      <w:lvlJc w:val="left"/>
      <w:pPr>
        <w:tabs>
          <w:tab w:val="left" w:pos="0"/>
        </w:tabs>
        <w:ind w:left="980" w:hanging="980"/>
      </w:pPr>
    </w:lvl>
    <w:lvl w:ilvl="1" w:tentative="0">
      <w:start w:val="1"/>
      <w:numFmt w:val="lowerLetter"/>
      <w:lvlText w:val="%2)"/>
      <w:lvlJc w:val="left"/>
      <w:pPr>
        <w:tabs>
          <w:tab w:val="left" w:pos="1400"/>
        </w:tabs>
        <w:ind w:left="1400" w:hanging="420"/>
      </w:pPr>
    </w:lvl>
    <w:lvl w:ilvl="2" w:tentative="0">
      <w:start w:val="1"/>
      <w:numFmt w:val="lowerRoman"/>
      <w:lvlText w:val="%3."/>
      <w:lvlJc w:val="right"/>
      <w:pPr>
        <w:tabs>
          <w:tab w:val="left" w:pos="1820"/>
        </w:tabs>
        <w:ind w:left="1820" w:hanging="420"/>
      </w:pPr>
    </w:lvl>
    <w:lvl w:ilvl="3" w:tentative="0">
      <w:start w:val="1"/>
      <w:numFmt w:val="decimal"/>
      <w:lvlText w:val="%4."/>
      <w:lvlJc w:val="left"/>
      <w:pPr>
        <w:tabs>
          <w:tab w:val="left" w:pos="2240"/>
        </w:tabs>
        <w:ind w:left="2240" w:hanging="420"/>
      </w:pPr>
    </w:lvl>
    <w:lvl w:ilvl="4" w:tentative="0">
      <w:start w:val="1"/>
      <w:numFmt w:val="lowerLetter"/>
      <w:lvlText w:val="%5)"/>
      <w:lvlJc w:val="left"/>
      <w:pPr>
        <w:tabs>
          <w:tab w:val="left" w:pos="2660"/>
        </w:tabs>
        <w:ind w:left="2660" w:hanging="420"/>
      </w:pPr>
    </w:lvl>
    <w:lvl w:ilvl="5" w:tentative="0">
      <w:start w:val="1"/>
      <w:numFmt w:val="lowerRoman"/>
      <w:lvlText w:val="%6."/>
      <w:lvlJc w:val="right"/>
      <w:pPr>
        <w:tabs>
          <w:tab w:val="left" w:pos="3080"/>
        </w:tabs>
        <w:ind w:left="3080" w:hanging="420"/>
      </w:pPr>
    </w:lvl>
    <w:lvl w:ilvl="6" w:tentative="0">
      <w:start w:val="1"/>
      <w:numFmt w:val="decimal"/>
      <w:lvlText w:val="%7."/>
      <w:lvlJc w:val="left"/>
      <w:pPr>
        <w:tabs>
          <w:tab w:val="left" w:pos="3500"/>
        </w:tabs>
        <w:ind w:left="3500" w:hanging="420"/>
      </w:pPr>
    </w:lvl>
    <w:lvl w:ilvl="7" w:tentative="0">
      <w:start w:val="1"/>
      <w:numFmt w:val="lowerLetter"/>
      <w:lvlText w:val="%8)"/>
      <w:lvlJc w:val="left"/>
      <w:pPr>
        <w:tabs>
          <w:tab w:val="left" w:pos="3920"/>
        </w:tabs>
        <w:ind w:left="3920" w:hanging="420"/>
      </w:pPr>
    </w:lvl>
    <w:lvl w:ilvl="8" w:tentative="0">
      <w:start w:val="1"/>
      <w:numFmt w:val="lowerRoman"/>
      <w:lvlText w:val="%9."/>
      <w:lvlJc w:val="right"/>
      <w:pPr>
        <w:tabs>
          <w:tab w:val="left" w:pos="4340"/>
        </w:tabs>
        <w:ind w:left="4340" w:hanging="420"/>
      </w:pPr>
    </w:lvl>
  </w:abstractNum>
  <w:abstractNum w:abstractNumId="8">
    <w:nsid w:val="CB176FF2"/>
    <w:multiLevelType w:val="multilevel"/>
    <w:tmpl w:val="CB176FF2"/>
    <w:lvl w:ilvl="0" w:tentative="0">
      <w:start w:val="1"/>
      <w:numFmt w:val="decimal"/>
      <w:lvlText w:val="第%1章"/>
      <w:lvlJc w:val="center"/>
      <w:pPr>
        <w:tabs>
          <w:tab w:val="left" w:pos="931"/>
        </w:tabs>
        <w:ind w:left="-61" w:firstLine="0"/>
      </w:pPr>
      <w:rPr>
        <w:rFonts w:hint="eastAsia"/>
      </w:rPr>
    </w:lvl>
    <w:lvl w:ilvl="1" w:tentative="0">
      <w:start w:val="3"/>
      <w:numFmt w:val="decimal"/>
      <w:pStyle w:val="1040"/>
      <w:lvlText w:val="%1.%2"/>
      <w:lvlJc w:val="left"/>
      <w:pPr>
        <w:tabs>
          <w:tab w:val="left" w:pos="790"/>
        </w:tabs>
        <w:ind w:left="-61" w:firstLine="0"/>
      </w:pPr>
      <w:rPr>
        <w:rFonts w:hint="default" w:hAnsi="Times New Roman"/>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5"/>
      <w:lvlText w:val="%1.%2.%3"/>
      <w:lvlJc w:val="left"/>
      <w:pPr>
        <w:ind w:left="0" w:firstLine="0"/>
      </w:pPr>
      <w:rPr>
        <w:rFonts w:hint="default"/>
      </w:rPr>
    </w:lvl>
    <w:lvl w:ilvl="3" w:tentative="0">
      <w:start w:val="1"/>
      <w:numFmt w:val="decimal"/>
      <w:pStyle w:val="6"/>
      <w:lvlText w:val="%1.%2.%3.%4"/>
      <w:lvlJc w:val="left"/>
      <w:pPr>
        <w:ind w:left="575" w:firstLine="0"/>
      </w:pPr>
      <w:rPr>
        <w:rFonts w:hint="eastAsia"/>
      </w:rPr>
    </w:lvl>
    <w:lvl w:ilvl="4" w:tentative="0">
      <w:start w:val="1"/>
      <w:numFmt w:val="decimal"/>
      <w:pStyle w:val="7"/>
      <w:lvlText w:val="%1.%2.%3.%4.%5"/>
      <w:lvlJc w:val="left"/>
      <w:pPr>
        <w:ind w:left="-61" w:firstLine="0"/>
      </w:pPr>
      <w:rPr>
        <w:rFonts w:hint="eastAsia"/>
      </w:rPr>
    </w:lvl>
    <w:lvl w:ilvl="5" w:tentative="0">
      <w:start w:val="1"/>
      <w:numFmt w:val="lowerRoman"/>
      <w:lvlText w:val="%6."/>
      <w:lvlJc w:val="right"/>
      <w:pPr>
        <w:ind w:left="2459" w:hanging="420"/>
      </w:pPr>
      <w:rPr>
        <w:rFonts w:hint="eastAsia"/>
      </w:rPr>
    </w:lvl>
    <w:lvl w:ilvl="6" w:tentative="0">
      <w:start w:val="1"/>
      <w:numFmt w:val="decimal"/>
      <w:lvlText w:val="%7."/>
      <w:lvlJc w:val="left"/>
      <w:pPr>
        <w:ind w:left="2879" w:hanging="420"/>
      </w:pPr>
      <w:rPr>
        <w:rFonts w:hint="eastAsia"/>
      </w:rPr>
    </w:lvl>
    <w:lvl w:ilvl="7" w:tentative="0">
      <w:start w:val="1"/>
      <w:numFmt w:val="lowerLetter"/>
      <w:lvlText w:val="%8)"/>
      <w:lvlJc w:val="left"/>
      <w:pPr>
        <w:ind w:left="3299" w:hanging="420"/>
      </w:pPr>
      <w:rPr>
        <w:rFonts w:hint="eastAsia"/>
      </w:rPr>
    </w:lvl>
    <w:lvl w:ilvl="8" w:tentative="0">
      <w:start w:val="1"/>
      <w:numFmt w:val="lowerRoman"/>
      <w:lvlText w:val="%9."/>
      <w:lvlJc w:val="right"/>
      <w:pPr>
        <w:ind w:left="3719" w:hanging="420"/>
      </w:pPr>
      <w:rPr>
        <w:rFonts w:hint="eastAsia"/>
      </w:rPr>
    </w:lvl>
  </w:abstractNum>
  <w:abstractNum w:abstractNumId="9">
    <w:nsid w:val="D595E4A6"/>
    <w:multiLevelType w:val="multilevel"/>
    <w:tmpl w:val="D595E4A6"/>
    <w:lvl w:ilvl="0" w:tentative="0">
      <w:start w:val="1"/>
      <w:numFmt w:val="decimal"/>
      <w:lvlText w:val="%1."/>
      <w:lvlJc w:val="left"/>
      <w:pPr>
        <w:tabs>
          <w:tab w:val="left" w:pos="0"/>
        </w:tabs>
        <w:ind w:left="980" w:hanging="980"/>
      </w:pPr>
    </w:lvl>
    <w:lvl w:ilvl="1" w:tentative="0">
      <w:start w:val="1"/>
      <w:numFmt w:val="lowerLetter"/>
      <w:lvlText w:val="%2)"/>
      <w:lvlJc w:val="left"/>
      <w:pPr>
        <w:tabs>
          <w:tab w:val="left" w:pos="1400"/>
        </w:tabs>
        <w:ind w:left="1400" w:hanging="420"/>
      </w:pPr>
    </w:lvl>
    <w:lvl w:ilvl="2" w:tentative="0">
      <w:start w:val="1"/>
      <w:numFmt w:val="lowerRoman"/>
      <w:lvlText w:val="%3."/>
      <w:lvlJc w:val="right"/>
      <w:pPr>
        <w:tabs>
          <w:tab w:val="left" w:pos="1820"/>
        </w:tabs>
        <w:ind w:left="1820" w:hanging="420"/>
      </w:pPr>
    </w:lvl>
    <w:lvl w:ilvl="3" w:tentative="0">
      <w:start w:val="1"/>
      <w:numFmt w:val="decimal"/>
      <w:lvlText w:val="%4."/>
      <w:lvlJc w:val="left"/>
      <w:pPr>
        <w:tabs>
          <w:tab w:val="left" w:pos="2240"/>
        </w:tabs>
        <w:ind w:left="2240" w:hanging="420"/>
      </w:pPr>
    </w:lvl>
    <w:lvl w:ilvl="4" w:tentative="0">
      <w:start w:val="1"/>
      <w:numFmt w:val="lowerLetter"/>
      <w:lvlText w:val="%5)"/>
      <w:lvlJc w:val="left"/>
      <w:pPr>
        <w:tabs>
          <w:tab w:val="left" w:pos="2660"/>
        </w:tabs>
        <w:ind w:left="2660" w:hanging="420"/>
      </w:pPr>
    </w:lvl>
    <w:lvl w:ilvl="5" w:tentative="0">
      <w:start w:val="1"/>
      <w:numFmt w:val="lowerRoman"/>
      <w:lvlText w:val="%6."/>
      <w:lvlJc w:val="right"/>
      <w:pPr>
        <w:tabs>
          <w:tab w:val="left" w:pos="3080"/>
        </w:tabs>
        <w:ind w:left="3080" w:hanging="420"/>
      </w:pPr>
    </w:lvl>
    <w:lvl w:ilvl="6" w:tentative="0">
      <w:start w:val="1"/>
      <w:numFmt w:val="decimal"/>
      <w:lvlText w:val="%7."/>
      <w:lvlJc w:val="left"/>
      <w:pPr>
        <w:tabs>
          <w:tab w:val="left" w:pos="3500"/>
        </w:tabs>
        <w:ind w:left="3500" w:hanging="420"/>
      </w:pPr>
    </w:lvl>
    <w:lvl w:ilvl="7" w:tentative="0">
      <w:start w:val="1"/>
      <w:numFmt w:val="lowerLetter"/>
      <w:lvlText w:val="%8)"/>
      <w:lvlJc w:val="left"/>
      <w:pPr>
        <w:tabs>
          <w:tab w:val="left" w:pos="3920"/>
        </w:tabs>
        <w:ind w:left="3920" w:hanging="420"/>
      </w:pPr>
    </w:lvl>
    <w:lvl w:ilvl="8" w:tentative="0">
      <w:start w:val="1"/>
      <w:numFmt w:val="lowerRoman"/>
      <w:lvlText w:val="%9."/>
      <w:lvlJc w:val="right"/>
      <w:pPr>
        <w:tabs>
          <w:tab w:val="left" w:pos="4340"/>
        </w:tabs>
        <w:ind w:left="4340" w:hanging="420"/>
      </w:pPr>
    </w:lvl>
  </w:abstractNum>
  <w:abstractNum w:abstractNumId="10">
    <w:nsid w:val="D99A959D"/>
    <w:multiLevelType w:val="singleLevel"/>
    <w:tmpl w:val="D99A959D"/>
    <w:lvl w:ilvl="0" w:tentative="0">
      <w:start w:val="3"/>
      <w:numFmt w:val="decimal"/>
      <w:suff w:val="nothing"/>
      <w:lvlText w:val="%1、"/>
      <w:lvlJc w:val="left"/>
    </w:lvl>
  </w:abstractNum>
  <w:abstractNum w:abstractNumId="11">
    <w:nsid w:val="DF8DAC8C"/>
    <w:multiLevelType w:val="singleLevel"/>
    <w:tmpl w:val="DF8DAC8C"/>
    <w:lvl w:ilvl="0" w:tentative="0">
      <w:start w:val="1"/>
      <w:numFmt w:val="decimal"/>
      <w:lvlText w:val="%1."/>
      <w:lvlJc w:val="left"/>
      <w:pPr>
        <w:tabs>
          <w:tab w:val="left" w:pos="312"/>
        </w:tabs>
      </w:pPr>
    </w:lvl>
  </w:abstractNum>
  <w:abstractNum w:abstractNumId="12">
    <w:nsid w:val="F239B169"/>
    <w:multiLevelType w:val="singleLevel"/>
    <w:tmpl w:val="F239B169"/>
    <w:lvl w:ilvl="0" w:tentative="0">
      <w:start w:val="1"/>
      <w:numFmt w:val="decimal"/>
      <w:suff w:val="nothing"/>
      <w:lvlText w:val="%1."/>
      <w:lvlJc w:val="left"/>
    </w:lvl>
  </w:abstractNum>
  <w:abstractNum w:abstractNumId="13">
    <w:nsid w:val="F70D3F5D"/>
    <w:multiLevelType w:val="singleLevel"/>
    <w:tmpl w:val="F70D3F5D"/>
    <w:lvl w:ilvl="0" w:tentative="0">
      <w:start w:val="1"/>
      <w:numFmt w:val="decimalEnclosedCircleChinese"/>
      <w:suff w:val="nothing"/>
      <w:lvlText w:val="%1　"/>
      <w:lvlJc w:val="left"/>
      <w:pPr>
        <w:ind w:left="0" w:firstLine="400"/>
      </w:pPr>
      <w:rPr>
        <w:rFonts w:hint="eastAsia"/>
      </w:rPr>
    </w:lvl>
  </w:abstractNum>
  <w:abstractNum w:abstractNumId="14">
    <w:nsid w:val="FBD21D76"/>
    <w:multiLevelType w:val="multilevel"/>
    <w:tmpl w:val="FBD21D76"/>
    <w:lvl w:ilvl="0" w:tentative="0">
      <w:start w:val="1"/>
      <w:numFmt w:val="decimal"/>
      <w:lvlText w:val="%1."/>
      <w:lvlJc w:val="left"/>
      <w:pPr>
        <w:tabs>
          <w:tab w:val="left" w:pos="1049"/>
        </w:tabs>
        <w:ind w:left="0" w:firstLine="482"/>
      </w:pPr>
      <w:rPr>
        <w:rFonts w:hint="eastAsia" w:ascii="宋体" w:hAnsi="宋体" w:eastAsia="宋体"/>
        <w:kern w:val="2"/>
        <w:sz w:val="28"/>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5">
    <w:nsid w:val="FFC92E0B"/>
    <w:multiLevelType w:val="multilevel"/>
    <w:tmpl w:val="FFC92E0B"/>
    <w:lvl w:ilvl="0" w:tentative="0">
      <w:start w:val="1"/>
      <w:numFmt w:val="decimal"/>
      <w:lvlText w:val="%1."/>
      <w:lvlJc w:val="left"/>
      <w:pPr>
        <w:tabs>
          <w:tab w:val="left" w:pos="1049"/>
        </w:tabs>
        <w:ind w:left="0" w:firstLine="482"/>
      </w:pPr>
      <w:rPr>
        <w:rFonts w:hint="eastAsia" w:ascii="宋体" w:hAnsi="宋体" w:eastAsia="宋体"/>
        <w:kern w:val="2"/>
        <w:sz w:val="28"/>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6">
    <w:nsid w:val="03504036"/>
    <w:multiLevelType w:val="multilevel"/>
    <w:tmpl w:val="03504036"/>
    <w:lvl w:ilvl="0" w:tentative="0">
      <w:start w:val="1"/>
      <w:numFmt w:val="decimal"/>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7">
    <w:nsid w:val="04E27F9F"/>
    <w:multiLevelType w:val="multilevel"/>
    <w:tmpl w:val="04E27F9F"/>
    <w:lvl w:ilvl="0" w:tentative="0">
      <w:start w:val="1"/>
      <w:numFmt w:val="decimal"/>
      <w:pStyle w:val="1058"/>
      <w:suff w:val="space"/>
      <w:lvlText w:val="%1）"/>
      <w:lvlJc w:val="left"/>
      <w:pPr>
        <w:ind w:left="1215" w:hanging="720"/>
      </w:pPr>
      <w:rPr>
        <w:rFonts w:hint="default"/>
      </w:rPr>
    </w:lvl>
    <w:lvl w:ilvl="1" w:tentative="0">
      <w:start w:val="1"/>
      <w:numFmt w:val="lowerLetter"/>
      <w:pStyle w:val="1060"/>
      <w:lvlText w:val="%2)"/>
      <w:lvlJc w:val="left"/>
      <w:pPr>
        <w:ind w:left="1335" w:hanging="420"/>
      </w:pPr>
    </w:lvl>
    <w:lvl w:ilvl="2" w:tentative="0">
      <w:start w:val="1"/>
      <w:numFmt w:val="lowerRoman"/>
      <w:lvlText w:val="%3."/>
      <w:lvlJc w:val="right"/>
      <w:pPr>
        <w:ind w:left="1755" w:hanging="420"/>
      </w:pPr>
    </w:lvl>
    <w:lvl w:ilvl="3" w:tentative="0">
      <w:start w:val="1"/>
      <w:numFmt w:val="decimal"/>
      <w:pStyle w:val="1050"/>
      <w:lvlText w:val="%4."/>
      <w:lvlJc w:val="left"/>
      <w:pPr>
        <w:ind w:left="2175" w:hanging="420"/>
      </w:pPr>
    </w:lvl>
    <w:lvl w:ilvl="4" w:tentative="0">
      <w:start w:val="1"/>
      <w:numFmt w:val="lowerLetter"/>
      <w:lvlText w:val="%5)"/>
      <w:lvlJc w:val="left"/>
      <w:pPr>
        <w:ind w:left="2595" w:hanging="420"/>
      </w:pPr>
    </w:lvl>
    <w:lvl w:ilvl="5" w:tentative="0">
      <w:start w:val="1"/>
      <w:numFmt w:val="lowerRoman"/>
      <w:lvlText w:val="%6."/>
      <w:lvlJc w:val="right"/>
      <w:pPr>
        <w:ind w:left="3015" w:hanging="420"/>
      </w:pPr>
    </w:lvl>
    <w:lvl w:ilvl="6" w:tentative="0">
      <w:start w:val="1"/>
      <w:numFmt w:val="decimal"/>
      <w:lvlText w:val="%7."/>
      <w:lvlJc w:val="left"/>
      <w:pPr>
        <w:ind w:left="3435" w:hanging="420"/>
      </w:pPr>
    </w:lvl>
    <w:lvl w:ilvl="7" w:tentative="0">
      <w:start w:val="1"/>
      <w:numFmt w:val="lowerLetter"/>
      <w:lvlText w:val="%8)"/>
      <w:lvlJc w:val="left"/>
      <w:pPr>
        <w:ind w:left="3855" w:hanging="420"/>
      </w:pPr>
    </w:lvl>
    <w:lvl w:ilvl="8" w:tentative="0">
      <w:start w:val="1"/>
      <w:numFmt w:val="lowerRoman"/>
      <w:lvlText w:val="%9."/>
      <w:lvlJc w:val="right"/>
      <w:pPr>
        <w:ind w:left="4275" w:hanging="420"/>
      </w:pPr>
    </w:lvl>
  </w:abstractNum>
  <w:abstractNum w:abstractNumId="18">
    <w:nsid w:val="050B28EB"/>
    <w:multiLevelType w:val="singleLevel"/>
    <w:tmpl w:val="050B28EB"/>
    <w:lvl w:ilvl="0" w:tentative="0">
      <w:start w:val="1"/>
      <w:numFmt w:val="decimal"/>
      <w:suff w:val="nothing"/>
      <w:lvlText w:val="%1、"/>
      <w:lvlJc w:val="left"/>
    </w:lvl>
  </w:abstractNum>
  <w:abstractNum w:abstractNumId="19">
    <w:nsid w:val="0531522E"/>
    <w:multiLevelType w:val="multilevel"/>
    <w:tmpl w:val="0531522E"/>
    <w:lvl w:ilvl="0" w:tentative="0">
      <w:start w:val="1"/>
      <w:numFmt w:val="bullet"/>
      <w:pStyle w:val="793"/>
      <w:lvlText w:val=""/>
      <w:lvlJc w:val="left"/>
      <w:pPr>
        <w:ind w:left="630" w:hanging="420"/>
      </w:pPr>
      <w:rPr>
        <w:rFonts w:hint="default" w:ascii="Wingdings" w:hAnsi="Wingdings"/>
      </w:rPr>
    </w:lvl>
    <w:lvl w:ilvl="1" w:tentative="0">
      <w:start w:val="1"/>
      <w:numFmt w:val="bullet"/>
      <w:lvlText w:val=""/>
      <w:lvlJc w:val="left"/>
      <w:pPr>
        <w:ind w:left="1050" w:hanging="420"/>
      </w:pPr>
      <w:rPr>
        <w:rFonts w:hint="default" w:ascii="Wingdings" w:hAnsi="Wingdings"/>
      </w:rPr>
    </w:lvl>
    <w:lvl w:ilvl="2" w:tentative="0">
      <w:start w:val="1"/>
      <w:numFmt w:val="bullet"/>
      <w:lvlText w:val=""/>
      <w:lvlJc w:val="left"/>
      <w:pPr>
        <w:ind w:left="1470" w:hanging="420"/>
      </w:pPr>
      <w:rPr>
        <w:rFonts w:hint="default" w:ascii="Wingdings" w:hAnsi="Wingdings"/>
      </w:rPr>
    </w:lvl>
    <w:lvl w:ilvl="3" w:tentative="0">
      <w:start w:val="1"/>
      <w:numFmt w:val="bullet"/>
      <w:lvlText w:val=""/>
      <w:lvlJc w:val="left"/>
      <w:pPr>
        <w:ind w:left="1890" w:hanging="420"/>
      </w:pPr>
      <w:rPr>
        <w:rFonts w:hint="default" w:ascii="Wingdings" w:hAnsi="Wingdings"/>
      </w:rPr>
    </w:lvl>
    <w:lvl w:ilvl="4" w:tentative="0">
      <w:start w:val="1"/>
      <w:numFmt w:val="bullet"/>
      <w:lvlText w:val=""/>
      <w:lvlJc w:val="left"/>
      <w:pPr>
        <w:ind w:left="2310" w:hanging="420"/>
      </w:pPr>
      <w:rPr>
        <w:rFonts w:hint="default" w:ascii="Wingdings" w:hAnsi="Wingdings"/>
      </w:rPr>
    </w:lvl>
    <w:lvl w:ilvl="5" w:tentative="0">
      <w:start w:val="1"/>
      <w:numFmt w:val="bullet"/>
      <w:lvlText w:val=""/>
      <w:lvlJc w:val="left"/>
      <w:pPr>
        <w:ind w:left="2730" w:hanging="420"/>
      </w:pPr>
      <w:rPr>
        <w:rFonts w:hint="default" w:ascii="Wingdings" w:hAnsi="Wingdings"/>
      </w:rPr>
    </w:lvl>
    <w:lvl w:ilvl="6" w:tentative="0">
      <w:start w:val="1"/>
      <w:numFmt w:val="bullet"/>
      <w:lvlText w:val=""/>
      <w:lvlJc w:val="left"/>
      <w:pPr>
        <w:ind w:left="3150" w:hanging="420"/>
      </w:pPr>
      <w:rPr>
        <w:rFonts w:hint="default" w:ascii="Wingdings" w:hAnsi="Wingdings"/>
      </w:rPr>
    </w:lvl>
    <w:lvl w:ilvl="7" w:tentative="0">
      <w:start w:val="1"/>
      <w:numFmt w:val="bullet"/>
      <w:lvlText w:val=""/>
      <w:lvlJc w:val="left"/>
      <w:pPr>
        <w:ind w:left="3570" w:hanging="420"/>
      </w:pPr>
      <w:rPr>
        <w:rFonts w:hint="default" w:ascii="Wingdings" w:hAnsi="Wingdings"/>
      </w:rPr>
    </w:lvl>
    <w:lvl w:ilvl="8" w:tentative="0">
      <w:start w:val="1"/>
      <w:numFmt w:val="bullet"/>
      <w:lvlText w:val=""/>
      <w:lvlJc w:val="left"/>
      <w:pPr>
        <w:ind w:left="3990" w:hanging="420"/>
      </w:pPr>
      <w:rPr>
        <w:rFonts w:hint="default" w:ascii="Wingdings" w:hAnsi="Wingdings"/>
      </w:rPr>
    </w:lvl>
  </w:abstractNum>
  <w:abstractNum w:abstractNumId="20">
    <w:nsid w:val="122DED37"/>
    <w:multiLevelType w:val="singleLevel"/>
    <w:tmpl w:val="122DED37"/>
    <w:lvl w:ilvl="0" w:tentative="0">
      <w:start w:val="1"/>
      <w:numFmt w:val="decimal"/>
      <w:suff w:val="nothing"/>
      <w:lvlText w:val="%1."/>
      <w:lvlJc w:val="left"/>
    </w:lvl>
  </w:abstractNum>
  <w:abstractNum w:abstractNumId="21">
    <w:nsid w:val="14837226"/>
    <w:multiLevelType w:val="singleLevel"/>
    <w:tmpl w:val="14837226"/>
    <w:lvl w:ilvl="0" w:tentative="0">
      <w:start w:val="1"/>
      <w:numFmt w:val="decimal"/>
      <w:lvlText w:val="%1."/>
      <w:lvlJc w:val="left"/>
      <w:pPr>
        <w:ind w:left="0" w:firstLine="567"/>
      </w:pPr>
      <w:rPr>
        <w:rFonts w:hint="default"/>
      </w:rPr>
    </w:lvl>
  </w:abstractNum>
  <w:abstractNum w:abstractNumId="22">
    <w:nsid w:val="1BAF4310"/>
    <w:multiLevelType w:val="singleLevel"/>
    <w:tmpl w:val="1BAF4310"/>
    <w:lvl w:ilvl="0" w:tentative="0">
      <w:start w:val="1"/>
      <w:numFmt w:val="decimalEnclosedCircleChinese"/>
      <w:suff w:val="nothing"/>
      <w:lvlText w:val="%1　"/>
      <w:lvlJc w:val="left"/>
      <w:pPr>
        <w:ind w:left="0" w:firstLine="400"/>
      </w:pPr>
      <w:rPr>
        <w:rFonts w:hint="eastAsia"/>
      </w:rPr>
    </w:lvl>
  </w:abstractNum>
  <w:abstractNum w:abstractNumId="23">
    <w:nsid w:val="1E38A548"/>
    <w:multiLevelType w:val="singleLevel"/>
    <w:tmpl w:val="1E38A548"/>
    <w:lvl w:ilvl="0" w:tentative="0">
      <w:start w:val="1"/>
      <w:numFmt w:val="decimalEnclosedCircleChinese"/>
      <w:suff w:val="nothing"/>
      <w:lvlText w:val="%1　"/>
      <w:lvlJc w:val="left"/>
      <w:pPr>
        <w:ind w:left="0" w:firstLine="400"/>
      </w:pPr>
      <w:rPr>
        <w:rFonts w:hint="eastAsia"/>
      </w:rPr>
    </w:lvl>
  </w:abstractNum>
  <w:abstractNum w:abstractNumId="24">
    <w:nsid w:val="24725585"/>
    <w:multiLevelType w:val="multilevel"/>
    <w:tmpl w:val="24725585"/>
    <w:lvl w:ilvl="0" w:tentative="0">
      <w:start w:val="1"/>
      <w:numFmt w:val="decimal"/>
      <w:lvlText w:val="%1."/>
      <w:lvlJc w:val="left"/>
      <w:pPr>
        <w:tabs>
          <w:tab w:val="left" w:pos="920"/>
        </w:tabs>
        <w:ind w:left="920" w:hanging="360"/>
      </w:pPr>
      <w:rPr>
        <w:rFonts w:cs="Times New Roman"/>
      </w:rPr>
    </w:lvl>
    <w:lvl w:ilvl="1" w:tentative="0">
      <w:start w:val="1"/>
      <w:numFmt w:val="lowerLetter"/>
      <w:lvlText w:val="%2)"/>
      <w:lvlJc w:val="left"/>
      <w:pPr>
        <w:tabs>
          <w:tab w:val="left" w:pos="1400"/>
        </w:tabs>
        <w:ind w:left="1400" w:hanging="420"/>
      </w:pPr>
      <w:rPr>
        <w:rFonts w:cs="Times New Roman"/>
      </w:rPr>
    </w:lvl>
    <w:lvl w:ilvl="2" w:tentative="0">
      <w:start w:val="1"/>
      <w:numFmt w:val="lowerRoman"/>
      <w:lvlText w:val="%3."/>
      <w:lvlJc w:val="right"/>
      <w:pPr>
        <w:tabs>
          <w:tab w:val="left" w:pos="1820"/>
        </w:tabs>
        <w:ind w:left="1820" w:hanging="420"/>
      </w:pPr>
      <w:rPr>
        <w:rFonts w:cs="Times New Roman"/>
      </w:rPr>
    </w:lvl>
    <w:lvl w:ilvl="3" w:tentative="0">
      <w:start w:val="1"/>
      <w:numFmt w:val="decimal"/>
      <w:lvlText w:val="%4."/>
      <w:lvlJc w:val="left"/>
      <w:pPr>
        <w:tabs>
          <w:tab w:val="left" w:pos="2240"/>
        </w:tabs>
        <w:ind w:left="2240" w:hanging="420"/>
      </w:pPr>
      <w:rPr>
        <w:rFonts w:cs="Times New Roman"/>
      </w:rPr>
    </w:lvl>
    <w:lvl w:ilvl="4" w:tentative="0">
      <w:start w:val="1"/>
      <w:numFmt w:val="lowerLetter"/>
      <w:lvlText w:val="%5)"/>
      <w:lvlJc w:val="left"/>
      <w:pPr>
        <w:tabs>
          <w:tab w:val="left" w:pos="2660"/>
        </w:tabs>
        <w:ind w:left="2660" w:hanging="420"/>
      </w:pPr>
      <w:rPr>
        <w:rFonts w:cs="Times New Roman"/>
      </w:rPr>
    </w:lvl>
    <w:lvl w:ilvl="5" w:tentative="0">
      <w:start w:val="1"/>
      <w:numFmt w:val="lowerRoman"/>
      <w:lvlText w:val="%6."/>
      <w:lvlJc w:val="right"/>
      <w:pPr>
        <w:tabs>
          <w:tab w:val="left" w:pos="3080"/>
        </w:tabs>
        <w:ind w:left="3080" w:hanging="420"/>
      </w:pPr>
      <w:rPr>
        <w:rFonts w:cs="Times New Roman"/>
      </w:rPr>
    </w:lvl>
    <w:lvl w:ilvl="6" w:tentative="0">
      <w:start w:val="1"/>
      <w:numFmt w:val="decimal"/>
      <w:lvlText w:val="%7."/>
      <w:lvlJc w:val="left"/>
      <w:pPr>
        <w:tabs>
          <w:tab w:val="left" w:pos="3500"/>
        </w:tabs>
        <w:ind w:left="3500" w:hanging="420"/>
      </w:pPr>
      <w:rPr>
        <w:rFonts w:cs="Times New Roman"/>
      </w:rPr>
    </w:lvl>
    <w:lvl w:ilvl="7" w:tentative="0">
      <w:start w:val="1"/>
      <w:numFmt w:val="lowerLetter"/>
      <w:lvlText w:val="%8)"/>
      <w:lvlJc w:val="left"/>
      <w:pPr>
        <w:tabs>
          <w:tab w:val="left" w:pos="3920"/>
        </w:tabs>
        <w:ind w:left="3920" w:hanging="420"/>
      </w:pPr>
      <w:rPr>
        <w:rFonts w:cs="Times New Roman"/>
      </w:rPr>
    </w:lvl>
    <w:lvl w:ilvl="8" w:tentative="0">
      <w:start w:val="1"/>
      <w:numFmt w:val="lowerRoman"/>
      <w:lvlText w:val="%9."/>
      <w:lvlJc w:val="right"/>
      <w:pPr>
        <w:tabs>
          <w:tab w:val="left" w:pos="4340"/>
        </w:tabs>
        <w:ind w:left="4340" w:hanging="420"/>
      </w:pPr>
      <w:rPr>
        <w:rFonts w:cs="Times New Roman"/>
      </w:rPr>
    </w:lvl>
  </w:abstractNum>
  <w:abstractNum w:abstractNumId="25">
    <w:nsid w:val="28684C4B"/>
    <w:multiLevelType w:val="multilevel"/>
    <w:tmpl w:val="28684C4B"/>
    <w:lvl w:ilvl="0" w:tentative="0">
      <w:start w:val="1"/>
      <w:numFmt w:val="decimal"/>
      <w:lvlText w:val="%1. "/>
      <w:lvlJc w:val="left"/>
      <w:pPr>
        <w:tabs>
          <w:tab w:val="left" w:pos="720"/>
        </w:tabs>
        <w:ind w:left="-567" w:firstLine="567"/>
      </w:pPr>
      <w:rPr>
        <w:rFonts w:hint="eastAsia" w:ascii="宋体" w:eastAsia="宋体"/>
        <w:b/>
        <w:i w:val="0"/>
        <w:sz w:val="32"/>
        <w:szCs w:val="32"/>
      </w:rPr>
    </w:lvl>
    <w:lvl w:ilvl="1" w:tentative="0">
      <w:start w:val="1"/>
      <w:numFmt w:val="decimal"/>
      <w:pStyle w:val="1041"/>
      <w:lvlText w:val="%1.%2  "/>
      <w:lvlJc w:val="left"/>
      <w:pPr>
        <w:tabs>
          <w:tab w:val="left" w:pos="720"/>
        </w:tabs>
        <w:ind w:left="-567" w:firstLine="567"/>
      </w:pPr>
      <w:rPr>
        <w:rFonts w:hint="eastAsia" w:ascii="宋体" w:eastAsia="宋体"/>
        <w:b/>
        <w:i w:val="0"/>
        <w:sz w:val="28"/>
        <w:szCs w:val="28"/>
      </w:rPr>
    </w:lvl>
    <w:lvl w:ilvl="2" w:tentative="0">
      <w:start w:val="1"/>
      <w:numFmt w:val="decimal"/>
      <w:lvlText w:val="%1.%2.%3 "/>
      <w:lvlJc w:val="left"/>
      <w:pPr>
        <w:tabs>
          <w:tab w:val="left" w:pos="1080"/>
        </w:tabs>
        <w:ind w:left="-567" w:firstLine="567"/>
      </w:pPr>
      <w:rPr>
        <w:rFonts w:hint="eastAsia" w:ascii="宋体" w:eastAsia="宋体"/>
        <w:b w:val="0"/>
        <w:i w:val="0"/>
        <w:sz w:val="28"/>
        <w:szCs w:val="28"/>
      </w:rPr>
    </w:lvl>
    <w:lvl w:ilvl="3" w:tentative="0">
      <w:start w:val="1"/>
      <w:numFmt w:val="decimal"/>
      <w:lvlText w:val="%1.%2.%3.%4  "/>
      <w:lvlJc w:val="left"/>
      <w:pPr>
        <w:tabs>
          <w:tab w:val="left" w:pos="1440"/>
        </w:tabs>
        <w:ind w:left="-567" w:firstLine="567"/>
      </w:pPr>
      <w:rPr>
        <w:rFonts w:hint="eastAsia" w:ascii="宋体" w:eastAsia="宋体"/>
        <w:b w:val="0"/>
        <w:i w:val="0"/>
        <w:color w:val="auto"/>
        <w:sz w:val="28"/>
        <w:szCs w:val="28"/>
      </w:rPr>
    </w:lvl>
    <w:lvl w:ilvl="4" w:tentative="0">
      <w:start w:val="1"/>
      <w:numFmt w:val="decimal"/>
      <w:isLgl/>
      <w:lvlText w:val="%5）"/>
      <w:lvlJc w:val="left"/>
      <w:pPr>
        <w:tabs>
          <w:tab w:val="left" w:pos="567"/>
        </w:tabs>
        <w:ind w:left="567" w:hanging="567"/>
      </w:pPr>
      <w:rPr>
        <w:rFonts w:hint="default" w:ascii="Arial" w:hAnsi="Arial" w:eastAsia="宋体"/>
        <w:sz w:val="24"/>
      </w:rPr>
    </w:lvl>
    <w:lvl w:ilvl="5" w:tentative="0">
      <w:start w:val="1"/>
      <w:numFmt w:val="decimal"/>
      <w:lvlText w:val="%1.%2.%3.%4.%5.%6"/>
      <w:lvlJc w:val="left"/>
      <w:pPr>
        <w:tabs>
          <w:tab w:val="left" w:pos="5159"/>
        </w:tabs>
        <w:ind w:left="2693" w:hanging="1134"/>
      </w:pPr>
      <w:rPr>
        <w:rFonts w:hint="eastAsia"/>
      </w:rPr>
    </w:lvl>
    <w:lvl w:ilvl="6" w:tentative="0">
      <w:start w:val="1"/>
      <w:numFmt w:val="decimal"/>
      <w:lvlText w:val="%1.%2.%3.%4.%5.%6.%7"/>
      <w:lvlJc w:val="left"/>
      <w:pPr>
        <w:tabs>
          <w:tab w:val="left" w:pos="6304"/>
        </w:tabs>
        <w:ind w:left="3260" w:hanging="1276"/>
      </w:pPr>
      <w:rPr>
        <w:rFonts w:hint="eastAsia"/>
      </w:rPr>
    </w:lvl>
    <w:lvl w:ilvl="7" w:tentative="0">
      <w:start w:val="1"/>
      <w:numFmt w:val="decimal"/>
      <w:lvlText w:val="%1.%2.%3.%4.%5.%6.%7.%8"/>
      <w:lvlJc w:val="left"/>
      <w:pPr>
        <w:tabs>
          <w:tab w:val="left" w:pos="7449"/>
        </w:tabs>
        <w:ind w:left="3827" w:hanging="1418"/>
      </w:pPr>
      <w:rPr>
        <w:rFonts w:hint="eastAsia"/>
      </w:rPr>
    </w:lvl>
    <w:lvl w:ilvl="8" w:tentative="0">
      <w:start w:val="1"/>
      <w:numFmt w:val="decimal"/>
      <w:lvlText w:val="%1.%2.%3.%4.%5.%6.%7.%8.%9"/>
      <w:lvlJc w:val="left"/>
      <w:pPr>
        <w:tabs>
          <w:tab w:val="left" w:pos="8595"/>
        </w:tabs>
        <w:ind w:left="4535" w:hanging="1700"/>
      </w:pPr>
      <w:rPr>
        <w:rFonts w:hint="eastAsia"/>
      </w:rPr>
    </w:lvl>
  </w:abstractNum>
  <w:abstractNum w:abstractNumId="26">
    <w:nsid w:val="28BF76AC"/>
    <w:multiLevelType w:val="singleLevel"/>
    <w:tmpl w:val="28BF76AC"/>
    <w:lvl w:ilvl="0" w:tentative="0">
      <w:start w:val="1"/>
      <w:numFmt w:val="decimal"/>
      <w:suff w:val="nothing"/>
      <w:lvlText w:val="%1."/>
      <w:lvlJc w:val="left"/>
    </w:lvl>
  </w:abstractNum>
  <w:abstractNum w:abstractNumId="27">
    <w:nsid w:val="29635F2E"/>
    <w:multiLevelType w:val="singleLevel"/>
    <w:tmpl w:val="29635F2E"/>
    <w:lvl w:ilvl="0" w:tentative="0">
      <w:start w:val="2"/>
      <w:numFmt w:val="decimal"/>
      <w:suff w:val="nothing"/>
      <w:lvlText w:val="%1、"/>
      <w:lvlJc w:val="left"/>
    </w:lvl>
  </w:abstractNum>
  <w:abstractNum w:abstractNumId="28">
    <w:nsid w:val="2AA00806"/>
    <w:multiLevelType w:val="multilevel"/>
    <w:tmpl w:val="2AA00806"/>
    <w:lvl w:ilvl="0" w:tentative="0">
      <w:start w:val="1"/>
      <w:numFmt w:val="decimal"/>
      <w:pStyle w:val="814"/>
      <w:lvlText w:val="%1)"/>
      <w:lvlJc w:val="left"/>
      <w:pPr>
        <w:tabs>
          <w:tab w:val="left" w:pos="1049"/>
        </w:tabs>
        <w:ind w:left="0" w:firstLine="482"/>
      </w:pPr>
      <w:rPr>
        <w:rFonts w:hint="eastAsia" w:ascii="宋体" w:hAnsi="宋体" w:eastAsia="宋体"/>
        <w:kern w:val="2"/>
        <w:sz w:val="28"/>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29">
    <w:nsid w:val="2F4F1944"/>
    <w:multiLevelType w:val="multilevel"/>
    <w:tmpl w:val="2F4F1944"/>
    <w:lvl w:ilvl="0" w:tentative="0">
      <w:start w:val="1"/>
      <w:numFmt w:val="bullet"/>
      <w:pStyle w:val="792"/>
      <w:lvlText w:val=""/>
      <w:lvlJc w:val="left"/>
      <w:pPr>
        <w:ind w:left="987" w:hanging="420"/>
      </w:pPr>
      <w:rPr>
        <w:rFonts w:hint="default" w:ascii="Wingdings" w:hAnsi="Wingdings"/>
      </w:rPr>
    </w:lvl>
    <w:lvl w:ilvl="1" w:tentative="0">
      <w:start w:val="1"/>
      <w:numFmt w:val="bullet"/>
      <w:lvlText w:val=""/>
      <w:lvlJc w:val="left"/>
      <w:pPr>
        <w:ind w:left="1407" w:hanging="420"/>
      </w:pPr>
      <w:rPr>
        <w:rFonts w:hint="default" w:ascii="Wingdings" w:hAnsi="Wingdings"/>
      </w:rPr>
    </w:lvl>
    <w:lvl w:ilvl="2" w:tentative="0">
      <w:start w:val="1"/>
      <w:numFmt w:val="bullet"/>
      <w:lvlText w:val=""/>
      <w:lvlJc w:val="left"/>
      <w:pPr>
        <w:ind w:left="1827" w:hanging="420"/>
      </w:pPr>
      <w:rPr>
        <w:rFonts w:hint="default" w:ascii="Wingdings" w:hAnsi="Wingdings"/>
      </w:rPr>
    </w:lvl>
    <w:lvl w:ilvl="3" w:tentative="0">
      <w:start w:val="1"/>
      <w:numFmt w:val="bullet"/>
      <w:lvlText w:val=""/>
      <w:lvlJc w:val="left"/>
      <w:pPr>
        <w:ind w:left="2247" w:hanging="420"/>
      </w:pPr>
      <w:rPr>
        <w:rFonts w:hint="default" w:ascii="Wingdings" w:hAnsi="Wingdings"/>
      </w:rPr>
    </w:lvl>
    <w:lvl w:ilvl="4" w:tentative="0">
      <w:start w:val="1"/>
      <w:numFmt w:val="bullet"/>
      <w:lvlText w:val=""/>
      <w:lvlJc w:val="left"/>
      <w:pPr>
        <w:ind w:left="2667" w:hanging="420"/>
      </w:pPr>
      <w:rPr>
        <w:rFonts w:hint="default" w:ascii="Wingdings" w:hAnsi="Wingdings"/>
      </w:rPr>
    </w:lvl>
    <w:lvl w:ilvl="5" w:tentative="0">
      <w:start w:val="1"/>
      <w:numFmt w:val="bullet"/>
      <w:lvlText w:val=""/>
      <w:lvlJc w:val="left"/>
      <w:pPr>
        <w:ind w:left="3087" w:hanging="420"/>
      </w:pPr>
      <w:rPr>
        <w:rFonts w:hint="default" w:ascii="Wingdings" w:hAnsi="Wingdings"/>
      </w:rPr>
    </w:lvl>
    <w:lvl w:ilvl="6" w:tentative="0">
      <w:start w:val="1"/>
      <w:numFmt w:val="bullet"/>
      <w:lvlText w:val=""/>
      <w:lvlJc w:val="left"/>
      <w:pPr>
        <w:ind w:left="3507" w:hanging="420"/>
      </w:pPr>
      <w:rPr>
        <w:rFonts w:hint="default" w:ascii="Wingdings" w:hAnsi="Wingdings"/>
      </w:rPr>
    </w:lvl>
    <w:lvl w:ilvl="7" w:tentative="0">
      <w:start w:val="1"/>
      <w:numFmt w:val="bullet"/>
      <w:lvlText w:val=""/>
      <w:lvlJc w:val="left"/>
      <w:pPr>
        <w:ind w:left="3927" w:hanging="420"/>
      </w:pPr>
      <w:rPr>
        <w:rFonts w:hint="default" w:ascii="Wingdings" w:hAnsi="Wingdings"/>
      </w:rPr>
    </w:lvl>
    <w:lvl w:ilvl="8" w:tentative="0">
      <w:start w:val="1"/>
      <w:numFmt w:val="bullet"/>
      <w:lvlText w:val=""/>
      <w:lvlJc w:val="left"/>
      <w:pPr>
        <w:ind w:left="4347" w:hanging="420"/>
      </w:pPr>
      <w:rPr>
        <w:rFonts w:hint="default" w:ascii="Wingdings" w:hAnsi="Wingdings"/>
      </w:rPr>
    </w:lvl>
  </w:abstractNum>
  <w:abstractNum w:abstractNumId="30">
    <w:nsid w:val="333EB9E9"/>
    <w:multiLevelType w:val="singleLevel"/>
    <w:tmpl w:val="333EB9E9"/>
    <w:lvl w:ilvl="0" w:tentative="0">
      <w:start w:val="1"/>
      <w:numFmt w:val="decimal"/>
      <w:suff w:val="nothing"/>
      <w:lvlText w:val="%1）"/>
      <w:lvlJc w:val="left"/>
    </w:lvl>
  </w:abstractNum>
  <w:abstractNum w:abstractNumId="31">
    <w:nsid w:val="385609E6"/>
    <w:multiLevelType w:val="multilevel"/>
    <w:tmpl w:val="385609E6"/>
    <w:lvl w:ilvl="0" w:tentative="0">
      <w:start w:val="1"/>
      <w:numFmt w:val="bullet"/>
      <w:lvlText w:val=""/>
      <w:lvlJc w:val="left"/>
      <w:pPr>
        <w:tabs>
          <w:tab w:val="left" w:pos="1049"/>
        </w:tabs>
        <w:ind w:left="482" w:firstLine="0"/>
      </w:pPr>
      <w:rPr>
        <w:rFonts w:hint="default" w:ascii="Wingdings" w:hAnsi="Wingdings"/>
      </w:rPr>
    </w:lvl>
    <w:lvl w:ilvl="1" w:tentative="0">
      <w:start w:val="1"/>
      <w:numFmt w:val="bullet"/>
      <w:pStyle w:val="153"/>
      <w:lvlText w:val=""/>
      <w:lvlJc w:val="left"/>
      <w:pPr>
        <w:tabs>
          <w:tab w:val="left" w:pos="851"/>
        </w:tabs>
        <w:ind w:left="851" w:hanging="369"/>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2">
    <w:nsid w:val="38BD5D43"/>
    <w:multiLevelType w:val="multilevel"/>
    <w:tmpl w:val="38BD5D43"/>
    <w:lvl w:ilvl="0" w:tentative="0">
      <w:start w:val="1"/>
      <w:numFmt w:val="decimal"/>
      <w:lvlText w:val="%1"/>
      <w:lvlJc w:val="left"/>
      <w:pPr>
        <w:tabs>
          <w:tab w:val="left" w:pos="432"/>
        </w:tabs>
        <w:ind w:left="432" w:hanging="432"/>
      </w:pPr>
      <w:rPr>
        <w:rFonts w:hint="eastAsia" w:eastAsia="宋体"/>
        <w:b/>
        <w:i w:val="0"/>
        <w:sz w:val="32"/>
      </w:rPr>
    </w:lvl>
    <w:lvl w:ilvl="1" w:tentative="0">
      <w:start w:val="1"/>
      <w:numFmt w:val="decimal"/>
      <w:lvlText w:val="%1.%2"/>
      <w:lvlJc w:val="left"/>
      <w:pPr>
        <w:tabs>
          <w:tab w:val="left" w:pos="576"/>
        </w:tabs>
        <w:ind w:left="576" w:hanging="576"/>
      </w:pPr>
      <w:rPr>
        <w:rFonts w:hint="eastAsia" w:eastAsia="黑体"/>
        <w:b/>
        <w:i w:val="0"/>
        <w:sz w:val="28"/>
      </w:rPr>
    </w:lvl>
    <w:lvl w:ilvl="2" w:tentative="0">
      <w:start w:val="1"/>
      <w:numFmt w:val="decimal"/>
      <w:lvlText w:val="%1.%2.%3"/>
      <w:lvlJc w:val="left"/>
      <w:pPr>
        <w:tabs>
          <w:tab w:val="left" w:pos="720"/>
        </w:tabs>
        <w:ind w:left="720" w:hanging="720"/>
      </w:pPr>
      <w:rPr>
        <w:rFonts w:hint="eastAsia" w:eastAsia="宋体"/>
        <w:b/>
        <w:i w:val="0"/>
        <w:sz w:val="28"/>
      </w:rPr>
    </w:lvl>
    <w:lvl w:ilvl="3" w:tentative="0">
      <w:start w:val="1"/>
      <w:numFmt w:val="decimal"/>
      <w:lvlText w:val="%1.%2.%3.%4"/>
      <w:lvlJc w:val="left"/>
      <w:pPr>
        <w:tabs>
          <w:tab w:val="left" w:pos="864"/>
        </w:tabs>
        <w:ind w:left="864" w:hanging="864"/>
      </w:pPr>
      <w:rPr>
        <w:rFonts w:hint="eastAsia" w:eastAsia="宋体"/>
        <w:b/>
        <w:i w:val="0"/>
        <w:sz w:val="28"/>
      </w:rPr>
    </w:lvl>
    <w:lvl w:ilvl="4" w:tentative="0">
      <w:start w:val="1"/>
      <w:numFmt w:val="decimal"/>
      <w:lvlText w:val="%1.%2.%3.%4.%5"/>
      <w:lvlJc w:val="left"/>
      <w:pPr>
        <w:tabs>
          <w:tab w:val="left" w:pos="1008"/>
        </w:tabs>
        <w:ind w:left="1008" w:hanging="1008"/>
      </w:pPr>
      <w:rPr>
        <w:rFonts w:hint="eastAsia"/>
      </w:rPr>
    </w:lvl>
    <w:lvl w:ilvl="5" w:tentative="0">
      <w:start w:val="1"/>
      <w:numFmt w:val="decimal"/>
      <w:pStyle w:val="1035"/>
      <w:lvlText w:val="%1.%2.%3.%4.%5.%6"/>
      <w:lvlJc w:val="left"/>
      <w:pPr>
        <w:tabs>
          <w:tab w:val="left" w:pos="2287"/>
        </w:tabs>
        <w:ind w:left="2287"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3">
    <w:nsid w:val="3ABBFF1F"/>
    <w:multiLevelType w:val="multilevel"/>
    <w:tmpl w:val="3ABBFF1F"/>
    <w:lvl w:ilvl="0" w:tentative="0">
      <w:start w:val="1"/>
      <w:numFmt w:val="decimal"/>
      <w:suff w:val="nothing"/>
      <w:lvlText w:val="%1."/>
      <w:lvlJc w:val="left"/>
      <w:pPr>
        <w:tabs>
          <w:tab w:val="left" w:pos="0"/>
        </w:tabs>
        <w:ind w:left="0" w:firstLine="0"/>
      </w:pPr>
      <w:rPr>
        <w:rFonts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4">
    <w:nsid w:val="3C316D60"/>
    <w:multiLevelType w:val="multilevel"/>
    <w:tmpl w:val="3C316D60"/>
    <w:lvl w:ilvl="0" w:tentative="0">
      <w:start w:val="1"/>
      <w:numFmt w:val="decimal"/>
      <w:lvlText w:val="%1"/>
      <w:lvlJc w:val="left"/>
      <w:pPr>
        <w:ind w:left="420" w:hanging="420"/>
      </w:pPr>
      <w:rPr>
        <w:rFonts w:hint="default"/>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4265606F"/>
    <w:multiLevelType w:val="singleLevel"/>
    <w:tmpl w:val="4265606F"/>
    <w:lvl w:ilvl="0" w:tentative="0">
      <w:start w:val="1"/>
      <w:numFmt w:val="decimal"/>
      <w:suff w:val="space"/>
      <w:lvlText w:val="（%1）"/>
      <w:lvlJc w:val="left"/>
      <w:pPr>
        <w:ind w:left="0" w:firstLine="400"/>
      </w:pPr>
      <w:rPr>
        <w:rFonts w:hint="eastAsia" w:ascii="宋体" w:hAnsi="宋体" w:eastAsia="宋体"/>
        <w:kern w:val="2"/>
        <w:sz w:val="28"/>
        <w:szCs w:val="28"/>
      </w:rPr>
    </w:lvl>
  </w:abstractNum>
  <w:abstractNum w:abstractNumId="36">
    <w:nsid w:val="4A7B1E90"/>
    <w:multiLevelType w:val="multilevel"/>
    <w:tmpl w:val="4A7B1E90"/>
    <w:lvl w:ilvl="0" w:tentative="0">
      <w:start w:val="1"/>
      <w:numFmt w:val="decimal"/>
      <w:lvlText w:val="表1-%1"/>
      <w:lvlJc w:val="left"/>
      <w:pPr>
        <w:ind w:left="900" w:hanging="420"/>
      </w:pPr>
      <w:rPr>
        <w:rFonts w:hint="default" w:ascii="Times New Roman" w:hAnsi="Times New Roman" w:cs="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7">
    <w:nsid w:val="4C1633A3"/>
    <w:multiLevelType w:val="multilevel"/>
    <w:tmpl w:val="4C1633A3"/>
    <w:lvl w:ilvl="0" w:tentative="0">
      <w:start w:val="1"/>
      <w:numFmt w:val="decimal"/>
      <w:lvlText w:val="（%1）"/>
      <w:lvlJc w:val="left"/>
      <w:pPr>
        <w:tabs>
          <w:tab w:val="left" w:pos="1680"/>
        </w:tabs>
        <w:ind w:left="1680" w:hanging="720"/>
      </w:pPr>
      <w:rPr>
        <w:rFonts w:hint="default"/>
      </w:rPr>
    </w:lvl>
    <w:lvl w:ilvl="1" w:tentative="0">
      <w:start w:val="1"/>
      <w:numFmt w:val="lowerLetter"/>
      <w:pStyle w:val="787"/>
      <w:lvlText w:val="%2)"/>
      <w:lvlJc w:val="left"/>
      <w:pPr>
        <w:tabs>
          <w:tab w:val="left" w:pos="1800"/>
        </w:tabs>
        <w:ind w:left="1800" w:hanging="420"/>
      </w:pPr>
    </w:lvl>
    <w:lvl w:ilvl="2" w:tentative="0">
      <w:start w:val="1"/>
      <w:numFmt w:val="lowerRoman"/>
      <w:lvlText w:val="%3."/>
      <w:lvlJc w:val="right"/>
      <w:pPr>
        <w:tabs>
          <w:tab w:val="left" w:pos="2220"/>
        </w:tabs>
        <w:ind w:left="2220" w:hanging="420"/>
      </w:pPr>
    </w:lvl>
    <w:lvl w:ilvl="3" w:tentative="0">
      <w:start w:val="1"/>
      <w:numFmt w:val="decimal"/>
      <w:lvlText w:val="%4."/>
      <w:lvlJc w:val="left"/>
      <w:pPr>
        <w:tabs>
          <w:tab w:val="left" w:pos="2640"/>
        </w:tabs>
        <w:ind w:left="2640" w:hanging="420"/>
      </w:pPr>
    </w:lvl>
    <w:lvl w:ilvl="4" w:tentative="0">
      <w:start w:val="1"/>
      <w:numFmt w:val="lowerLetter"/>
      <w:lvlText w:val="%5)"/>
      <w:lvlJc w:val="left"/>
      <w:pPr>
        <w:tabs>
          <w:tab w:val="left" w:pos="3060"/>
        </w:tabs>
        <w:ind w:left="3060" w:hanging="420"/>
      </w:pPr>
    </w:lvl>
    <w:lvl w:ilvl="5" w:tentative="0">
      <w:start w:val="1"/>
      <w:numFmt w:val="lowerRoman"/>
      <w:lvlText w:val="%6."/>
      <w:lvlJc w:val="right"/>
      <w:pPr>
        <w:tabs>
          <w:tab w:val="left" w:pos="3480"/>
        </w:tabs>
        <w:ind w:left="3480" w:hanging="420"/>
      </w:pPr>
    </w:lvl>
    <w:lvl w:ilvl="6" w:tentative="0">
      <w:start w:val="1"/>
      <w:numFmt w:val="decimal"/>
      <w:lvlText w:val="%7."/>
      <w:lvlJc w:val="left"/>
      <w:pPr>
        <w:tabs>
          <w:tab w:val="left" w:pos="3900"/>
        </w:tabs>
        <w:ind w:left="3900" w:hanging="420"/>
      </w:pPr>
    </w:lvl>
    <w:lvl w:ilvl="7" w:tentative="0">
      <w:start w:val="1"/>
      <w:numFmt w:val="lowerLetter"/>
      <w:lvlText w:val="%8)"/>
      <w:lvlJc w:val="left"/>
      <w:pPr>
        <w:tabs>
          <w:tab w:val="left" w:pos="4320"/>
        </w:tabs>
        <w:ind w:left="4320" w:hanging="420"/>
      </w:pPr>
    </w:lvl>
    <w:lvl w:ilvl="8" w:tentative="0">
      <w:start w:val="1"/>
      <w:numFmt w:val="lowerRoman"/>
      <w:lvlText w:val="%9."/>
      <w:lvlJc w:val="right"/>
      <w:pPr>
        <w:tabs>
          <w:tab w:val="left" w:pos="4740"/>
        </w:tabs>
        <w:ind w:left="4740" w:hanging="420"/>
      </w:pPr>
    </w:lvl>
  </w:abstractNum>
  <w:abstractNum w:abstractNumId="38">
    <w:nsid w:val="4F012741"/>
    <w:multiLevelType w:val="singleLevel"/>
    <w:tmpl w:val="4F012741"/>
    <w:lvl w:ilvl="0" w:tentative="0">
      <w:start w:val="1"/>
      <w:numFmt w:val="decimal"/>
      <w:suff w:val="nothing"/>
      <w:lvlText w:val="%1."/>
      <w:lvlJc w:val="left"/>
    </w:lvl>
  </w:abstractNum>
  <w:abstractNum w:abstractNumId="39">
    <w:nsid w:val="53ADF594"/>
    <w:multiLevelType w:val="singleLevel"/>
    <w:tmpl w:val="53ADF594"/>
    <w:lvl w:ilvl="0" w:tentative="0">
      <w:start w:val="2"/>
      <w:numFmt w:val="chineseCounting"/>
      <w:suff w:val="nothing"/>
      <w:lvlText w:val="%1、"/>
      <w:lvlJc w:val="left"/>
      <w:rPr>
        <w:rFonts w:hint="eastAsia"/>
      </w:rPr>
    </w:lvl>
  </w:abstractNum>
  <w:abstractNum w:abstractNumId="40">
    <w:nsid w:val="53F54F00"/>
    <w:multiLevelType w:val="singleLevel"/>
    <w:tmpl w:val="53F54F00"/>
    <w:lvl w:ilvl="0" w:tentative="0">
      <w:start w:val="1"/>
      <w:numFmt w:val="decimal"/>
      <w:suff w:val="nothing"/>
      <w:lvlText w:val="%1."/>
      <w:lvlJc w:val="left"/>
    </w:lvl>
  </w:abstractNum>
  <w:abstractNum w:abstractNumId="41">
    <w:nsid w:val="53F8C65A"/>
    <w:multiLevelType w:val="multilevel"/>
    <w:tmpl w:val="53F8C65A"/>
    <w:lvl w:ilvl="0" w:tentative="0">
      <w:start w:val="1"/>
      <w:numFmt w:val="decimal"/>
      <w:lvlText w:val="%1"/>
      <w:lvlJc w:val="left"/>
      <w:pPr>
        <w:tabs>
          <w:tab w:val="left" w:pos="465"/>
        </w:tabs>
        <w:ind w:left="465" w:hanging="360"/>
      </w:pPr>
      <w:rPr>
        <w:rFonts w:hint="default"/>
      </w:rPr>
    </w:lvl>
    <w:lvl w:ilvl="1" w:tentative="0">
      <w:start w:val="1"/>
      <w:numFmt w:val="lowerLetter"/>
      <w:lvlText w:val="%2)"/>
      <w:lvlJc w:val="left"/>
      <w:pPr>
        <w:tabs>
          <w:tab w:val="left" w:pos="945"/>
        </w:tabs>
        <w:ind w:left="945" w:hanging="420"/>
      </w:pPr>
    </w:lvl>
    <w:lvl w:ilvl="2" w:tentative="0">
      <w:start w:val="1"/>
      <w:numFmt w:val="lowerRoman"/>
      <w:lvlText w:val="%3."/>
      <w:lvlJc w:val="right"/>
      <w:pPr>
        <w:tabs>
          <w:tab w:val="left" w:pos="1365"/>
        </w:tabs>
        <w:ind w:left="1365" w:hanging="420"/>
      </w:pPr>
    </w:lvl>
    <w:lvl w:ilvl="3" w:tentative="0">
      <w:start w:val="1"/>
      <w:numFmt w:val="decimal"/>
      <w:lvlText w:val="%4."/>
      <w:lvlJc w:val="left"/>
      <w:pPr>
        <w:tabs>
          <w:tab w:val="left" w:pos="1785"/>
        </w:tabs>
        <w:ind w:left="1785" w:hanging="420"/>
      </w:pPr>
    </w:lvl>
    <w:lvl w:ilvl="4" w:tentative="0">
      <w:start w:val="1"/>
      <w:numFmt w:val="lowerLetter"/>
      <w:lvlText w:val="%5)"/>
      <w:lvlJc w:val="left"/>
      <w:pPr>
        <w:tabs>
          <w:tab w:val="left" w:pos="2205"/>
        </w:tabs>
        <w:ind w:left="2205" w:hanging="420"/>
      </w:pPr>
    </w:lvl>
    <w:lvl w:ilvl="5" w:tentative="0">
      <w:start w:val="1"/>
      <w:numFmt w:val="lowerRoman"/>
      <w:lvlText w:val="%6."/>
      <w:lvlJc w:val="right"/>
      <w:pPr>
        <w:tabs>
          <w:tab w:val="left" w:pos="2625"/>
        </w:tabs>
        <w:ind w:left="2625" w:hanging="420"/>
      </w:pPr>
    </w:lvl>
    <w:lvl w:ilvl="6" w:tentative="0">
      <w:start w:val="1"/>
      <w:numFmt w:val="decimal"/>
      <w:lvlText w:val="%7."/>
      <w:lvlJc w:val="left"/>
      <w:pPr>
        <w:tabs>
          <w:tab w:val="left" w:pos="3045"/>
        </w:tabs>
        <w:ind w:left="3045" w:hanging="420"/>
      </w:pPr>
    </w:lvl>
    <w:lvl w:ilvl="7" w:tentative="0">
      <w:start w:val="1"/>
      <w:numFmt w:val="lowerLetter"/>
      <w:lvlText w:val="%8)"/>
      <w:lvlJc w:val="left"/>
      <w:pPr>
        <w:tabs>
          <w:tab w:val="left" w:pos="3465"/>
        </w:tabs>
        <w:ind w:left="3465" w:hanging="420"/>
      </w:pPr>
    </w:lvl>
    <w:lvl w:ilvl="8" w:tentative="0">
      <w:start w:val="1"/>
      <w:numFmt w:val="lowerRoman"/>
      <w:lvlText w:val="%9."/>
      <w:lvlJc w:val="right"/>
      <w:pPr>
        <w:tabs>
          <w:tab w:val="left" w:pos="3885"/>
        </w:tabs>
        <w:ind w:left="3885" w:hanging="420"/>
      </w:pPr>
    </w:lvl>
  </w:abstractNum>
  <w:abstractNum w:abstractNumId="42">
    <w:nsid w:val="59502CD4"/>
    <w:multiLevelType w:val="singleLevel"/>
    <w:tmpl w:val="59502CD4"/>
    <w:lvl w:ilvl="0" w:tentative="0">
      <w:start w:val="1"/>
      <w:numFmt w:val="decimal"/>
      <w:suff w:val="nothing"/>
      <w:lvlText w:val="%1."/>
      <w:lvlJc w:val="left"/>
      <w:rPr>
        <w:rFonts w:hint="default" w:ascii="Times New Roman" w:hAnsi="Times New Roman" w:cs="Times New Roman"/>
      </w:rPr>
    </w:lvl>
  </w:abstractNum>
  <w:abstractNum w:abstractNumId="43">
    <w:nsid w:val="64BB3036"/>
    <w:multiLevelType w:val="multilevel"/>
    <w:tmpl w:val="64BB3036"/>
    <w:lvl w:ilvl="0" w:tentative="0">
      <w:start w:val="1"/>
      <w:numFmt w:val="decimal"/>
      <w:lvlText w:val="(%1)"/>
      <w:lvlJc w:val="left"/>
      <w:pPr>
        <w:tabs>
          <w:tab w:val="left" w:pos="1049"/>
        </w:tabs>
        <w:ind w:left="0" w:firstLine="482"/>
      </w:pPr>
      <w:rPr>
        <w:rFonts w:hint="eastAsia" w:ascii="宋体" w:hAnsi="宋体" w:eastAsia="宋体"/>
        <w:kern w:val="2"/>
        <w:sz w:val="28"/>
        <w:szCs w:val="28"/>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44">
    <w:nsid w:val="64FFAA74"/>
    <w:multiLevelType w:val="singleLevel"/>
    <w:tmpl w:val="64FFAA74"/>
    <w:lvl w:ilvl="0" w:tentative="0">
      <w:start w:val="1"/>
      <w:numFmt w:val="decimal"/>
      <w:lvlText w:val="%1"/>
      <w:lvlJc w:val="left"/>
      <w:pPr>
        <w:tabs>
          <w:tab w:val="left" w:pos="420"/>
        </w:tabs>
        <w:ind w:left="425" w:hanging="425"/>
      </w:pPr>
      <w:rPr>
        <w:rFonts w:hint="default" w:ascii="宋体" w:hAnsi="宋体" w:eastAsia="宋体" w:cs="宋体"/>
      </w:rPr>
    </w:lvl>
  </w:abstractNum>
  <w:abstractNum w:abstractNumId="45">
    <w:nsid w:val="671AA2AB"/>
    <w:multiLevelType w:val="singleLevel"/>
    <w:tmpl w:val="671AA2AB"/>
    <w:lvl w:ilvl="0" w:tentative="0">
      <w:start w:val="1"/>
      <w:numFmt w:val="decimal"/>
      <w:suff w:val="nothing"/>
      <w:lvlText w:val="（%1）"/>
      <w:lvlJc w:val="left"/>
    </w:lvl>
  </w:abstractNum>
  <w:abstractNum w:abstractNumId="46">
    <w:nsid w:val="68DD1B45"/>
    <w:multiLevelType w:val="multilevel"/>
    <w:tmpl w:val="68DD1B45"/>
    <w:lvl w:ilvl="0" w:tentative="0">
      <w:start w:val="1"/>
      <w:numFmt w:val="decimal"/>
      <w:lvlText w:val="%1."/>
      <w:lvlJc w:val="left"/>
      <w:pPr>
        <w:tabs>
          <w:tab w:val="left" w:pos="1049"/>
        </w:tabs>
        <w:ind w:left="0" w:firstLine="482"/>
      </w:pPr>
      <w:rPr>
        <w:rFonts w:hint="eastAsia" w:ascii="宋体" w:hAnsi="宋体" w:eastAsia="宋体"/>
        <w:kern w:val="2"/>
        <w:sz w:val="28"/>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47">
    <w:nsid w:val="6916E4BB"/>
    <w:multiLevelType w:val="singleLevel"/>
    <w:tmpl w:val="6916E4BB"/>
    <w:lvl w:ilvl="0" w:tentative="0">
      <w:start w:val="1"/>
      <w:numFmt w:val="decimalEnclosedCircleChinese"/>
      <w:suff w:val="nothing"/>
      <w:lvlText w:val="%1　"/>
      <w:lvlJc w:val="left"/>
      <w:pPr>
        <w:ind w:left="0" w:firstLine="400"/>
      </w:pPr>
      <w:rPr>
        <w:rFonts w:hint="eastAsia"/>
      </w:rPr>
    </w:lvl>
  </w:abstractNum>
  <w:abstractNum w:abstractNumId="48">
    <w:nsid w:val="6B176777"/>
    <w:multiLevelType w:val="multilevel"/>
    <w:tmpl w:val="6B176777"/>
    <w:lvl w:ilvl="0" w:tentative="0">
      <w:start w:val="1"/>
      <w:numFmt w:val="decimal"/>
      <w:lvlText w:val="%1"/>
      <w:lvlJc w:val="center"/>
      <w:pPr>
        <w:tabs>
          <w:tab w:val="left" w:pos="420"/>
        </w:tabs>
        <w:ind w:left="420" w:hanging="132"/>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9">
    <w:nsid w:val="73125874"/>
    <w:multiLevelType w:val="multilevel"/>
    <w:tmpl w:val="73125874"/>
    <w:lvl w:ilvl="0" w:tentative="0">
      <w:start w:val="1"/>
      <w:numFmt w:val="decimal"/>
      <w:lvlText w:val="%1"/>
      <w:lvlJc w:val="left"/>
      <w:pPr>
        <w:tabs>
          <w:tab w:val="left" w:pos="360"/>
        </w:tabs>
        <w:ind w:left="-113" w:firstLine="113"/>
      </w:pPr>
      <w:rPr>
        <w:rFonts w:hint="default" w:ascii="Times New Roman" w:hAnsi="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0">
    <w:nsid w:val="73343DC4"/>
    <w:multiLevelType w:val="singleLevel"/>
    <w:tmpl w:val="73343DC4"/>
    <w:lvl w:ilvl="0" w:tentative="0">
      <w:start w:val="1"/>
      <w:numFmt w:val="decimal"/>
      <w:suff w:val="nothing"/>
      <w:lvlText w:val="%1."/>
      <w:lvlJc w:val="left"/>
    </w:lvl>
  </w:abstractNum>
  <w:abstractNum w:abstractNumId="51">
    <w:nsid w:val="787A23C0"/>
    <w:multiLevelType w:val="multilevel"/>
    <w:tmpl w:val="787A23C0"/>
    <w:lvl w:ilvl="0" w:tentative="0">
      <w:start w:val="1"/>
      <w:numFmt w:val="decimal"/>
      <w:lvlText w:val="%1."/>
      <w:lvlJc w:val="left"/>
      <w:pPr>
        <w:tabs>
          <w:tab w:val="left" w:pos="1155"/>
        </w:tabs>
        <w:ind w:left="1155" w:hanging="420"/>
      </w:pPr>
    </w:lvl>
    <w:lvl w:ilvl="1" w:tentative="0">
      <w:start w:val="1"/>
      <w:numFmt w:val="decimal"/>
      <w:lvlText w:val="%2、"/>
      <w:lvlJc w:val="left"/>
      <w:pPr>
        <w:tabs>
          <w:tab w:val="left" w:pos="1069"/>
        </w:tabs>
        <w:ind w:left="1069" w:hanging="360"/>
      </w:pPr>
      <w:rPr>
        <w:rFonts w:ascii="宋体" w:hAnsi="Times New Roman" w:eastAsia="宋体" w:cs="宋体"/>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8"/>
  </w:num>
  <w:num w:numId="3">
    <w:abstractNumId w:val="31"/>
  </w:num>
  <w:num w:numId="4">
    <w:abstractNumId w:val="37"/>
  </w:num>
  <w:num w:numId="5">
    <w:abstractNumId w:val="29"/>
  </w:num>
  <w:num w:numId="6">
    <w:abstractNumId w:val="19"/>
  </w:num>
  <w:num w:numId="7">
    <w:abstractNumId w:val="28"/>
  </w:num>
  <w:num w:numId="8">
    <w:abstractNumId w:val="32"/>
  </w:num>
  <w:num w:numId="9">
    <w:abstractNumId w:val="25"/>
  </w:num>
  <w:num w:numId="10">
    <w:abstractNumId w:val="17"/>
  </w:num>
  <w:num w:numId="1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0"/>
  </w:num>
  <w:num w:numId="13">
    <w:abstractNumId w:val="36"/>
  </w:num>
  <w:num w:numId="14">
    <w:abstractNumId w:val="4"/>
  </w:num>
  <w:num w:numId="15">
    <w:abstractNumId w:val="39"/>
  </w:num>
  <w:num w:numId="16">
    <w:abstractNumId w:val="45"/>
  </w:num>
  <w:num w:numId="17">
    <w:abstractNumId w:val="2"/>
  </w:num>
  <w:num w:numId="18">
    <w:abstractNumId w:val="12"/>
  </w:num>
  <w:num w:numId="19">
    <w:abstractNumId w:val="44"/>
  </w:num>
  <w:num w:numId="20">
    <w:abstractNumId w:val="24"/>
  </w:num>
  <w:num w:numId="21">
    <w:abstractNumId w:val="1"/>
  </w:num>
  <w:num w:numId="22">
    <w:abstractNumId w:val="3"/>
  </w:num>
  <w:num w:numId="23">
    <w:abstractNumId w:val="18"/>
  </w:num>
  <w:num w:numId="24">
    <w:abstractNumId w:val="42"/>
  </w:num>
  <w:num w:numId="25">
    <w:abstractNumId w:val="20"/>
  </w:num>
  <w:num w:numId="26">
    <w:abstractNumId w:val="26"/>
  </w:num>
  <w:num w:numId="27">
    <w:abstractNumId w:val="21"/>
  </w:num>
  <w:num w:numId="28">
    <w:abstractNumId w:val="38"/>
  </w:num>
  <w:num w:numId="29">
    <w:abstractNumId w:val="11"/>
  </w:num>
  <w:num w:numId="30">
    <w:abstractNumId w:val="30"/>
  </w:num>
  <w:num w:numId="31">
    <w:abstractNumId w:val="50"/>
  </w:num>
  <w:num w:numId="32">
    <w:abstractNumId w:val="16"/>
  </w:num>
  <w:num w:numId="33">
    <w:abstractNumId w:val="48"/>
  </w:num>
  <w:num w:numId="34">
    <w:abstractNumId w:val="35"/>
  </w:num>
  <w:num w:numId="35">
    <w:abstractNumId w:val="10"/>
  </w:num>
  <w:num w:numId="36">
    <w:abstractNumId w:val="51"/>
  </w:num>
  <w:num w:numId="37">
    <w:abstractNumId w:val="13"/>
  </w:num>
  <w:num w:numId="38">
    <w:abstractNumId w:val="0"/>
  </w:num>
  <w:num w:numId="39">
    <w:abstractNumId w:val="6"/>
  </w:num>
  <w:num w:numId="40">
    <w:abstractNumId w:val="22"/>
  </w:num>
  <w:num w:numId="41">
    <w:abstractNumId w:val="47"/>
  </w:num>
  <w:num w:numId="42">
    <w:abstractNumId w:val="23"/>
  </w:num>
  <w:num w:numId="43">
    <w:abstractNumId w:val="27"/>
  </w:num>
  <w:num w:numId="44">
    <w:abstractNumId w:val="49"/>
  </w:num>
  <w:num w:numId="45">
    <w:abstractNumId w:val="34"/>
  </w:num>
  <w:num w:numId="46">
    <w:abstractNumId w:val="41"/>
  </w:num>
  <w:num w:numId="47">
    <w:abstractNumId w:val="9"/>
  </w:num>
  <w:num w:numId="48">
    <w:abstractNumId w:val="7"/>
  </w:num>
  <w:num w:numId="49">
    <w:abstractNumId w:val="15"/>
  </w:num>
  <w:num w:numId="50">
    <w:abstractNumId w:val="33"/>
  </w:num>
  <w:num w:numId="51">
    <w:abstractNumId w:val="46"/>
  </w:num>
  <w:num w:numId="5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0"/>
  <w:bordersDoNotSurroundFooter w:val="0"/>
  <w:hideSpellingErrors/>
  <w:documentProtection w:enforcement="0"/>
  <w:defaultTabStop w:val="420"/>
  <w:drawingGridHorizontalSpacing w:val="280"/>
  <w:drawingGridVerticalSpacing w:val="193"/>
  <w:displayHorizontalDrawingGridEvery w:val="1"/>
  <w:displayVerticalDrawingGridEvery w:val="1"/>
  <w:noPunctuationKerning w:val="1"/>
  <w:characterSpacingControl w:val="compressPunctuation"/>
  <w:hdrShapeDefaults>
    <o:shapelayout v:ext="edit">
      <o:idmap v:ext="edit" data="1,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Q2ZGI2NTUwYzkzY2I4MzFiMjJjMmEwMmFlOWY3YTMifQ=="/>
  </w:docVars>
  <w:rsids>
    <w:rsidRoot w:val="00A718B8"/>
    <w:rsid w:val="00000342"/>
    <w:rsid w:val="00000B07"/>
    <w:rsid w:val="00000E7C"/>
    <w:rsid w:val="000022AF"/>
    <w:rsid w:val="00003453"/>
    <w:rsid w:val="00004E62"/>
    <w:rsid w:val="0000559E"/>
    <w:rsid w:val="00005C6F"/>
    <w:rsid w:val="00006F01"/>
    <w:rsid w:val="000107F4"/>
    <w:rsid w:val="000121E1"/>
    <w:rsid w:val="00016A1B"/>
    <w:rsid w:val="00024D57"/>
    <w:rsid w:val="00025DFB"/>
    <w:rsid w:val="00025E69"/>
    <w:rsid w:val="00026665"/>
    <w:rsid w:val="00027B7C"/>
    <w:rsid w:val="00030314"/>
    <w:rsid w:val="00032939"/>
    <w:rsid w:val="0003669F"/>
    <w:rsid w:val="000369B1"/>
    <w:rsid w:val="000378EC"/>
    <w:rsid w:val="0004085B"/>
    <w:rsid w:val="00041654"/>
    <w:rsid w:val="00045311"/>
    <w:rsid w:val="0004654F"/>
    <w:rsid w:val="00046A0A"/>
    <w:rsid w:val="00046F6A"/>
    <w:rsid w:val="00047A00"/>
    <w:rsid w:val="00047B46"/>
    <w:rsid w:val="0005095E"/>
    <w:rsid w:val="00050D80"/>
    <w:rsid w:val="0005531B"/>
    <w:rsid w:val="00056FF9"/>
    <w:rsid w:val="00063069"/>
    <w:rsid w:val="000641EE"/>
    <w:rsid w:val="00064E3F"/>
    <w:rsid w:val="00070FF3"/>
    <w:rsid w:val="000724AA"/>
    <w:rsid w:val="00076686"/>
    <w:rsid w:val="00080061"/>
    <w:rsid w:val="0008452E"/>
    <w:rsid w:val="00084B41"/>
    <w:rsid w:val="0008559A"/>
    <w:rsid w:val="000872D9"/>
    <w:rsid w:val="00090210"/>
    <w:rsid w:val="00090AEC"/>
    <w:rsid w:val="00090C49"/>
    <w:rsid w:val="000912B7"/>
    <w:rsid w:val="00092018"/>
    <w:rsid w:val="000960DC"/>
    <w:rsid w:val="00097FF5"/>
    <w:rsid w:val="000A14E6"/>
    <w:rsid w:val="000A28F8"/>
    <w:rsid w:val="000A3F83"/>
    <w:rsid w:val="000A4036"/>
    <w:rsid w:val="000A4A49"/>
    <w:rsid w:val="000A53CC"/>
    <w:rsid w:val="000A6F9F"/>
    <w:rsid w:val="000A74B8"/>
    <w:rsid w:val="000A7DA0"/>
    <w:rsid w:val="000B059D"/>
    <w:rsid w:val="000B0E05"/>
    <w:rsid w:val="000B0FD2"/>
    <w:rsid w:val="000B298B"/>
    <w:rsid w:val="000B2A7C"/>
    <w:rsid w:val="000B40F8"/>
    <w:rsid w:val="000B6668"/>
    <w:rsid w:val="000C1682"/>
    <w:rsid w:val="000C17B9"/>
    <w:rsid w:val="000C1CB4"/>
    <w:rsid w:val="000C411D"/>
    <w:rsid w:val="000C4ED5"/>
    <w:rsid w:val="000C50AD"/>
    <w:rsid w:val="000C7811"/>
    <w:rsid w:val="000D0281"/>
    <w:rsid w:val="000D04AE"/>
    <w:rsid w:val="000D2076"/>
    <w:rsid w:val="000D34D2"/>
    <w:rsid w:val="000D3B9F"/>
    <w:rsid w:val="000D3F35"/>
    <w:rsid w:val="000D48E1"/>
    <w:rsid w:val="000D5865"/>
    <w:rsid w:val="000D6225"/>
    <w:rsid w:val="000D649B"/>
    <w:rsid w:val="000E3E35"/>
    <w:rsid w:val="000E6A3E"/>
    <w:rsid w:val="000E6D64"/>
    <w:rsid w:val="000F0077"/>
    <w:rsid w:val="000F1749"/>
    <w:rsid w:val="000F30C2"/>
    <w:rsid w:val="000F562F"/>
    <w:rsid w:val="000F5C93"/>
    <w:rsid w:val="000F6428"/>
    <w:rsid w:val="000F7A18"/>
    <w:rsid w:val="001024E8"/>
    <w:rsid w:val="00102C1C"/>
    <w:rsid w:val="00102D58"/>
    <w:rsid w:val="001048AE"/>
    <w:rsid w:val="001062C1"/>
    <w:rsid w:val="00107759"/>
    <w:rsid w:val="00107E1F"/>
    <w:rsid w:val="00110A58"/>
    <w:rsid w:val="00110CE0"/>
    <w:rsid w:val="00116509"/>
    <w:rsid w:val="00117307"/>
    <w:rsid w:val="00120FA9"/>
    <w:rsid w:val="00121309"/>
    <w:rsid w:val="00121340"/>
    <w:rsid w:val="0012200B"/>
    <w:rsid w:val="00127447"/>
    <w:rsid w:val="001313CE"/>
    <w:rsid w:val="00133145"/>
    <w:rsid w:val="00134E48"/>
    <w:rsid w:val="00135B34"/>
    <w:rsid w:val="00136FBE"/>
    <w:rsid w:val="00137D47"/>
    <w:rsid w:val="001407F6"/>
    <w:rsid w:val="0014119C"/>
    <w:rsid w:val="001412E1"/>
    <w:rsid w:val="00141C07"/>
    <w:rsid w:val="001439D3"/>
    <w:rsid w:val="0014628B"/>
    <w:rsid w:val="00146C3B"/>
    <w:rsid w:val="00147424"/>
    <w:rsid w:val="00152B54"/>
    <w:rsid w:val="00153B1B"/>
    <w:rsid w:val="001564A6"/>
    <w:rsid w:val="00157291"/>
    <w:rsid w:val="001607B2"/>
    <w:rsid w:val="00160B89"/>
    <w:rsid w:val="00160FE0"/>
    <w:rsid w:val="00161667"/>
    <w:rsid w:val="00162E57"/>
    <w:rsid w:val="00163AEC"/>
    <w:rsid w:val="00163C5A"/>
    <w:rsid w:val="001640E6"/>
    <w:rsid w:val="001646DB"/>
    <w:rsid w:val="00164EAB"/>
    <w:rsid w:val="001665FC"/>
    <w:rsid w:val="001666E0"/>
    <w:rsid w:val="0016674C"/>
    <w:rsid w:val="00167810"/>
    <w:rsid w:val="001714E0"/>
    <w:rsid w:val="00172024"/>
    <w:rsid w:val="001736D6"/>
    <w:rsid w:val="00173A8B"/>
    <w:rsid w:val="00173E2E"/>
    <w:rsid w:val="00174591"/>
    <w:rsid w:val="00174C93"/>
    <w:rsid w:val="00175EF7"/>
    <w:rsid w:val="001776F7"/>
    <w:rsid w:val="00180E58"/>
    <w:rsid w:val="00182B22"/>
    <w:rsid w:val="00182C8E"/>
    <w:rsid w:val="001830D4"/>
    <w:rsid w:val="00183214"/>
    <w:rsid w:val="001838B1"/>
    <w:rsid w:val="001841D5"/>
    <w:rsid w:val="00185033"/>
    <w:rsid w:val="00185B73"/>
    <w:rsid w:val="00185C14"/>
    <w:rsid w:val="00187103"/>
    <w:rsid w:val="00187830"/>
    <w:rsid w:val="0019020C"/>
    <w:rsid w:val="001904BC"/>
    <w:rsid w:val="00190638"/>
    <w:rsid w:val="00190FB8"/>
    <w:rsid w:val="00192D5A"/>
    <w:rsid w:val="001930A0"/>
    <w:rsid w:val="00193252"/>
    <w:rsid w:val="001942B3"/>
    <w:rsid w:val="00195D8F"/>
    <w:rsid w:val="00196147"/>
    <w:rsid w:val="001A083F"/>
    <w:rsid w:val="001A125C"/>
    <w:rsid w:val="001A4F22"/>
    <w:rsid w:val="001A5270"/>
    <w:rsid w:val="001A60E6"/>
    <w:rsid w:val="001A6FE6"/>
    <w:rsid w:val="001B02B9"/>
    <w:rsid w:val="001B1717"/>
    <w:rsid w:val="001B178F"/>
    <w:rsid w:val="001B1988"/>
    <w:rsid w:val="001B34A1"/>
    <w:rsid w:val="001B3FC1"/>
    <w:rsid w:val="001B4932"/>
    <w:rsid w:val="001B56C7"/>
    <w:rsid w:val="001B56D1"/>
    <w:rsid w:val="001B5871"/>
    <w:rsid w:val="001B5B24"/>
    <w:rsid w:val="001B61A6"/>
    <w:rsid w:val="001B78CB"/>
    <w:rsid w:val="001C05DA"/>
    <w:rsid w:val="001C0C26"/>
    <w:rsid w:val="001C0EB4"/>
    <w:rsid w:val="001C1FD8"/>
    <w:rsid w:val="001C2690"/>
    <w:rsid w:val="001C3643"/>
    <w:rsid w:val="001C3ECD"/>
    <w:rsid w:val="001C43DB"/>
    <w:rsid w:val="001C522A"/>
    <w:rsid w:val="001C5996"/>
    <w:rsid w:val="001C6F44"/>
    <w:rsid w:val="001D0A81"/>
    <w:rsid w:val="001D0A9F"/>
    <w:rsid w:val="001D1E7B"/>
    <w:rsid w:val="001D2BFB"/>
    <w:rsid w:val="001D2C99"/>
    <w:rsid w:val="001D34B5"/>
    <w:rsid w:val="001D4C13"/>
    <w:rsid w:val="001D7B96"/>
    <w:rsid w:val="001E1791"/>
    <w:rsid w:val="001E1BD5"/>
    <w:rsid w:val="001E30EB"/>
    <w:rsid w:val="001E466F"/>
    <w:rsid w:val="001E4DF7"/>
    <w:rsid w:val="001E5A04"/>
    <w:rsid w:val="001F049F"/>
    <w:rsid w:val="001F0D62"/>
    <w:rsid w:val="001F1CE3"/>
    <w:rsid w:val="001F1E03"/>
    <w:rsid w:val="001F2B9C"/>
    <w:rsid w:val="001F3C15"/>
    <w:rsid w:val="001F5534"/>
    <w:rsid w:val="001F5B9B"/>
    <w:rsid w:val="001F7B16"/>
    <w:rsid w:val="00200984"/>
    <w:rsid w:val="00201085"/>
    <w:rsid w:val="002022B3"/>
    <w:rsid w:val="00202905"/>
    <w:rsid w:val="00205E2F"/>
    <w:rsid w:val="002100EF"/>
    <w:rsid w:val="0021022B"/>
    <w:rsid w:val="002103D8"/>
    <w:rsid w:val="002103FB"/>
    <w:rsid w:val="002109C0"/>
    <w:rsid w:val="00211696"/>
    <w:rsid w:val="00212003"/>
    <w:rsid w:val="002122C5"/>
    <w:rsid w:val="00212B57"/>
    <w:rsid w:val="00215A97"/>
    <w:rsid w:val="00217064"/>
    <w:rsid w:val="00220094"/>
    <w:rsid w:val="0022089E"/>
    <w:rsid w:val="00220DFC"/>
    <w:rsid w:val="00221117"/>
    <w:rsid w:val="0022330D"/>
    <w:rsid w:val="002256FB"/>
    <w:rsid w:val="00225F01"/>
    <w:rsid w:val="002274A6"/>
    <w:rsid w:val="00227FBD"/>
    <w:rsid w:val="0023072A"/>
    <w:rsid w:val="00230D1D"/>
    <w:rsid w:val="00231A25"/>
    <w:rsid w:val="00232856"/>
    <w:rsid w:val="0023376C"/>
    <w:rsid w:val="002357E2"/>
    <w:rsid w:val="00237FE5"/>
    <w:rsid w:val="002430EB"/>
    <w:rsid w:val="002438AC"/>
    <w:rsid w:val="00244366"/>
    <w:rsid w:val="00245111"/>
    <w:rsid w:val="00246445"/>
    <w:rsid w:val="00247472"/>
    <w:rsid w:val="00247BAC"/>
    <w:rsid w:val="00250768"/>
    <w:rsid w:val="00252AAE"/>
    <w:rsid w:val="00256C2B"/>
    <w:rsid w:val="002574CE"/>
    <w:rsid w:val="002613B1"/>
    <w:rsid w:val="00263BA2"/>
    <w:rsid w:val="00263D43"/>
    <w:rsid w:val="002641A6"/>
    <w:rsid w:val="0026430F"/>
    <w:rsid w:val="002644AA"/>
    <w:rsid w:val="00264F73"/>
    <w:rsid w:val="00265C82"/>
    <w:rsid w:val="00265EF8"/>
    <w:rsid w:val="00265FFC"/>
    <w:rsid w:val="002661DB"/>
    <w:rsid w:val="00266F53"/>
    <w:rsid w:val="00270295"/>
    <w:rsid w:val="00270971"/>
    <w:rsid w:val="002712FD"/>
    <w:rsid w:val="00273C72"/>
    <w:rsid w:val="00274A74"/>
    <w:rsid w:val="0027776A"/>
    <w:rsid w:val="00280022"/>
    <w:rsid w:val="002807EE"/>
    <w:rsid w:val="00280F93"/>
    <w:rsid w:val="00281E15"/>
    <w:rsid w:val="0028477A"/>
    <w:rsid w:val="00291123"/>
    <w:rsid w:val="002913FF"/>
    <w:rsid w:val="00293931"/>
    <w:rsid w:val="00295162"/>
    <w:rsid w:val="002953FF"/>
    <w:rsid w:val="00295B80"/>
    <w:rsid w:val="00296BEC"/>
    <w:rsid w:val="002A6429"/>
    <w:rsid w:val="002A702A"/>
    <w:rsid w:val="002B18D0"/>
    <w:rsid w:val="002B1E63"/>
    <w:rsid w:val="002B2D01"/>
    <w:rsid w:val="002B3FE5"/>
    <w:rsid w:val="002B5079"/>
    <w:rsid w:val="002C47F1"/>
    <w:rsid w:val="002C6780"/>
    <w:rsid w:val="002C73C9"/>
    <w:rsid w:val="002D03FE"/>
    <w:rsid w:val="002D040F"/>
    <w:rsid w:val="002D0C25"/>
    <w:rsid w:val="002D3047"/>
    <w:rsid w:val="002D3791"/>
    <w:rsid w:val="002D3B6F"/>
    <w:rsid w:val="002D4242"/>
    <w:rsid w:val="002D5801"/>
    <w:rsid w:val="002D7AB5"/>
    <w:rsid w:val="002E01BA"/>
    <w:rsid w:val="002E0BA4"/>
    <w:rsid w:val="002E11DE"/>
    <w:rsid w:val="002E1DE3"/>
    <w:rsid w:val="002E3BDD"/>
    <w:rsid w:val="002E3D71"/>
    <w:rsid w:val="002E59EC"/>
    <w:rsid w:val="002E5E7D"/>
    <w:rsid w:val="002E6822"/>
    <w:rsid w:val="002E6FD8"/>
    <w:rsid w:val="002E75E1"/>
    <w:rsid w:val="002F1144"/>
    <w:rsid w:val="002F3BF3"/>
    <w:rsid w:val="002F3FE1"/>
    <w:rsid w:val="002F4E6D"/>
    <w:rsid w:val="002F598C"/>
    <w:rsid w:val="002F5A0C"/>
    <w:rsid w:val="002F5B88"/>
    <w:rsid w:val="0030027A"/>
    <w:rsid w:val="00300BEA"/>
    <w:rsid w:val="0030443F"/>
    <w:rsid w:val="003045BE"/>
    <w:rsid w:val="0030489C"/>
    <w:rsid w:val="00304B00"/>
    <w:rsid w:val="003135A2"/>
    <w:rsid w:val="0031450F"/>
    <w:rsid w:val="00315159"/>
    <w:rsid w:val="0031534B"/>
    <w:rsid w:val="00316C22"/>
    <w:rsid w:val="00321D8D"/>
    <w:rsid w:val="00323FF6"/>
    <w:rsid w:val="00325D9D"/>
    <w:rsid w:val="00330F2F"/>
    <w:rsid w:val="00330FDF"/>
    <w:rsid w:val="00331573"/>
    <w:rsid w:val="00332CF9"/>
    <w:rsid w:val="00335496"/>
    <w:rsid w:val="00341AA9"/>
    <w:rsid w:val="00342A9F"/>
    <w:rsid w:val="00343123"/>
    <w:rsid w:val="00345368"/>
    <w:rsid w:val="00345665"/>
    <w:rsid w:val="00345C32"/>
    <w:rsid w:val="00346479"/>
    <w:rsid w:val="003474B4"/>
    <w:rsid w:val="0035025A"/>
    <w:rsid w:val="003535F7"/>
    <w:rsid w:val="00353A02"/>
    <w:rsid w:val="003542D6"/>
    <w:rsid w:val="003557D8"/>
    <w:rsid w:val="00355BAC"/>
    <w:rsid w:val="00361ABE"/>
    <w:rsid w:val="0036350C"/>
    <w:rsid w:val="0036533A"/>
    <w:rsid w:val="00366F08"/>
    <w:rsid w:val="00371456"/>
    <w:rsid w:val="0037296D"/>
    <w:rsid w:val="00374D14"/>
    <w:rsid w:val="003754C4"/>
    <w:rsid w:val="00375A16"/>
    <w:rsid w:val="003767FF"/>
    <w:rsid w:val="00376DF3"/>
    <w:rsid w:val="00377B46"/>
    <w:rsid w:val="0038025A"/>
    <w:rsid w:val="0038071D"/>
    <w:rsid w:val="00382129"/>
    <w:rsid w:val="0038406E"/>
    <w:rsid w:val="00385061"/>
    <w:rsid w:val="00386567"/>
    <w:rsid w:val="003903CB"/>
    <w:rsid w:val="00391684"/>
    <w:rsid w:val="0039300C"/>
    <w:rsid w:val="0039368B"/>
    <w:rsid w:val="00393BEE"/>
    <w:rsid w:val="00393C4A"/>
    <w:rsid w:val="00395F5E"/>
    <w:rsid w:val="00397145"/>
    <w:rsid w:val="0039731A"/>
    <w:rsid w:val="003A1128"/>
    <w:rsid w:val="003A18F7"/>
    <w:rsid w:val="003A2B58"/>
    <w:rsid w:val="003A41FC"/>
    <w:rsid w:val="003A5C59"/>
    <w:rsid w:val="003A6FA3"/>
    <w:rsid w:val="003A7FD3"/>
    <w:rsid w:val="003B3E5D"/>
    <w:rsid w:val="003B3EAF"/>
    <w:rsid w:val="003B46B5"/>
    <w:rsid w:val="003B4743"/>
    <w:rsid w:val="003B568C"/>
    <w:rsid w:val="003B5EC2"/>
    <w:rsid w:val="003B782B"/>
    <w:rsid w:val="003C0510"/>
    <w:rsid w:val="003C0838"/>
    <w:rsid w:val="003C1383"/>
    <w:rsid w:val="003C16F8"/>
    <w:rsid w:val="003C222F"/>
    <w:rsid w:val="003C26DC"/>
    <w:rsid w:val="003C3A33"/>
    <w:rsid w:val="003C4BC6"/>
    <w:rsid w:val="003C4C1B"/>
    <w:rsid w:val="003C4D20"/>
    <w:rsid w:val="003C4E52"/>
    <w:rsid w:val="003C6793"/>
    <w:rsid w:val="003C740A"/>
    <w:rsid w:val="003D13DC"/>
    <w:rsid w:val="003D1BE6"/>
    <w:rsid w:val="003D1CC8"/>
    <w:rsid w:val="003D1DB0"/>
    <w:rsid w:val="003D4FBF"/>
    <w:rsid w:val="003D6F07"/>
    <w:rsid w:val="003E11F2"/>
    <w:rsid w:val="003E1B8F"/>
    <w:rsid w:val="003E31AA"/>
    <w:rsid w:val="003E4AC5"/>
    <w:rsid w:val="003E4E3E"/>
    <w:rsid w:val="003E528D"/>
    <w:rsid w:val="003E5A25"/>
    <w:rsid w:val="003E6251"/>
    <w:rsid w:val="003F13E6"/>
    <w:rsid w:val="003F2117"/>
    <w:rsid w:val="003F3153"/>
    <w:rsid w:val="003F4683"/>
    <w:rsid w:val="003F54E1"/>
    <w:rsid w:val="00401A28"/>
    <w:rsid w:val="00401F2C"/>
    <w:rsid w:val="00405C15"/>
    <w:rsid w:val="00406169"/>
    <w:rsid w:val="00406462"/>
    <w:rsid w:val="0040786F"/>
    <w:rsid w:val="0040792D"/>
    <w:rsid w:val="0041069D"/>
    <w:rsid w:val="00410C72"/>
    <w:rsid w:val="00411587"/>
    <w:rsid w:val="00414237"/>
    <w:rsid w:val="00417165"/>
    <w:rsid w:val="00417525"/>
    <w:rsid w:val="00417D37"/>
    <w:rsid w:val="00420CA3"/>
    <w:rsid w:val="00425315"/>
    <w:rsid w:val="00425BD6"/>
    <w:rsid w:val="00426523"/>
    <w:rsid w:val="00426A3C"/>
    <w:rsid w:val="0043097C"/>
    <w:rsid w:val="0043220E"/>
    <w:rsid w:val="0043293A"/>
    <w:rsid w:val="004339FC"/>
    <w:rsid w:val="00435D29"/>
    <w:rsid w:val="00437E0F"/>
    <w:rsid w:val="00441373"/>
    <w:rsid w:val="00444CA3"/>
    <w:rsid w:val="00447568"/>
    <w:rsid w:val="00452402"/>
    <w:rsid w:val="00453937"/>
    <w:rsid w:val="00455077"/>
    <w:rsid w:val="00464245"/>
    <w:rsid w:val="00470BBE"/>
    <w:rsid w:val="00471DDB"/>
    <w:rsid w:val="00474850"/>
    <w:rsid w:val="004765DE"/>
    <w:rsid w:val="004772E3"/>
    <w:rsid w:val="004828A0"/>
    <w:rsid w:val="00482D4A"/>
    <w:rsid w:val="0048473B"/>
    <w:rsid w:val="00484EC9"/>
    <w:rsid w:val="0048614D"/>
    <w:rsid w:val="0048707F"/>
    <w:rsid w:val="004904BD"/>
    <w:rsid w:val="004912AB"/>
    <w:rsid w:val="00491768"/>
    <w:rsid w:val="00491945"/>
    <w:rsid w:val="004922F3"/>
    <w:rsid w:val="00495903"/>
    <w:rsid w:val="00495DE4"/>
    <w:rsid w:val="0049648A"/>
    <w:rsid w:val="004A0596"/>
    <w:rsid w:val="004A3EC9"/>
    <w:rsid w:val="004A3ED2"/>
    <w:rsid w:val="004A42BB"/>
    <w:rsid w:val="004A43BC"/>
    <w:rsid w:val="004A632B"/>
    <w:rsid w:val="004A68EC"/>
    <w:rsid w:val="004A6F08"/>
    <w:rsid w:val="004A7DA9"/>
    <w:rsid w:val="004B13C9"/>
    <w:rsid w:val="004B166A"/>
    <w:rsid w:val="004B4DFB"/>
    <w:rsid w:val="004B56B8"/>
    <w:rsid w:val="004B6167"/>
    <w:rsid w:val="004B649E"/>
    <w:rsid w:val="004B7EA1"/>
    <w:rsid w:val="004C2702"/>
    <w:rsid w:val="004C684C"/>
    <w:rsid w:val="004C75AB"/>
    <w:rsid w:val="004C7B04"/>
    <w:rsid w:val="004D4475"/>
    <w:rsid w:val="004D51CA"/>
    <w:rsid w:val="004D55FF"/>
    <w:rsid w:val="004D5D7D"/>
    <w:rsid w:val="004D7635"/>
    <w:rsid w:val="004E5135"/>
    <w:rsid w:val="004E58D2"/>
    <w:rsid w:val="004E5E8C"/>
    <w:rsid w:val="004F0A53"/>
    <w:rsid w:val="004F2D4D"/>
    <w:rsid w:val="004F3712"/>
    <w:rsid w:val="004F5980"/>
    <w:rsid w:val="00500C3E"/>
    <w:rsid w:val="00503213"/>
    <w:rsid w:val="005033F3"/>
    <w:rsid w:val="00504E04"/>
    <w:rsid w:val="00506C82"/>
    <w:rsid w:val="00506C84"/>
    <w:rsid w:val="0051454F"/>
    <w:rsid w:val="0052071E"/>
    <w:rsid w:val="00521A5F"/>
    <w:rsid w:val="00521B35"/>
    <w:rsid w:val="00523792"/>
    <w:rsid w:val="00524351"/>
    <w:rsid w:val="005253E2"/>
    <w:rsid w:val="00525A91"/>
    <w:rsid w:val="00530562"/>
    <w:rsid w:val="005305FA"/>
    <w:rsid w:val="00532F16"/>
    <w:rsid w:val="00533FF5"/>
    <w:rsid w:val="005345B9"/>
    <w:rsid w:val="00535420"/>
    <w:rsid w:val="00537C15"/>
    <w:rsid w:val="00541EC4"/>
    <w:rsid w:val="005457A2"/>
    <w:rsid w:val="00545B16"/>
    <w:rsid w:val="00545BCD"/>
    <w:rsid w:val="00546374"/>
    <w:rsid w:val="00546B3A"/>
    <w:rsid w:val="00551A00"/>
    <w:rsid w:val="00551F5C"/>
    <w:rsid w:val="005523BB"/>
    <w:rsid w:val="00552F13"/>
    <w:rsid w:val="00552F2C"/>
    <w:rsid w:val="00554926"/>
    <w:rsid w:val="00554F57"/>
    <w:rsid w:val="00555A3A"/>
    <w:rsid w:val="00556E35"/>
    <w:rsid w:val="00556E5D"/>
    <w:rsid w:val="00560B5C"/>
    <w:rsid w:val="005612E7"/>
    <w:rsid w:val="0056201C"/>
    <w:rsid w:val="0056522C"/>
    <w:rsid w:val="00566363"/>
    <w:rsid w:val="00566B2D"/>
    <w:rsid w:val="00567581"/>
    <w:rsid w:val="005678B4"/>
    <w:rsid w:val="005706BE"/>
    <w:rsid w:val="00571618"/>
    <w:rsid w:val="00572855"/>
    <w:rsid w:val="0057438D"/>
    <w:rsid w:val="005748B7"/>
    <w:rsid w:val="00574A71"/>
    <w:rsid w:val="00574D42"/>
    <w:rsid w:val="00576147"/>
    <w:rsid w:val="00576B2D"/>
    <w:rsid w:val="00576FE4"/>
    <w:rsid w:val="00577B94"/>
    <w:rsid w:val="00577C9B"/>
    <w:rsid w:val="00577EA4"/>
    <w:rsid w:val="00581B6B"/>
    <w:rsid w:val="005820C0"/>
    <w:rsid w:val="00582DFA"/>
    <w:rsid w:val="00584494"/>
    <w:rsid w:val="0058466D"/>
    <w:rsid w:val="00584FBA"/>
    <w:rsid w:val="005860E7"/>
    <w:rsid w:val="00586108"/>
    <w:rsid w:val="005866F0"/>
    <w:rsid w:val="005873A8"/>
    <w:rsid w:val="0058785C"/>
    <w:rsid w:val="00587B2D"/>
    <w:rsid w:val="00587C6F"/>
    <w:rsid w:val="005918FF"/>
    <w:rsid w:val="005922B3"/>
    <w:rsid w:val="00592DC2"/>
    <w:rsid w:val="005A2657"/>
    <w:rsid w:val="005A3432"/>
    <w:rsid w:val="005A361D"/>
    <w:rsid w:val="005A4237"/>
    <w:rsid w:val="005A5005"/>
    <w:rsid w:val="005A6E0D"/>
    <w:rsid w:val="005B17FA"/>
    <w:rsid w:val="005B1DA2"/>
    <w:rsid w:val="005B1DE0"/>
    <w:rsid w:val="005B1E09"/>
    <w:rsid w:val="005B2DCC"/>
    <w:rsid w:val="005B2FA7"/>
    <w:rsid w:val="005B33B0"/>
    <w:rsid w:val="005B53BF"/>
    <w:rsid w:val="005C17BD"/>
    <w:rsid w:val="005C2908"/>
    <w:rsid w:val="005C425D"/>
    <w:rsid w:val="005C571C"/>
    <w:rsid w:val="005C647B"/>
    <w:rsid w:val="005D0F1F"/>
    <w:rsid w:val="005D1AAC"/>
    <w:rsid w:val="005D2073"/>
    <w:rsid w:val="005D3C91"/>
    <w:rsid w:val="005D44CD"/>
    <w:rsid w:val="005D626A"/>
    <w:rsid w:val="005D6FDD"/>
    <w:rsid w:val="005E11B6"/>
    <w:rsid w:val="005E159F"/>
    <w:rsid w:val="005E58B6"/>
    <w:rsid w:val="005F005E"/>
    <w:rsid w:val="005F0A28"/>
    <w:rsid w:val="005F1464"/>
    <w:rsid w:val="005F2284"/>
    <w:rsid w:val="005F253B"/>
    <w:rsid w:val="005F2E88"/>
    <w:rsid w:val="005F4F56"/>
    <w:rsid w:val="006028F9"/>
    <w:rsid w:val="00602BFE"/>
    <w:rsid w:val="00602C39"/>
    <w:rsid w:val="0060360B"/>
    <w:rsid w:val="006061E2"/>
    <w:rsid w:val="006067CB"/>
    <w:rsid w:val="00606AAA"/>
    <w:rsid w:val="006074A9"/>
    <w:rsid w:val="00607946"/>
    <w:rsid w:val="00610DB1"/>
    <w:rsid w:val="00611B01"/>
    <w:rsid w:val="006136E7"/>
    <w:rsid w:val="00615A6E"/>
    <w:rsid w:val="00615C27"/>
    <w:rsid w:val="006175C2"/>
    <w:rsid w:val="00621060"/>
    <w:rsid w:val="00622E39"/>
    <w:rsid w:val="006234D5"/>
    <w:rsid w:val="0062386E"/>
    <w:rsid w:val="00630B48"/>
    <w:rsid w:val="00632881"/>
    <w:rsid w:val="00636C47"/>
    <w:rsid w:val="006377C8"/>
    <w:rsid w:val="00641D66"/>
    <w:rsid w:val="006428EC"/>
    <w:rsid w:val="006436B6"/>
    <w:rsid w:val="006476D5"/>
    <w:rsid w:val="00654C9A"/>
    <w:rsid w:val="00655F8D"/>
    <w:rsid w:val="00656680"/>
    <w:rsid w:val="006569E7"/>
    <w:rsid w:val="00656DB0"/>
    <w:rsid w:val="00656E0D"/>
    <w:rsid w:val="0065708C"/>
    <w:rsid w:val="00657431"/>
    <w:rsid w:val="00657CCA"/>
    <w:rsid w:val="00660EFA"/>
    <w:rsid w:val="00661C3D"/>
    <w:rsid w:val="00662532"/>
    <w:rsid w:val="006644E8"/>
    <w:rsid w:val="00665A97"/>
    <w:rsid w:val="00665F18"/>
    <w:rsid w:val="006660B1"/>
    <w:rsid w:val="00666E6A"/>
    <w:rsid w:val="00670EB2"/>
    <w:rsid w:val="00671371"/>
    <w:rsid w:val="00671D09"/>
    <w:rsid w:val="00673B49"/>
    <w:rsid w:val="0067451A"/>
    <w:rsid w:val="00675D48"/>
    <w:rsid w:val="0067608D"/>
    <w:rsid w:val="006769E3"/>
    <w:rsid w:val="006772AE"/>
    <w:rsid w:val="00681038"/>
    <w:rsid w:val="006818FA"/>
    <w:rsid w:val="006819C4"/>
    <w:rsid w:val="006842A1"/>
    <w:rsid w:val="00684A04"/>
    <w:rsid w:val="00684AFD"/>
    <w:rsid w:val="006856F2"/>
    <w:rsid w:val="00685D83"/>
    <w:rsid w:val="006868F3"/>
    <w:rsid w:val="00687813"/>
    <w:rsid w:val="006908F2"/>
    <w:rsid w:val="0069170B"/>
    <w:rsid w:val="00691E09"/>
    <w:rsid w:val="00693F78"/>
    <w:rsid w:val="0069643A"/>
    <w:rsid w:val="00697C28"/>
    <w:rsid w:val="006A0830"/>
    <w:rsid w:val="006A4396"/>
    <w:rsid w:val="006A4C3D"/>
    <w:rsid w:val="006A56AE"/>
    <w:rsid w:val="006A65AF"/>
    <w:rsid w:val="006B08F8"/>
    <w:rsid w:val="006B1308"/>
    <w:rsid w:val="006B1757"/>
    <w:rsid w:val="006B1C5D"/>
    <w:rsid w:val="006B2669"/>
    <w:rsid w:val="006B2BA0"/>
    <w:rsid w:val="006B3094"/>
    <w:rsid w:val="006B578E"/>
    <w:rsid w:val="006B775D"/>
    <w:rsid w:val="006C0244"/>
    <w:rsid w:val="006C19F9"/>
    <w:rsid w:val="006C2246"/>
    <w:rsid w:val="006C3094"/>
    <w:rsid w:val="006C6FE3"/>
    <w:rsid w:val="006C727D"/>
    <w:rsid w:val="006C733B"/>
    <w:rsid w:val="006C7FCA"/>
    <w:rsid w:val="006D0B6F"/>
    <w:rsid w:val="006D0C69"/>
    <w:rsid w:val="006D181C"/>
    <w:rsid w:val="006D2A15"/>
    <w:rsid w:val="006D3EC0"/>
    <w:rsid w:val="006D40B5"/>
    <w:rsid w:val="006D49E8"/>
    <w:rsid w:val="006D6427"/>
    <w:rsid w:val="006D6B1C"/>
    <w:rsid w:val="006E1CCB"/>
    <w:rsid w:val="006E3259"/>
    <w:rsid w:val="006E3934"/>
    <w:rsid w:val="006E4B50"/>
    <w:rsid w:val="006E4B96"/>
    <w:rsid w:val="006E64E7"/>
    <w:rsid w:val="006E700A"/>
    <w:rsid w:val="006E70BB"/>
    <w:rsid w:val="006E7528"/>
    <w:rsid w:val="006E75F5"/>
    <w:rsid w:val="006F0603"/>
    <w:rsid w:val="006F0716"/>
    <w:rsid w:val="006F1BA4"/>
    <w:rsid w:val="006F1F69"/>
    <w:rsid w:val="006F2322"/>
    <w:rsid w:val="006F2F34"/>
    <w:rsid w:val="006F425F"/>
    <w:rsid w:val="006F4BCC"/>
    <w:rsid w:val="006F5831"/>
    <w:rsid w:val="006F6001"/>
    <w:rsid w:val="00705A59"/>
    <w:rsid w:val="00706AA8"/>
    <w:rsid w:val="007078D1"/>
    <w:rsid w:val="00710998"/>
    <w:rsid w:val="00711AD1"/>
    <w:rsid w:val="00712B7F"/>
    <w:rsid w:val="00712DF3"/>
    <w:rsid w:val="00713709"/>
    <w:rsid w:val="00717121"/>
    <w:rsid w:val="00717389"/>
    <w:rsid w:val="00717641"/>
    <w:rsid w:val="0072299C"/>
    <w:rsid w:val="007232B8"/>
    <w:rsid w:val="007238B9"/>
    <w:rsid w:val="00723BF0"/>
    <w:rsid w:val="00723F49"/>
    <w:rsid w:val="007251CF"/>
    <w:rsid w:val="007255A1"/>
    <w:rsid w:val="00732599"/>
    <w:rsid w:val="007336C6"/>
    <w:rsid w:val="00733FEE"/>
    <w:rsid w:val="00737034"/>
    <w:rsid w:val="00737C75"/>
    <w:rsid w:val="0074098E"/>
    <w:rsid w:val="00740FBE"/>
    <w:rsid w:val="007416F6"/>
    <w:rsid w:val="00743B9F"/>
    <w:rsid w:val="007442AC"/>
    <w:rsid w:val="00744B01"/>
    <w:rsid w:val="0074586C"/>
    <w:rsid w:val="007463D8"/>
    <w:rsid w:val="00746712"/>
    <w:rsid w:val="007555D3"/>
    <w:rsid w:val="00757ED9"/>
    <w:rsid w:val="00760167"/>
    <w:rsid w:val="007649CF"/>
    <w:rsid w:val="00764B24"/>
    <w:rsid w:val="00764BDD"/>
    <w:rsid w:val="007653D5"/>
    <w:rsid w:val="00766359"/>
    <w:rsid w:val="00771EFB"/>
    <w:rsid w:val="007726A0"/>
    <w:rsid w:val="0077280F"/>
    <w:rsid w:val="0077416C"/>
    <w:rsid w:val="00777332"/>
    <w:rsid w:val="0078051B"/>
    <w:rsid w:val="00782189"/>
    <w:rsid w:val="00782ED5"/>
    <w:rsid w:val="00784295"/>
    <w:rsid w:val="0078459D"/>
    <w:rsid w:val="00785E16"/>
    <w:rsid w:val="00786417"/>
    <w:rsid w:val="00786729"/>
    <w:rsid w:val="00791E63"/>
    <w:rsid w:val="00792057"/>
    <w:rsid w:val="00792A15"/>
    <w:rsid w:val="00793067"/>
    <w:rsid w:val="007944F4"/>
    <w:rsid w:val="00796347"/>
    <w:rsid w:val="007A0B72"/>
    <w:rsid w:val="007A4F92"/>
    <w:rsid w:val="007A556E"/>
    <w:rsid w:val="007A69CB"/>
    <w:rsid w:val="007B0359"/>
    <w:rsid w:val="007B232C"/>
    <w:rsid w:val="007B349C"/>
    <w:rsid w:val="007B5B74"/>
    <w:rsid w:val="007B7892"/>
    <w:rsid w:val="007C0F2D"/>
    <w:rsid w:val="007C6065"/>
    <w:rsid w:val="007C710F"/>
    <w:rsid w:val="007C7FB7"/>
    <w:rsid w:val="007D23AA"/>
    <w:rsid w:val="007D3046"/>
    <w:rsid w:val="007D36E6"/>
    <w:rsid w:val="007D5253"/>
    <w:rsid w:val="007D56B3"/>
    <w:rsid w:val="007E0207"/>
    <w:rsid w:val="007E110B"/>
    <w:rsid w:val="007E3DF9"/>
    <w:rsid w:val="007E6DC2"/>
    <w:rsid w:val="007E7C79"/>
    <w:rsid w:val="007F391F"/>
    <w:rsid w:val="00801B9F"/>
    <w:rsid w:val="00802908"/>
    <w:rsid w:val="00804737"/>
    <w:rsid w:val="008056F7"/>
    <w:rsid w:val="008058AB"/>
    <w:rsid w:val="008067C7"/>
    <w:rsid w:val="00806CAF"/>
    <w:rsid w:val="008072EC"/>
    <w:rsid w:val="008107A9"/>
    <w:rsid w:val="00811C43"/>
    <w:rsid w:val="00812A73"/>
    <w:rsid w:val="0081335E"/>
    <w:rsid w:val="008136E6"/>
    <w:rsid w:val="008146FC"/>
    <w:rsid w:val="00815007"/>
    <w:rsid w:val="00817B33"/>
    <w:rsid w:val="008203FA"/>
    <w:rsid w:val="00820EDE"/>
    <w:rsid w:val="008228FB"/>
    <w:rsid w:val="00822941"/>
    <w:rsid w:val="0082545D"/>
    <w:rsid w:val="008329AC"/>
    <w:rsid w:val="00834FFC"/>
    <w:rsid w:val="00835AE8"/>
    <w:rsid w:val="008376CE"/>
    <w:rsid w:val="00837B9B"/>
    <w:rsid w:val="00841CF0"/>
    <w:rsid w:val="00842463"/>
    <w:rsid w:val="008426B6"/>
    <w:rsid w:val="00843B04"/>
    <w:rsid w:val="0084479D"/>
    <w:rsid w:val="008458F3"/>
    <w:rsid w:val="008466ED"/>
    <w:rsid w:val="00846852"/>
    <w:rsid w:val="00846905"/>
    <w:rsid w:val="00847978"/>
    <w:rsid w:val="00847AF1"/>
    <w:rsid w:val="00847E4A"/>
    <w:rsid w:val="00850B0B"/>
    <w:rsid w:val="00851CE1"/>
    <w:rsid w:val="00852282"/>
    <w:rsid w:val="00854025"/>
    <w:rsid w:val="00855A1C"/>
    <w:rsid w:val="00855A98"/>
    <w:rsid w:val="00856CCE"/>
    <w:rsid w:val="00860429"/>
    <w:rsid w:val="00862CC9"/>
    <w:rsid w:val="0086360F"/>
    <w:rsid w:val="00863AFF"/>
    <w:rsid w:val="00863B55"/>
    <w:rsid w:val="00864889"/>
    <w:rsid w:val="00864904"/>
    <w:rsid w:val="00864948"/>
    <w:rsid w:val="00865C82"/>
    <w:rsid w:val="00865E7F"/>
    <w:rsid w:val="00867FDD"/>
    <w:rsid w:val="0087095E"/>
    <w:rsid w:val="00870F24"/>
    <w:rsid w:val="008712E0"/>
    <w:rsid w:val="00871C46"/>
    <w:rsid w:val="008749DF"/>
    <w:rsid w:val="00875190"/>
    <w:rsid w:val="00877AD7"/>
    <w:rsid w:val="00880619"/>
    <w:rsid w:val="00880794"/>
    <w:rsid w:val="00880CC8"/>
    <w:rsid w:val="00881156"/>
    <w:rsid w:val="00881C7D"/>
    <w:rsid w:val="00882A02"/>
    <w:rsid w:val="00882B03"/>
    <w:rsid w:val="008831A9"/>
    <w:rsid w:val="00885E02"/>
    <w:rsid w:val="00886580"/>
    <w:rsid w:val="00887A46"/>
    <w:rsid w:val="008902BA"/>
    <w:rsid w:val="008914FA"/>
    <w:rsid w:val="00892AA9"/>
    <w:rsid w:val="00896971"/>
    <w:rsid w:val="00897F23"/>
    <w:rsid w:val="008A0346"/>
    <w:rsid w:val="008A331C"/>
    <w:rsid w:val="008A3B85"/>
    <w:rsid w:val="008A4475"/>
    <w:rsid w:val="008A4D94"/>
    <w:rsid w:val="008A50AF"/>
    <w:rsid w:val="008A5609"/>
    <w:rsid w:val="008A6933"/>
    <w:rsid w:val="008A7671"/>
    <w:rsid w:val="008B1B9B"/>
    <w:rsid w:val="008B3CC8"/>
    <w:rsid w:val="008B5DA2"/>
    <w:rsid w:val="008B6A3D"/>
    <w:rsid w:val="008B7E11"/>
    <w:rsid w:val="008C0667"/>
    <w:rsid w:val="008C351D"/>
    <w:rsid w:val="008C3B4A"/>
    <w:rsid w:val="008C59E0"/>
    <w:rsid w:val="008C7E20"/>
    <w:rsid w:val="008D09F2"/>
    <w:rsid w:val="008D0A86"/>
    <w:rsid w:val="008D1873"/>
    <w:rsid w:val="008D3487"/>
    <w:rsid w:val="008D4239"/>
    <w:rsid w:val="008D4D71"/>
    <w:rsid w:val="008D5CBB"/>
    <w:rsid w:val="008D64C6"/>
    <w:rsid w:val="008D7580"/>
    <w:rsid w:val="008D7D87"/>
    <w:rsid w:val="008E1940"/>
    <w:rsid w:val="008E1DFF"/>
    <w:rsid w:val="008E1F1F"/>
    <w:rsid w:val="008E2997"/>
    <w:rsid w:val="008E32CF"/>
    <w:rsid w:val="008E4B96"/>
    <w:rsid w:val="008E4CED"/>
    <w:rsid w:val="008E708A"/>
    <w:rsid w:val="008E74BD"/>
    <w:rsid w:val="008F0025"/>
    <w:rsid w:val="008F022E"/>
    <w:rsid w:val="008F1B73"/>
    <w:rsid w:val="008F29F7"/>
    <w:rsid w:val="008F3A11"/>
    <w:rsid w:val="008F5956"/>
    <w:rsid w:val="008F5C57"/>
    <w:rsid w:val="008F641F"/>
    <w:rsid w:val="009029D7"/>
    <w:rsid w:val="0090474A"/>
    <w:rsid w:val="00905549"/>
    <w:rsid w:val="00911252"/>
    <w:rsid w:val="00912BDE"/>
    <w:rsid w:val="0091305B"/>
    <w:rsid w:val="0091512D"/>
    <w:rsid w:val="00915AE8"/>
    <w:rsid w:val="00917445"/>
    <w:rsid w:val="00917FD1"/>
    <w:rsid w:val="00921207"/>
    <w:rsid w:val="00921C2D"/>
    <w:rsid w:val="009233A3"/>
    <w:rsid w:val="009239B1"/>
    <w:rsid w:val="0092433A"/>
    <w:rsid w:val="00924931"/>
    <w:rsid w:val="009257EA"/>
    <w:rsid w:val="00925982"/>
    <w:rsid w:val="009278E6"/>
    <w:rsid w:val="00932458"/>
    <w:rsid w:val="009331AB"/>
    <w:rsid w:val="00933315"/>
    <w:rsid w:val="00934073"/>
    <w:rsid w:val="00934FB0"/>
    <w:rsid w:val="00936844"/>
    <w:rsid w:val="009404E7"/>
    <w:rsid w:val="009409A9"/>
    <w:rsid w:val="00941748"/>
    <w:rsid w:val="009434E5"/>
    <w:rsid w:val="00944805"/>
    <w:rsid w:val="009453B0"/>
    <w:rsid w:val="00950CC5"/>
    <w:rsid w:val="00950DAB"/>
    <w:rsid w:val="009511C4"/>
    <w:rsid w:val="00952092"/>
    <w:rsid w:val="00952473"/>
    <w:rsid w:val="009533AE"/>
    <w:rsid w:val="00953C8E"/>
    <w:rsid w:val="00953F49"/>
    <w:rsid w:val="009562FF"/>
    <w:rsid w:val="00956700"/>
    <w:rsid w:val="009607E9"/>
    <w:rsid w:val="009616C0"/>
    <w:rsid w:val="0096177B"/>
    <w:rsid w:val="009630DF"/>
    <w:rsid w:val="00963118"/>
    <w:rsid w:val="00963D4D"/>
    <w:rsid w:val="009651BD"/>
    <w:rsid w:val="0096583C"/>
    <w:rsid w:val="00965C4E"/>
    <w:rsid w:val="00966F3C"/>
    <w:rsid w:val="0096717C"/>
    <w:rsid w:val="00967646"/>
    <w:rsid w:val="009706B1"/>
    <w:rsid w:val="0097309D"/>
    <w:rsid w:val="0097355D"/>
    <w:rsid w:val="0097484E"/>
    <w:rsid w:val="00974904"/>
    <w:rsid w:val="009759B4"/>
    <w:rsid w:val="00977C0F"/>
    <w:rsid w:val="0098228D"/>
    <w:rsid w:val="00986C43"/>
    <w:rsid w:val="00987CF8"/>
    <w:rsid w:val="00990D2F"/>
    <w:rsid w:val="00992F18"/>
    <w:rsid w:val="00994231"/>
    <w:rsid w:val="0099620A"/>
    <w:rsid w:val="00996BA8"/>
    <w:rsid w:val="00997F07"/>
    <w:rsid w:val="009A25B8"/>
    <w:rsid w:val="009A4001"/>
    <w:rsid w:val="009A5660"/>
    <w:rsid w:val="009A577C"/>
    <w:rsid w:val="009A62A6"/>
    <w:rsid w:val="009A6CE2"/>
    <w:rsid w:val="009A7641"/>
    <w:rsid w:val="009B07CB"/>
    <w:rsid w:val="009B100C"/>
    <w:rsid w:val="009B1C21"/>
    <w:rsid w:val="009B205A"/>
    <w:rsid w:val="009B23AB"/>
    <w:rsid w:val="009B549D"/>
    <w:rsid w:val="009B7F5F"/>
    <w:rsid w:val="009C220D"/>
    <w:rsid w:val="009C2F28"/>
    <w:rsid w:val="009C39FF"/>
    <w:rsid w:val="009C68A7"/>
    <w:rsid w:val="009D1405"/>
    <w:rsid w:val="009D1A9E"/>
    <w:rsid w:val="009D20CD"/>
    <w:rsid w:val="009D3123"/>
    <w:rsid w:val="009D3274"/>
    <w:rsid w:val="009D3303"/>
    <w:rsid w:val="009D63AE"/>
    <w:rsid w:val="009D6644"/>
    <w:rsid w:val="009D7FA2"/>
    <w:rsid w:val="009E05D0"/>
    <w:rsid w:val="009E196D"/>
    <w:rsid w:val="009E2ADC"/>
    <w:rsid w:val="009E36F9"/>
    <w:rsid w:val="009E5F6F"/>
    <w:rsid w:val="009E6BEB"/>
    <w:rsid w:val="009F1E08"/>
    <w:rsid w:val="009F205A"/>
    <w:rsid w:val="009F222F"/>
    <w:rsid w:val="009F418E"/>
    <w:rsid w:val="009F575B"/>
    <w:rsid w:val="009F7F5F"/>
    <w:rsid w:val="00A01BB5"/>
    <w:rsid w:val="00A01F85"/>
    <w:rsid w:val="00A0397E"/>
    <w:rsid w:val="00A051DC"/>
    <w:rsid w:val="00A069C3"/>
    <w:rsid w:val="00A104AA"/>
    <w:rsid w:val="00A106F0"/>
    <w:rsid w:val="00A10C12"/>
    <w:rsid w:val="00A12C18"/>
    <w:rsid w:val="00A13C09"/>
    <w:rsid w:val="00A13E8B"/>
    <w:rsid w:val="00A1612D"/>
    <w:rsid w:val="00A16916"/>
    <w:rsid w:val="00A17D52"/>
    <w:rsid w:val="00A204F7"/>
    <w:rsid w:val="00A25428"/>
    <w:rsid w:val="00A2550C"/>
    <w:rsid w:val="00A26BDD"/>
    <w:rsid w:val="00A276C0"/>
    <w:rsid w:val="00A3077F"/>
    <w:rsid w:val="00A30AC7"/>
    <w:rsid w:val="00A31140"/>
    <w:rsid w:val="00A32ECB"/>
    <w:rsid w:val="00A34151"/>
    <w:rsid w:val="00A34226"/>
    <w:rsid w:val="00A365A1"/>
    <w:rsid w:val="00A3787E"/>
    <w:rsid w:val="00A401AC"/>
    <w:rsid w:val="00A4083E"/>
    <w:rsid w:val="00A410B0"/>
    <w:rsid w:val="00A41DD1"/>
    <w:rsid w:val="00A42AB2"/>
    <w:rsid w:val="00A454CF"/>
    <w:rsid w:val="00A47938"/>
    <w:rsid w:val="00A50DE3"/>
    <w:rsid w:val="00A51AC6"/>
    <w:rsid w:val="00A53DF2"/>
    <w:rsid w:val="00A55D0D"/>
    <w:rsid w:val="00A5651A"/>
    <w:rsid w:val="00A56BC9"/>
    <w:rsid w:val="00A576FE"/>
    <w:rsid w:val="00A6269E"/>
    <w:rsid w:val="00A6367A"/>
    <w:rsid w:val="00A63C1A"/>
    <w:rsid w:val="00A70BA6"/>
    <w:rsid w:val="00A718B8"/>
    <w:rsid w:val="00A746B4"/>
    <w:rsid w:val="00A75C93"/>
    <w:rsid w:val="00A76336"/>
    <w:rsid w:val="00A81AA2"/>
    <w:rsid w:val="00A81DA2"/>
    <w:rsid w:val="00A81F02"/>
    <w:rsid w:val="00A82F9C"/>
    <w:rsid w:val="00A83454"/>
    <w:rsid w:val="00A83CFB"/>
    <w:rsid w:val="00A84C09"/>
    <w:rsid w:val="00A85977"/>
    <w:rsid w:val="00A86B9F"/>
    <w:rsid w:val="00A87829"/>
    <w:rsid w:val="00A8788E"/>
    <w:rsid w:val="00A87929"/>
    <w:rsid w:val="00A921DC"/>
    <w:rsid w:val="00A92330"/>
    <w:rsid w:val="00A947E6"/>
    <w:rsid w:val="00A94ED9"/>
    <w:rsid w:val="00A95D65"/>
    <w:rsid w:val="00A976AA"/>
    <w:rsid w:val="00AA0816"/>
    <w:rsid w:val="00AA13F9"/>
    <w:rsid w:val="00AA66E6"/>
    <w:rsid w:val="00AA7897"/>
    <w:rsid w:val="00AB0541"/>
    <w:rsid w:val="00AB0B58"/>
    <w:rsid w:val="00AB1CA4"/>
    <w:rsid w:val="00AB2333"/>
    <w:rsid w:val="00AB28C0"/>
    <w:rsid w:val="00AB3458"/>
    <w:rsid w:val="00AB453A"/>
    <w:rsid w:val="00AB6E66"/>
    <w:rsid w:val="00AC0683"/>
    <w:rsid w:val="00AC0991"/>
    <w:rsid w:val="00AC2CE5"/>
    <w:rsid w:val="00AC3832"/>
    <w:rsid w:val="00AC536E"/>
    <w:rsid w:val="00AC53B6"/>
    <w:rsid w:val="00AC5703"/>
    <w:rsid w:val="00AC616C"/>
    <w:rsid w:val="00AC76EC"/>
    <w:rsid w:val="00AC7ACE"/>
    <w:rsid w:val="00AD115D"/>
    <w:rsid w:val="00AD37B7"/>
    <w:rsid w:val="00AD4019"/>
    <w:rsid w:val="00AD4780"/>
    <w:rsid w:val="00AD538A"/>
    <w:rsid w:val="00AD5F5B"/>
    <w:rsid w:val="00AD62AE"/>
    <w:rsid w:val="00AD69B2"/>
    <w:rsid w:val="00AD7D2A"/>
    <w:rsid w:val="00AE18F0"/>
    <w:rsid w:val="00AE1AA8"/>
    <w:rsid w:val="00AE47EF"/>
    <w:rsid w:val="00AE4853"/>
    <w:rsid w:val="00AE75B9"/>
    <w:rsid w:val="00AE765F"/>
    <w:rsid w:val="00AF0EA6"/>
    <w:rsid w:val="00AF3A80"/>
    <w:rsid w:val="00AF5709"/>
    <w:rsid w:val="00AF74FB"/>
    <w:rsid w:val="00B0060A"/>
    <w:rsid w:val="00B01098"/>
    <w:rsid w:val="00B02BBC"/>
    <w:rsid w:val="00B045A1"/>
    <w:rsid w:val="00B126AB"/>
    <w:rsid w:val="00B13442"/>
    <w:rsid w:val="00B13CAA"/>
    <w:rsid w:val="00B1630C"/>
    <w:rsid w:val="00B165B9"/>
    <w:rsid w:val="00B17607"/>
    <w:rsid w:val="00B20DFE"/>
    <w:rsid w:val="00B23FA2"/>
    <w:rsid w:val="00B24B02"/>
    <w:rsid w:val="00B27D64"/>
    <w:rsid w:val="00B27F43"/>
    <w:rsid w:val="00B308C6"/>
    <w:rsid w:val="00B327C6"/>
    <w:rsid w:val="00B34DE9"/>
    <w:rsid w:val="00B34FB6"/>
    <w:rsid w:val="00B35484"/>
    <w:rsid w:val="00B35DD0"/>
    <w:rsid w:val="00B368F0"/>
    <w:rsid w:val="00B36C52"/>
    <w:rsid w:val="00B40377"/>
    <w:rsid w:val="00B40A3C"/>
    <w:rsid w:val="00B40F56"/>
    <w:rsid w:val="00B452F8"/>
    <w:rsid w:val="00B45DE3"/>
    <w:rsid w:val="00B4669F"/>
    <w:rsid w:val="00B47B32"/>
    <w:rsid w:val="00B542C8"/>
    <w:rsid w:val="00B558CA"/>
    <w:rsid w:val="00B57D9B"/>
    <w:rsid w:val="00B60B2A"/>
    <w:rsid w:val="00B61981"/>
    <w:rsid w:val="00B64571"/>
    <w:rsid w:val="00B7038A"/>
    <w:rsid w:val="00B71EE3"/>
    <w:rsid w:val="00B72259"/>
    <w:rsid w:val="00B72811"/>
    <w:rsid w:val="00B72D7D"/>
    <w:rsid w:val="00B73E5C"/>
    <w:rsid w:val="00B74E5D"/>
    <w:rsid w:val="00B751C8"/>
    <w:rsid w:val="00B758F8"/>
    <w:rsid w:val="00B761E2"/>
    <w:rsid w:val="00B81C41"/>
    <w:rsid w:val="00B83074"/>
    <w:rsid w:val="00B84028"/>
    <w:rsid w:val="00B86BF1"/>
    <w:rsid w:val="00B93808"/>
    <w:rsid w:val="00B9518B"/>
    <w:rsid w:val="00B9597D"/>
    <w:rsid w:val="00B964E0"/>
    <w:rsid w:val="00BA0CE9"/>
    <w:rsid w:val="00BA2382"/>
    <w:rsid w:val="00BA2C73"/>
    <w:rsid w:val="00BA432D"/>
    <w:rsid w:val="00BA4C4C"/>
    <w:rsid w:val="00BA65EA"/>
    <w:rsid w:val="00BA678E"/>
    <w:rsid w:val="00BA69FE"/>
    <w:rsid w:val="00BA7800"/>
    <w:rsid w:val="00BB2BEA"/>
    <w:rsid w:val="00BB6FF5"/>
    <w:rsid w:val="00BC01A5"/>
    <w:rsid w:val="00BC1542"/>
    <w:rsid w:val="00BC2356"/>
    <w:rsid w:val="00BC3C08"/>
    <w:rsid w:val="00BC3CDF"/>
    <w:rsid w:val="00BC7555"/>
    <w:rsid w:val="00BD2721"/>
    <w:rsid w:val="00BD55BB"/>
    <w:rsid w:val="00BD6451"/>
    <w:rsid w:val="00BE0044"/>
    <w:rsid w:val="00BE3168"/>
    <w:rsid w:val="00BE32E1"/>
    <w:rsid w:val="00BE4E14"/>
    <w:rsid w:val="00BE6531"/>
    <w:rsid w:val="00BE7EE4"/>
    <w:rsid w:val="00BF150B"/>
    <w:rsid w:val="00BF454C"/>
    <w:rsid w:val="00BF485A"/>
    <w:rsid w:val="00BF563D"/>
    <w:rsid w:val="00BF662A"/>
    <w:rsid w:val="00C006DC"/>
    <w:rsid w:val="00C01C60"/>
    <w:rsid w:val="00C02165"/>
    <w:rsid w:val="00C032FA"/>
    <w:rsid w:val="00C035A8"/>
    <w:rsid w:val="00C05844"/>
    <w:rsid w:val="00C05885"/>
    <w:rsid w:val="00C06DEB"/>
    <w:rsid w:val="00C109C7"/>
    <w:rsid w:val="00C11799"/>
    <w:rsid w:val="00C12F18"/>
    <w:rsid w:val="00C1336B"/>
    <w:rsid w:val="00C14C37"/>
    <w:rsid w:val="00C153E5"/>
    <w:rsid w:val="00C157FC"/>
    <w:rsid w:val="00C17BF6"/>
    <w:rsid w:val="00C2059B"/>
    <w:rsid w:val="00C205F3"/>
    <w:rsid w:val="00C21C09"/>
    <w:rsid w:val="00C2285E"/>
    <w:rsid w:val="00C2331C"/>
    <w:rsid w:val="00C24E95"/>
    <w:rsid w:val="00C25F89"/>
    <w:rsid w:val="00C353F3"/>
    <w:rsid w:val="00C3644E"/>
    <w:rsid w:val="00C367BA"/>
    <w:rsid w:val="00C36B9F"/>
    <w:rsid w:val="00C4151B"/>
    <w:rsid w:val="00C41595"/>
    <w:rsid w:val="00C42347"/>
    <w:rsid w:val="00C429B8"/>
    <w:rsid w:val="00C43BD5"/>
    <w:rsid w:val="00C44D0B"/>
    <w:rsid w:val="00C450EA"/>
    <w:rsid w:val="00C4535B"/>
    <w:rsid w:val="00C4681B"/>
    <w:rsid w:val="00C47E84"/>
    <w:rsid w:val="00C51E09"/>
    <w:rsid w:val="00C5522B"/>
    <w:rsid w:val="00C55BB7"/>
    <w:rsid w:val="00C56D96"/>
    <w:rsid w:val="00C57488"/>
    <w:rsid w:val="00C60FE5"/>
    <w:rsid w:val="00C620DD"/>
    <w:rsid w:val="00C6296F"/>
    <w:rsid w:val="00C63A5D"/>
    <w:rsid w:val="00C63B3D"/>
    <w:rsid w:val="00C63F1B"/>
    <w:rsid w:val="00C6447D"/>
    <w:rsid w:val="00C66884"/>
    <w:rsid w:val="00C675AA"/>
    <w:rsid w:val="00C67D6B"/>
    <w:rsid w:val="00C71577"/>
    <w:rsid w:val="00C73CA0"/>
    <w:rsid w:val="00C73E8C"/>
    <w:rsid w:val="00C74611"/>
    <w:rsid w:val="00C75BE6"/>
    <w:rsid w:val="00C77EB7"/>
    <w:rsid w:val="00C80B27"/>
    <w:rsid w:val="00C8325B"/>
    <w:rsid w:val="00C8596D"/>
    <w:rsid w:val="00C8600F"/>
    <w:rsid w:val="00C86288"/>
    <w:rsid w:val="00C86CFD"/>
    <w:rsid w:val="00C87057"/>
    <w:rsid w:val="00C87A92"/>
    <w:rsid w:val="00C92B43"/>
    <w:rsid w:val="00C9351A"/>
    <w:rsid w:val="00C93CB0"/>
    <w:rsid w:val="00C93F23"/>
    <w:rsid w:val="00C94202"/>
    <w:rsid w:val="00C94514"/>
    <w:rsid w:val="00C95E9E"/>
    <w:rsid w:val="00C95EEB"/>
    <w:rsid w:val="00C97B78"/>
    <w:rsid w:val="00CA1FDA"/>
    <w:rsid w:val="00CA2DBB"/>
    <w:rsid w:val="00CA5C96"/>
    <w:rsid w:val="00CA69C3"/>
    <w:rsid w:val="00CA6F6B"/>
    <w:rsid w:val="00CB03AC"/>
    <w:rsid w:val="00CB0698"/>
    <w:rsid w:val="00CB16EA"/>
    <w:rsid w:val="00CB174D"/>
    <w:rsid w:val="00CB17BE"/>
    <w:rsid w:val="00CB25DD"/>
    <w:rsid w:val="00CB415A"/>
    <w:rsid w:val="00CB4681"/>
    <w:rsid w:val="00CB46D4"/>
    <w:rsid w:val="00CB5B1D"/>
    <w:rsid w:val="00CC1862"/>
    <w:rsid w:val="00CC3319"/>
    <w:rsid w:val="00CC415B"/>
    <w:rsid w:val="00CC5537"/>
    <w:rsid w:val="00CC61B6"/>
    <w:rsid w:val="00CC7487"/>
    <w:rsid w:val="00CD02B8"/>
    <w:rsid w:val="00CD0D0E"/>
    <w:rsid w:val="00CD1BA5"/>
    <w:rsid w:val="00CD2031"/>
    <w:rsid w:val="00CD428A"/>
    <w:rsid w:val="00CD4345"/>
    <w:rsid w:val="00CE120A"/>
    <w:rsid w:val="00CE14A1"/>
    <w:rsid w:val="00CE1ED8"/>
    <w:rsid w:val="00CE2509"/>
    <w:rsid w:val="00CE2CD6"/>
    <w:rsid w:val="00CE2D06"/>
    <w:rsid w:val="00CE2EFE"/>
    <w:rsid w:val="00CE3190"/>
    <w:rsid w:val="00CE3B7F"/>
    <w:rsid w:val="00CE4FD5"/>
    <w:rsid w:val="00CE5255"/>
    <w:rsid w:val="00CE55FE"/>
    <w:rsid w:val="00CE6C1E"/>
    <w:rsid w:val="00CE7A10"/>
    <w:rsid w:val="00CF147E"/>
    <w:rsid w:val="00CF3AB6"/>
    <w:rsid w:val="00CF476E"/>
    <w:rsid w:val="00CF549F"/>
    <w:rsid w:val="00CF5FD8"/>
    <w:rsid w:val="00CF6488"/>
    <w:rsid w:val="00D028C2"/>
    <w:rsid w:val="00D03EB6"/>
    <w:rsid w:val="00D04775"/>
    <w:rsid w:val="00D04ACB"/>
    <w:rsid w:val="00D05CC0"/>
    <w:rsid w:val="00D07B28"/>
    <w:rsid w:val="00D12253"/>
    <w:rsid w:val="00D1496F"/>
    <w:rsid w:val="00D15C3E"/>
    <w:rsid w:val="00D169DB"/>
    <w:rsid w:val="00D17A9F"/>
    <w:rsid w:val="00D20B97"/>
    <w:rsid w:val="00D217F2"/>
    <w:rsid w:val="00D25475"/>
    <w:rsid w:val="00D265F2"/>
    <w:rsid w:val="00D26B51"/>
    <w:rsid w:val="00D2794A"/>
    <w:rsid w:val="00D27A79"/>
    <w:rsid w:val="00D30496"/>
    <w:rsid w:val="00D3083B"/>
    <w:rsid w:val="00D3133B"/>
    <w:rsid w:val="00D33C8D"/>
    <w:rsid w:val="00D344EA"/>
    <w:rsid w:val="00D441EB"/>
    <w:rsid w:val="00D44833"/>
    <w:rsid w:val="00D44B10"/>
    <w:rsid w:val="00D45415"/>
    <w:rsid w:val="00D45E8E"/>
    <w:rsid w:val="00D46420"/>
    <w:rsid w:val="00D46A7F"/>
    <w:rsid w:val="00D5221E"/>
    <w:rsid w:val="00D535C5"/>
    <w:rsid w:val="00D53600"/>
    <w:rsid w:val="00D564AE"/>
    <w:rsid w:val="00D5687B"/>
    <w:rsid w:val="00D602D6"/>
    <w:rsid w:val="00D62038"/>
    <w:rsid w:val="00D668A1"/>
    <w:rsid w:val="00D7014D"/>
    <w:rsid w:val="00D7213D"/>
    <w:rsid w:val="00D72401"/>
    <w:rsid w:val="00D72BAF"/>
    <w:rsid w:val="00D72F9D"/>
    <w:rsid w:val="00D74C80"/>
    <w:rsid w:val="00D7701B"/>
    <w:rsid w:val="00D77937"/>
    <w:rsid w:val="00D808D3"/>
    <w:rsid w:val="00D81AEC"/>
    <w:rsid w:val="00D8355B"/>
    <w:rsid w:val="00D8451F"/>
    <w:rsid w:val="00D856B7"/>
    <w:rsid w:val="00D85A5F"/>
    <w:rsid w:val="00D87C05"/>
    <w:rsid w:val="00D87F97"/>
    <w:rsid w:val="00D90404"/>
    <w:rsid w:val="00D90C22"/>
    <w:rsid w:val="00D915A1"/>
    <w:rsid w:val="00D93ACF"/>
    <w:rsid w:val="00D93F5F"/>
    <w:rsid w:val="00D9458E"/>
    <w:rsid w:val="00D977B7"/>
    <w:rsid w:val="00DA104B"/>
    <w:rsid w:val="00DA244C"/>
    <w:rsid w:val="00DA32E7"/>
    <w:rsid w:val="00DA4982"/>
    <w:rsid w:val="00DA5329"/>
    <w:rsid w:val="00DA57A7"/>
    <w:rsid w:val="00DA5893"/>
    <w:rsid w:val="00DA7D62"/>
    <w:rsid w:val="00DB035B"/>
    <w:rsid w:val="00DB333C"/>
    <w:rsid w:val="00DB3765"/>
    <w:rsid w:val="00DB3DDA"/>
    <w:rsid w:val="00DB5B36"/>
    <w:rsid w:val="00DB7163"/>
    <w:rsid w:val="00DB7E71"/>
    <w:rsid w:val="00DC008D"/>
    <w:rsid w:val="00DC1DAE"/>
    <w:rsid w:val="00DC2B43"/>
    <w:rsid w:val="00DC2C90"/>
    <w:rsid w:val="00DC303D"/>
    <w:rsid w:val="00DD1711"/>
    <w:rsid w:val="00DD2BD3"/>
    <w:rsid w:val="00DD2E3A"/>
    <w:rsid w:val="00DD544F"/>
    <w:rsid w:val="00DD66BC"/>
    <w:rsid w:val="00DE0616"/>
    <w:rsid w:val="00DE26F6"/>
    <w:rsid w:val="00DE2D5F"/>
    <w:rsid w:val="00DE4779"/>
    <w:rsid w:val="00DE7CEC"/>
    <w:rsid w:val="00DF12D8"/>
    <w:rsid w:val="00DF36A7"/>
    <w:rsid w:val="00DF50E2"/>
    <w:rsid w:val="00DF51FE"/>
    <w:rsid w:val="00DF6467"/>
    <w:rsid w:val="00DF6EA9"/>
    <w:rsid w:val="00DF7461"/>
    <w:rsid w:val="00DF7668"/>
    <w:rsid w:val="00E046E9"/>
    <w:rsid w:val="00E061E1"/>
    <w:rsid w:val="00E06F0E"/>
    <w:rsid w:val="00E07B0D"/>
    <w:rsid w:val="00E103BD"/>
    <w:rsid w:val="00E12624"/>
    <w:rsid w:val="00E12E3D"/>
    <w:rsid w:val="00E13458"/>
    <w:rsid w:val="00E14169"/>
    <w:rsid w:val="00E155EE"/>
    <w:rsid w:val="00E15ED8"/>
    <w:rsid w:val="00E215E5"/>
    <w:rsid w:val="00E228C9"/>
    <w:rsid w:val="00E23ECB"/>
    <w:rsid w:val="00E23FE3"/>
    <w:rsid w:val="00E240DF"/>
    <w:rsid w:val="00E24CF2"/>
    <w:rsid w:val="00E25D4E"/>
    <w:rsid w:val="00E27248"/>
    <w:rsid w:val="00E3072B"/>
    <w:rsid w:val="00E308FC"/>
    <w:rsid w:val="00E31328"/>
    <w:rsid w:val="00E32BF7"/>
    <w:rsid w:val="00E32D4E"/>
    <w:rsid w:val="00E33021"/>
    <w:rsid w:val="00E33951"/>
    <w:rsid w:val="00E33C07"/>
    <w:rsid w:val="00E3441F"/>
    <w:rsid w:val="00E34CBA"/>
    <w:rsid w:val="00E37123"/>
    <w:rsid w:val="00E37EC8"/>
    <w:rsid w:val="00E41ABA"/>
    <w:rsid w:val="00E42871"/>
    <w:rsid w:val="00E42DB9"/>
    <w:rsid w:val="00E43D3E"/>
    <w:rsid w:val="00E44A1D"/>
    <w:rsid w:val="00E4775E"/>
    <w:rsid w:val="00E53AF8"/>
    <w:rsid w:val="00E54F0B"/>
    <w:rsid w:val="00E5599D"/>
    <w:rsid w:val="00E55C53"/>
    <w:rsid w:val="00E57414"/>
    <w:rsid w:val="00E60E9A"/>
    <w:rsid w:val="00E631A8"/>
    <w:rsid w:val="00E63335"/>
    <w:rsid w:val="00E656BF"/>
    <w:rsid w:val="00E722A2"/>
    <w:rsid w:val="00E72FDE"/>
    <w:rsid w:val="00E730F3"/>
    <w:rsid w:val="00E73A73"/>
    <w:rsid w:val="00E75344"/>
    <w:rsid w:val="00E7599A"/>
    <w:rsid w:val="00E75C36"/>
    <w:rsid w:val="00E7673E"/>
    <w:rsid w:val="00E770FC"/>
    <w:rsid w:val="00E80179"/>
    <w:rsid w:val="00E80C68"/>
    <w:rsid w:val="00E84984"/>
    <w:rsid w:val="00E84A10"/>
    <w:rsid w:val="00E86E17"/>
    <w:rsid w:val="00E92E00"/>
    <w:rsid w:val="00E9311B"/>
    <w:rsid w:val="00E941F0"/>
    <w:rsid w:val="00E97B3A"/>
    <w:rsid w:val="00E97EFA"/>
    <w:rsid w:val="00EA0208"/>
    <w:rsid w:val="00EA03DD"/>
    <w:rsid w:val="00EA0B48"/>
    <w:rsid w:val="00EA2EA4"/>
    <w:rsid w:val="00EA7D6A"/>
    <w:rsid w:val="00EB3313"/>
    <w:rsid w:val="00EB46D2"/>
    <w:rsid w:val="00EB51F6"/>
    <w:rsid w:val="00EB5DE9"/>
    <w:rsid w:val="00EB6306"/>
    <w:rsid w:val="00EB73BE"/>
    <w:rsid w:val="00EB7B82"/>
    <w:rsid w:val="00EC1903"/>
    <w:rsid w:val="00EC39DC"/>
    <w:rsid w:val="00EC4521"/>
    <w:rsid w:val="00ED0F51"/>
    <w:rsid w:val="00ED2451"/>
    <w:rsid w:val="00ED2611"/>
    <w:rsid w:val="00ED4001"/>
    <w:rsid w:val="00ED457C"/>
    <w:rsid w:val="00EE00B0"/>
    <w:rsid w:val="00EE047B"/>
    <w:rsid w:val="00EE366F"/>
    <w:rsid w:val="00EE50D6"/>
    <w:rsid w:val="00EE75CE"/>
    <w:rsid w:val="00EE766C"/>
    <w:rsid w:val="00EE7E9C"/>
    <w:rsid w:val="00EF0DF3"/>
    <w:rsid w:val="00EF255A"/>
    <w:rsid w:val="00EF370B"/>
    <w:rsid w:val="00EF4362"/>
    <w:rsid w:val="00EF48FC"/>
    <w:rsid w:val="00EF4A40"/>
    <w:rsid w:val="00EF71A8"/>
    <w:rsid w:val="00EF7337"/>
    <w:rsid w:val="00EF7BDA"/>
    <w:rsid w:val="00F00008"/>
    <w:rsid w:val="00F01D83"/>
    <w:rsid w:val="00F02FD4"/>
    <w:rsid w:val="00F04606"/>
    <w:rsid w:val="00F05BC2"/>
    <w:rsid w:val="00F06B32"/>
    <w:rsid w:val="00F124CF"/>
    <w:rsid w:val="00F16636"/>
    <w:rsid w:val="00F167A4"/>
    <w:rsid w:val="00F176AE"/>
    <w:rsid w:val="00F20491"/>
    <w:rsid w:val="00F213D5"/>
    <w:rsid w:val="00F215AA"/>
    <w:rsid w:val="00F2215B"/>
    <w:rsid w:val="00F2363F"/>
    <w:rsid w:val="00F23663"/>
    <w:rsid w:val="00F24A24"/>
    <w:rsid w:val="00F24EFC"/>
    <w:rsid w:val="00F26558"/>
    <w:rsid w:val="00F27015"/>
    <w:rsid w:val="00F31396"/>
    <w:rsid w:val="00F32013"/>
    <w:rsid w:val="00F44B97"/>
    <w:rsid w:val="00F50F72"/>
    <w:rsid w:val="00F520E9"/>
    <w:rsid w:val="00F532C3"/>
    <w:rsid w:val="00F53FFC"/>
    <w:rsid w:val="00F54037"/>
    <w:rsid w:val="00F5465D"/>
    <w:rsid w:val="00F54811"/>
    <w:rsid w:val="00F54BF7"/>
    <w:rsid w:val="00F5691C"/>
    <w:rsid w:val="00F60DDC"/>
    <w:rsid w:val="00F62C4D"/>
    <w:rsid w:val="00F6480A"/>
    <w:rsid w:val="00F65724"/>
    <w:rsid w:val="00F661CE"/>
    <w:rsid w:val="00F673A0"/>
    <w:rsid w:val="00F7143B"/>
    <w:rsid w:val="00F72483"/>
    <w:rsid w:val="00F7745B"/>
    <w:rsid w:val="00F8359B"/>
    <w:rsid w:val="00F83792"/>
    <w:rsid w:val="00F8407B"/>
    <w:rsid w:val="00F85DEB"/>
    <w:rsid w:val="00F85F32"/>
    <w:rsid w:val="00F87C5F"/>
    <w:rsid w:val="00F9080F"/>
    <w:rsid w:val="00F9139D"/>
    <w:rsid w:val="00F9236E"/>
    <w:rsid w:val="00F92BAE"/>
    <w:rsid w:val="00F93FAF"/>
    <w:rsid w:val="00F949E8"/>
    <w:rsid w:val="00F94A5D"/>
    <w:rsid w:val="00FA12BF"/>
    <w:rsid w:val="00FA1538"/>
    <w:rsid w:val="00FA24E2"/>
    <w:rsid w:val="00FA25D2"/>
    <w:rsid w:val="00FA3C8D"/>
    <w:rsid w:val="00FA490D"/>
    <w:rsid w:val="00FA4924"/>
    <w:rsid w:val="00FA4E2F"/>
    <w:rsid w:val="00FA4F16"/>
    <w:rsid w:val="00FA7A58"/>
    <w:rsid w:val="00FB0963"/>
    <w:rsid w:val="00FB117E"/>
    <w:rsid w:val="00FB16DA"/>
    <w:rsid w:val="00FB236E"/>
    <w:rsid w:val="00FB27D1"/>
    <w:rsid w:val="00FB3012"/>
    <w:rsid w:val="00FB39DD"/>
    <w:rsid w:val="00FB5CD1"/>
    <w:rsid w:val="00FC1353"/>
    <w:rsid w:val="00FC2B00"/>
    <w:rsid w:val="00FC2CA3"/>
    <w:rsid w:val="00FC2D14"/>
    <w:rsid w:val="00FC2ED4"/>
    <w:rsid w:val="00FC33B0"/>
    <w:rsid w:val="00FC34A4"/>
    <w:rsid w:val="00FC3646"/>
    <w:rsid w:val="00FC3AA0"/>
    <w:rsid w:val="00FC438B"/>
    <w:rsid w:val="00FC4B3C"/>
    <w:rsid w:val="00FC5E2E"/>
    <w:rsid w:val="00FC71D2"/>
    <w:rsid w:val="00FC7412"/>
    <w:rsid w:val="00FC7B5E"/>
    <w:rsid w:val="00FC7F4D"/>
    <w:rsid w:val="00FD3CD7"/>
    <w:rsid w:val="00FD4837"/>
    <w:rsid w:val="00FD4934"/>
    <w:rsid w:val="00FD6002"/>
    <w:rsid w:val="00FE06F5"/>
    <w:rsid w:val="00FE1037"/>
    <w:rsid w:val="00FE13AA"/>
    <w:rsid w:val="00FE13FF"/>
    <w:rsid w:val="00FE1676"/>
    <w:rsid w:val="00FE2100"/>
    <w:rsid w:val="00FE22D4"/>
    <w:rsid w:val="00FE2558"/>
    <w:rsid w:val="00FE3128"/>
    <w:rsid w:val="00FE6833"/>
    <w:rsid w:val="00FE6910"/>
    <w:rsid w:val="00FF04F2"/>
    <w:rsid w:val="00FF25FC"/>
    <w:rsid w:val="00FF2D72"/>
    <w:rsid w:val="00FF2EBC"/>
    <w:rsid w:val="00FF49C4"/>
    <w:rsid w:val="00FF6862"/>
    <w:rsid w:val="00FF7C8D"/>
    <w:rsid w:val="01324299"/>
    <w:rsid w:val="016E2714"/>
    <w:rsid w:val="018B7BC6"/>
    <w:rsid w:val="01DA23AF"/>
    <w:rsid w:val="020C7DCD"/>
    <w:rsid w:val="0236100E"/>
    <w:rsid w:val="030B6598"/>
    <w:rsid w:val="03611469"/>
    <w:rsid w:val="03790254"/>
    <w:rsid w:val="037B749D"/>
    <w:rsid w:val="03D34A55"/>
    <w:rsid w:val="03D42947"/>
    <w:rsid w:val="041E22FB"/>
    <w:rsid w:val="04521710"/>
    <w:rsid w:val="04E57E26"/>
    <w:rsid w:val="05593F56"/>
    <w:rsid w:val="062D04F6"/>
    <w:rsid w:val="062F65FF"/>
    <w:rsid w:val="07092890"/>
    <w:rsid w:val="076D6DA2"/>
    <w:rsid w:val="07B20F7E"/>
    <w:rsid w:val="08AE57A0"/>
    <w:rsid w:val="09510A7C"/>
    <w:rsid w:val="09683C2B"/>
    <w:rsid w:val="09C4669C"/>
    <w:rsid w:val="0A0047D4"/>
    <w:rsid w:val="0A4328C2"/>
    <w:rsid w:val="0A714B21"/>
    <w:rsid w:val="0A7F3525"/>
    <w:rsid w:val="0A8F5F62"/>
    <w:rsid w:val="0B2A3540"/>
    <w:rsid w:val="0BA37A1C"/>
    <w:rsid w:val="0BD7624B"/>
    <w:rsid w:val="0C452B1A"/>
    <w:rsid w:val="0D735465"/>
    <w:rsid w:val="0E1A2A75"/>
    <w:rsid w:val="0E255633"/>
    <w:rsid w:val="0E3B25B6"/>
    <w:rsid w:val="0EF5464B"/>
    <w:rsid w:val="0F635E98"/>
    <w:rsid w:val="0FBA14D5"/>
    <w:rsid w:val="0FD91EF8"/>
    <w:rsid w:val="0FEE34C9"/>
    <w:rsid w:val="10033086"/>
    <w:rsid w:val="100920B1"/>
    <w:rsid w:val="109129F3"/>
    <w:rsid w:val="10CC5A4C"/>
    <w:rsid w:val="11646B9B"/>
    <w:rsid w:val="11A06431"/>
    <w:rsid w:val="11B62B0B"/>
    <w:rsid w:val="12E0534B"/>
    <w:rsid w:val="12F17558"/>
    <w:rsid w:val="139A6362"/>
    <w:rsid w:val="13A5188E"/>
    <w:rsid w:val="13DC5C0E"/>
    <w:rsid w:val="13F545C4"/>
    <w:rsid w:val="143D2CAA"/>
    <w:rsid w:val="14667B03"/>
    <w:rsid w:val="14AF473B"/>
    <w:rsid w:val="15903D82"/>
    <w:rsid w:val="15D373E9"/>
    <w:rsid w:val="15D3766B"/>
    <w:rsid w:val="15FA3A09"/>
    <w:rsid w:val="16CC724E"/>
    <w:rsid w:val="17824E46"/>
    <w:rsid w:val="17E93189"/>
    <w:rsid w:val="1816335F"/>
    <w:rsid w:val="18751283"/>
    <w:rsid w:val="191E2C5A"/>
    <w:rsid w:val="19886D63"/>
    <w:rsid w:val="198E1CA7"/>
    <w:rsid w:val="1A426205"/>
    <w:rsid w:val="1B177B3C"/>
    <w:rsid w:val="1B40527E"/>
    <w:rsid w:val="1C2C1601"/>
    <w:rsid w:val="1C957DDA"/>
    <w:rsid w:val="1D741D9B"/>
    <w:rsid w:val="1DC06D81"/>
    <w:rsid w:val="1F365358"/>
    <w:rsid w:val="1F3813F3"/>
    <w:rsid w:val="1F4E5D32"/>
    <w:rsid w:val="1FC0715C"/>
    <w:rsid w:val="20B3439A"/>
    <w:rsid w:val="21E944C7"/>
    <w:rsid w:val="23234A1F"/>
    <w:rsid w:val="233828AA"/>
    <w:rsid w:val="235419F6"/>
    <w:rsid w:val="23B1063E"/>
    <w:rsid w:val="23DF65EB"/>
    <w:rsid w:val="2483373B"/>
    <w:rsid w:val="24C30629"/>
    <w:rsid w:val="25A53091"/>
    <w:rsid w:val="26036F92"/>
    <w:rsid w:val="26AD23E6"/>
    <w:rsid w:val="26BE36E4"/>
    <w:rsid w:val="27C46511"/>
    <w:rsid w:val="280E6B3A"/>
    <w:rsid w:val="282223CA"/>
    <w:rsid w:val="283F7CF8"/>
    <w:rsid w:val="286839C1"/>
    <w:rsid w:val="28B90888"/>
    <w:rsid w:val="291F1924"/>
    <w:rsid w:val="29216AB1"/>
    <w:rsid w:val="2A3E55C7"/>
    <w:rsid w:val="2A826986"/>
    <w:rsid w:val="2AC874A0"/>
    <w:rsid w:val="2BA16333"/>
    <w:rsid w:val="2C382AA0"/>
    <w:rsid w:val="2E1B4C12"/>
    <w:rsid w:val="2E5B4273"/>
    <w:rsid w:val="2EED69CE"/>
    <w:rsid w:val="2F060FD6"/>
    <w:rsid w:val="2F9C7797"/>
    <w:rsid w:val="30030473"/>
    <w:rsid w:val="306B7234"/>
    <w:rsid w:val="3079410A"/>
    <w:rsid w:val="30C143C8"/>
    <w:rsid w:val="30EF587D"/>
    <w:rsid w:val="31A36FA4"/>
    <w:rsid w:val="3219500C"/>
    <w:rsid w:val="32823E7B"/>
    <w:rsid w:val="32E930DC"/>
    <w:rsid w:val="33056C99"/>
    <w:rsid w:val="332B71A5"/>
    <w:rsid w:val="334D2131"/>
    <w:rsid w:val="33E044B1"/>
    <w:rsid w:val="34052A0C"/>
    <w:rsid w:val="34932E12"/>
    <w:rsid w:val="35163A00"/>
    <w:rsid w:val="355F7CD7"/>
    <w:rsid w:val="3565115A"/>
    <w:rsid w:val="36254B0D"/>
    <w:rsid w:val="378E027E"/>
    <w:rsid w:val="37EC20DC"/>
    <w:rsid w:val="37FE39FA"/>
    <w:rsid w:val="38796738"/>
    <w:rsid w:val="388E0C37"/>
    <w:rsid w:val="390D1DB6"/>
    <w:rsid w:val="39443802"/>
    <w:rsid w:val="3AC93A44"/>
    <w:rsid w:val="3C9551CA"/>
    <w:rsid w:val="3CD70CBD"/>
    <w:rsid w:val="3CE22F3A"/>
    <w:rsid w:val="3CE8111C"/>
    <w:rsid w:val="3D0A4BEF"/>
    <w:rsid w:val="3D4A5933"/>
    <w:rsid w:val="3D6C4CDA"/>
    <w:rsid w:val="3DE970A0"/>
    <w:rsid w:val="3F9D053A"/>
    <w:rsid w:val="408F567F"/>
    <w:rsid w:val="41112739"/>
    <w:rsid w:val="414844BE"/>
    <w:rsid w:val="41651E65"/>
    <w:rsid w:val="41D0486A"/>
    <w:rsid w:val="41E75038"/>
    <w:rsid w:val="420A6592"/>
    <w:rsid w:val="428972C6"/>
    <w:rsid w:val="43DD6E26"/>
    <w:rsid w:val="445F6352"/>
    <w:rsid w:val="44EB6F07"/>
    <w:rsid w:val="454F14B8"/>
    <w:rsid w:val="460255F1"/>
    <w:rsid w:val="46C941A9"/>
    <w:rsid w:val="47470357"/>
    <w:rsid w:val="48160219"/>
    <w:rsid w:val="494B57C2"/>
    <w:rsid w:val="4A04785C"/>
    <w:rsid w:val="4AA9163F"/>
    <w:rsid w:val="4AEC56EE"/>
    <w:rsid w:val="4B4F0A1A"/>
    <w:rsid w:val="4D814C85"/>
    <w:rsid w:val="4DAE7625"/>
    <w:rsid w:val="4DBB5600"/>
    <w:rsid w:val="4E1F516F"/>
    <w:rsid w:val="4E334491"/>
    <w:rsid w:val="4E5804B3"/>
    <w:rsid w:val="4E5D3AFA"/>
    <w:rsid w:val="4FCE7CFE"/>
    <w:rsid w:val="502320A0"/>
    <w:rsid w:val="505F4DFA"/>
    <w:rsid w:val="50935D02"/>
    <w:rsid w:val="50AF3FF4"/>
    <w:rsid w:val="50CF1F80"/>
    <w:rsid w:val="519378C4"/>
    <w:rsid w:val="519F7BA4"/>
    <w:rsid w:val="52245352"/>
    <w:rsid w:val="523C3645"/>
    <w:rsid w:val="525D541D"/>
    <w:rsid w:val="52AD009F"/>
    <w:rsid w:val="536D5783"/>
    <w:rsid w:val="53AA1531"/>
    <w:rsid w:val="546A364D"/>
    <w:rsid w:val="557D4995"/>
    <w:rsid w:val="561F47D7"/>
    <w:rsid w:val="569F0501"/>
    <w:rsid w:val="570B7A8A"/>
    <w:rsid w:val="579507C2"/>
    <w:rsid w:val="57D84D3E"/>
    <w:rsid w:val="58501BF8"/>
    <w:rsid w:val="58B45FC5"/>
    <w:rsid w:val="58E17C98"/>
    <w:rsid w:val="59643FFD"/>
    <w:rsid w:val="59E173FF"/>
    <w:rsid w:val="5A6220B6"/>
    <w:rsid w:val="5A7C7099"/>
    <w:rsid w:val="5B8027F4"/>
    <w:rsid w:val="5BE03D6A"/>
    <w:rsid w:val="5C726B7D"/>
    <w:rsid w:val="5CF56582"/>
    <w:rsid w:val="5D5242AF"/>
    <w:rsid w:val="5DF66956"/>
    <w:rsid w:val="5E895B09"/>
    <w:rsid w:val="5F4F53A0"/>
    <w:rsid w:val="5FAF310F"/>
    <w:rsid w:val="5FD41EA0"/>
    <w:rsid w:val="60327496"/>
    <w:rsid w:val="60916EE9"/>
    <w:rsid w:val="62083EFD"/>
    <w:rsid w:val="622C492E"/>
    <w:rsid w:val="6291178B"/>
    <w:rsid w:val="63314456"/>
    <w:rsid w:val="637F2772"/>
    <w:rsid w:val="643F450A"/>
    <w:rsid w:val="64662C72"/>
    <w:rsid w:val="64C912B0"/>
    <w:rsid w:val="65B5123B"/>
    <w:rsid w:val="65E73470"/>
    <w:rsid w:val="66813B6C"/>
    <w:rsid w:val="669D1850"/>
    <w:rsid w:val="68903204"/>
    <w:rsid w:val="68913896"/>
    <w:rsid w:val="698536CB"/>
    <w:rsid w:val="6A145B9E"/>
    <w:rsid w:val="6A395663"/>
    <w:rsid w:val="6AC51860"/>
    <w:rsid w:val="6ADC37BF"/>
    <w:rsid w:val="6B29793A"/>
    <w:rsid w:val="6B2A6748"/>
    <w:rsid w:val="6B4B1C7C"/>
    <w:rsid w:val="6B7E398C"/>
    <w:rsid w:val="6B8E2DF4"/>
    <w:rsid w:val="6BC25C90"/>
    <w:rsid w:val="6BD4669A"/>
    <w:rsid w:val="6C300353"/>
    <w:rsid w:val="6C5766E0"/>
    <w:rsid w:val="6C681353"/>
    <w:rsid w:val="6C713115"/>
    <w:rsid w:val="6D1C7EA3"/>
    <w:rsid w:val="6DA6521B"/>
    <w:rsid w:val="6DAF6595"/>
    <w:rsid w:val="6DE11156"/>
    <w:rsid w:val="6E097592"/>
    <w:rsid w:val="6EDC1FE0"/>
    <w:rsid w:val="6F720F93"/>
    <w:rsid w:val="6F972AEB"/>
    <w:rsid w:val="6FA51664"/>
    <w:rsid w:val="70322565"/>
    <w:rsid w:val="70C16203"/>
    <w:rsid w:val="715C7408"/>
    <w:rsid w:val="71C731A0"/>
    <w:rsid w:val="71DF3C02"/>
    <w:rsid w:val="72760AA9"/>
    <w:rsid w:val="729F57FE"/>
    <w:rsid w:val="72EA7FC5"/>
    <w:rsid w:val="730431B5"/>
    <w:rsid w:val="730746F3"/>
    <w:rsid w:val="730E47F3"/>
    <w:rsid w:val="7400428C"/>
    <w:rsid w:val="74561D4D"/>
    <w:rsid w:val="747D1A19"/>
    <w:rsid w:val="74C23CF0"/>
    <w:rsid w:val="74D140CF"/>
    <w:rsid w:val="74D86F9F"/>
    <w:rsid w:val="75385F77"/>
    <w:rsid w:val="769E0647"/>
    <w:rsid w:val="77D40F07"/>
    <w:rsid w:val="77E11BF6"/>
    <w:rsid w:val="77F23CC0"/>
    <w:rsid w:val="77F60055"/>
    <w:rsid w:val="783C785E"/>
    <w:rsid w:val="79B02F4E"/>
    <w:rsid w:val="7A2B1F18"/>
    <w:rsid w:val="7A723CD2"/>
    <w:rsid w:val="7AA51D9D"/>
    <w:rsid w:val="7B386A58"/>
    <w:rsid w:val="7B5F5B2A"/>
    <w:rsid w:val="7C2619F1"/>
    <w:rsid w:val="7D68013F"/>
    <w:rsid w:val="7E1F052F"/>
    <w:rsid w:val="7EAE498B"/>
    <w:rsid w:val="7F842003"/>
    <w:rsid w:val="7FA051E9"/>
    <w:rsid w:val="7FD403A5"/>
    <w:rsid w:val="7FEC2BF1"/>
    <w:rsid w:val="7FFF10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uiPriority="99" w:name="index 2"/>
    <w:lsdException w:qFormat="1" w:unhideWhenUsed="0" w:uiPriority="0"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name="table of figures"/>
    <w:lsdException w:qFormat="1" w:unhideWhenUsed="0" w:uiPriority="0" w:semiHidden="0" w:name="envelope address"/>
    <w:lsdException w:qFormat="1" w:unhideWhenUsed="0" w:uiPriority="0" w:semiHidden="0" w:name="envelope return"/>
    <w:lsdException w:qFormat="1" w:uiPriority="99" w:name="footnote reference"/>
    <w:lsdException w:qFormat="1" w:unhideWhenUsed="0" w:uiPriority="0"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qFormat="1" w:unhideWhenUsed="0" w:uiPriority="0" w:name="table of authorities"/>
    <w:lsdException w:qFormat="1" w:unhideWhenUsed="0" w:uiPriority="0" w:name="macro"/>
    <w:lsdException w:uiPriority="99"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iPriority="99"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iPriority="99" w:name="HTML Keyboard"/>
    <w:lsdException w:qFormat="1" w:unhideWhenUsed="0" w:uiPriority="99" w:semiHidden="0" w:name="HTML Preformatted"/>
    <w:lsdException w:uiPriority="99" w:name="HTML Sample"/>
    <w:lsdException w:uiPriority="99" w:name="HTML Typewriter"/>
    <w:lsdException w:qFormat="1" w:unhideWhenUsed="0" w:uiPriority="0"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qFormat="1" w:unhideWhenUsed="0" w:uiPriority="0" w:semiHidden="0" w:name="Table Classic 1"/>
    <w:lsdException w:uiPriority="99" w:name="Table Classic 2"/>
    <w:lsdException w:uiPriority="99" w:name="Table Classic 3"/>
    <w:lsdException w:uiPriority="99" w:name="Table Classic 4"/>
    <w:lsdException w:qFormat="1" w:uiPriority="0" w:semiHidden="0" w:name="Table Colorful 1"/>
    <w:lsdException w:qFormat="1" w:uiPriority="0" w:semiHidden="0"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qFormat="1" w:unhideWhenUsed="0" w:uiPriority="0" w:semiHidden="0" w:name="Table Theme"/>
    <w:lsdException w:qFormat="1" w:unhideWhenUsed="0"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qFormat="1"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unhideWhenUsed="0" w:uiPriority="61" w:semiHidden="0" w:name="Light List Accent 5"/>
    <w:lsdException w:qFormat="1"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line="360" w:lineRule="auto"/>
      <w:jc w:val="both"/>
    </w:pPr>
    <w:rPr>
      <w:rFonts w:ascii="宋体" w:hAnsi="Times New Roman" w:eastAsia="宋体" w:cs="宋体"/>
      <w:sz w:val="28"/>
      <w:lang w:val="en-US" w:eastAsia="zh-CN" w:bidi="ar-SA"/>
    </w:rPr>
  </w:style>
  <w:style w:type="paragraph" w:styleId="3">
    <w:name w:val="heading 1"/>
    <w:basedOn w:val="1"/>
    <w:next w:val="1"/>
    <w:link w:val="111"/>
    <w:qFormat/>
    <w:uiPriority w:val="9"/>
    <w:pPr>
      <w:keepNext/>
      <w:keepLines/>
      <w:jc w:val="center"/>
      <w:outlineLvl w:val="0"/>
    </w:pPr>
    <w:rPr>
      <w:rFonts w:eastAsia="黑体"/>
      <w:b/>
      <w:bCs/>
      <w:kern w:val="44"/>
      <w:sz w:val="32"/>
      <w:szCs w:val="44"/>
    </w:rPr>
  </w:style>
  <w:style w:type="paragraph" w:styleId="4">
    <w:name w:val="heading 2"/>
    <w:basedOn w:val="1"/>
    <w:next w:val="1"/>
    <w:link w:val="112"/>
    <w:qFormat/>
    <w:uiPriority w:val="9"/>
    <w:pPr>
      <w:keepNext/>
      <w:keepLines/>
      <w:numPr>
        <w:ilvl w:val="1"/>
        <w:numId w:val="1"/>
      </w:numPr>
      <w:spacing w:before="120" w:beforeLines="50"/>
      <w:jc w:val="center"/>
      <w:outlineLvl w:val="1"/>
    </w:pPr>
    <w:rPr>
      <w:rFonts w:ascii="楷体" w:hAnsi="楷体" w:eastAsia="楷体" w:cs="Times New Roman"/>
      <w:bCs/>
      <w:color w:val="000000" w:themeColor="text1"/>
      <w:sz w:val="32"/>
      <w:szCs w:val="32"/>
      <w14:textFill>
        <w14:solidFill>
          <w14:schemeClr w14:val="tx1"/>
        </w14:solidFill>
      </w14:textFill>
    </w:rPr>
  </w:style>
  <w:style w:type="paragraph" w:styleId="5">
    <w:name w:val="heading 3"/>
    <w:basedOn w:val="1"/>
    <w:next w:val="1"/>
    <w:link w:val="113"/>
    <w:qFormat/>
    <w:uiPriority w:val="9"/>
    <w:pPr>
      <w:keepNext/>
      <w:keepLines/>
      <w:numPr>
        <w:ilvl w:val="2"/>
        <w:numId w:val="2"/>
      </w:numPr>
      <w:tabs>
        <w:tab w:val="left" w:pos="931"/>
      </w:tabs>
      <w:jc w:val="left"/>
      <w:outlineLvl w:val="2"/>
    </w:pPr>
    <w:rPr>
      <w:rFonts w:eastAsia="黑体" w:cs="Times New Roman"/>
      <w:b/>
      <w:bCs/>
    </w:rPr>
  </w:style>
  <w:style w:type="paragraph" w:styleId="6">
    <w:name w:val="heading 4"/>
    <w:basedOn w:val="1"/>
    <w:next w:val="1"/>
    <w:link w:val="114"/>
    <w:qFormat/>
    <w:uiPriority w:val="9"/>
    <w:pPr>
      <w:keepNext/>
      <w:numPr>
        <w:ilvl w:val="3"/>
        <w:numId w:val="2"/>
      </w:numPr>
      <w:outlineLvl w:val="3"/>
    </w:pPr>
    <w:rPr>
      <w:rFonts w:eastAsia="黑体"/>
      <w:b/>
      <w:bCs/>
    </w:rPr>
  </w:style>
  <w:style w:type="paragraph" w:styleId="7">
    <w:name w:val="heading 5"/>
    <w:basedOn w:val="1"/>
    <w:next w:val="1"/>
    <w:link w:val="115"/>
    <w:qFormat/>
    <w:uiPriority w:val="0"/>
    <w:pPr>
      <w:keepNext/>
      <w:keepLines/>
      <w:numPr>
        <w:ilvl w:val="4"/>
        <w:numId w:val="2"/>
      </w:numPr>
      <w:outlineLvl w:val="4"/>
    </w:pPr>
    <w:rPr>
      <w:rFonts w:eastAsia="黑体"/>
      <w:b/>
      <w:bCs/>
    </w:rPr>
  </w:style>
  <w:style w:type="paragraph" w:styleId="8">
    <w:name w:val="heading 6"/>
    <w:basedOn w:val="1"/>
    <w:next w:val="1"/>
    <w:link w:val="116"/>
    <w:qFormat/>
    <w:uiPriority w:val="0"/>
    <w:pPr>
      <w:keepNext/>
      <w:keepLines/>
      <w:spacing w:line="319" w:lineRule="auto"/>
      <w:outlineLvl w:val="5"/>
    </w:pPr>
    <w:rPr>
      <w:rFonts w:ascii="Arial" w:hAnsi="Arial" w:eastAsia="黑体" w:cs="Times New Roman"/>
      <w:b/>
      <w:sz w:val="24"/>
    </w:rPr>
  </w:style>
  <w:style w:type="paragraph" w:styleId="9">
    <w:name w:val="heading 7"/>
    <w:basedOn w:val="1"/>
    <w:next w:val="1"/>
    <w:link w:val="183"/>
    <w:qFormat/>
    <w:uiPriority w:val="0"/>
    <w:pPr>
      <w:tabs>
        <w:tab w:val="left" w:pos="4167"/>
      </w:tabs>
      <w:overflowPunct w:val="0"/>
      <w:adjustRightInd w:val="0"/>
      <w:spacing w:before="120" w:line="500" w:lineRule="atLeast"/>
      <w:ind w:firstLine="567"/>
      <w:jc w:val="left"/>
      <w:textAlignment w:val="baseline"/>
      <w:outlineLvl w:val="6"/>
    </w:pPr>
    <w:rPr>
      <w:rFonts w:ascii="Arial" w:hAnsi="Arial" w:eastAsia="仿宋_GB2312" w:cs="Times New Roman"/>
    </w:rPr>
  </w:style>
  <w:style w:type="paragraph" w:styleId="10">
    <w:name w:val="heading 8"/>
    <w:basedOn w:val="1"/>
    <w:next w:val="1"/>
    <w:link w:val="176"/>
    <w:qFormat/>
    <w:uiPriority w:val="0"/>
    <w:pPr>
      <w:tabs>
        <w:tab w:val="left" w:pos="4887"/>
      </w:tabs>
      <w:overflowPunct w:val="0"/>
      <w:adjustRightInd w:val="0"/>
      <w:spacing w:before="120" w:line="320" w:lineRule="atLeast"/>
      <w:ind w:firstLine="567"/>
      <w:jc w:val="left"/>
      <w:textAlignment w:val="baseline"/>
      <w:outlineLvl w:val="7"/>
    </w:pPr>
    <w:rPr>
      <w:rFonts w:ascii="Arial" w:hAnsi="Arial" w:eastAsia="仿宋_GB2312" w:cs="Times New Roman"/>
    </w:rPr>
  </w:style>
  <w:style w:type="paragraph" w:styleId="11">
    <w:name w:val="heading 9"/>
    <w:basedOn w:val="1"/>
    <w:next w:val="1"/>
    <w:link w:val="177"/>
    <w:qFormat/>
    <w:uiPriority w:val="0"/>
    <w:pPr>
      <w:tabs>
        <w:tab w:val="left" w:pos="5247"/>
      </w:tabs>
      <w:overflowPunct w:val="0"/>
      <w:adjustRightInd w:val="0"/>
      <w:spacing w:before="120" w:line="320" w:lineRule="atLeast"/>
      <w:ind w:firstLine="567"/>
      <w:jc w:val="left"/>
      <w:textAlignment w:val="baseline"/>
      <w:outlineLvl w:val="8"/>
    </w:pPr>
    <w:rPr>
      <w:rFonts w:ascii="Arial" w:hAnsi="Arial" w:eastAsia="仿宋_GB2312" w:cs="Times New Roman"/>
    </w:rPr>
  </w:style>
  <w:style w:type="character" w:default="1" w:styleId="91">
    <w:name w:val="Default Paragraph Font"/>
    <w:semiHidden/>
    <w:unhideWhenUsed/>
    <w:qFormat/>
    <w:uiPriority w:val="1"/>
  </w:style>
  <w:style w:type="table" w:default="1" w:styleId="80">
    <w:name w:val="Normal Table"/>
    <w:semiHidden/>
    <w:unhideWhenUsed/>
    <w:qFormat/>
    <w:uiPriority w:val="99"/>
    <w:tblPr>
      <w:tblCellMar>
        <w:top w:w="0" w:type="dxa"/>
        <w:left w:w="108" w:type="dxa"/>
        <w:bottom w:w="0" w:type="dxa"/>
        <w:right w:w="108" w:type="dxa"/>
      </w:tblCellMar>
    </w:tblPr>
  </w:style>
  <w:style w:type="paragraph" w:styleId="2">
    <w:name w:val="macro"/>
    <w:link w:val="238"/>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eastAsiaTheme="minorEastAsia"/>
      <w:kern w:val="2"/>
      <w:sz w:val="24"/>
      <w:szCs w:val="24"/>
      <w:lang w:val="en-US" w:eastAsia="zh-CN" w:bidi="ar-SA"/>
    </w:rPr>
  </w:style>
  <w:style w:type="paragraph" w:styleId="12">
    <w:name w:val="List 3"/>
    <w:basedOn w:val="1"/>
    <w:qFormat/>
    <w:uiPriority w:val="0"/>
    <w:pPr>
      <w:snapToGrid/>
      <w:spacing w:line="240" w:lineRule="auto"/>
      <w:ind w:left="100" w:leftChars="400" w:hanging="200" w:hangingChars="200"/>
    </w:pPr>
    <w:rPr>
      <w:rFonts w:ascii="Times New Roman" w:cs="Times New Roman"/>
      <w:sz w:val="24"/>
      <w:szCs w:val="24"/>
    </w:rPr>
  </w:style>
  <w:style w:type="paragraph" w:styleId="13">
    <w:name w:val="toc 7"/>
    <w:basedOn w:val="1"/>
    <w:next w:val="1"/>
    <w:qFormat/>
    <w:uiPriority w:val="39"/>
    <w:pPr>
      <w:snapToGrid/>
      <w:spacing w:line="240" w:lineRule="auto"/>
      <w:ind w:left="1260"/>
      <w:jc w:val="left"/>
    </w:pPr>
    <w:rPr>
      <w:rFonts w:ascii="Times New Roman" w:cs="Times New Roman"/>
      <w:sz w:val="21"/>
      <w:szCs w:val="21"/>
    </w:rPr>
  </w:style>
  <w:style w:type="paragraph" w:styleId="14">
    <w:name w:val="List Number 2"/>
    <w:basedOn w:val="1"/>
    <w:qFormat/>
    <w:uiPriority w:val="0"/>
    <w:pPr>
      <w:tabs>
        <w:tab w:val="left" w:pos="780"/>
      </w:tabs>
      <w:snapToGrid/>
      <w:spacing w:line="240" w:lineRule="auto"/>
      <w:ind w:left="780" w:leftChars="200" w:hanging="360" w:hangingChars="200"/>
    </w:pPr>
    <w:rPr>
      <w:rFonts w:ascii="Times New Roman" w:cs="Times New Roman"/>
      <w:sz w:val="24"/>
      <w:szCs w:val="24"/>
    </w:rPr>
  </w:style>
  <w:style w:type="paragraph" w:styleId="15">
    <w:name w:val="table of authorities"/>
    <w:basedOn w:val="1"/>
    <w:next w:val="1"/>
    <w:semiHidden/>
    <w:qFormat/>
    <w:uiPriority w:val="0"/>
    <w:pPr>
      <w:snapToGrid/>
      <w:spacing w:line="240" w:lineRule="auto"/>
      <w:ind w:left="420" w:leftChars="200"/>
    </w:pPr>
    <w:rPr>
      <w:rFonts w:ascii="Times New Roman" w:cs="Times New Roman"/>
      <w:sz w:val="21"/>
      <w:szCs w:val="24"/>
    </w:rPr>
  </w:style>
  <w:style w:type="paragraph" w:styleId="16">
    <w:name w:val="Note Heading"/>
    <w:basedOn w:val="1"/>
    <w:next w:val="1"/>
    <w:link w:val="409"/>
    <w:qFormat/>
    <w:uiPriority w:val="0"/>
    <w:pPr>
      <w:snapToGrid/>
      <w:spacing w:line="240" w:lineRule="auto"/>
      <w:jc w:val="center"/>
    </w:pPr>
    <w:rPr>
      <w:rFonts w:ascii="Times New Roman" w:cs="Times New Roman"/>
      <w:sz w:val="24"/>
      <w:szCs w:val="24"/>
    </w:rPr>
  </w:style>
  <w:style w:type="paragraph" w:styleId="17">
    <w:name w:val="List Bullet 4"/>
    <w:basedOn w:val="1"/>
    <w:qFormat/>
    <w:uiPriority w:val="0"/>
    <w:pPr>
      <w:tabs>
        <w:tab w:val="left" w:pos="958"/>
        <w:tab w:val="left" w:pos="1620"/>
      </w:tabs>
      <w:snapToGrid/>
      <w:spacing w:line="240" w:lineRule="auto"/>
      <w:ind w:left="1620" w:leftChars="600" w:hanging="420"/>
    </w:pPr>
    <w:rPr>
      <w:rFonts w:ascii="Times New Roman" w:cs="Times New Roman"/>
      <w:sz w:val="24"/>
      <w:szCs w:val="24"/>
    </w:rPr>
  </w:style>
  <w:style w:type="paragraph" w:styleId="18">
    <w:name w:val="E-mail Signature"/>
    <w:basedOn w:val="1"/>
    <w:link w:val="364"/>
    <w:qFormat/>
    <w:uiPriority w:val="0"/>
    <w:pPr>
      <w:snapToGrid/>
      <w:spacing w:line="240" w:lineRule="auto"/>
    </w:pPr>
    <w:rPr>
      <w:rFonts w:asciiTheme="minorHAnsi" w:hAnsiTheme="minorHAnsi" w:cstheme="minorBidi"/>
      <w:sz w:val="24"/>
      <w:szCs w:val="24"/>
    </w:rPr>
  </w:style>
  <w:style w:type="paragraph" w:styleId="19">
    <w:name w:val="List Number"/>
    <w:basedOn w:val="1"/>
    <w:qFormat/>
    <w:uiPriority w:val="0"/>
    <w:pPr>
      <w:tabs>
        <w:tab w:val="left" w:pos="360"/>
      </w:tabs>
      <w:snapToGrid/>
      <w:spacing w:line="240" w:lineRule="auto"/>
      <w:ind w:left="360" w:hanging="360"/>
    </w:pPr>
    <w:rPr>
      <w:rFonts w:ascii="Times New Roman" w:cs="Times New Roman"/>
      <w:sz w:val="24"/>
      <w:szCs w:val="24"/>
    </w:rPr>
  </w:style>
  <w:style w:type="paragraph" w:styleId="20">
    <w:name w:val="Normal Indent"/>
    <w:basedOn w:val="1"/>
    <w:next w:val="1"/>
    <w:link w:val="336"/>
    <w:qFormat/>
    <w:uiPriority w:val="0"/>
    <w:pPr>
      <w:snapToGrid/>
      <w:spacing w:line="440" w:lineRule="exact"/>
      <w:ind w:firstLine="420"/>
    </w:pPr>
    <w:rPr>
      <w:rFonts w:hAnsiTheme="minorHAnsi"/>
      <w:sz w:val="24"/>
      <w:szCs w:val="24"/>
    </w:rPr>
  </w:style>
  <w:style w:type="paragraph" w:styleId="21">
    <w:name w:val="caption"/>
    <w:basedOn w:val="1"/>
    <w:next w:val="1"/>
    <w:link w:val="733"/>
    <w:qFormat/>
    <w:uiPriority w:val="0"/>
    <w:pPr>
      <w:snapToGrid/>
      <w:spacing w:line="240" w:lineRule="auto"/>
    </w:pPr>
    <w:rPr>
      <w:rFonts w:ascii="Arial" w:hAnsi="Arial" w:eastAsia="黑体" w:cs="Arial"/>
      <w:sz w:val="20"/>
    </w:rPr>
  </w:style>
  <w:style w:type="paragraph" w:styleId="22">
    <w:name w:val="List Bullet"/>
    <w:basedOn w:val="1"/>
    <w:qFormat/>
    <w:uiPriority w:val="0"/>
    <w:pPr>
      <w:tabs>
        <w:tab w:val="left" w:pos="360"/>
      </w:tabs>
      <w:snapToGrid/>
      <w:spacing w:line="240" w:lineRule="auto"/>
      <w:ind w:left="360" w:hanging="360" w:hangingChars="200"/>
    </w:pPr>
    <w:rPr>
      <w:rFonts w:ascii="Times New Roman" w:cs="Times New Roman"/>
      <w:sz w:val="21"/>
      <w:szCs w:val="24"/>
    </w:rPr>
  </w:style>
  <w:style w:type="paragraph" w:styleId="23">
    <w:name w:val="envelope address"/>
    <w:basedOn w:val="1"/>
    <w:qFormat/>
    <w:uiPriority w:val="0"/>
    <w:pPr>
      <w:framePr w:w="7920" w:h="1980" w:hRule="exact" w:hSpace="180" w:wrap="around" w:vAnchor="margin" w:hAnchor="page" w:xAlign="center" w:yAlign="bottom"/>
      <w:spacing w:line="240" w:lineRule="auto"/>
      <w:ind w:left="100" w:leftChars="1400"/>
    </w:pPr>
    <w:rPr>
      <w:rFonts w:ascii="Arial" w:hAnsi="Arial" w:cs="Arial"/>
      <w:sz w:val="24"/>
      <w:szCs w:val="24"/>
    </w:rPr>
  </w:style>
  <w:style w:type="paragraph" w:styleId="24">
    <w:name w:val="Document Map"/>
    <w:basedOn w:val="1"/>
    <w:link w:val="135"/>
    <w:unhideWhenUsed/>
    <w:qFormat/>
    <w:uiPriority w:val="99"/>
    <w:rPr>
      <w:sz w:val="18"/>
      <w:szCs w:val="18"/>
    </w:rPr>
  </w:style>
  <w:style w:type="paragraph" w:styleId="25">
    <w:name w:val="annotation text"/>
    <w:basedOn w:val="1"/>
    <w:link w:val="277"/>
    <w:qFormat/>
    <w:uiPriority w:val="0"/>
    <w:pPr>
      <w:snapToGrid/>
      <w:spacing w:line="240" w:lineRule="auto"/>
      <w:jc w:val="left"/>
    </w:pPr>
    <w:rPr>
      <w:rFonts w:asciiTheme="minorHAnsi" w:hAnsiTheme="minorHAnsi" w:cstheme="minorBidi"/>
      <w:sz w:val="21"/>
      <w:szCs w:val="24"/>
    </w:rPr>
  </w:style>
  <w:style w:type="paragraph" w:styleId="26">
    <w:name w:val="Salutation"/>
    <w:basedOn w:val="1"/>
    <w:next w:val="1"/>
    <w:link w:val="362"/>
    <w:qFormat/>
    <w:uiPriority w:val="0"/>
    <w:pPr>
      <w:snapToGrid/>
      <w:spacing w:line="240" w:lineRule="auto"/>
    </w:pPr>
    <w:rPr>
      <w:rFonts w:asciiTheme="minorHAnsi" w:hAnsiTheme="minorHAnsi" w:cstheme="minorBidi"/>
      <w:sz w:val="24"/>
      <w:szCs w:val="24"/>
    </w:rPr>
  </w:style>
  <w:style w:type="paragraph" w:styleId="27">
    <w:name w:val="Body Text 3"/>
    <w:basedOn w:val="1"/>
    <w:link w:val="233"/>
    <w:qFormat/>
    <w:uiPriority w:val="0"/>
    <w:pPr>
      <w:snapToGrid/>
      <w:spacing w:after="120" w:line="240" w:lineRule="auto"/>
    </w:pPr>
    <w:rPr>
      <w:rFonts w:asciiTheme="minorHAnsi" w:hAnsiTheme="minorHAnsi" w:cstheme="minorBidi"/>
      <w:sz w:val="16"/>
      <w:szCs w:val="16"/>
    </w:rPr>
  </w:style>
  <w:style w:type="paragraph" w:styleId="28">
    <w:name w:val="Closing"/>
    <w:basedOn w:val="1"/>
    <w:link w:val="366"/>
    <w:qFormat/>
    <w:uiPriority w:val="0"/>
    <w:pPr>
      <w:snapToGrid/>
      <w:spacing w:line="240" w:lineRule="auto"/>
      <w:ind w:left="100" w:leftChars="2100"/>
    </w:pPr>
    <w:rPr>
      <w:rFonts w:asciiTheme="minorHAnsi" w:hAnsiTheme="minorHAnsi" w:cstheme="minorBidi"/>
      <w:sz w:val="24"/>
      <w:szCs w:val="24"/>
    </w:rPr>
  </w:style>
  <w:style w:type="paragraph" w:styleId="29">
    <w:name w:val="List Bullet 3"/>
    <w:basedOn w:val="1"/>
    <w:qFormat/>
    <w:uiPriority w:val="0"/>
    <w:pPr>
      <w:tabs>
        <w:tab w:val="left" w:pos="1200"/>
      </w:tabs>
      <w:snapToGrid/>
      <w:spacing w:line="240" w:lineRule="auto"/>
      <w:ind w:left="1200" w:leftChars="400" w:hanging="360" w:hangingChars="200"/>
    </w:pPr>
    <w:rPr>
      <w:rFonts w:ascii="Times New Roman" w:cs="Times New Roman"/>
      <w:sz w:val="24"/>
      <w:szCs w:val="24"/>
    </w:rPr>
  </w:style>
  <w:style w:type="paragraph" w:styleId="30">
    <w:name w:val="Body Text"/>
    <w:basedOn w:val="1"/>
    <w:next w:val="31"/>
    <w:link w:val="188"/>
    <w:qFormat/>
    <w:uiPriority w:val="0"/>
    <w:pPr>
      <w:snapToGrid/>
      <w:spacing w:after="120" w:line="240" w:lineRule="auto"/>
    </w:pPr>
    <w:rPr>
      <w:rFonts w:asciiTheme="minorHAnsi" w:hAnsiTheme="minorHAnsi" w:cstheme="minorBidi"/>
      <w:sz w:val="21"/>
      <w:szCs w:val="24"/>
    </w:rPr>
  </w:style>
  <w:style w:type="paragraph" w:styleId="31">
    <w:name w:val="Body Text First Indent 2"/>
    <w:basedOn w:val="32"/>
    <w:next w:val="1"/>
    <w:link w:val="360"/>
    <w:qFormat/>
    <w:uiPriority w:val="0"/>
    <w:pPr>
      <w:adjustRightInd/>
      <w:snapToGrid/>
      <w:spacing w:after="120" w:line="240" w:lineRule="auto"/>
      <w:ind w:left="420" w:leftChars="200" w:firstLine="200" w:firstLineChars="200"/>
    </w:pPr>
    <w:rPr>
      <w:rFonts w:asciiTheme="minorHAnsi" w:hAnsiTheme="minorHAnsi"/>
      <w:sz w:val="21"/>
      <w:szCs w:val="24"/>
    </w:rPr>
  </w:style>
  <w:style w:type="paragraph" w:styleId="32">
    <w:name w:val="Body Text Indent"/>
    <w:basedOn w:val="1"/>
    <w:next w:val="30"/>
    <w:link w:val="201"/>
    <w:qFormat/>
    <w:uiPriority w:val="0"/>
    <w:pPr>
      <w:adjustRightInd w:val="0"/>
      <w:ind w:firstLine="420" w:firstLineChars="150"/>
    </w:pPr>
    <w:rPr>
      <w:rFonts w:hAnsi="宋体" w:cstheme="minorBidi"/>
      <w:szCs w:val="28"/>
    </w:rPr>
  </w:style>
  <w:style w:type="paragraph" w:styleId="33">
    <w:name w:val="List Number 3"/>
    <w:basedOn w:val="1"/>
    <w:qFormat/>
    <w:uiPriority w:val="0"/>
    <w:pPr>
      <w:tabs>
        <w:tab w:val="left" w:pos="1200"/>
      </w:tabs>
      <w:snapToGrid/>
      <w:spacing w:line="240" w:lineRule="auto"/>
      <w:ind w:left="1200" w:leftChars="400" w:hanging="360" w:hangingChars="200"/>
    </w:pPr>
    <w:rPr>
      <w:rFonts w:ascii="Times New Roman" w:cs="Times New Roman"/>
      <w:sz w:val="24"/>
      <w:szCs w:val="24"/>
    </w:rPr>
  </w:style>
  <w:style w:type="paragraph" w:styleId="34">
    <w:name w:val="List 2"/>
    <w:basedOn w:val="1"/>
    <w:qFormat/>
    <w:uiPriority w:val="0"/>
    <w:pPr>
      <w:snapToGrid/>
      <w:spacing w:line="240" w:lineRule="auto"/>
      <w:ind w:left="100" w:leftChars="200" w:hanging="200" w:hangingChars="200"/>
    </w:pPr>
    <w:rPr>
      <w:rFonts w:ascii="Times New Roman" w:cs="Times New Roman"/>
      <w:sz w:val="24"/>
      <w:szCs w:val="24"/>
    </w:rPr>
  </w:style>
  <w:style w:type="paragraph" w:styleId="35">
    <w:name w:val="List Continue"/>
    <w:basedOn w:val="1"/>
    <w:qFormat/>
    <w:uiPriority w:val="0"/>
    <w:pPr>
      <w:snapToGrid/>
      <w:spacing w:after="120" w:line="240" w:lineRule="auto"/>
      <w:ind w:left="420" w:leftChars="200"/>
    </w:pPr>
    <w:rPr>
      <w:rFonts w:ascii="Times New Roman" w:cs="Times New Roman"/>
      <w:sz w:val="21"/>
      <w:szCs w:val="24"/>
    </w:rPr>
  </w:style>
  <w:style w:type="paragraph" w:styleId="36">
    <w:name w:val="Block Text"/>
    <w:basedOn w:val="1"/>
    <w:qFormat/>
    <w:uiPriority w:val="0"/>
    <w:pPr>
      <w:adjustRightInd w:val="0"/>
      <w:spacing w:line="500" w:lineRule="atLeast"/>
      <w:ind w:left="630" w:leftChars="300" w:right="227" w:rightChars="108" w:firstLine="420" w:firstLineChars="200"/>
    </w:pPr>
    <w:rPr>
      <w:rFonts w:ascii="Times New Roman" w:cs="Times New Roman"/>
      <w:sz w:val="21"/>
      <w:szCs w:val="24"/>
    </w:rPr>
  </w:style>
  <w:style w:type="paragraph" w:styleId="37">
    <w:name w:val="List Bullet 2"/>
    <w:basedOn w:val="1"/>
    <w:qFormat/>
    <w:uiPriority w:val="0"/>
    <w:pPr>
      <w:tabs>
        <w:tab w:val="left" w:pos="780"/>
      </w:tabs>
      <w:snapToGrid/>
      <w:spacing w:line="240" w:lineRule="auto"/>
      <w:ind w:left="780" w:leftChars="200" w:hanging="227"/>
    </w:pPr>
    <w:rPr>
      <w:rFonts w:ascii="Times New Roman" w:cs="Times New Roman"/>
      <w:sz w:val="24"/>
      <w:szCs w:val="24"/>
    </w:rPr>
  </w:style>
  <w:style w:type="paragraph" w:styleId="38">
    <w:name w:val="HTML Address"/>
    <w:basedOn w:val="1"/>
    <w:link w:val="338"/>
    <w:qFormat/>
    <w:uiPriority w:val="0"/>
    <w:pPr>
      <w:snapToGrid/>
      <w:spacing w:line="240" w:lineRule="auto"/>
    </w:pPr>
    <w:rPr>
      <w:rFonts w:asciiTheme="minorHAnsi" w:hAnsiTheme="minorHAnsi" w:cstheme="minorBidi"/>
      <w:i/>
      <w:iCs/>
      <w:sz w:val="24"/>
      <w:szCs w:val="24"/>
    </w:rPr>
  </w:style>
  <w:style w:type="paragraph" w:styleId="39">
    <w:name w:val="toc 5"/>
    <w:basedOn w:val="1"/>
    <w:next w:val="1"/>
    <w:qFormat/>
    <w:uiPriority w:val="39"/>
    <w:pPr>
      <w:snapToGrid/>
      <w:spacing w:line="240" w:lineRule="auto"/>
      <w:ind w:left="840"/>
      <w:jc w:val="left"/>
    </w:pPr>
    <w:rPr>
      <w:rFonts w:ascii="Times New Roman" w:cs="Times New Roman"/>
      <w:sz w:val="21"/>
      <w:szCs w:val="21"/>
    </w:rPr>
  </w:style>
  <w:style w:type="paragraph" w:styleId="40">
    <w:name w:val="toc 3"/>
    <w:basedOn w:val="1"/>
    <w:next w:val="1"/>
    <w:qFormat/>
    <w:uiPriority w:val="39"/>
    <w:pPr>
      <w:spacing w:line="240" w:lineRule="auto"/>
      <w:ind w:left="560"/>
      <w:jc w:val="left"/>
    </w:pPr>
    <w:rPr>
      <w:rFonts w:ascii="Times New Roman"/>
      <w:iCs/>
      <w:sz w:val="20"/>
    </w:rPr>
  </w:style>
  <w:style w:type="paragraph" w:styleId="41">
    <w:name w:val="Plain Text"/>
    <w:basedOn w:val="1"/>
    <w:next w:val="1"/>
    <w:link w:val="289"/>
    <w:qFormat/>
    <w:uiPriority w:val="0"/>
    <w:pPr>
      <w:snapToGrid/>
      <w:spacing w:line="240" w:lineRule="auto"/>
    </w:pPr>
    <w:rPr>
      <w:rFonts w:hAnsi="Courier New" w:cs="Times New Roman"/>
      <w:sz w:val="21"/>
      <w:szCs w:val="21"/>
    </w:rPr>
  </w:style>
  <w:style w:type="paragraph" w:styleId="42">
    <w:name w:val="List Bullet 5"/>
    <w:basedOn w:val="1"/>
    <w:qFormat/>
    <w:uiPriority w:val="0"/>
    <w:pPr>
      <w:tabs>
        <w:tab w:val="left" w:pos="2040"/>
      </w:tabs>
      <w:snapToGrid/>
      <w:spacing w:line="240" w:lineRule="auto"/>
      <w:ind w:left="800" w:leftChars="800" w:hanging="360"/>
    </w:pPr>
    <w:rPr>
      <w:rFonts w:ascii="Times New Roman" w:cs="Times New Roman"/>
      <w:sz w:val="21"/>
      <w:szCs w:val="24"/>
    </w:rPr>
  </w:style>
  <w:style w:type="paragraph" w:styleId="43">
    <w:name w:val="List Number 4"/>
    <w:basedOn w:val="1"/>
    <w:qFormat/>
    <w:uiPriority w:val="0"/>
    <w:pPr>
      <w:tabs>
        <w:tab w:val="left" w:pos="1280"/>
        <w:tab w:val="left" w:pos="1620"/>
      </w:tabs>
      <w:snapToGrid/>
      <w:spacing w:line="240" w:lineRule="auto"/>
      <w:ind w:left="1620" w:leftChars="600" w:hanging="720"/>
    </w:pPr>
    <w:rPr>
      <w:rFonts w:ascii="Times New Roman" w:cs="Times New Roman"/>
      <w:sz w:val="24"/>
      <w:szCs w:val="24"/>
    </w:rPr>
  </w:style>
  <w:style w:type="paragraph" w:styleId="44">
    <w:name w:val="toc 8"/>
    <w:basedOn w:val="1"/>
    <w:next w:val="1"/>
    <w:qFormat/>
    <w:uiPriority w:val="39"/>
    <w:pPr>
      <w:snapToGrid/>
      <w:spacing w:line="240" w:lineRule="auto"/>
      <w:ind w:left="1470"/>
      <w:jc w:val="left"/>
    </w:pPr>
    <w:rPr>
      <w:rFonts w:ascii="Times New Roman" w:cs="Times New Roman"/>
      <w:sz w:val="21"/>
      <w:szCs w:val="21"/>
    </w:rPr>
  </w:style>
  <w:style w:type="paragraph" w:styleId="45">
    <w:name w:val="index 3"/>
    <w:basedOn w:val="1"/>
    <w:next w:val="1"/>
    <w:semiHidden/>
    <w:qFormat/>
    <w:uiPriority w:val="0"/>
    <w:pPr>
      <w:tabs>
        <w:tab w:val="left" w:pos="420"/>
      </w:tabs>
      <w:overflowPunct w:val="0"/>
      <w:ind w:left="420" w:hanging="420"/>
    </w:pPr>
    <w:rPr>
      <w:rFonts w:ascii="Arial" w:hAnsi="Arial" w:cs="Times New Roman"/>
    </w:rPr>
  </w:style>
  <w:style w:type="paragraph" w:styleId="46">
    <w:name w:val="Date"/>
    <w:basedOn w:val="1"/>
    <w:next w:val="1"/>
    <w:link w:val="215"/>
    <w:qFormat/>
    <w:uiPriority w:val="0"/>
    <w:pPr>
      <w:snapToGrid/>
      <w:spacing w:line="240" w:lineRule="auto"/>
    </w:pPr>
    <w:rPr>
      <w:rFonts w:hAnsiTheme="minorHAnsi" w:cstheme="minorBidi"/>
      <w:sz w:val="24"/>
      <w:szCs w:val="21"/>
    </w:rPr>
  </w:style>
  <w:style w:type="paragraph" w:styleId="47">
    <w:name w:val="Body Text Indent 2"/>
    <w:basedOn w:val="1"/>
    <w:link w:val="243"/>
    <w:qFormat/>
    <w:uiPriority w:val="0"/>
    <w:pPr>
      <w:snapToGrid/>
      <w:ind w:firstLine="630" w:firstLineChars="225"/>
    </w:pPr>
    <w:rPr>
      <w:rFonts w:hAnsi="宋体" w:cstheme="minorBidi"/>
      <w:szCs w:val="24"/>
    </w:rPr>
  </w:style>
  <w:style w:type="paragraph" w:styleId="48">
    <w:name w:val="endnote text"/>
    <w:basedOn w:val="1"/>
    <w:link w:val="796"/>
    <w:unhideWhenUsed/>
    <w:qFormat/>
    <w:uiPriority w:val="99"/>
    <w:pPr>
      <w:spacing w:line="240" w:lineRule="auto"/>
      <w:jc w:val="left"/>
    </w:pPr>
    <w:rPr>
      <w:rFonts w:ascii="Arial" w:hAnsi="Arial" w:cs="Times New Roman"/>
      <w:sz w:val="13"/>
      <w:szCs w:val="24"/>
    </w:rPr>
  </w:style>
  <w:style w:type="paragraph" w:styleId="49">
    <w:name w:val="List Continue 5"/>
    <w:basedOn w:val="1"/>
    <w:qFormat/>
    <w:uiPriority w:val="0"/>
    <w:pPr>
      <w:snapToGrid/>
      <w:spacing w:after="120" w:line="240" w:lineRule="auto"/>
      <w:ind w:left="2100" w:leftChars="1000"/>
    </w:pPr>
    <w:rPr>
      <w:rFonts w:ascii="Times New Roman" w:cs="Times New Roman"/>
      <w:sz w:val="24"/>
      <w:szCs w:val="24"/>
    </w:rPr>
  </w:style>
  <w:style w:type="paragraph" w:styleId="50">
    <w:name w:val="Balloon Text"/>
    <w:basedOn w:val="1"/>
    <w:link w:val="164"/>
    <w:qFormat/>
    <w:uiPriority w:val="99"/>
    <w:rPr>
      <w:sz w:val="18"/>
      <w:szCs w:val="18"/>
    </w:rPr>
  </w:style>
  <w:style w:type="paragraph" w:styleId="51">
    <w:name w:val="footer"/>
    <w:basedOn w:val="1"/>
    <w:link w:val="136"/>
    <w:qFormat/>
    <w:uiPriority w:val="0"/>
    <w:pPr>
      <w:pBdr>
        <w:top w:val="single" w:color="auto" w:sz="4" w:space="1"/>
      </w:pBdr>
      <w:tabs>
        <w:tab w:val="center" w:leader="underscore" w:pos="4153"/>
        <w:tab w:val="right" w:leader="middleDot" w:pos="8306"/>
      </w:tabs>
      <w:jc w:val="center"/>
    </w:pPr>
    <w:rPr>
      <w:sz w:val="18"/>
      <w:szCs w:val="18"/>
    </w:rPr>
  </w:style>
  <w:style w:type="paragraph" w:styleId="52">
    <w:name w:val="envelope return"/>
    <w:basedOn w:val="1"/>
    <w:qFormat/>
    <w:uiPriority w:val="0"/>
    <w:pPr>
      <w:spacing w:line="240" w:lineRule="auto"/>
    </w:pPr>
    <w:rPr>
      <w:rFonts w:ascii="Arial" w:hAnsi="Arial" w:cs="Arial"/>
      <w:sz w:val="24"/>
      <w:szCs w:val="24"/>
    </w:rPr>
  </w:style>
  <w:style w:type="paragraph" w:styleId="53">
    <w:name w:val="header"/>
    <w:basedOn w:val="1"/>
    <w:link w:val="137"/>
    <w:qFormat/>
    <w:uiPriority w:val="0"/>
    <w:pPr>
      <w:pBdr>
        <w:bottom w:val="single" w:color="auto" w:sz="6" w:space="1"/>
      </w:pBdr>
      <w:tabs>
        <w:tab w:val="center" w:pos="4153"/>
        <w:tab w:val="right" w:pos="8306"/>
      </w:tabs>
      <w:spacing w:line="240" w:lineRule="auto"/>
      <w:jc w:val="center"/>
    </w:pPr>
    <w:rPr>
      <w:sz w:val="18"/>
      <w:szCs w:val="18"/>
    </w:rPr>
  </w:style>
  <w:style w:type="paragraph" w:styleId="54">
    <w:name w:val="Signature"/>
    <w:basedOn w:val="1"/>
    <w:link w:val="357"/>
    <w:qFormat/>
    <w:uiPriority w:val="0"/>
    <w:pPr>
      <w:snapToGrid/>
      <w:spacing w:line="240" w:lineRule="auto"/>
      <w:ind w:left="100" w:leftChars="2100"/>
    </w:pPr>
    <w:rPr>
      <w:rFonts w:asciiTheme="minorHAnsi" w:hAnsiTheme="minorHAnsi" w:cstheme="minorBidi"/>
      <w:sz w:val="21"/>
      <w:szCs w:val="24"/>
    </w:rPr>
  </w:style>
  <w:style w:type="paragraph" w:styleId="55">
    <w:name w:val="toc 1"/>
    <w:basedOn w:val="1"/>
    <w:next w:val="1"/>
    <w:qFormat/>
    <w:uiPriority w:val="39"/>
    <w:pPr>
      <w:jc w:val="left"/>
    </w:pPr>
    <w:rPr>
      <w:rFonts w:ascii="Times New Roman"/>
      <w:b/>
      <w:bCs/>
      <w:caps/>
      <w:sz w:val="20"/>
    </w:rPr>
  </w:style>
  <w:style w:type="paragraph" w:styleId="56">
    <w:name w:val="List Continue 4"/>
    <w:basedOn w:val="1"/>
    <w:qFormat/>
    <w:uiPriority w:val="0"/>
    <w:pPr>
      <w:snapToGrid/>
      <w:spacing w:after="120" w:line="240" w:lineRule="auto"/>
      <w:ind w:left="1680" w:leftChars="800"/>
    </w:pPr>
    <w:rPr>
      <w:rFonts w:ascii="Times New Roman" w:cs="Times New Roman"/>
      <w:sz w:val="24"/>
      <w:szCs w:val="24"/>
    </w:rPr>
  </w:style>
  <w:style w:type="paragraph" w:styleId="57">
    <w:name w:val="toc 4"/>
    <w:basedOn w:val="1"/>
    <w:next w:val="1"/>
    <w:qFormat/>
    <w:uiPriority w:val="39"/>
    <w:pPr>
      <w:snapToGrid/>
      <w:spacing w:line="240" w:lineRule="auto"/>
      <w:ind w:left="630"/>
      <w:jc w:val="left"/>
    </w:pPr>
    <w:rPr>
      <w:rFonts w:ascii="Times New Roman" w:cs="Times New Roman"/>
      <w:sz w:val="21"/>
      <w:szCs w:val="21"/>
    </w:rPr>
  </w:style>
  <w:style w:type="paragraph" w:styleId="58">
    <w:name w:val="index heading"/>
    <w:basedOn w:val="1"/>
    <w:next w:val="59"/>
    <w:link w:val="281"/>
    <w:qFormat/>
    <w:uiPriority w:val="0"/>
    <w:pPr>
      <w:snapToGrid/>
      <w:spacing w:line="240" w:lineRule="auto"/>
    </w:pPr>
    <w:rPr>
      <w:rFonts w:asciiTheme="minorHAnsi" w:hAnsiTheme="minorHAnsi" w:cstheme="minorBidi"/>
      <w:sz w:val="21"/>
      <w:szCs w:val="24"/>
    </w:rPr>
  </w:style>
  <w:style w:type="paragraph" w:styleId="59">
    <w:name w:val="index 1"/>
    <w:basedOn w:val="1"/>
    <w:next w:val="1"/>
    <w:unhideWhenUsed/>
    <w:qFormat/>
    <w:uiPriority w:val="0"/>
  </w:style>
  <w:style w:type="paragraph" w:styleId="60">
    <w:name w:val="Subtitle"/>
    <w:basedOn w:val="1"/>
    <w:link w:val="209"/>
    <w:qFormat/>
    <w:uiPriority w:val="0"/>
    <w:pPr>
      <w:tabs>
        <w:tab w:val="left" w:pos="2040"/>
      </w:tabs>
      <w:snapToGrid/>
      <w:spacing w:before="240" w:after="60" w:line="312" w:lineRule="auto"/>
      <w:jc w:val="center"/>
      <w:outlineLvl w:val="1"/>
    </w:pPr>
    <w:rPr>
      <w:rFonts w:ascii="Arial" w:hAnsi="Arial" w:cs="Arial"/>
      <w:b/>
      <w:bCs/>
      <w:kern w:val="28"/>
      <w:sz w:val="32"/>
      <w:szCs w:val="32"/>
    </w:rPr>
  </w:style>
  <w:style w:type="paragraph" w:styleId="61">
    <w:name w:val="List Number 5"/>
    <w:basedOn w:val="1"/>
    <w:qFormat/>
    <w:uiPriority w:val="0"/>
    <w:pPr>
      <w:tabs>
        <w:tab w:val="left" w:pos="2040"/>
      </w:tabs>
      <w:snapToGrid/>
      <w:spacing w:line="240" w:lineRule="auto"/>
      <w:ind w:left="800" w:leftChars="800" w:hanging="360"/>
    </w:pPr>
    <w:rPr>
      <w:rFonts w:ascii="Times New Roman" w:cs="Times New Roman"/>
      <w:sz w:val="21"/>
      <w:szCs w:val="24"/>
    </w:rPr>
  </w:style>
  <w:style w:type="paragraph" w:styleId="62">
    <w:name w:val="List"/>
    <w:basedOn w:val="1"/>
    <w:qFormat/>
    <w:uiPriority w:val="0"/>
    <w:pPr>
      <w:snapToGrid/>
      <w:spacing w:line="240" w:lineRule="auto"/>
      <w:ind w:left="200" w:hanging="200" w:hangingChars="200"/>
    </w:pPr>
    <w:rPr>
      <w:rFonts w:ascii="Times New Roman" w:cs="Times New Roman"/>
      <w:sz w:val="24"/>
      <w:szCs w:val="24"/>
    </w:rPr>
  </w:style>
  <w:style w:type="paragraph" w:styleId="63">
    <w:name w:val="footnote text"/>
    <w:basedOn w:val="1"/>
    <w:link w:val="797"/>
    <w:semiHidden/>
    <w:unhideWhenUsed/>
    <w:qFormat/>
    <w:uiPriority w:val="99"/>
    <w:pPr>
      <w:spacing w:line="240" w:lineRule="auto"/>
      <w:jc w:val="left"/>
    </w:pPr>
    <w:rPr>
      <w:rFonts w:ascii="Arial" w:hAnsi="Arial" w:cs="Times New Roman"/>
      <w:sz w:val="18"/>
      <w:szCs w:val="18"/>
    </w:rPr>
  </w:style>
  <w:style w:type="paragraph" w:styleId="64">
    <w:name w:val="toc 6"/>
    <w:basedOn w:val="1"/>
    <w:next w:val="1"/>
    <w:qFormat/>
    <w:uiPriority w:val="39"/>
    <w:pPr>
      <w:snapToGrid/>
      <w:spacing w:line="240" w:lineRule="auto"/>
      <w:ind w:left="1050"/>
      <w:jc w:val="left"/>
    </w:pPr>
    <w:rPr>
      <w:rFonts w:ascii="Times New Roman" w:cs="Times New Roman"/>
      <w:sz w:val="21"/>
      <w:szCs w:val="21"/>
    </w:rPr>
  </w:style>
  <w:style w:type="paragraph" w:styleId="65">
    <w:name w:val="List 5"/>
    <w:basedOn w:val="1"/>
    <w:qFormat/>
    <w:uiPriority w:val="0"/>
    <w:pPr>
      <w:snapToGrid/>
      <w:spacing w:line="240" w:lineRule="auto"/>
      <w:ind w:left="100" w:leftChars="800" w:hanging="200" w:hangingChars="200"/>
    </w:pPr>
    <w:rPr>
      <w:rFonts w:ascii="Times New Roman" w:cs="Times New Roman"/>
      <w:sz w:val="24"/>
      <w:szCs w:val="24"/>
    </w:rPr>
  </w:style>
  <w:style w:type="paragraph" w:styleId="66">
    <w:name w:val="Body Text Indent 3"/>
    <w:basedOn w:val="1"/>
    <w:link w:val="334"/>
    <w:qFormat/>
    <w:uiPriority w:val="0"/>
    <w:pPr>
      <w:snapToGrid/>
      <w:spacing w:line="500" w:lineRule="exact"/>
      <w:ind w:firstLine="480" w:firstLineChars="200"/>
    </w:pPr>
    <w:rPr>
      <w:rFonts w:hAnsiTheme="minorHAnsi" w:cstheme="minorBidi"/>
      <w:sz w:val="24"/>
      <w:szCs w:val="24"/>
    </w:rPr>
  </w:style>
  <w:style w:type="paragraph" w:styleId="67">
    <w:name w:val="table of figures"/>
    <w:basedOn w:val="1"/>
    <w:next w:val="1"/>
    <w:semiHidden/>
    <w:qFormat/>
    <w:uiPriority w:val="0"/>
    <w:pPr>
      <w:snapToGrid/>
      <w:spacing w:line="240" w:lineRule="auto"/>
      <w:ind w:left="840" w:leftChars="200" w:hanging="420" w:hangingChars="200"/>
    </w:pPr>
    <w:rPr>
      <w:rFonts w:ascii="Times New Roman" w:cs="Times New Roman"/>
      <w:sz w:val="21"/>
      <w:szCs w:val="24"/>
    </w:rPr>
  </w:style>
  <w:style w:type="paragraph" w:styleId="68">
    <w:name w:val="toc 2"/>
    <w:basedOn w:val="1"/>
    <w:next w:val="1"/>
    <w:qFormat/>
    <w:uiPriority w:val="39"/>
    <w:pPr>
      <w:spacing w:line="240" w:lineRule="auto"/>
      <w:ind w:left="280"/>
      <w:jc w:val="left"/>
    </w:pPr>
    <w:rPr>
      <w:rFonts w:ascii="Times New Roman"/>
      <w:smallCaps/>
      <w:sz w:val="20"/>
    </w:rPr>
  </w:style>
  <w:style w:type="paragraph" w:styleId="69">
    <w:name w:val="toc 9"/>
    <w:basedOn w:val="1"/>
    <w:next w:val="1"/>
    <w:qFormat/>
    <w:uiPriority w:val="39"/>
    <w:pPr>
      <w:snapToGrid/>
      <w:spacing w:line="240" w:lineRule="auto"/>
      <w:ind w:left="1680"/>
      <w:jc w:val="left"/>
    </w:pPr>
    <w:rPr>
      <w:rFonts w:ascii="Times New Roman" w:cs="Times New Roman"/>
      <w:sz w:val="21"/>
      <w:szCs w:val="21"/>
    </w:rPr>
  </w:style>
  <w:style w:type="paragraph" w:styleId="70">
    <w:name w:val="Body Text 2"/>
    <w:basedOn w:val="1"/>
    <w:link w:val="332"/>
    <w:qFormat/>
    <w:uiPriority w:val="99"/>
    <w:pPr>
      <w:snapToGrid/>
      <w:spacing w:after="120" w:line="480" w:lineRule="auto"/>
    </w:pPr>
    <w:rPr>
      <w:rFonts w:asciiTheme="minorHAnsi" w:hAnsiTheme="minorHAnsi" w:cstheme="minorBidi"/>
      <w:sz w:val="21"/>
      <w:szCs w:val="24"/>
    </w:rPr>
  </w:style>
  <w:style w:type="paragraph" w:styleId="71">
    <w:name w:val="List 4"/>
    <w:basedOn w:val="1"/>
    <w:qFormat/>
    <w:uiPriority w:val="0"/>
    <w:pPr>
      <w:snapToGrid/>
      <w:spacing w:line="240" w:lineRule="auto"/>
      <w:ind w:left="100" w:leftChars="600" w:hanging="200" w:hangingChars="200"/>
    </w:pPr>
    <w:rPr>
      <w:rFonts w:ascii="Times New Roman" w:cs="Times New Roman"/>
      <w:sz w:val="24"/>
      <w:szCs w:val="24"/>
    </w:rPr>
  </w:style>
  <w:style w:type="paragraph" w:styleId="72">
    <w:name w:val="List Continue 2"/>
    <w:basedOn w:val="1"/>
    <w:qFormat/>
    <w:uiPriority w:val="0"/>
    <w:pPr>
      <w:snapToGrid/>
      <w:spacing w:after="120" w:line="240" w:lineRule="auto"/>
      <w:ind w:left="840" w:leftChars="400"/>
    </w:pPr>
    <w:rPr>
      <w:rFonts w:ascii="Times New Roman" w:cs="Times New Roman"/>
      <w:sz w:val="21"/>
      <w:szCs w:val="24"/>
    </w:rPr>
  </w:style>
  <w:style w:type="paragraph" w:styleId="73">
    <w:name w:val="Message Header"/>
    <w:basedOn w:val="1"/>
    <w:link w:val="368"/>
    <w:qFormat/>
    <w:uiPriority w:val="0"/>
    <w:pPr>
      <w:pBdr>
        <w:top w:val="single" w:color="auto" w:sz="6" w:space="1"/>
        <w:left w:val="single" w:color="auto" w:sz="6" w:space="1"/>
        <w:bottom w:val="single" w:color="auto" w:sz="6" w:space="1"/>
        <w:right w:val="single" w:color="auto" w:sz="6" w:space="1"/>
      </w:pBdr>
      <w:shd w:val="pct20" w:color="auto" w:fill="auto"/>
      <w:snapToGrid/>
      <w:spacing w:line="240" w:lineRule="auto"/>
      <w:ind w:left="1080" w:leftChars="500" w:hanging="1080" w:hangingChars="500"/>
    </w:pPr>
    <w:rPr>
      <w:rFonts w:ascii="Arial" w:hAnsi="Arial" w:cs="Arial"/>
      <w:sz w:val="24"/>
      <w:szCs w:val="24"/>
    </w:rPr>
  </w:style>
  <w:style w:type="paragraph" w:styleId="74">
    <w:name w:val="HTML Preformatted"/>
    <w:basedOn w:val="1"/>
    <w:link w:val="341"/>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line="240" w:lineRule="auto"/>
      <w:jc w:val="left"/>
    </w:pPr>
    <w:rPr>
      <w:rFonts w:ascii="Arial" w:hAnsi="Arial" w:cs="Arial"/>
      <w:sz w:val="24"/>
      <w:szCs w:val="24"/>
    </w:rPr>
  </w:style>
  <w:style w:type="paragraph" w:styleId="75">
    <w:name w:val="Normal (Web)"/>
    <w:basedOn w:val="1"/>
    <w:link w:val="383"/>
    <w:qFormat/>
    <w:uiPriority w:val="99"/>
    <w:pPr>
      <w:widowControl/>
      <w:snapToGrid/>
      <w:spacing w:line="240" w:lineRule="auto"/>
      <w:jc w:val="left"/>
    </w:pPr>
    <w:rPr>
      <w:rFonts w:ascii="仿宋_GB2312" w:hAnsi="宋体" w:eastAsia="仿宋_GB2312" w:cstheme="minorBidi"/>
      <w:color w:val="000000"/>
      <w:szCs w:val="28"/>
    </w:rPr>
  </w:style>
  <w:style w:type="paragraph" w:styleId="76">
    <w:name w:val="List Continue 3"/>
    <w:basedOn w:val="1"/>
    <w:qFormat/>
    <w:uiPriority w:val="0"/>
    <w:pPr>
      <w:snapToGrid/>
      <w:spacing w:after="120" w:line="240" w:lineRule="auto"/>
      <w:ind w:left="1260" w:leftChars="600"/>
    </w:pPr>
    <w:rPr>
      <w:rFonts w:ascii="Times New Roman" w:cs="Times New Roman"/>
      <w:sz w:val="24"/>
      <w:szCs w:val="24"/>
    </w:rPr>
  </w:style>
  <w:style w:type="paragraph" w:styleId="77">
    <w:name w:val="Title"/>
    <w:basedOn w:val="1"/>
    <w:link w:val="267"/>
    <w:qFormat/>
    <w:uiPriority w:val="0"/>
    <w:pPr>
      <w:snapToGrid/>
      <w:spacing w:before="240" w:after="60" w:line="240" w:lineRule="auto"/>
      <w:jc w:val="center"/>
      <w:outlineLvl w:val="0"/>
    </w:pPr>
    <w:rPr>
      <w:rFonts w:hAnsi="Courier New" w:cs="Courier New"/>
      <w:sz w:val="21"/>
      <w:szCs w:val="21"/>
    </w:rPr>
  </w:style>
  <w:style w:type="paragraph" w:styleId="78">
    <w:name w:val="annotation subject"/>
    <w:basedOn w:val="25"/>
    <w:next w:val="25"/>
    <w:link w:val="408"/>
    <w:qFormat/>
    <w:uiPriority w:val="99"/>
    <w:pPr>
      <w:spacing w:line="360" w:lineRule="auto"/>
    </w:pPr>
    <w:rPr>
      <w:rFonts w:ascii="宋体"/>
      <w:b/>
      <w:bCs/>
      <w:sz w:val="28"/>
      <w:szCs w:val="28"/>
    </w:rPr>
  </w:style>
  <w:style w:type="paragraph" w:styleId="79">
    <w:name w:val="Body Text First Indent"/>
    <w:basedOn w:val="1"/>
    <w:link w:val="222"/>
    <w:qFormat/>
    <w:uiPriority w:val="0"/>
    <w:pPr>
      <w:ind w:firstLine="420" w:firstLineChars="100"/>
    </w:pPr>
  </w:style>
  <w:style w:type="table" w:styleId="81">
    <w:name w:val="Table Grid"/>
    <w:basedOn w:val="80"/>
    <w:qFormat/>
    <w:uiPriority w:val="9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82">
    <w:name w:val="Table Theme"/>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3">
    <w:name w:val="Table Colorful 1"/>
    <w:basedOn w:val="80"/>
    <w:unhideWhenUsed/>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84">
    <w:name w:val="Table Colorful 2"/>
    <w:basedOn w:val="80"/>
    <w:unhideWhenUsed/>
    <w:qFormat/>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85">
    <w:name w:val="Table Classic 1"/>
    <w:basedOn w:val="80"/>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86">
    <w:name w:val="Table Grid 5"/>
    <w:basedOn w:val="80"/>
    <w:qFormat/>
    <w:uiPriority w:val="0"/>
    <w:pPr>
      <w:widowControl w:val="0"/>
      <w:jc w:val="center"/>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rPr>
      <w:cantSplit/>
    </w:trPr>
    <w:tcPr>
      <w:shd w:val="clear" w:color="auto" w:fill="auto"/>
      <w:vAlign w:val="center"/>
    </w:tcPr>
    <w:tblStylePr w:type="firstRow">
      <w:pPr>
        <w:keepNext/>
        <w:wordWrap/>
      </w:pPr>
      <w:rPr>
        <w:rFonts w:ascii="Cambria" w:hAnsi="Cambria" w:eastAsia="宋体"/>
        <w:b/>
        <w:i w:val="0"/>
        <w:caps w:val="0"/>
        <w:smallCaps w:val="0"/>
        <w:strike w:val="0"/>
        <w:dstrike w:val="0"/>
        <w:vanish w:val="0"/>
        <w:sz w:val="21"/>
        <w:vertAlign w:val="baseline"/>
      </w:rPr>
      <w:tblPr/>
      <w:trPr>
        <w:tblHeader/>
      </w:trPr>
      <w:tcPr>
        <w:tcBorders>
          <w:bottom w:val="single" w:color="000000" w:sz="12" w:space="0"/>
        </w:tcBorders>
      </w:tcPr>
    </w:tblStylePr>
    <w:tblStylePr w:type="lastRow">
      <w:rPr>
        <w:rFonts w:eastAsia="宋体"/>
        <w:b w:val="0"/>
        <w:bCs/>
        <w:sz w:val="21"/>
      </w:rPr>
      <w:tblPr/>
      <w:tcPr>
        <w:tcBorders>
          <w:tl2br w:val="nil"/>
          <w:tr2bl w:val="nil"/>
        </w:tcBorders>
      </w:tcPr>
    </w:tblStylePr>
    <w:tblStylePr w:type="firstCol">
      <w:rPr>
        <w:rFonts w:eastAsia="宋体"/>
        <w:sz w:val="21"/>
      </w:rPr>
    </w:tblStylePr>
    <w:tblStylePr w:type="lastCol">
      <w:rPr>
        <w:rFonts w:eastAsia="宋体"/>
        <w:b/>
        <w:bCs/>
        <w:sz w:val="21"/>
      </w:rPr>
      <w:tblPr/>
      <w:tcPr>
        <w:tcBorders>
          <w:tl2br w:val="nil"/>
          <w:tr2bl w:val="nil"/>
        </w:tcBorders>
      </w:tcPr>
    </w:tblStylePr>
    <w:tblStylePr w:type="nwCell">
      <w:pPr>
        <w:wordWrap/>
        <w:jc w:val="center"/>
      </w:pPr>
      <w:rPr>
        <w:rFonts w:eastAsia="宋体"/>
        <w:sz w:val="21"/>
      </w:rPr>
      <w:tblPr/>
      <w:tcPr>
        <w:tcBorders>
          <w:tl2br w:val="single" w:color="000000" w:sz="6" w:space="0"/>
        </w:tcBorders>
      </w:tcPr>
    </w:tblStylePr>
  </w:style>
  <w:style w:type="table" w:styleId="87">
    <w:name w:val="Table Professional"/>
    <w:basedOn w:val="80"/>
    <w:qFormat/>
    <w:uiPriority w:val="0"/>
    <w:pPr>
      <w:widowControl w:val="0"/>
      <w:snapToGrid w:val="0"/>
      <w:spacing w:line="360" w:lineRule="auto"/>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88">
    <w:name w:val="Light Shading Accent 5"/>
    <w:basedOn w:val="80"/>
    <w:qFormat/>
    <w:uiPriority w:val="60"/>
    <w:rPr>
      <w:color w:val="31859C" w:themeColor="accent5" w:themeShade="BF"/>
    </w:rPr>
    <w:tblPr>
      <w:tblBorders>
        <w:top w:val="single" w:color="4BACC6" w:themeColor="accent5" w:sz="8" w:space="0"/>
        <w:bottom w:val="single" w:color="4BACC6" w:themeColor="accent5" w:sz="8" w:space="0"/>
      </w:tblBorders>
    </w:tblPr>
    <w:tblStylePr w:type="firstRow">
      <w:pPr>
        <w:spacing w:beforeLines="0" w:beforeAutospacing="0" w:afterLines="0" w:afterAutospacing="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Lines="0" w:beforeAutospacing="0" w:afterLines="0" w:afterAutospacing="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89">
    <w:name w:val="Light Grid Accent 5"/>
    <w:basedOn w:val="80"/>
    <w:qFormat/>
    <w:uiPriority w:val="62"/>
    <w:pPr>
      <w:jc w:val="center"/>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vAlign w:val="center"/>
    </w:tcPr>
    <w:tblStylePr w:type="firstRow">
      <w:pPr>
        <w:spacing w:before="0" w:after="0" w:line="240" w:lineRule="auto"/>
        <w:jc w:val="center"/>
      </w:pPr>
      <w:rPr>
        <w:rFonts w:asciiTheme="majorHAnsi" w:hAnsiTheme="majorHAnsi" w:eastAsiaTheme="majorEastAsia" w:cstheme="majorBidi"/>
        <w:b/>
        <w:bCs/>
      </w:rPr>
      <w:tblPr/>
      <w:trPr>
        <w:cantSplit/>
        <w:tblHeader/>
      </w:tr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90">
    <w:name w:val="Medium Grid 1 Accent 1"/>
    <w:basedOn w:val="80"/>
    <w:qFormat/>
    <w:uiPriority w:val="67"/>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vAlign w:val="center"/>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character" w:styleId="92">
    <w:name w:val="Strong"/>
    <w:basedOn w:val="91"/>
    <w:qFormat/>
    <w:uiPriority w:val="22"/>
    <w:rPr>
      <w:b/>
      <w:bCs/>
    </w:rPr>
  </w:style>
  <w:style w:type="character" w:styleId="93">
    <w:name w:val="endnote reference"/>
    <w:basedOn w:val="91"/>
    <w:unhideWhenUsed/>
    <w:qFormat/>
    <w:uiPriority w:val="99"/>
    <w:rPr>
      <w:vertAlign w:val="superscript"/>
    </w:rPr>
  </w:style>
  <w:style w:type="character" w:styleId="94">
    <w:name w:val="page number"/>
    <w:basedOn w:val="91"/>
    <w:qFormat/>
    <w:uiPriority w:val="0"/>
  </w:style>
  <w:style w:type="character" w:styleId="95">
    <w:name w:val="FollowedHyperlink"/>
    <w:qFormat/>
    <w:uiPriority w:val="99"/>
    <w:rPr>
      <w:color w:val="800080"/>
      <w:u w:val="single"/>
    </w:rPr>
  </w:style>
  <w:style w:type="character" w:styleId="96">
    <w:name w:val="Emphasis"/>
    <w:basedOn w:val="91"/>
    <w:qFormat/>
    <w:uiPriority w:val="0"/>
    <w:rPr>
      <w:color w:val="CC0000"/>
    </w:rPr>
  </w:style>
  <w:style w:type="character" w:styleId="97">
    <w:name w:val="HTML Definition"/>
    <w:qFormat/>
    <w:uiPriority w:val="0"/>
    <w:rPr>
      <w:i/>
      <w:iCs/>
    </w:rPr>
  </w:style>
  <w:style w:type="character" w:styleId="98">
    <w:name w:val="HTML Acronym"/>
    <w:basedOn w:val="91"/>
    <w:qFormat/>
    <w:uiPriority w:val="0"/>
  </w:style>
  <w:style w:type="character" w:styleId="99">
    <w:name w:val="HTML Variable"/>
    <w:qFormat/>
    <w:uiPriority w:val="0"/>
  </w:style>
  <w:style w:type="character" w:styleId="100">
    <w:name w:val="Hyperlink"/>
    <w:basedOn w:val="91"/>
    <w:qFormat/>
    <w:uiPriority w:val="99"/>
    <w:rPr>
      <w:color w:val="0000FF"/>
      <w:u w:val="single"/>
    </w:rPr>
  </w:style>
  <w:style w:type="character" w:styleId="101">
    <w:name w:val="HTML Code"/>
    <w:qFormat/>
    <w:uiPriority w:val="0"/>
    <w:rPr>
      <w:rFonts w:ascii="Courier New" w:hAnsi="Courier New"/>
      <w:sz w:val="20"/>
    </w:rPr>
  </w:style>
  <w:style w:type="character" w:styleId="102">
    <w:name w:val="annotation reference"/>
    <w:qFormat/>
    <w:uiPriority w:val="0"/>
    <w:rPr>
      <w:sz w:val="21"/>
      <w:szCs w:val="21"/>
    </w:rPr>
  </w:style>
  <w:style w:type="character" w:styleId="103">
    <w:name w:val="HTML Cite"/>
    <w:qFormat/>
    <w:uiPriority w:val="0"/>
  </w:style>
  <w:style w:type="character" w:styleId="104">
    <w:name w:val="footnote reference"/>
    <w:basedOn w:val="91"/>
    <w:semiHidden/>
    <w:unhideWhenUsed/>
    <w:qFormat/>
    <w:uiPriority w:val="99"/>
    <w:rPr>
      <w:vertAlign w:val="superscript"/>
    </w:rPr>
  </w:style>
  <w:style w:type="paragraph" w:customStyle="1" w:styleId="105">
    <w:name w:val="样式 正文首行缩进 + 首行缩进:  1 字符"/>
    <w:basedOn w:val="1"/>
    <w:next w:val="1"/>
    <w:link w:val="1707"/>
    <w:qFormat/>
    <w:uiPriority w:val="99"/>
    <w:pPr>
      <w:tabs>
        <w:tab w:val="left" w:pos="5327"/>
        <w:tab w:val="left" w:pos="6326"/>
        <w:tab w:val="left" w:pos="7230"/>
        <w:tab w:val="left" w:pos="9301"/>
      </w:tabs>
      <w:snapToGrid/>
      <w:ind w:firstLine="560" w:firstLineChars="200"/>
      <w:jc w:val="left"/>
    </w:pPr>
    <w:rPr>
      <w:rFonts w:hAnsiTheme="minorHAnsi" w:eastAsiaTheme="minorEastAsia"/>
      <w:kern w:val="10"/>
      <w:szCs w:val="28"/>
    </w:rPr>
  </w:style>
  <w:style w:type="paragraph" w:customStyle="1" w:styleId="106">
    <w:name w:val="Default"/>
    <w:basedOn w:val="1"/>
    <w:qFormat/>
    <w:uiPriority w:val="99"/>
    <w:pPr>
      <w:autoSpaceDE w:val="0"/>
      <w:autoSpaceDN w:val="0"/>
      <w:adjustRightInd w:val="0"/>
      <w:snapToGrid/>
      <w:spacing w:line="240" w:lineRule="auto"/>
      <w:jc w:val="left"/>
    </w:pPr>
    <w:rPr>
      <w:color w:val="000000"/>
      <w:sz w:val="24"/>
      <w:szCs w:val="24"/>
    </w:rPr>
  </w:style>
  <w:style w:type="paragraph" w:customStyle="1" w:styleId="107">
    <w:name w:val="样式 标题 1 + 四号 段前: 0 磅 段后: 0 磅 行距: 1.5 倍行距"/>
    <w:basedOn w:val="108"/>
    <w:next w:val="110"/>
    <w:qFormat/>
    <w:uiPriority w:val="0"/>
    <w:pPr>
      <w:tabs>
        <w:tab w:val="left" w:pos="360"/>
      </w:tabs>
      <w:spacing w:line="360" w:lineRule="auto"/>
      <w:ind w:left="2296"/>
    </w:pPr>
    <w:rPr>
      <w:sz w:val="32"/>
    </w:rPr>
  </w:style>
  <w:style w:type="paragraph" w:customStyle="1" w:styleId="108">
    <w:name w:val="报告表正文"/>
    <w:basedOn w:val="1"/>
    <w:next w:val="109"/>
    <w:qFormat/>
    <w:uiPriority w:val="0"/>
    <w:pPr>
      <w:adjustRightInd w:val="0"/>
      <w:snapToGrid/>
      <w:spacing w:line="312" w:lineRule="auto"/>
      <w:ind w:left="113" w:right="113" w:firstLine="482"/>
      <w:jc w:val="left"/>
      <w:textAlignment w:val="baseline"/>
    </w:pPr>
    <w:rPr>
      <w:rFonts w:ascii="Times New Roman" w:cs="Times New Roman"/>
      <w:sz w:val="24"/>
      <w:szCs w:val="21"/>
    </w:rPr>
  </w:style>
  <w:style w:type="paragraph" w:customStyle="1" w:styleId="109">
    <w:name w:val="报告表正文（首行缩进）"/>
    <w:basedOn w:val="108"/>
    <w:qFormat/>
    <w:uiPriority w:val="0"/>
    <w:pPr>
      <w:wordWrap w:val="0"/>
      <w:ind w:firstLine="562" w:firstLineChars="200"/>
    </w:pPr>
  </w:style>
  <w:style w:type="paragraph" w:customStyle="1" w:styleId="110">
    <w:name w:val="文本正文"/>
    <w:basedOn w:val="1"/>
    <w:qFormat/>
    <w:uiPriority w:val="0"/>
    <w:pPr>
      <w:adjustRightInd w:val="0"/>
      <w:ind w:firstLine="200" w:firstLineChars="200"/>
    </w:pPr>
    <w:rPr>
      <w:rFonts w:ascii="Calibri" w:hAnsi="Calibri" w:cs="Times New Roman"/>
    </w:rPr>
  </w:style>
  <w:style w:type="character" w:customStyle="1" w:styleId="111">
    <w:name w:val="标题 1 字符"/>
    <w:basedOn w:val="91"/>
    <w:link w:val="3"/>
    <w:qFormat/>
    <w:uiPriority w:val="99"/>
    <w:rPr>
      <w:rFonts w:ascii="宋体" w:hAnsi="Times New Roman" w:eastAsia="黑体" w:cs="宋体"/>
      <w:b/>
      <w:bCs/>
      <w:kern w:val="44"/>
      <w:sz w:val="32"/>
      <w:szCs w:val="44"/>
    </w:rPr>
  </w:style>
  <w:style w:type="character" w:customStyle="1" w:styleId="112">
    <w:name w:val="标题 2 字符"/>
    <w:basedOn w:val="91"/>
    <w:link w:val="4"/>
    <w:qFormat/>
    <w:uiPriority w:val="9"/>
    <w:rPr>
      <w:rFonts w:ascii="楷体" w:hAnsi="楷体" w:eastAsia="楷体"/>
      <w:bCs/>
      <w:color w:val="000000" w:themeColor="text1"/>
      <w:sz w:val="32"/>
      <w:szCs w:val="32"/>
      <w14:textFill>
        <w14:solidFill>
          <w14:schemeClr w14:val="tx1"/>
        </w14:solidFill>
      </w14:textFill>
    </w:rPr>
  </w:style>
  <w:style w:type="character" w:customStyle="1" w:styleId="113">
    <w:name w:val="标题 3 字符"/>
    <w:basedOn w:val="91"/>
    <w:link w:val="5"/>
    <w:qFormat/>
    <w:uiPriority w:val="9"/>
    <w:rPr>
      <w:rFonts w:ascii="宋体" w:eastAsia="黑体"/>
      <w:b/>
      <w:bCs/>
      <w:sz w:val="28"/>
    </w:rPr>
  </w:style>
  <w:style w:type="character" w:customStyle="1" w:styleId="114">
    <w:name w:val="标题 4 字符"/>
    <w:basedOn w:val="91"/>
    <w:link w:val="6"/>
    <w:qFormat/>
    <w:uiPriority w:val="9"/>
    <w:rPr>
      <w:rFonts w:ascii="宋体" w:eastAsia="黑体" w:cs="宋体"/>
      <w:b/>
      <w:bCs/>
      <w:sz w:val="28"/>
    </w:rPr>
  </w:style>
  <w:style w:type="character" w:customStyle="1" w:styleId="115">
    <w:name w:val="标题 5 字符"/>
    <w:basedOn w:val="91"/>
    <w:link w:val="7"/>
    <w:qFormat/>
    <w:uiPriority w:val="0"/>
    <w:rPr>
      <w:rFonts w:ascii="宋体" w:eastAsia="黑体" w:cs="宋体"/>
      <w:b/>
      <w:bCs/>
      <w:sz w:val="28"/>
    </w:rPr>
  </w:style>
  <w:style w:type="character" w:customStyle="1" w:styleId="116">
    <w:name w:val="标题 6 字符"/>
    <w:basedOn w:val="91"/>
    <w:link w:val="8"/>
    <w:qFormat/>
    <w:uiPriority w:val="0"/>
    <w:rPr>
      <w:rFonts w:ascii="Arial" w:hAnsi="Arial" w:eastAsia="黑体" w:cs="Times New Roman"/>
      <w:b/>
      <w:sz w:val="24"/>
      <w:szCs w:val="20"/>
    </w:rPr>
  </w:style>
  <w:style w:type="paragraph" w:customStyle="1" w:styleId="117">
    <w:name w:val="表头"/>
    <w:basedOn w:val="1"/>
    <w:next w:val="1"/>
    <w:link w:val="307"/>
    <w:qFormat/>
    <w:uiPriority w:val="0"/>
    <w:pPr>
      <w:jc w:val="center"/>
    </w:pPr>
    <w:rPr>
      <w:rFonts w:cs="Times New Roman"/>
      <w:b/>
    </w:rPr>
  </w:style>
  <w:style w:type="paragraph" w:customStyle="1" w:styleId="118">
    <w:name w:val="表头红2"/>
    <w:basedOn w:val="1"/>
    <w:qFormat/>
    <w:uiPriority w:val="0"/>
    <w:pPr>
      <w:widowControl/>
      <w:spacing w:after="100" w:afterAutospacing="1"/>
      <w:jc w:val="center"/>
      <w:textAlignment w:val="center"/>
    </w:pPr>
    <w:rPr>
      <w:rFonts w:eastAsia="黑体"/>
      <w:b/>
      <w:sz w:val="32"/>
    </w:rPr>
  </w:style>
  <w:style w:type="paragraph" w:customStyle="1" w:styleId="119">
    <w:name w:val="封面1"/>
    <w:basedOn w:val="1"/>
    <w:qFormat/>
    <w:uiPriority w:val="0"/>
    <w:pPr>
      <w:jc w:val="center"/>
    </w:pPr>
    <w:rPr>
      <w:rFonts w:hAnsi="宋体"/>
      <w:b/>
      <w:bCs/>
      <w:kern w:val="3"/>
      <w:sz w:val="44"/>
      <w:szCs w:val="48"/>
    </w:rPr>
  </w:style>
  <w:style w:type="paragraph" w:customStyle="1" w:styleId="120">
    <w:name w:val="封面2"/>
    <w:basedOn w:val="1"/>
    <w:qFormat/>
    <w:uiPriority w:val="0"/>
    <w:pPr>
      <w:jc w:val="center"/>
    </w:pPr>
    <w:rPr>
      <w:rFonts w:hAnsi="宋体" w:eastAsia="黑体"/>
      <w:b/>
      <w:bCs/>
      <w:kern w:val="3"/>
      <w:sz w:val="52"/>
      <w:szCs w:val="84"/>
    </w:rPr>
  </w:style>
  <w:style w:type="paragraph" w:customStyle="1" w:styleId="121">
    <w:name w:val="封面3"/>
    <w:basedOn w:val="1"/>
    <w:qFormat/>
    <w:uiPriority w:val="0"/>
    <w:pPr>
      <w:jc w:val="center"/>
    </w:pPr>
    <w:rPr>
      <w:b/>
      <w:sz w:val="32"/>
      <w:szCs w:val="32"/>
    </w:rPr>
  </w:style>
  <w:style w:type="paragraph" w:customStyle="1" w:styleId="122">
    <w:name w:val="首行缩进"/>
    <w:basedOn w:val="1"/>
    <w:link w:val="171"/>
    <w:qFormat/>
    <w:uiPriority w:val="0"/>
    <w:pPr>
      <w:ind w:firstLine="561"/>
    </w:pPr>
  </w:style>
  <w:style w:type="paragraph" w:customStyle="1" w:styleId="123">
    <w:name w:val="首行缩进6"/>
    <w:basedOn w:val="1"/>
    <w:qFormat/>
    <w:uiPriority w:val="0"/>
    <w:pPr>
      <w:ind w:firstLine="1644"/>
    </w:pPr>
  </w:style>
  <w:style w:type="paragraph" w:customStyle="1" w:styleId="124">
    <w:name w:val="首行缩进加粗"/>
    <w:basedOn w:val="1"/>
    <w:link w:val="170"/>
    <w:qFormat/>
    <w:uiPriority w:val="0"/>
    <w:pPr>
      <w:ind w:firstLine="561"/>
    </w:pPr>
    <w:rPr>
      <w:rFonts w:eastAsia="黑体"/>
      <w:b/>
      <w:bCs/>
    </w:rPr>
  </w:style>
  <w:style w:type="paragraph" w:customStyle="1" w:styleId="125">
    <w:name w:val="填表5"/>
    <w:basedOn w:val="1"/>
    <w:next w:val="1"/>
    <w:link w:val="279"/>
    <w:qFormat/>
    <w:uiPriority w:val="0"/>
    <w:pPr>
      <w:snapToGrid/>
      <w:jc w:val="left"/>
    </w:pPr>
    <w:rPr>
      <w:rFonts w:cs="Times New Roman"/>
      <w:sz w:val="21"/>
    </w:rPr>
  </w:style>
  <w:style w:type="paragraph" w:customStyle="1" w:styleId="126">
    <w:name w:val="填表5单倍行距"/>
    <w:basedOn w:val="1"/>
    <w:qFormat/>
    <w:uiPriority w:val="0"/>
    <w:pPr>
      <w:snapToGrid/>
      <w:spacing w:line="240" w:lineRule="auto"/>
    </w:pPr>
    <w:rPr>
      <w:sz w:val="21"/>
    </w:rPr>
  </w:style>
  <w:style w:type="paragraph" w:customStyle="1" w:styleId="127">
    <w:name w:val="填表5单倍行距加粗"/>
    <w:basedOn w:val="126"/>
    <w:qFormat/>
    <w:uiPriority w:val="0"/>
    <w:rPr>
      <w:b/>
      <w:bCs/>
    </w:rPr>
  </w:style>
  <w:style w:type="paragraph" w:customStyle="1" w:styleId="128">
    <w:name w:val="填表5单倍行距缩小"/>
    <w:basedOn w:val="125"/>
    <w:qFormat/>
    <w:uiPriority w:val="0"/>
    <w:pPr>
      <w:snapToGrid w:val="0"/>
      <w:spacing w:line="240" w:lineRule="auto"/>
    </w:pPr>
  </w:style>
  <w:style w:type="paragraph" w:customStyle="1" w:styleId="129">
    <w:name w:val="填表5单倍行距缩小加粗"/>
    <w:basedOn w:val="128"/>
    <w:qFormat/>
    <w:uiPriority w:val="0"/>
    <w:rPr>
      <w:b/>
      <w:bCs/>
    </w:rPr>
  </w:style>
  <w:style w:type="paragraph" w:customStyle="1" w:styleId="130">
    <w:name w:val="填表5中"/>
    <w:basedOn w:val="1"/>
    <w:next w:val="1"/>
    <w:link w:val="200"/>
    <w:qFormat/>
    <w:uiPriority w:val="0"/>
    <w:pPr>
      <w:snapToGrid/>
      <w:jc w:val="center"/>
    </w:pPr>
    <w:rPr>
      <w:rFonts w:cs="Times New Roman"/>
      <w:sz w:val="21"/>
    </w:rPr>
  </w:style>
  <w:style w:type="paragraph" w:customStyle="1" w:styleId="131">
    <w:name w:val="填表5中单倍行距"/>
    <w:basedOn w:val="130"/>
    <w:qFormat/>
    <w:uiPriority w:val="0"/>
    <w:pPr>
      <w:spacing w:line="240" w:lineRule="auto"/>
    </w:pPr>
  </w:style>
  <w:style w:type="paragraph" w:customStyle="1" w:styleId="132">
    <w:name w:val="填表5中单倍行距缩小"/>
    <w:basedOn w:val="130"/>
    <w:qFormat/>
    <w:uiPriority w:val="0"/>
    <w:pPr>
      <w:snapToGrid w:val="0"/>
      <w:spacing w:line="240" w:lineRule="auto"/>
    </w:pPr>
  </w:style>
  <w:style w:type="paragraph" w:customStyle="1" w:styleId="133">
    <w:name w:val="填表5中加粗"/>
    <w:basedOn w:val="130"/>
    <w:next w:val="130"/>
    <w:qFormat/>
    <w:uiPriority w:val="0"/>
    <w:pPr>
      <w:spacing w:line="240" w:lineRule="auto"/>
    </w:pPr>
    <w:rPr>
      <w:b/>
      <w:bCs/>
    </w:rPr>
  </w:style>
  <w:style w:type="paragraph" w:customStyle="1" w:styleId="134">
    <w:name w:val="填表5中加粗缩小"/>
    <w:basedOn w:val="133"/>
    <w:qFormat/>
    <w:uiPriority w:val="0"/>
    <w:pPr>
      <w:snapToGrid w:val="0"/>
    </w:pPr>
  </w:style>
  <w:style w:type="character" w:customStyle="1" w:styleId="135">
    <w:name w:val="文档结构图 字符"/>
    <w:basedOn w:val="91"/>
    <w:link w:val="24"/>
    <w:qFormat/>
    <w:uiPriority w:val="99"/>
    <w:rPr>
      <w:rFonts w:ascii="宋体" w:hAnsi="Times New Roman" w:eastAsia="宋体" w:cs="宋体"/>
      <w:sz w:val="18"/>
      <w:szCs w:val="18"/>
    </w:rPr>
  </w:style>
  <w:style w:type="character" w:customStyle="1" w:styleId="136">
    <w:name w:val="页脚 字符"/>
    <w:basedOn w:val="91"/>
    <w:link w:val="51"/>
    <w:qFormat/>
    <w:uiPriority w:val="0"/>
    <w:rPr>
      <w:rFonts w:ascii="宋体" w:hAnsi="Times New Roman" w:eastAsia="宋体" w:cs="宋体"/>
      <w:sz w:val="18"/>
      <w:szCs w:val="18"/>
    </w:rPr>
  </w:style>
  <w:style w:type="character" w:customStyle="1" w:styleId="137">
    <w:name w:val="页眉 字符1"/>
    <w:basedOn w:val="91"/>
    <w:link w:val="53"/>
    <w:qFormat/>
    <w:uiPriority w:val="0"/>
    <w:rPr>
      <w:rFonts w:ascii="宋体" w:hAnsi="Times New Roman" w:eastAsia="宋体" w:cs="宋体"/>
      <w:sz w:val="18"/>
      <w:szCs w:val="18"/>
    </w:rPr>
  </w:style>
  <w:style w:type="paragraph" w:customStyle="1" w:styleId="138">
    <w:name w:val="正文加粗"/>
    <w:basedOn w:val="1"/>
    <w:link w:val="345"/>
    <w:qFormat/>
    <w:uiPriority w:val="0"/>
    <w:rPr>
      <w:rFonts w:eastAsia="黑体"/>
      <w:b/>
    </w:rPr>
  </w:style>
  <w:style w:type="paragraph" w:customStyle="1" w:styleId="139">
    <w:name w:val="正文居中"/>
    <w:basedOn w:val="1"/>
    <w:link w:val="286"/>
    <w:qFormat/>
    <w:uiPriority w:val="0"/>
    <w:pPr>
      <w:jc w:val="center"/>
    </w:pPr>
  </w:style>
  <w:style w:type="paragraph" w:customStyle="1" w:styleId="140">
    <w:name w:val="正文居中加粗"/>
    <w:basedOn w:val="139"/>
    <w:qFormat/>
    <w:uiPriority w:val="0"/>
    <w:rPr>
      <w:rFonts w:cs="Times New Roman"/>
      <w:b/>
      <w:bCs/>
    </w:rPr>
  </w:style>
  <w:style w:type="paragraph" w:customStyle="1" w:styleId="141">
    <w:name w:val="填表5中行距2倍"/>
    <w:basedOn w:val="130"/>
    <w:qFormat/>
    <w:uiPriority w:val="0"/>
    <w:pPr>
      <w:spacing w:line="480" w:lineRule="auto"/>
    </w:pPr>
  </w:style>
  <w:style w:type="paragraph" w:customStyle="1" w:styleId="142">
    <w:name w:val="附件标题"/>
    <w:basedOn w:val="1"/>
    <w:next w:val="139"/>
    <w:link w:val="396"/>
    <w:qFormat/>
    <w:uiPriority w:val="0"/>
    <w:pPr>
      <w:snapToGrid/>
      <w:jc w:val="right"/>
      <w:outlineLvl w:val="0"/>
    </w:pPr>
    <w:rPr>
      <w:rFonts w:cs="Times New Roman"/>
      <w:b/>
      <w:sz w:val="32"/>
      <w:szCs w:val="28"/>
    </w:rPr>
  </w:style>
  <w:style w:type="paragraph" w:customStyle="1" w:styleId="143">
    <w:name w:val="标题01"/>
    <w:basedOn w:val="1"/>
    <w:next w:val="1"/>
    <w:qFormat/>
    <w:uiPriority w:val="0"/>
    <w:pPr>
      <w:snapToGrid/>
      <w:spacing w:line="240" w:lineRule="auto"/>
      <w:jc w:val="center"/>
      <w:outlineLvl w:val="0"/>
    </w:pPr>
    <w:rPr>
      <w:rFonts w:eastAsia="黑体" w:cs="Times New Roman"/>
      <w:b/>
      <w:sz w:val="32"/>
      <w:szCs w:val="24"/>
    </w:rPr>
  </w:style>
  <w:style w:type="paragraph" w:customStyle="1" w:styleId="144">
    <w:name w:val="标题02"/>
    <w:basedOn w:val="1"/>
    <w:next w:val="1"/>
    <w:qFormat/>
    <w:uiPriority w:val="0"/>
    <w:pPr>
      <w:snapToGrid/>
      <w:spacing w:line="240" w:lineRule="auto"/>
      <w:jc w:val="center"/>
      <w:outlineLvl w:val="1"/>
    </w:pPr>
    <w:rPr>
      <w:rFonts w:eastAsia="楷体" w:cs="Times New Roman"/>
      <w:b/>
      <w:sz w:val="32"/>
      <w:szCs w:val="24"/>
    </w:rPr>
  </w:style>
  <w:style w:type="paragraph" w:customStyle="1" w:styleId="145">
    <w:name w:val="标题03"/>
    <w:basedOn w:val="1"/>
    <w:next w:val="1"/>
    <w:qFormat/>
    <w:uiPriority w:val="0"/>
    <w:pPr>
      <w:snapToGrid/>
      <w:spacing w:line="240" w:lineRule="auto"/>
      <w:jc w:val="left"/>
      <w:outlineLvl w:val="2"/>
    </w:pPr>
    <w:rPr>
      <w:rFonts w:eastAsia="楷体" w:cs="Times New Roman"/>
      <w:b/>
      <w:szCs w:val="24"/>
    </w:rPr>
  </w:style>
  <w:style w:type="paragraph" w:customStyle="1" w:styleId="146">
    <w:name w:val="标题04"/>
    <w:basedOn w:val="1"/>
    <w:next w:val="1"/>
    <w:qFormat/>
    <w:uiPriority w:val="0"/>
    <w:pPr>
      <w:snapToGrid/>
      <w:spacing w:line="240" w:lineRule="auto"/>
      <w:jc w:val="left"/>
      <w:outlineLvl w:val="3"/>
    </w:pPr>
    <w:rPr>
      <w:rFonts w:cs="Times New Roman"/>
      <w:b/>
      <w:szCs w:val="24"/>
    </w:rPr>
  </w:style>
  <w:style w:type="paragraph" w:customStyle="1" w:styleId="147">
    <w:name w:val="标题05"/>
    <w:basedOn w:val="1"/>
    <w:next w:val="1"/>
    <w:qFormat/>
    <w:uiPriority w:val="0"/>
    <w:pPr>
      <w:snapToGrid/>
      <w:spacing w:line="240" w:lineRule="auto"/>
      <w:jc w:val="left"/>
      <w:outlineLvl w:val="4"/>
    </w:pPr>
    <w:rPr>
      <w:rFonts w:cs="Times New Roman"/>
      <w:b/>
      <w:szCs w:val="24"/>
    </w:rPr>
  </w:style>
  <w:style w:type="paragraph" w:customStyle="1" w:styleId="148">
    <w:name w:val="仿宋表头"/>
    <w:basedOn w:val="1"/>
    <w:next w:val="1"/>
    <w:qFormat/>
    <w:uiPriority w:val="0"/>
    <w:pPr>
      <w:snapToGrid/>
      <w:spacing w:line="480" w:lineRule="auto"/>
      <w:jc w:val="center"/>
    </w:pPr>
    <w:rPr>
      <w:rFonts w:eastAsia="仿宋" w:cs="Times New Roman"/>
      <w:b/>
      <w:szCs w:val="24"/>
    </w:rPr>
  </w:style>
  <w:style w:type="paragraph" w:customStyle="1" w:styleId="149">
    <w:name w:val="仿宋居中"/>
    <w:basedOn w:val="1"/>
    <w:next w:val="1"/>
    <w:link w:val="217"/>
    <w:qFormat/>
    <w:uiPriority w:val="0"/>
    <w:pPr>
      <w:snapToGrid/>
      <w:spacing w:line="240" w:lineRule="auto"/>
      <w:jc w:val="center"/>
    </w:pPr>
    <w:rPr>
      <w:rFonts w:ascii="仿宋" w:eastAsia="仿宋" w:cs="Times New Roman"/>
      <w:sz w:val="32"/>
      <w:szCs w:val="24"/>
    </w:rPr>
  </w:style>
  <w:style w:type="paragraph" w:customStyle="1" w:styleId="150">
    <w:name w:val="仿宋居中宋体"/>
    <w:basedOn w:val="149"/>
    <w:link w:val="232"/>
    <w:qFormat/>
    <w:uiPriority w:val="0"/>
    <w:rPr>
      <w:rFonts w:hAnsi="宋体" w:eastAsia="宋体"/>
      <w:szCs w:val="32"/>
    </w:rPr>
  </w:style>
  <w:style w:type="paragraph" w:customStyle="1" w:styleId="151">
    <w:name w:val="仿宋落款"/>
    <w:basedOn w:val="1"/>
    <w:qFormat/>
    <w:uiPriority w:val="0"/>
    <w:pPr>
      <w:snapToGrid/>
      <w:spacing w:line="240" w:lineRule="auto"/>
      <w:jc w:val="right"/>
    </w:pPr>
    <w:rPr>
      <w:rFonts w:ascii="仿宋_GB2312" w:eastAsia="仿宋" w:cs="Times New Roman"/>
      <w:sz w:val="32"/>
      <w:szCs w:val="24"/>
    </w:rPr>
  </w:style>
  <w:style w:type="paragraph" w:customStyle="1" w:styleId="152">
    <w:name w:val="仿宋四号"/>
    <w:basedOn w:val="1"/>
    <w:link w:val="317"/>
    <w:qFormat/>
    <w:uiPriority w:val="0"/>
    <w:pPr>
      <w:adjustRightInd w:val="0"/>
      <w:snapToGrid/>
      <w:spacing w:line="240" w:lineRule="auto"/>
      <w:ind w:firstLine="482"/>
    </w:pPr>
    <w:rPr>
      <w:rFonts w:eastAsia="仿宋" w:cs="Times New Roman"/>
      <w:snapToGrid w:val="0"/>
      <w:szCs w:val="24"/>
    </w:rPr>
  </w:style>
  <w:style w:type="paragraph" w:customStyle="1" w:styleId="153">
    <w:name w:val="仿宋项目"/>
    <w:basedOn w:val="1"/>
    <w:qFormat/>
    <w:uiPriority w:val="0"/>
    <w:pPr>
      <w:numPr>
        <w:ilvl w:val="1"/>
        <w:numId w:val="3"/>
      </w:numPr>
      <w:adjustRightInd w:val="0"/>
      <w:snapToGrid/>
      <w:spacing w:line="240" w:lineRule="auto"/>
    </w:pPr>
    <w:rPr>
      <w:rFonts w:eastAsia="仿宋" w:cs="Times New Roman"/>
      <w:snapToGrid w:val="0"/>
      <w:szCs w:val="24"/>
    </w:rPr>
  </w:style>
  <w:style w:type="paragraph" w:customStyle="1" w:styleId="154">
    <w:name w:val="仿宋正文"/>
    <w:basedOn w:val="1"/>
    <w:qFormat/>
    <w:uiPriority w:val="0"/>
    <w:pPr>
      <w:adjustRightInd w:val="0"/>
      <w:snapToGrid/>
      <w:spacing w:line="240" w:lineRule="auto"/>
    </w:pPr>
    <w:rPr>
      <w:rFonts w:ascii="仿宋" w:eastAsia="仿宋" w:cs="Times New Roman"/>
      <w:snapToGrid w:val="0"/>
      <w:sz w:val="32"/>
      <w:szCs w:val="21"/>
    </w:rPr>
  </w:style>
  <w:style w:type="paragraph" w:customStyle="1" w:styleId="155">
    <w:name w:val="仿宋正文缩进2"/>
    <w:basedOn w:val="1"/>
    <w:qFormat/>
    <w:uiPriority w:val="0"/>
    <w:pPr>
      <w:snapToGrid/>
      <w:spacing w:line="240" w:lineRule="auto"/>
      <w:ind w:firstLine="561"/>
    </w:pPr>
    <w:rPr>
      <w:rFonts w:ascii="仿宋" w:eastAsia="仿宋" w:cs="Times New Roman"/>
      <w:sz w:val="32"/>
      <w:szCs w:val="21"/>
    </w:rPr>
  </w:style>
  <w:style w:type="paragraph" w:customStyle="1" w:styleId="156">
    <w:name w:val="仿宋正文缩进6"/>
    <w:basedOn w:val="1"/>
    <w:qFormat/>
    <w:uiPriority w:val="0"/>
    <w:pPr>
      <w:adjustRightInd w:val="0"/>
      <w:snapToGrid/>
      <w:spacing w:line="240" w:lineRule="auto"/>
      <w:ind w:firstLine="1920" w:firstLineChars="600"/>
    </w:pPr>
    <w:rPr>
      <w:rFonts w:ascii="仿宋" w:eastAsia="仿宋" w:cs="Times New Roman"/>
      <w:snapToGrid w:val="0"/>
      <w:sz w:val="32"/>
      <w:szCs w:val="21"/>
    </w:rPr>
  </w:style>
  <w:style w:type="paragraph" w:customStyle="1" w:styleId="157">
    <w:name w:val="仿宋正文缩进4"/>
    <w:basedOn w:val="156"/>
    <w:qFormat/>
    <w:uiPriority w:val="0"/>
    <w:pPr>
      <w:ind w:firstLine="1280" w:firstLineChars="400"/>
    </w:pPr>
  </w:style>
  <w:style w:type="paragraph" w:customStyle="1" w:styleId="158">
    <w:name w:val="填表4小单倍行距"/>
    <w:basedOn w:val="1"/>
    <w:link w:val="276"/>
    <w:qFormat/>
    <w:uiPriority w:val="0"/>
    <w:pPr>
      <w:snapToGrid/>
      <w:spacing w:line="240" w:lineRule="auto"/>
    </w:pPr>
    <w:rPr>
      <w:rFonts w:cs="Times New Roman"/>
      <w:sz w:val="24"/>
      <w:szCs w:val="24"/>
    </w:rPr>
  </w:style>
  <w:style w:type="paragraph" w:customStyle="1" w:styleId="159">
    <w:name w:val="填表4小1.5倍行距"/>
    <w:basedOn w:val="158"/>
    <w:qFormat/>
    <w:uiPriority w:val="0"/>
    <w:pPr>
      <w:spacing w:line="360" w:lineRule="auto"/>
    </w:pPr>
  </w:style>
  <w:style w:type="paragraph" w:customStyle="1" w:styleId="160">
    <w:name w:val="填表4小中"/>
    <w:basedOn w:val="1"/>
    <w:next w:val="1"/>
    <w:link w:val="192"/>
    <w:qFormat/>
    <w:uiPriority w:val="0"/>
    <w:pPr>
      <w:snapToGrid/>
      <w:spacing w:line="240" w:lineRule="auto"/>
      <w:jc w:val="center"/>
    </w:pPr>
    <w:rPr>
      <w:rFonts w:cs="Times New Roman"/>
      <w:sz w:val="24"/>
      <w:szCs w:val="24"/>
    </w:rPr>
  </w:style>
  <w:style w:type="paragraph" w:customStyle="1" w:styleId="161">
    <w:name w:val="填表4小中1.5 倍行距"/>
    <w:basedOn w:val="160"/>
    <w:qFormat/>
    <w:uiPriority w:val="0"/>
    <w:pPr>
      <w:spacing w:line="360" w:lineRule="auto"/>
    </w:pPr>
  </w:style>
  <w:style w:type="paragraph" w:customStyle="1" w:styleId="162">
    <w:name w:val="填表4小中2倍行距"/>
    <w:basedOn w:val="1"/>
    <w:link w:val="269"/>
    <w:qFormat/>
    <w:uiPriority w:val="0"/>
    <w:pPr>
      <w:snapToGrid/>
      <w:spacing w:line="480" w:lineRule="auto"/>
      <w:jc w:val="center"/>
    </w:pPr>
    <w:rPr>
      <w:rFonts w:cs="Times New Roman"/>
      <w:sz w:val="24"/>
      <w:szCs w:val="24"/>
    </w:rPr>
  </w:style>
  <w:style w:type="paragraph" w:customStyle="1" w:styleId="163">
    <w:name w:val="落款"/>
    <w:basedOn w:val="1"/>
    <w:qFormat/>
    <w:uiPriority w:val="0"/>
    <w:pPr>
      <w:widowControl/>
      <w:snapToGrid/>
      <w:spacing w:line="240" w:lineRule="auto"/>
      <w:jc w:val="right"/>
    </w:pPr>
    <w:rPr>
      <w:rFonts w:hAnsi="宋体" w:cs="Times New Roman"/>
      <w:szCs w:val="24"/>
    </w:rPr>
  </w:style>
  <w:style w:type="character" w:customStyle="1" w:styleId="164">
    <w:name w:val="批注框文本 字符"/>
    <w:basedOn w:val="91"/>
    <w:link w:val="50"/>
    <w:qFormat/>
    <w:uiPriority w:val="99"/>
    <w:rPr>
      <w:rFonts w:ascii="宋体" w:hAnsi="Times New Roman" w:eastAsia="宋体" w:cs="宋体"/>
      <w:sz w:val="18"/>
      <w:szCs w:val="18"/>
    </w:rPr>
  </w:style>
  <w:style w:type="paragraph" w:customStyle="1" w:styleId="165">
    <w:name w:val="前言"/>
    <w:basedOn w:val="1"/>
    <w:next w:val="1"/>
    <w:qFormat/>
    <w:uiPriority w:val="0"/>
    <w:pPr>
      <w:spacing w:beforeLines="100"/>
      <w:jc w:val="center"/>
    </w:pPr>
    <w:rPr>
      <w:b/>
      <w:sz w:val="36"/>
    </w:rPr>
  </w:style>
  <w:style w:type="paragraph" w:customStyle="1" w:styleId="166">
    <w:name w:val="填表5中1.5倍行距"/>
    <w:basedOn w:val="1"/>
    <w:link w:val="245"/>
    <w:qFormat/>
    <w:uiPriority w:val="0"/>
    <w:pPr>
      <w:snapToGrid/>
      <w:spacing w:line="240" w:lineRule="auto"/>
      <w:jc w:val="center"/>
    </w:pPr>
    <w:rPr>
      <w:sz w:val="21"/>
    </w:rPr>
  </w:style>
  <w:style w:type="paragraph" w:customStyle="1" w:styleId="167">
    <w:name w:val="填表5中2倍行距"/>
    <w:basedOn w:val="130"/>
    <w:qFormat/>
    <w:uiPriority w:val="0"/>
    <w:pPr>
      <w:spacing w:line="480" w:lineRule="auto"/>
    </w:pPr>
    <w:rPr>
      <w:rFonts w:cs="宋体"/>
    </w:rPr>
  </w:style>
  <w:style w:type="paragraph" w:customStyle="1" w:styleId="168">
    <w:name w:val="著录项标题"/>
    <w:basedOn w:val="1"/>
    <w:qFormat/>
    <w:uiPriority w:val="0"/>
    <w:pPr>
      <w:widowControl/>
      <w:spacing w:before="100" w:beforeAutospacing="1" w:after="100" w:afterAutospacing="1"/>
      <w:jc w:val="center"/>
    </w:pPr>
    <w:rPr>
      <w:rFonts w:hAnsi="宋体"/>
      <w:b/>
      <w:bCs/>
      <w:sz w:val="32"/>
      <w:szCs w:val="32"/>
    </w:rPr>
  </w:style>
  <w:style w:type="paragraph" w:styleId="169">
    <w:name w:val="List Paragraph"/>
    <w:basedOn w:val="1"/>
    <w:qFormat/>
    <w:uiPriority w:val="0"/>
    <w:pPr>
      <w:ind w:firstLine="420" w:firstLineChars="200"/>
    </w:pPr>
  </w:style>
  <w:style w:type="character" w:customStyle="1" w:styleId="170">
    <w:name w:val="首行缩进加粗 Char"/>
    <w:link w:val="124"/>
    <w:qFormat/>
    <w:uiPriority w:val="0"/>
    <w:rPr>
      <w:rFonts w:ascii="宋体" w:hAnsi="Times New Roman" w:eastAsia="黑体" w:cs="宋体"/>
      <w:b/>
      <w:bCs/>
      <w:sz w:val="28"/>
      <w:szCs w:val="20"/>
    </w:rPr>
  </w:style>
  <w:style w:type="character" w:customStyle="1" w:styleId="171">
    <w:name w:val="首行缩进 Char"/>
    <w:link w:val="122"/>
    <w:qFormat/>
    <w:uiPriority w:val="0"/>
    <w:rPr>
      <w:rFonts w:ascii="宋体" w:hAnsi="Times New Roman" w:eastAsia="宋体" w:cs="宋体"/>
      <w:kern w:val="0"/>
      <w:sz w:val="28"/>
      <w:szCs w:val="20"/>
    </w:rPr>
  </w:style>
  <w:style w:type="character" w:customStyle="1" w:styleId="172">
    <w:name w:val="引用 字符"/>
    <w:link w:val="173"/>
    <w:qFormat/>
    <w:uiPriority w:val="29"/>
    <w:rPr>
      <w:rFonts w:ascii="宋体" w:hAnsi="Calibri" w:eastAsia="宋体" w:cs="宋体"/>
      <w:i/>
      <w:color w:val="000000"/>
      <w:sz w:val="28"/>
      <w:szCs w:val="28"/>
      <w:lang w:bidi="en-US"/>
    </w:rPr>
  </w:style>
  <w:style w:type="paragraph" w:styleId="173">
    <w:name w:val="Quote"/>
    <w:basedOn w:val="1"/>
    <w:next w:val="1"/>
    <w:link w:val="172"/>
    <w:qFormat/>
    <w:uiPriority w:val="29"/>
    <w:pPr>
      <w:widowControl/>
      <w:autoSpaceDE w:val="0"/>
      <w:autoSpaceDN w:val="0"/>
      <w:adjustRightInd w:val="0"/>
      <w:snapToGrid/>
      <w:spacing w:line="480" w:lineRule="atLeast"/>
      <w:ind w:firstLine="560" w:firstLineChars="200"/>
      <w:jc w:val="left"/>
    </w:pPr>
    <w:rPr>
      <w:rFonts w:hAnsi="Calibri"/>
      <w:i/>
      <w:color w:val="000000"/>
      <w:szCs w:val="28"/>
      <w:lang w:bidi="en-US"/>
    </w:rPr>
  </w:style>
  <w:style w:type="character" w:customStyle="1" w:styleId="174">
    <w:name w:val="引用 Char1"/>
    <w:basedOn w:val="91"/>
    <w:qFormat/>
    <w:uiPriority w:val="29"/>
    <w:rPr>
      <w:rFonts w:ascii="宋体" w:hAnsi="Times New Roman" w:eastAsia="宋体" w:cs="宋体"/>
      <w:i/>
      <w:iCs/>
      <w:color w:val="000000" w:themeColor="text1"/>
      <w:sz w:val="28"/>
      <w:szCs w:val="20"/>
      <w14:textFill>
        <w14:solidFill>
          <w14:schemeClr w14:val="tx1"/>
        </w14:solidFill>
      </w14:textFill>
    </w:rPr>
  </w:style>
  <w:style w:type="character" w:customStyle="1" w:styleId="175">
    <w:name w:val="标题 7 Char"/>
    <w:basedOn w:val="91"/>
    <w:qFormat/>
    <w:uiPriority w:val="0"/>
    <w:rPr>
      <w:rFonts w:ascii="宋体" w:hAnsi="Times New Roman" w:eastAsia="宋体" w:cs="宋体"/>
      <w:b/>
      <w:bCs/>
      <w:sz w:val="24"/>
      <w:szCs w:val="24"/>
    </w:rPr>
  </w:style>
  <w:style w:type="character" w:customStyle="1" w:styleId="176">
    <w:name w:val="标题 8 字符"/>
    <w:basedOn w:val="91"/>
    <w:link w:val="10"/>
    <w:qFormat/>
    <w:uiPriority w:val="0"/>
    <w:rPr>
      <w:rFonts w:ascii="Arial" w:hAnsi="Arial" w:eastAsia="仿宋_GB2312" w:cs="Times New Roman"/>
      <w:kern w:val="0"/>
      <w:sz w:val="28"/>
      <w:szCs w:val="20"/>
    </w:rPr>
  </w:style>
  <w:style w:type="character" w:customStyle="1" w:styleId="177">
    <w:name w:val="标题 9 字符"/>
    <w:basedOn w:val="91"/>
    <w:link w:val="11"/>
    <w:qFormat/>
    <w:uiPriority w:val="0"/>
    <w:rPr>
      <w:rFonts w:ascii="Arial" w:hAnsi="Arial" w:eastAsia="仿宋_GB2312" w:cs="Times New Roman"/>
      <w:kern w:val="0"/>
      <w:sz w:val="28"/>
      <w:szCs w:val="20"/>
    </w:rPr>
  </w:style>
  <w:style w:type="character" w:customStyle="1" w:styleId="178">
    <w:name w:val="标题 1 Char1"/>
    <w:qFormat/>
    <w:uiPriority w:val="0"/>
    <w:rPr>
      <w:rFonts w:ascii="黑体" w:hAnsi="黑体" w:eastAsia="黑体"/>
      <w:kern w:val="44"/>
      <w:sz w:val="36"/>
      <w:szCs w:val="24"/>
    </w:rPr>
  </w:style>
  <w:style w:type="character" w:customStyle="1" w:styleId="179">
    <w:name w:val="标题 2 Char2"/>
    <w:qFormat/>
    <w:locked/>
    <w:uiPriority w:val="0"/>
    <w:rPr>
      <w:rFonts w:ascii="黑体" w:hAnsi="Arial" w:eastAsia="黑体"/>
      <w:sz w:val="30"/>
      <w:szCs w:val="32"/>
    </w:rPr>
  </w:style>
  <w:style w:type="paragraph" w:customStyle="1" w:styleId="180">
    <w:name w:val="Char Char1 Char"/>
    <w:basedOn w:val="1"/>
    <w:semiHidden/>
    <w:qFormat/>
    <w:uiPriority w:val="0"/>
    <w:pPr>
      <w:snapToGrid/>
      <w:spacing w:line="240" w:lineRule="auto"/>
    </w:pPr>
    <w:rPr>
      <w:rFonts w:ascii="Times New Roman" w:cs="Times New Roman"/>
      <w:sz w:val="21"/>
      <w:szCs w:val="24"/>
    </w:rPr>
  </w:style>
  <w:style w:type="character" w:customStyle="1" w:styleId="181">
    <w:name w:val="标题 4 Char1"/>
    <w:qFormat/>
    <w:locked/>
    <w:uiPriority w:val="0"/>
    <w:rPr>
      <w:rFonts w:ascii="黑体" w:hAnsi="Arial" w:eastAsia="黑体"/>
      <w:kern w:val="2"/>
      <w:sz w:val="28"/>
      <w:szCs w:val="28"/>
    </w:rPr>
  </w:style>
  <w:style w:type="character" w:customStyle="1" w:styleId="182">
    <w:name w:val="标题 5 Char1"/>
    <w:qFormat/>
    <w:uiPriority w:val="0"/>
    <w:rPr>
      <w:rFonts w:ascii="Arial" w:hAnsi="Arial" w:eastAsia="仿宋_GB2312"/>
      <w:sz w:val="28"/>
      <w:lang w:bidi="ar-SA"/>
    </w:rPr>
  </w:style>
  <w:style w:type="character" w:customStyle="1" w:styleId="183">
    <w:name w:val="标题 7 字符"/>
    <w:link w:val="9"/>
    <w:qFormat/>
    <w:uiPriority w:val="0"/>
    <w:rPr>
      <w:rFonts w:ascii="Arial" w:hAnsi="Arial" w:eastAsia="仿宋_GB2312" w:cs="Times New Roman"/>
      <w:kern w:val="0"/>
      <w:sz w:val="28"/>
      <w:szCs w:val="20"/>
    </w:rPr>
  </w:style>
  <w:style w:type="character" w:customStyle="1" w:styleId="184">
    <w:name w:val="填表4小红 Char"/>
    <w:link w:val="185"/>
    <w:qFormat/>
    <w:locked/>
    <w:uiPriority w:val="0"/>
    <w:rPr>
      <w:rFonts w:ascii="宋体" w:eastAsia="宋体"/>
      <w:color w:val="FF0000"/>
      <w:sz w:val="24"/>
    </w:rPr>
  </w:style>
  <w:style w:type="paragraph" w:customStyle="1" w:styleId="185">
    <w:name w:val="填表4小红"/>
    <w:basedOn w:val="186"/>
    <w:next w:val="186"/>
    <w:link w:val="184"/>
    <w:qFormat/>
    <w:uiPriority w:val="0"/>
    <w:rPr>
      <w:rFonts w:hAnsiTheme="minorHAnsi" w:cstheme="minorBidi"/>
      <w:color w:val="FF0000"/>
      <w:szCs w:val="21"/>
    </w:rPr>
  </w:style>
  <w:style w:type="paragraph" w:customStyle="1" w:styleId="186">
    <w:name w:val="填表4小"/>
    <w:basedOn w:val="1"/>
    <w:next w:val="1"/>
    <w:link w:val="187"/>
    <w:qFormat/>
    <w:uiPriority w:val="0"/>
    <w:pPr>
      <w:spacing w:line="240" w:lineRule="auto"/>
    </w:pPr>
    <w:rPr>
      <w:rFonts w:cs="Times New Roman"/>
      <w:sz w:val="24"/>
    </w:rPr>
  </w:style>
  <w:style w:type="character" w:customStyle="1" w:styleId="187">
    <w:name w:val="填表4小 Char"/>
    <w:link w:val="186"/>
    <w:qFormat/>
    <w:uiPriority w:val="0"/>
    <w:rPr>
      <w:rFonts w:ascii="宋体" w:hAnsi="Times New Roman" w:eastAsia="宋体" w:cs="Times New Roman"/>
      <w:sz w:val="24"/>
      <w:szCs w:val="20"/>
    </w:rPr>
  </w:style>
  <w:style w:type="character" w:customStyle="1" w:styleId="188">
    <w:name w:val="正文文本 字符"/>
    <w:link w:val="30"/>
    <w:qFormat/>
    <w:uiPriority w:val="0"/>
    <w:rPr>
      <w:rFonts w:eastAsia="宋体"/>
      <w:szCs w:val="24"/>
    </w:rPr>
  </w:style>
  <w:style w:type="character" w:customStyle="1" w:styleId="189">
    <w:name w:val="正文文本 Char1"/>
    <w:basedOn w:val="91"/>
    <w:qFormat/>
    <w:uiPriority w:val="0"/>
    <w:rPr>
      <w:rFonts w:ascii="宋体" w:hAnsi="Times New Roman" w:eastAsia="宋体" w:cs="宋体"/>
      <w:sz w:val="28"/>
      <w:szCs w:val="20"/>
    </w:rPr>
  </w:style>
  <w:style w:type="character" w:customStyle="1" w:styleId="190">
    <w:name w:val="填表4小中红 Char"/>
    <w:link w:val="191"/>
    <w:qFormat/>
    <w:uiPriority w:val="0"/>
    <w:rPr>
      <w:rFonts w:ascii="宋体" w:eastAsia="宋体" w:cs="宋体"/>
      <w:color w:val="FF0000"/>
      <w:sz w:val="24"/>
    </w:rPr>
  </w:style>
  <w:style w:type="paragraph" w:customStyle="1" w:styleId="191">
    <w:name w:val="填表4小中红"/>
    <w:basedOn w:val="160"/>
    <w:next w:val="160"/>
    <w:link w:val="190"/>
    <w:qFormat/>
    <w:uiPriority w:val="0"/>
    <w:pPr>
      <w:snapToGrid w:val="0"/>
    </w:pPr>
    <w:rPr>
      <w:rFonts w:cs="宋体" w:hAnsiTheme="minorHAnsi"/>
      <w:color w:val="FF0000"/>
      <w:szCs w:val="21"/>
    </w:rPr>
  </w:style>
  <w:style w:type="character" w:customStyle="1" w:styleId="192">
    <w:name w:val="填表4小中 Char"/>
    <w:link w:val="160"/>
    <w:qFormat/>
    <w:uiPriority w:val="0"/>
    <w:rPr>
      <w:rFonts w:ascii="宋体" w:hAnsi="Times New Roman" w:eastAsia="宋体" w:cs="Times New Roman"/>
      <w:sz w:val="24"/>
      <w:szCs w:val="24"/>
    </w:rPr>
  </w:style>
  <w:style w:type="character" w:customStyle="1" w:styleId="193">
    <w:name w:val="10"/>
    <w:qFormat/>
    <w:uiPriority w:val="0"/>
    <w:rPr>
      <w:rFonts w:hint="default" w:ascii="Times New Roman" w:hAnsi="Times New Roman" w:cs="Times New Roman"/>
      <w:sz w:val="21"/>
      <w:szCs w:val="21"/>
    </w:rPr>
  </w:style>
  <w:style w:type="character" w:customStyle="1" w:styleId="194">
    <w:name w:val="z-窗体顶端 Char"/>
    <w:link w:val="195"/>
    <w:qFormat/>
    <w:uiPriority w:val="0"/>
    <w:rPr>
      <w:rFonts w:ascii="Arial" w:hAnsi="Arial" w:eastAsia="宋体" w:cs="Arial"/>
      <w:vanish/>
      <w:sz w:val="16"/>
      <w:szCs w:val="16"/>
    </w:rPr>
  </w:style>
  <w:style w:type="paragraph" w:customStyle="1" w:styleId="195">
    <w:name w:val="z-窗体顶端1"/>
    <w:basedOn w:val="1"/>
    <w:next w:val="1"/>
    <w:link w:val="194"/>
    <w:qFormat/>
    <w:uiPriority w:val="0"/>
    <w:pPr>
      <w:pBdr>
        <w:bottom w:val="single" w:color="auto" w:sz="6" w:space="1"/>
      </w:pBdr>
      <w:snapToGrid/>
      <w:spacing w:line="240" w:lineRule="auto"/>
      <w:jc w:val="center"/>
    </w:pPr>
    <w:rPr>
      <w:rFonts w:ascii="Arial" w:hAnsi="Arial" w:cs="Arial"/>
      <w:vanish/>
      <w:sz w:val="16"/>
      <w:szCs w:val="16"/>
    </w:rPr>
  </w:style>
  <w:style w:type="character" w:customStyle="1" w:styleId="196">
    <w:name w:val="z-窗体顶端 Char1"/>
    <w:basedOn w:val="91"/>
    <w:semiHidden/>
    <w:qFormat/>
    <w:uiPriority w:val="99"/>
    <w:rPr>
      <w:rFonts w:ascii="Arial" w:hAnsi="Arial" w:eastAsia="宋体" w:cs="Arial"/>
      <w:vanish/>
      <w:sz w:val="16"/>
      <w:szCs w:val="16"/>
    </w:rPr>
  </w:style>
  <w:style w:type="character" w:customStyle="1" w:styleId="197">
    <w:name w:val="unnamed11"/>
    <w:qFormat/>
    <w:uiPriority w:val="0"/>
    <w:rPr>
      <w:spacing w:val="432"/>
    </w:rPr>
  </w:style>
  <w:style w:type="character" w:customStyle="1" w:styleId="198">
    <w:name w:val="填表小5中 Char"/>
    <w:link w:val="199"/>
    <w:qFormat/>
    <w:locked/>
    <w:uiPriority w:val="0"/>
    <w:rPr>
      <w:rFonts w:ascii="宋体" w:eastAsia="宋体"/>
      <w:sz w:val="18"/>
      <w:szCs w:val="18"/>
    </w:rPr>
  </w:style>
  <w:style w:type="paragraph" w:customStyle="1" w:styleId="199">
    <w:name w:val="填表小5中"/>
    <w:basedOn w:val="130"/>
    <w:link w:val="198"/>
    <w:qFormat/>
    <w:uiPriority w:val="0"/>
    <w:pPr>
      <w:snapToGrid w:val="0"/>
      <w:spacing w:line="240" w:lineRule="auto"/>
    </w:pPr>
    <w:rPr>
      <w:rFonts w:hAnsiTheme="minorHAnsi" w:cstheme="minorBidi"/>
      <w:sz w:val="18"/>
      <w:szCs w:val="18"/>
    </w:rPr>
  </w:style>
  <w:style w:type="character" w:customStyle="1" w:styleId="200">
    <w:name w:val="填表5中 Char"/>
    <w:link w:val="130"/>
    <w:qFormat/>
    <w:uiPriority w:val="0"/>
    <w:rPr>
      <w:rFonts w:ascii="宋体" w:hAnsi="Times New Roman" w:eastAsia="宋体" w:cs="Times New Roman"/>
      <w:szCs w:val="20"/>
    </w:rPr>
  </w:style>
  <w:style w:type="character" w:customStyle="1" w:styleId="201">
    <w:name w:val="正文文本缩进 字符"/>
    <w:link w:val="32"/>
    <w:qFormat/>
    <w:uiPriority w:val="0"/>
    <w:rPr>
      <w:rFonts w:ascii="宋体" w:hAnsi="宋体" w:eastAsia="宋体"/>
      <w:sz w:val="28"/>
      <w:szCs w:val="28"/>
    </w:rPr>
  </w:style>
  <w:style w:type="character" w:customStyle="1" w:styleId="202">
    <w:name w:val="正文文本缩进 Char1"/>
    <w:basedOn w:val="91"/>
    <w:qFormat/>
    <w:uiPriority w:val="0"/>
    <w:rPr>
      <w:rFonts w:ascii="宋体" w:hAnsi="Times New Roman" w:eastAsia="宋体" w:cs="宋体"/>
      <w:sz w:val="28"/>
      <w:szCs w:val="20"/>
    </w:rPr>
  </w:style>
  <w:style w:type="character" w:customStyle="1" w:styleId="203">
    <w:name w:val="t_tag"/>
    <w:basedOn w:val="91"/>
    <w:qFormat/>
    <w:uiPriority w:val="1"/>
  </w:style>
  <w:style w:type="character" w:customStyle="1" w:styleId="204">
    <w:name w:val="编号正文 Char"/>
    <w:link w:val="205"/>
    <w:qFormat/>
    <w:uiPriority w:val="0"/>
    <w:rPr>
      <w:rFonts w:ascii="宋体" w:hAnsi="宋体"/>
      <w:sz w:val="28"/>
      <w:szCs w:val="28"/>
    </w:rPr>
  </w:style>
  <w:style w:type="paragraph" w:customStyle="1" w:styleId="205">
    <w:name w:val="编号正文"/>
    <w:basedOn w:val="1"/>
    <w:link w:val="204"/>
    <w:qFormat/>
    <w:uiPriority w:val="0"/>
    <w:pPr>
      <w:tabs>
        <w:tab w:val="left" w:pos="560"/>
        <w:tab w:val="left" w:pos="1280"/>
      </w:tabs>
      <w:adjustRightInd w:val="0"/>
      <w:spacing w:line="520" w:lineRule="exact"/>
      <w:ind w:left="560"/>
    </w:pPr>
    <w:rPr>
      <w:rFonts w:hAnsi="宋体" w:eastAsiaTheme="minorEastAsia" w:cstheme="minorBidi"/>
      <w:szCs w:val="28"/>
    </w:rPr>
  </w:style>
  <w:style w:type="character" w:customStyle="1" w:styleId="206">
    <w:name w:val="ttag"/>
    <w:basedOn w:val="91"/>
    <w:qFormat/>
    <w:uiPriority w:val="0"/>
  </w:style>
  <w:style w:type="character" w:customStyle="1" w:styleId="207">
    <w:name w:val="Char Char21"/>
    <w:qFormat/>
    <w:uiPriority w:val="1"/>
    <w:rPr>
      <w:rFonts w:eastAsia="宋体"/>
      <w:kern w:val="2"/>
      <w:sz w:val="21"/>
      <w:szCs w:val="24"/>
      <w:lang w:val="en-US" w:eastAsia="zh-CN" w:bidi="ar-SA"/>
    </w:rPr>
  </w:style>
  <w:style w:type="character" w:customStyle="1" w:styleId="208">
    <w:name w:val="style131"/>
    <w:qFormat/>
    <w:uiPriority w:val="0"/>
    <w:rPr>
      <w:sz w:val="21"/>
      <w:szCs w:val="21"/>
    </w:rPr>
  </w:style>
  <w:style w:type="character" w:customStyle="1" w:styleId="209">
    <w:name w:val="副标题 字符"/>
    <w:link w:val="60"/>
    <w:qFormat/>
    <w:uiPriority w:val="0"/>
    <w:rPr>
      <w:rFonts w:ascii="Arial" w:hAnsi="Arial" w:eastAsia="宋体" w:cs="Arial"/>
      <w:b/>
      <w:bCs/>
      <w:kern w:val="28"/>
      <w:sz w:val="32"/>
      <w:szCs w:val="32"/>
    </w:rPr>
  </w:style>
  <w:style w:type="character" w:customStyle="1" w:styleId="210">
    <w:name w:val="副标题 Char1"/>
    <w:basedOn w:val="91"/>
    <w:qFormat/>
    <w:uiPriority w:val="0"/>
    <w:rPr>
      <w:rFonts w:eastAsia="宋体" w:asciiTheme="majorHAnsi" w:hAnsiTheme="majorHAnsi" w:cstheme="majorBidi"/>
      <w:b/>
      <w:bCs/>
      <w:kern w:val="28"/>
      <w:sz w:val="32"/>
      <w:szCs w:val="32"/>
    </w:rPr>
  </w:style>
  <w:style w:type="character" w:customStyle="1" w:styleId="211">
    <w:name w:val="style1"/>
    <w:basedOn w:val="91"/>
    <w:qFormat/>
    <w:uiPriority w:val="0"/>
  </w:style>
  <w:style w:type="character" w:customStyle="1" w:styleId="212">
    <w:name w:val="WW-正文缩进 Char"/>
    <w:link w:val="213"/>
    <w:qFormat/>
    <w:uiPriority w:val="0"/>
    <w:rPr>
      <w:rFonts w:eastAsia="仿宋_GB2312"/>
      <w:bCs/>
      <w:kern w:val="1"/>
      <w:sz w:val="28"/>
      <w:lang w:eastAsia="ar-SA"/>
    </w:rPr>
  </w:style>
  <w:style w:type="paragraph" w:customStyle="1" w:styleId="213">
    <w:name w:val="WW-正文缩进"/>
    <w:basedOn w:val="1"/>
    <w:link w:val="212"/>
    <w:qFormat/>
    <w:uiPriority w:val="0"/>
    <w:pPr>
      <w:suppressAutoHyphens/>
      <w:snapToGrid/>
      <w:spacing w:line="540" w:lineRule="exact"/>
      <w:ind w:right="-13" w:firstLine="560"/>
    </w:pPr>
    <w:rPr>
      <w:rFonts w:eastAsia="仿宋_GB2312" w:asciiTheme="minorHAnsi" w:hAnsiTheme="minorHAnsi" w:cstheme="minorBidi"/>
      <w:bCs/>
      <w:kern w:val="1"/>
      <w:szCs w:val="21"/>
      <w:lang w:eastAsia="ar-SA"/>
    </w:rPr>
  </w:style>
  <w:style w:type="character" w:customStyle="1" w:styleId="214">
    <w:name w:val="style11"/>
    <w:qFormat/>
    <w:uiPriority w:val="1"/>
    <w:rPr>
      <w:sz w:val="28"/>
      <w:szCs w:val="28"/>
    </w:rPr>
  </w:style>
  <w:style w:type="character" w:customStyle="1" w:styleId="215">
    <w:name w:val="日期 字符"/>
    <w:link w:val="46"/>
    <w:qFormat/>
    <w:uiPriority w:val="0"/>
    <w:rPr>
      <w:rFonts w:ascii="宋体" w:eastAsia="宋体"/>
      <w:sz w:val="24"/>
    </w:rPr>
  </w:style>
  <w:style w:type="character" w:customStyle="1" w:styleId="216">
    <w:name w:val="日期 Char"/>
    <w:basedOn w:val="91"/>
    <w:qFormat/>
    <w:uiPriority w:val="0"/>
    <w:rPr>
      <w:rFonts w:ascii="宋体" w:hAnsi="Times New Roman" w:eastAsia="宋体" w:cs="宋体"/>
      <w:sz w:val="28"/>
      <w:szCs w:val="20"/>
    </w:rPr>
  </w:style>
  <w:style w:type="character" w:customStyle="1" w:styleId="217">
    <w:name w:val="仿宋居中 Char"/>
    <w:link w:val="149"/>
    <w:qFormat/>
    <w:uiPriority w:val="0"/>
    <w:rPr>
      <w:rFonts w:ascii="仿宋" w:hAnsi="Times New Roman" w:eastAsia="仿宋" w:cs="Times New Roman"/>
      <w:kern w:val="0"/>
      <w:sz w:val="32"/>
      <w:szCs w:val="24"/>
    </w:rPr>
  </w:style>
  <w:style w:type="character" w:customStyle="1" w:styleId="218">
    <w:name w:val="缩进2字符 Char"/>
    <w:link w:val="219"/>
    <w:qFormat/>
    <w:uiPriority w:val="0"/>
    <w:rPr>
      <w:rFonts w:ascii="宋体" w:hAnsi="宋体" w:eastAsia="宋体" w:cs="宋体"/>
      <w:sz w:val="30"/>
    </w:rPr>
  </w:style>
  <w:style w:type="paragraph" w:customStyle="1" w:styleId="219">
    <w:name w:val="缩进2字符"/>
    <w:basedOn w:val="1"/>
    <w:link w:val="218"/>
    <w:qFormat/>
    <w:uiPriority w:val="0"/>
    <w:pPr>
      <w:ind w:firstLine="640" w:firstLineChars="200"/>
      <w:jc w:val="left"/>
    </w:pPr>
    <w:rPr>
      <w:rFonts w:hAnsi="宋体"/>
      <w:sz w:val="30"/>
      <w:szCs w:val="21"/>
    </w:rPr>
  </w:style>
  <w:style w:type="character" w:customStyle="1" w:styleId="220">
    <w:name w:val="正文文字缩进 2 Char Char"/>
    <w:qFormat/>
    <w:uiPriority w:val="0"/>
    <w:rPr>
      <w:rFonts w:ascii="宋体" w:hAnsi="宋体" w:eastAsia="宋体" w:cs="Times New Roman"/>
      <w:sz w:val="28"/>
      <w:szCs w:val="24"/>
    </w:rPr>
  </w:style>
  <w:style w:type="character" w:customStyle="1" w:styleId="221">
    <w:name w:val="p92"/>
    <w:qFormat/>
    <w:uiPriority w:val="0"/>
    <w:rPr>
      <w:spacing w:val="255"/>
      <w:sz w:val="18"/>
      <w:szCs w:val="18"/>
    </w:rPr>
  </w:style>
  <w:style w:type="character" w:customStyle="1" w:styleId="222">
    <w:name w:val="正文文本首行缩进 字符"/>
    <w:basedOn w:val="188"/>
    <w:link w:val="79"/>
    <w:qFormat/>
    <w:uiPriority w:val="0"/>
    <w:rPr>
      <w:rFonts w:eastAsia="宋体"/>
      <w:szCs w:val="24"/>
    </w:rPr>
  </w:style>
  <w:style w:type="character" w:customStyle="1" w:styleId="223">
    <w:name w:val="正文首行缩进 Char1"/>
    <w:basedOn w:val="189"/>
    <w:qFormat/>
    <w:uiPriority w:val="0"/>
    <w:rPr>
      <w:rFonts w:ascii="宋体" w:hAnsi="Times New Roman" w:eastAsia="宋体" w:cs="宋体"/>
      <w:sz w:val="28"/>
      <w:szCs w:val="20"/>
    </w:rPr>
  </w:style>
  <w:style w:type="character" w:customStyle="1" w:styleId="224">
    <w:name w:val="表格－正文 Char"/>
    <w:link w:val="225"/>
    <w:qFormat/>
    <w:uiPriority w:val="0"/>
    <w:rPr>
      <w:rFonts w:eastAsia="宋体"/>
    </w:rPr>
  </w:style>
  <w:style w:type="paragraph" w:customStyle="1" w:styleId="225">
    <w:name w:val="表格－正文"/>
    <w:basedOn w:val="1"/>
    <w:link w:val="224"/>
    <w:qFormat/>
    <w:uiPriority w:val="0"/>
    <w:pPr>
      <w:snapToGrid/>
      <w:spacing w:line="300" w:lineRule="exact"/>
      <w:jc w:val="center"/>
    </w:pPr>
    <w:rPr>
      <w:rFonts w:asciiTheme="minorHAnsi" w:hAnsiTheme="minorHAnsi" w:cstheme="minorBidi"/>
      <w:sz w:val="21"/>
      <w:szCs w:val="21"/>
    </w:rPr>
  </w:style>
  <w:style w:type="character" w:customStyle="1" w:styleId="226">
    <w:name w:val="填表4小中单倍行距 Char"/>
    <w:link w:val="227"/>
    <w:qFormat/>
    <w:uiPriority w:val="0"/>
    <w:rPr>
      <w:rFonts w:ascii="宋体" w:eastAsia="宋体" w:cs="宋体"/>
      <w:sz w:val="24"/>
    </w:rPr>
  </w:style>
  <w:style w:type="paragraph" w:customStyle="1" w:styleId="227">
    <w:name w:val="填表4小中单倍行距"/>
    <w:basedOn w:val="1"/>
    <w:link w:val="226"/>
    <w:qFormat/>
    <w:uiPriority w:val="0"/>
    <w:pPr>
      <w:snapToGrid/>
      <w:spacing w:line="240" w:lineRule="auto"/>
      <w:jc w:val="center"/>
    </w:pPr>
    <w:rPr>
      <w:rFonts w:hAnsiTheme="minorHAnsi"/>
      <w:sz w:val="24"/>
      <w:szCs w:val="21"/>
    </w:rPr>
  </w:style>
  <w:style w:type="character" w:customStyle="1" w:styleId="228">
    <w:name w:val="表格－标题 Char"/>
    <w:link w:val="229"/>
    <w:qFormat/>
    <w:uiPriority w:val="0"/>
    <w:rPr>
      <w:rFonts w:eastAsia="宋体"/>
    </w:rPr>
  </w:style>
  <w:style w:type="paragraph" w:customStyle="1" w:styleId="229">
    <w:name w:val="表格－标题"/>
    <w:basedOn w:val="1"/>
    <w:link w:val="228"/>
    <w:qFormat/>
    <w:uiPriority w:val="0"/>
    <w:pPr>
      <w:snapToGrid/>
      <w:spacing w:line="300" w:lineRule="exact"/>
      <w:jc w:val="center"/>
    </w:pPr>
    <w:rPr>
      <w:rFonts w:asciiTheme="minorHAnsi" w:hAnsiTheme="minorHAnsi" w:cstheme="minorBidi"/>
      <w:sz w:val="21"/>
      <w:szCs w:val="21"/>
    </w:rPr>
  </w:style>
  <w:style w:type="character" w:customStyle="1" w:styleId="230">
    <w:name w:val="表头及图示 Char"/>
    <w:link w:val="231"/>
    <w:qFormat/>
    <w:locked/>
    <w:uiPriority w:val="0"/>
    <w:rPr>
      <w:rFonts w:ascii="宋体" w:hAnsi="宋体" w:eastAsia="宋体" w:cs="宋体"/>
      <w:spacing w:val="6"/>
      <w:sz w:val="28"/>
    </w:rPr>
  </w:style>
  <w:style w:type="paragraph" w:customStyle="1" w:styleId="231">
    <w:name w:val="表头及图示"/>
    <w:basedOn w:val="1"/>
    <w:link w:val="230"/>
    <w:qFormat/>
    <w:uiPriority w:val="0"/>
    <w:pPr>
      <w:jc w:val="center"/>
    </w:pPr>
    <w:rPr>
      <w:rFonts w:hAnsi="宋体"/>
      <w:spacing w:val="6"/>
      <w:szCs w:val="21"/>
    </w:rPr>
  </w:style>
  <w:style w:type="character" w:customStyle="1" w:styleId="232">
    <w:name w:val="仿宋居中宋体 Char"/>
    <w:link w:val="150"/>
    <w:qFormat/>
    <w:uiPriority w:val="0"/>
    <w:rPr>
      <w:rFonts w:ascii="仿宋" w:hAnsi="宋体" w:eastAsia="宋体" w:cs="Times New Roman"/>
      <w:kern w:val="0"/>
      <w:sz w:val="32"/>
      <w:szCs w:val="32"/>
    </w:rPr>
  </w:style>
  <w:style w:type="character" w:customStyle="1" w:styleId="233">
    <w:name w:val="正文文本 3 字符"/>
    <w:link w:val="27"/>
    <w:qFormat/>
    <w:uiPriority w:val="0"/>
    <w:rPr>
      <w:rFonts w:eastAsia="宋体"/>
      <w:sz w:val="16"/>
      <w:szCs w:val="16"/>
    </w:rPr>
  </w:style>
  <w:style w:type="character" w:customStyle="1" w:styleId="234">
    <w:name w:val="正文文本 3 Char1"/>
    <w:basedOn w:val="91"/>
    <w:semiHidden/>
    <w:qFormat/>
    <w:uiPriority w:val="99"/>
    <w:rPr>
      <w:rFonts w:ascii="宋体" w:hAnsi="Times New Roman" w:eastAsia="宋体" w:cs="宋体"/>
      <w:sz w:val="16"/>
      <w:szCs w:val="16"/>
    </w:rPr>
  </w:style>
  <w:style w:type="character" w:customStyle="1" w:styleId="235">
    <w:name w:val="标题4缩2 Char"/>
    <w:link w:val="236"/>
    <w:qFormat/>
    <w:uiPriority w:val="0"/>
    <w:rPr>
      <w:rFonts w:ascii="宋体" w:eastAsia="黑体" w:cs="宋体"/>
      <w:b/>
      <w:bCs/>
      <w:sz w:val="28"/>
    </w:rPr>
  </w:style>
  <w:style w:type="paragraph" w:customStyle="1" w:styleId="236">
    <w:name w:val="标题4缩2"/>
    <w:basedOn w:val="1"/>
    <w:next w:val="1"/>
    <w:link w:val="235"/>
    <w:qFormat/>
    <w:uiPriority w:val="0"/>
    <w:pPr>
      <w:ind w:firstLine="562" w:firstLineChars="200"/>
      <w:outlineLvl w:val="3"/>
    </w:pPr>
    <w:rPr>
      <w:rFonts w:eastAsia="黑体" w:hAnsiTheme="minorHAnsi"/>
      <w:b/>
      <w:bCs/>
      <w:szCs w:val="21"/>
    </w:rPr>
  </w:style>
  <w:style w:type="character" w:customStyle="1" w:styleId="237">
    <w:name w:val="bt_content1"/>
    <w:qFormat/>
    <w:uiPriority w:val="0"/>
    <w:rPr>
      <w:sz w:val="21"/>
      <w:szCs w:val="21"/>
      <w:u w:val="none"/>
    </w:rPr>
  </w:style>
  <w:style w:type="character" w:customStyle="1" w:styleId="238">
    <w:name w:val="宏文本 字符"/>
    <w:link w:val="2"/>
    <w:semiHidden/>
    <w:qFormat/>
    <w:uiPriority w:val="0"/>
    <w:rPr>
      <w:rFonts w:ascii="Courier New" w:hAnsi="Courier New" w:cs="Courier New"/>
      <w:sz w:val="24"/>
      <w:szCs w:val="24"/>
    </w:rPr>
  </w:style>
  <w:style w:type="character" w:customStyle="1" w:styleId="239">
    <w:name w:val="宏文本 Char1"/>
    <w:basedOn w:val="91"/>
    <w:semiHidden/>
    <w:qFormat/>
    <w:uiPriority w:val="99"/>
    <w:rPr>
      <w:rFonts w:ascii="Courier New" w:hAnsi="Courier New" w:eastAsia="宋体" w:cs="Courier New"/>
      <w:sz w:val="24"/>
      <w:szCs w:val="24"/>
    </w:rPr>
  </w:style>
  <w:style w:type="character" w:customStyle="1" w:styleId="240">
    <w:name w:val="表格文字 Char"/>
    <w:link w:val="241"/>
    <w:qFormat/>
    <w:uiPriority w:val="0"/>
    <w:rPr>
      <w:rFonts w:ascii="宋体"/>
      <w:kern w:val="2"/>
      <w:sz w:val="24"/>
      <w:lang w:bidi="ar-SA"/>
    </w:rPr>
  </w:style>
  <w:style w:type="paragraph" w:customStyle="1" w:styleId="241">
    <w:name w:val="表格文字"/>
    <w:basedOn w:val="1"/>
    <w:link w:val="240"/>
    <w:qFormat/>
    <w:uiPriority w:val="0"/>
    <w:pPr>
      <w:adjustRightInd w:val="0"/>
      <w:jc w:val="center"/>
    </w:pPr>
    <w:rPr>
      <w:rFonts w:hAnsiTheme="minorHAnsi" w:eastAsiaTheme="minorEastAsia" w:cstheme="minorBidi"/>
      <w:sz w:val="24"/>
      <w:szCs w:val="21"/>
    </w:rPr>
  </w:style>
  <w:style w:type="character" w:customStyle="1" w:styleId="242">
    <w:name w:val="ttitle1"/>
    <w:qFormat/>
    <w:uiPriority w:val="0"/>
    <w:rPr>
      <w:spacing w:val="120"/>
      <w:sz w:val="21"/>
      <w:szCs w:val="21"/>
    </w:rPr>
  </w:style>
  <w:style w:type="character" w:customStyle="1" w:styleId="243">
    <w:name w:val="正文文本缩进 2 字符"/>
    <w:link w:val="47"/>
    <w:qFormat/>
    <w:locked/>
    <w:uiPriority w:val="0"/>
    <w:rPr>
      <w:rFonts w:ascii="宋体" w:hAnsi="宋体" w:eastAsia="宋体"/>
      <w:sz w:val="28"/>
      <w:szCs w:val="24"/>
    </w:rPr>
  </w:style>
  <w:style w:type="character" w:customStyle="1" w:styleId="244">
    <w:name w:val="正文文本缩进 2 Char1"/>
    <w:basedOn w:val="91"/>
    <w:semiHidden/>
    <w:qFormat/>
    <w:uiPriority w:val="99"/>
    <w:rPr>
      <w:rFonts w:ascii="宋体" w:hAnsi="Times New Roman" w:eastAsia="宋体" w:cs="宋体"/>
      <w:sz w:val="28"/>
      <w:szCs w:val="20"/>
    </w:rPr>
  </w:style>
  <w:style w:type="character" w:customStyle="1" w:styleId="245">
    <w:name w:val="填表5中1.5倍行距 Char"/>
    <w:link w:val="166"/>
    <w:qFormat/>
    <w:uiPriority w:val="0"/>
    <w:rPr>
      <w:rFonts w:ascii="宋体" w:hAnsi="Times New Roman" w:eastAsia="宋体" w:cs="宋体"/>
      <w:szCs w:val="20"/>
    </w:rPr>
  </w:style>
  <w:style w:type="character" w:customStyle="1" w:styleId="246">
    <w:name w:val="1 Char1"/>
    <w:qFormat/>
    <w:uiPriority w:val="0"/>
    <w:rPr>
      <w:rFonts w:ascii="Arial" w:hAnsi="Arial" w:eastAsia="黑体"/>
      <w:b/>
      <w:bCs/>
      <w:kern w:val="2"/>
      <w:sz w:val="32"/>
      <w:szCs w:val="32"/>
      <w:lang w:val="en-US" w:eastAsia="zh-CN" w:bidi="ar-SA"/>
    </w:rPr>
  </w:style>
  <w:style w:type="character" w:customStyle="1" w:styleId="247">
    <w:name w:val="填表5中 Char Char"/>
    <w:qFormat/>
    <w:uiPriority w:val="0"/>
    <w:rPr>
      <w:rFonts w:ascii="宋体" w:eastAsia="宋体"/>
      <w:kern w:val="2"/>
      <w:sz w:val="21"/>
      <w:szCs w:val="21"/>
      <w:lang w:val="en-US" w:eastAsia="zh-CN" w:bidi="ar-SA"/>
    </w:rPr>
  </w:style>
  <w:style w:type="character" w:customStyle="1" w:styleId="248">
    <w:name w:val="ca-01"/>
    <w:qFormat/>
    <w:uiPriority w:val="0"/>
    <w:rPr>
      <w:rFonts w:hint="eastAsia" w:ascii="宋体" w:hAnsi="宋体" w:eastAsia="宋体"/>
      <w:b/>
      <w:bCs/>
      <w:spacing w:val="-20"/>
      <w:sz w:val="44"/>
      <w:szCs w:val="44"/>
    </w:rPr>
  </w:style>
  <w:style w:type="character" w:customStyle="1" w:styleId="249">
    <w:name w:val="附件封面3 Char"/>
    <w:link w:val="250"/>
    <w:qFormat/>
    <w:uiPriority w:val="0"/>
    <w:rPr>
      <w:rFonts w:eastAsia="楷体_GB2312"/>
      <w:b/>
      <w:sz w:val="44"/>
      <w:szCs w:val="24"/>
    </w:rPr>
  </w:style>
  <w:style w:type="paragraph" w:customStyle="1" w:styleId="250">
    <w:name w:val="附件封面3"/>
    <w:basedOn w:val="1"/>
    <w:next w:val="1"/>
    <w:link w:val="249"/>
    <w:qFormat/>
    <w:uiPriority w:val="0"/>
    <w:pPr>
      <w:spacing w:line="480" w:lineRule="auto"/>
      <w:jc w:val="center"/>
    </w:pPr>
    <w:rPr>
      <w:rFonts w:eastAsia="楷体_GB2312" w:asciiTheme="minorHAnsi" w:hAnsiTheme="minorHAnsi" w:cstheme="minorBidi"/>
      <w:b/>
      <w:sz w:val="44"/>
      <w:szCs w:val="24"/>
    </w:rPr>
  </w:style>
  <w:style w:type="character" w:customStyle="1" w:styleId="251">
    <w:name w:val="unnamed31"/>
    <w:qFormat/>
    <w:uiPriority w:val="0"/>
    <w:rPr>
      <w:rFonts w:hint="eastAsia" w:ascii="宋体" w:hAnsi="宋体" w:eastAsia="宋体"/>
      <w:b/>
      <w:bCs/>
      <w:sz w:val="21"/>
      <w:szCs w:val="21"/>
      <w:u w:val="none"/>
    </w:rPr>
  </w:style>
  <w:style w:type="character" w:customStyle="1" w:styleId="252">
    <w:name w:val="tpc_content1"/>
    <w:qFormat/>
    <w:uiPriority w:val="0"/>
    <w:rPr>
      <w:sz w:val="20"/>
      <w:szCs w:val="20"/>
    </w:rPr>
  </w:style>
  <w:style w:type="character" w:customStyle="1" w:styleId="253">
    <w:name w:val="表格样式"/>
    <w:qFormat/>
    <w:uiPriority w:val="0"/>
    <w:rPr>
      <w:rFonts w:ascii="宋体" w:hAnsi="宋体" w:eastAsia="宋体"/>
      <w:sz w:val="21"/>
    </w:rPr>
  </w:style>
  <w:style w:type="character" w:customStyle="1" w:styleId="254">
    <w:name w:val="正文1"/>
    <w:qFormat/>
    <w:uiPriority w:val="0"/>
    <w:rPr>
      <w:rFonts w:hint="eastAsia" w:ascii="宋体" w:hAnsi="宋体" w:eastAsia="宋体"/>
      <w:color w:val="000000"/>
      <w:sz w:val="22"/>
      <w:szCs w:val="22"/>
    </w:rPr>
  </w:style>
  <w:style w:type="character" w:customStyle="1" w:styleId="255">
    <w:name w:val="f12h201"/>
    <w:qFormat/>
    <w:uiPriority w:val="0"/>
    <w:rPr>
      <w:spacing w:val="300"/>
      <w:sz w:val="18"/>
      <w:szCs w:val="18"/>
    </w:rPr>
  </w:style>
  <w:style w:type="character" w:customStyle="1" w:styleId="256">
    <w:name w:val="p3"/>
    <w:basedOn w:val="91"/>
    <w:qFormat/>
    <w:uiPriority w:val="0"/>
  </w:style>
  <w:style w:type="character" w:customStyle="1" w:styleId="257">
    <w:name w:val="首行缩进红 Char"/>
    <w:link w:val="258"/>
    <w:qFormat/>
    <w:uiPriority w:val="0"/>
    <w:rPr>
      <w:rFonts w:ascii="宋体" w:eastAsia="宋体"/>
      <w:color w:val="FF0000"/>
      <w:sz w:val="28"/>
    </w:rPr>
  </w:style>
  <w:style w:type="paragraph" w:customStyle="1" w:styleId="258">
    <w:name w:val="首行缩进红"/>
    <w:basedOn w:val="122"/>
    <w:link w:val="257"/>
    <w:qFormat/>
    <w:uiPriority w:val="0"/>
    <w:pPr>
      <w:ind w:firstLine="482"/>
    </w:pPr>
    <w:rPr>
      <w:rFonts w:hAnsiTheme="minorHAnsi" w:cstheme="minorBidi"/>
      <w:color w:val="FF0000"/>
      <w:kern w:val="2"/>
      <w:szCs w:val="21"/>
    </w:rPr>
  </w:style>
  <w:style w:type="character" w:customStyle="1" w:styleId="259">
    <w:name w:val="图表格式 Char1"/>
    <w:link w:val="260"/>
    <w:qFormat/>
    <w:uiPriority w:val="0"/>
    <w:rPr>
      <w:rFonts w:ascii="宋体" w:hAnsi="宋体" w:eastAsia="宋体"/>
      <w:snapToGrid w:val="0"/>
    </w:rPr>
  </w:style>
  <w:style w:type="paragraph" w:customStyle="1" w:styleId="260">
    <w:name w:val="图表格式"/>
    <w:basedOn w:val="1"/>
    <w:link w:val="259"/>
    <w:qFormat/>
    <w:uiPriority w:val="0"/>
    <w:pPr>
      <w:suppressAutoHyphens/>
      <w:adjustRightInd w:val="0"/>
      <w:spacing w:line="240" w:lineRule="atLeast"/>
      <w:jc w:val="left"/>
    </w:pPr>
    <w:rPr>
      <w:rFonts w:hAnsi="宋体" w:cstheme="minorBidi"/>
      <w:snapToGrid w:val="0"/>
      <w:sz w:val="21"/>
      <w:szCs w:val="21"/>
    </w:rPr>
  </w:style>
  <w:style w:type="character" w:customStyle="1" w:styleId="261">
    <w:name w:val="3zw"/>
    <w:basedOn w:val="91"/>
    <w:qFormat/>
    <w:uiPriority w:val="1"/>
  </w:style>
  <w:style w:type="character" w:customStyle="1" w:styleId="262">
    <w:name w:val="纯文本 Char"/>
    <w:qFormat/>
    <w:uiPriority w:val="0"/>
    <w:rPr>
      <w:rFonts w:ascii="宋体" w:hAnsi="Courier New" w:eastAsia="宋体" w:cs="Courier New"/>
      <w:szCs w:val="21"/>
    </w:rPr>
  </w:style>
  <w:style w:type="character" w:customStyle="1" w:styleId="263">
    <w:name w:val="标题 1 Char1 Char Char Char"/>
    <w:qFormat/>
    <w:uiPriority w:val="0"/>
    <w:rPr>
      <w:rFonts w:eastAsia="宋体"/>
      <w:b/>
      <w:bCs/>
      <w:snapToGrid w:val="0"/>
      <w:sz w:val="36"/>
      <w:szCs w:val="44"/>
      <w:lang w:val="en-US" w:eastAsia="zh-CN" w:bidi="ar-SA"/>
    </w:rPr>
  </w:style>
  <w:style w:type="character" w:customStyle="1" w:styleId="264">
    <w:name w:val="postbody1"/>
    <w:qFormat/>
    <w:uiPriority w:val="0"/>
    <w:rPr>
      <w:sz w:val="21"/>
      <w:szCs w:val="21"/>
    </w:rPr>
  </w:style>
  <w:style w:type="character" w:customStyle="1" w:styleId="265">
    <w:name w:val="附件封面4 Char"/>
    <w:link w:val="266"/>
    <w:qFormat/>
    <w:uiPriority w:val="0"/>
    <w:rPr>
      <w:rFonts w:ascii="宋体" w:eastAsia="黑体" w:cs="宋体"/>
      <w:b/>
      <w:bCs/>
      <w:sz w:val="28"/>
    </w:rPr>
  </w:style>
  <w:style w:type="paragraph" w:customStyle="1" w:styleId="266">
    <w:name w:val="附件封面4"/>
    <w:basedOn w:val="1"/>
    <w:link w:val="265"/>
    <w:qFormat/>
    <w:uiPriority w:val="0"/>
    <w:pPr>
      <w:ind w:firstLine="562" w:firstLineChars="200"/>
      <w:jc w:val="left"/>
      <w:outlineLvl w:val="4"/>
    </w:pPr>
    <w:rPr>
      <w:rFonts w:eastAsia="黑体" w:hAnsiTheme="minorHAnsi"/>
      <w:b/>
      <w:bCs/>
      <w:szCs w:val="21"/>
    </w:rPr>
  </w:style>
  <w:style w:type="character" w:customStyle="1" w:styleId="267">
    <w:name w:val="标题 字符"/>
    <w:link w:val="77"/>
    <w:qFormat/>
    <w:locked/>
    <w:uiPriority w:val="0"/>
    <w:rPr>
      <w:rFonts w:ascii="宋体" w:hAnsi="Courier New" w:eastAsia="宋体" w:cs="Courier New"/>
    </w:rPr>
  </w:style>
  <w:style w:type="character" w:customStyle="1" w:styleId="268">
    <w:name w:val="标题 Char"/>
    <w:basedOn w:val="91"/>
    <w:qFormat/>
    <w:uiPriority w:val="0"/>
    <w:rPr>
      <w:rFonts w:eastAsia="宋体" w:asciiTheme="majorHAnsi" w:hAnsiTheme="majorHAnsi" w:cstheme="majorBidi"/>
      <w:b/>
      <w:bCs/>
      <w:sz w:val="32"/>
      <w:szCs w:val="32"/>
    </w:rPr>
  </w:style>
  <w:style w:type="character" w:customStyle="1" w:styleId="269">
    <w:name w:val="填表4小中2倍行距 Char Char"/>
    <w:link w:val="162"/>
    <w:qFormat/>
    <w:locked/>
    <w:uiPriority w:val="0"/>
    <w:rPr>
      <w:rFonts w:ascii="宋体" w:hAnsi="Times New Roman" w:eastAsia="宋体" w:cs="Times New Roman"/>
      <w:sz w:val="24"/>
      <w:szCs w:val="24"/>
    </w:rPr>
  </w:style>
  <w:style w:type="paragraph" w:customStyle="1" w:styleId="270">
    <w:name w:val="填表4中"/>
    <w:basedOn w:val="1"/>
    <w:next w:val="1"/>
    <w:qFormat/>
    <w:uiPriority w:val="0"/>
    <w:pPr>
      <w:jc w:val="center"/>
    </w:pPr>
    <w:rPr>
      <w:szCs w:val="28"/>
    </w:rPr>
  </w:style>
  <w:style w:type="character" w:customStyle="1" w:styleId="271">
    <w:name w:val="Char Char7"/>
    <w:qFormat/>
    <w:uiPriority w:val="0"/>
    <w:rPr>
      <w:rFonts w:ascii="宋体" w:eastAsia="宋体"/>
      <w:bCs/>
      <w:sz w:val="28"/>
      <w:szCs w:val="32"/>
      <w:lang w:val="en-US" w:eastAsia="zh-CN" w:bidi="ar-SA"/>
    </w:rPr>
  </w:style>
  <w:style w:type="character" w:customStyle="1" w:styleId="272">
    <w:name w:val="z-窗体底端 Char"/>
    <w:link w:val="273"/>
    <w:qFormat/>
    <w:uiPriority w:val="0"/>
    <w:rPr>
      <w:rFonts w:ascii="Arial" w:hAnsi="Arial" w:eastAsia="宋体" w:cs="Arial"/>
      <w:vanish/>
      <w:sz w:val="16"/>
      <w:szCs w:val="16"/>
    </w:rPr>
  </w:style>
  <w:style w:type="paragraph" w:customStyle="1" w:styleId="273">
    <w:name w:val="z-窗体底端1"/>
    <w:basedOn w:val="1"/>
    <w:next w:val="1"/>
    <w:link w:val="272"/>
    <w:qFormat/>
    <w:uiPriority w:val="0"/>
    <w:pPr>
      <w:pBdr>
        <w:top w:val="single" w:color="auto" w:sz="6" w:space="1"/>
      </w:pBdr>
      <w:snapToGrid/>
      <w:spacing w:line="240" w:lineRule="auto"/>
      <w:jc w:val="center"/>
    </w:pPr>
    <w:rPr>
      <w:rFonts w:ascii="Arial" w:hAnsi="Arial" w:cs="Arial"/>
      <w:vanish/>
      <w:sz w:val="16"/>
      <w:szCs w:val="16"/>
    </w:rPr>
  </w:style>
  <w:style w:type="character" w:customStyle="1" w:styleId="274">
    <w:name w:val="z-窗体底端 Char1"/>
    <w:basedOn w:val="91"/>
    <w:semiHidden/>
    <w:qFormat/>
    <w:uiPriority w:val="99"/>
    <w:rPr>
      <w:rFonts w:ascii="Arial" w:hAnsi="Arial" w:eastAsia="宋体" w:cs="Arial"/>
      <w:vanish/>
      <w:sz w:val="16"/>
      <w:szCs w:val="16"/>
    </w:rPr>
  </w:style>
  <w:style w:type="character" w:customStyle="1" w:styleId="275">
    <w:name w:val="biaoti1"/>
    <w:qFormat/>
    <w:uiPriority w:val="0"/>
    <w:rPr>
      <w:color w:val="000000"/>
      <w:sz w:val="23"/>
      <w:szCs w:val="23"/>
    </w:rPr>
  </w:style>
  <w:style w:type="character" w:customStyle="1" w:styleId="276">
    <w:name w:val="填表4小单倍行距 Char"/>
    <w:link w:val="158"/>
    <w:qFormat/>
    <w:uiPriority w:val="0"/>
    <w:rPr>
      <w:rFonts w:ascii="宋体" w:hAnsi="Times New Roman" w:eastAsia="宋体" w:cs="Times New Roman"/>
      <w:sz w:val="24"/>
      <w:szCs w:val="24"/>
    </w:rPr>
  </w:style>
  <w:style w:type="character" w:customStyle="1" w:styleId="277">
    <w:name w:val="批注文字 字符1"/>
    <w:link w:val="25"/>
    <w:qFormat/>
    <w:uiPriority w:val="0"/>
    <w:rPr>
      <w:rFonts w:eastAsia="宋体"/>
      <w:szCs w:val="24"/>
    </w:rPr>
  </w:style>
  <w:style w:type="character" w:customStyle="1" w:styleId="278">
    <w:name w:val="批注文字 Char1"/>
    <w:basedOn w:val="91"/>
    <w:semiHidden/>
    <w:qFormat/>
    <w:uiPriority w:val="99"/>
    <w:rPr>
      <w:rFonts w:ascii="宋体" w:hAnsi="Times New Roman" w:eastAsia="宋体" w:cs="宋体"/>
      <w:sz w:val="28"/>
      <w:szCs w:val="20"/>
    </w:rPr>
  </w:style>
  <w:style w:type="character" w:customStyle="1" w:styleId="279">
    <w:name w:val="填表5 Char"/>
    <w:link w:val="125"/>
    <w:qFormat/>
    <w:uiPriority w:val="0"/>
    <w:rPr>
      <w:rFonts w:ascii="宋体" w:hAnsi="Times New Roman" w:eastAsia="宋体" w:cs="Times New Roman"/>
      <w:szCs w:val="20"/>
    </w:rPr>
  </w:style>
  <w:style w:type="character" w:customStyle="1" w:styleId="280">
    <w:name w:val="texhtml"/>
    <w:basedOn w:val="91"/>
    <w:qFormat/>
    <w:uiPriority w:val="0"/>
  </w:style>
  <w:style w:type="character" w:customStyle="1" w:styleId="281">
    <w:name w:val="索引标题 字符"/>
    <w:link w:val="58"/>
    <w:semiHidden/>
    <w:qFormat/>
    <w:uiPriority w:val="0"/>
    <w:rPr>
      <w:rFonts w:eastAsia="宋体"/>
      <w:szCs w:val="24"/>
    </w:rPr>
  </w:style>
  <w:style w:type="character" w:customStyle="1" w:styleId="282">
    <w:name w:val="show1"/>
    <w:qFormat/>
    <w:uiPriority w:val="0"/>
    <w:rPr>
      <w:sz w:val="23"/>
      <w:szCs w:val="23"/>
    </w:rPr>
  </w:style>
  <w:style w:type="character" w:customStyle="1" w:styleId="283">
    <w:name w:val="样式 标题 2 + 宋体 黑色 Char"/>
    <w:link w:val="284"/>
    <w:qFormat/>
    <w:uiPriority w:val="0"/>
    <w:rPr>
      <w:rFonts w:ascii="楷体_GB2312" w:hAnsi="宋体" w:eastAsia="楷体_GB2312" w:cstheme="minorBidi"/>
      <w:bCs/>
      <w:color w:val="000000"/>
      <w:sz w:val="32"/>
      <w:szCs w:val="32"/>
    </w:rPr>
  </w:style>
  <w:style w:type="paragraph" w:customStyle="1" w:styleId="284">
    <w:name w:val="样式 标题 2 + 宋体 黑色"/>
    <w:basedOn w:val="4"/>
    <w:link w:val="283"/>
    <w:qFormat/>
    <w:uiPriority w:val="0"/>
    <w:pPr>
      <w:tabs>
        <w:tab w:val="left" w:pos="1287"/>
      </w:tabs>
      <w:snapToGrid/>
      <w:spacing w:before="260" w:after="260" w:line="413" w:lineRule="auto"/>
      <w:ind w:firstLine="567"/>
      <w:jc w:val="both"/>
    </w:pPr>
    <w:rPr>
      <w:rFonts w:ascii="楷体_GB2312" w:hAnsi="宋体" w:eastAsia="楷体_GB2312" w:cstheme="minorBidi"/>
      <w:color w:val="000000"/>
    </w:rPr>
  </w:style>
  <w:style w:type="character" w:customStyle="1" w:styleId="285">
    <w:name w:val="标题 2 Char1"/>
    <w:qFormat/>
    <w:uiPriority w:val="0"/>
    <w:rPr>
      <w:rFonts w:ascii="Arial" w:hAnsi="Arial" w:eastAsia="黑体"/>
      <w:b/>
      <w:bCs/>
      <w:sz w:val="32"/>
      <w:szCs w:val="32"/>
      <w:lang w:val="en-US" w:eastAsia="zh-CN" w:bidi="ar-SA"/>
    </w:rPr>
  </w:style>
  <w:style w:type="character" w:customStyle="1" w:styleId="286">
    <w:name w:val="正文居中 Char"/>
    <w:link w:val="139"/>
    <w:qFormat/>
    <w:uiPriority w:val="0"/>
    <w:rPr>
      <w:rFonts w:ascii="宋体" w:hAnsi="Times New Roman" w:eastAsia="宋体" w:cs="宋体"/>
      <w:sz w:val="28"/>
      <w:szCs w:val="20"/>
    </w:rPr>
  </w:style>
  <w:style w:type="character" w:customStyle="1" w:styleId="287">
    <w:name w:val="标格标题 Char"/>
    <w:link w:val="288"/>
    <w:qFormat/>
    <w:uiPriority w:val="0"/>
    <w:rPr>
      <w:rFonts w:ascii="Arial" w:hAnsi="Arial"/>
      <w:b/>
      <w:szCs w:val="24"/>
    </w:rPr>
  </w:style>
  <w:style w:type="paragraph" w:customStyle="1" w:styleId="288">
    <w:name w:val="标格标题"/>
    <w:basedOn w:val="41"/>
    <w:next w:val="41"/>
    <w:link w:val="287"/>
    <w:qFormat/>
    <w:uiPriority w:val="0"/>
    <w:pPr>
      <w:keepNext/>
      <w:widowControl/>
      <w:adjustRightInd w:val="0"/>
      <w:snapToGrid w:val="0"/>
      <w:jc w:val="center"/>
    </w:pPr>
    <w:rPr>
      <w:rFonts w:ascii="Arial" w:hAnsi="Arial" w:eastAsiaTheme="minorEastAsia" w:cstheme="minorBidi"/>
      <w:b/>
      <w:szCs w:val="24"/>
    </w:rPr>
  </w:style>
  <w:style w:type="character" w:customStyle="1" w:styleId="289">
    <w:name w:val="纯文本 字符1"/>
    <w:basedOn w:val="91"/>
    <w:link w:val="41"/>
    <w:qFormat/>
    <w:uiPriority w:val="0"/>
    <w:rPr>
      <w:rFonts w:ascii="宋体" w:hAnsi="Courier New" w:eastAsia="宋体" w:cs="Times New Roman"/>
    </w:rPr>
  </w:style>
  <w:style w:type="character" w:customStyle="1" w:styleId="290">
    <w:name w:val="填表5行距12磅 Char"/>
    <w:link w:val="291"/>
    <w:qFormat/>
    <w:uiPriority w:val="0"/>
    <w:rPr>
      <w:rFonts w:ascii="宋体" w:eastAsia="宋体" w:cs="宋体"/>
    </w:rPr>
  </w:style>
  <w:style w:type="paragraph" w:customStyle="1" w:styleId="291">
    <w:name w:val="填表5行距12磅"/>
    <w:basedOn w:val="125"/>
    <w:link w:val="290"/>
    <w:qFormat/>
    <w:uiPriority w:val="0"/>
    <w:pPr>
      <w:spacing w:line="240" w:lineRule="exact"/>
    </w:pPr>
    <w:rPr>
      <w:rFonts w:cs="宋体" w:hAnsiTheme="minorHAnsi"/>
      <w:szCs w:val="21"/>
    </w:rPr>
  </w:style>
  <w:style w:type="character" w:customStyle="1" w:styleId="292">
    <w:name w:val="正文（首行式样2） Char"/>
    <w:link w:val="293"/>
    <w:qFormat/>
    <w:uiPriority w:val="0"/>
    <w:rPr>
      <w:rFonts w:eastAsia="仿宋_GB2312"/>
      <w:kern w:val="1"/>
      <w:sz w:val="28"/>
      <w:lang w:eastAsia="ar-SA"/>
    </w:rPr>
  </w:style>
  <w:style w:type="paragraph" w:customStyle="1" w:styleId="293">
    <w:name w:val="正文（首行式样2）"/>
    <w:basedOn w:val="213"/>
    <w:link w:val="292"/>
    <w:qFormat/>
    <w:uiPriority w:val="0"/>
    <w:pPr>
      <w:ind w:right="0"/>
    </w:pPr>
    <w:rPr>
      <w:bCs w:val="0"/>
    </w:rPr>
  </w:style>
  <w:style w:type="character" w:customStyle="1" w:styleId="294">
    <w:name w:val="Char Char2"/>
    <w:qFormat/>
    <w:uiPriority w:val="1"/>
    <w:rPr>
      <w:rFonts w:hint="eastAsia" w:ascii="宋体" w:hAnsi="宋体" w:eastAsia="宋体"/>
      <w:kern w:val="2"/>
      <w:sz w:val="21"/>
      <w:szCs w:val="24"/>
      <w:lang w:val="en-US" w:eastAsia="zh-CN" w:bidi="ar-SA"/>
    </w:rPr>
  </w:style>
  <w:style w:type="character" w:customStyle="1" w:styleId="295">
    <w:name w:val="标题3缩2 Char"/>
    <w:link w:val="296"/>
    <w:qFormat/>
    <w:uiPriority w:val="0"/>
    <w:rPr>
      <w:rFonts w:ascii="宋体" w:eastAsia="黑体" w:cs="宋体"/>
      <w:b/>
      <w:bCs/>
      <w:sz w:val="28"/>
    </w:rPr>
  </w:style>
  <w:style w:type="paragraph" w:customStyle="1" w:styleId="296">
    <w:name w:val="标题3缩2"/>
    <w:basedOn w:val="1"/>
    <w:next w:val="1"/>
    <w:link w:val="295"/>
    <w:qFormat/>
    <w:uiPriority w:val="0"/>
    <w:pPr>
      <w:ind w:firstLine="562" w:firstLineChars="200"/>
      <w:outlineLvl w:val="2"/>
    </w:pPr>
    <w:rPr>
      <w:rFonts w:eastAsia="黑体" w:hAnsiTheme="minorHAnsi"/>
      <w:b/>
      <w:bCs/>
      <w:szCs w:val="21"/>
    </w:rPr>
  </w:style>
  <w:style w:type="character" w:customStyle="1" w:styleId="297">
    <w:name w:val="样式 样式 小段标题 + 首行缩进:  2 字符 段前: 0.5 行 段后: 0.5 行 + 首行缩进:  0.85 厘米 段... Char"/>
    <w:link w:val="298"/>
    <w:qFormat/>
    <w:uiPriority w:val="0"/>
    <w:rPr>
      <w:rFonts w:eastAsia="宋体" w:cs="宋体"/>
      <w:sz w:val="24"/>
    </w:rPr>
  </w:style>
  <w:style w:type="paragraph" w:customStyle="1" w:styleId="298">
    <w:name w:val="样式 样式 小段标题 + 首行缩进:  2 字符 段前: 0.5 行 段后: 0.5 行 + 首行缩进:  0.85 厘米 段..."/>
    <w:basedOn w:val="1"/>
    <w:link w:val="297"/>
    <w:qFormat/>
    <w:uiPriority w:val="0"/>
    <w:pPr>
      <w:snapToGrid/>
      <w:spacing w:beforeLines="70" w:line="240" w:lineRule="auto"/>
    </w:pPr>
    <w:rPr>
      <w:rFonts w:asciiTheme="minorHAnsi" w:hAnsiTheme="minorHAnsi"/>
      <w:sz w:val="24"/>
      <w:szCs w:val="21"/>
    </w:rPr>
  </w:style>
  <w:style w:type="character" w:customStyle="1" w:styleId="299">
    <w:name w:val="style71"/>
    <w:qFormat/>
    <w:uiPriority w:val="0"/>
    <w:rPr>
      <w:rFonts w:hint="eastAsia" w:ascii="黑体" w:eastAsia="黑体"/>
      <w:b/>
      <w:bCs/>
      <w:sz w:val="36"/>
      <w:szCs w:val="36"/>
    </w:rPr>
  </w:style>
  <w:style w:type="character" w:customStyle="1" w:styleId="300">
    <w:name w:val="bbc1"/>
    <w:qFormat/>
    <w:uiPriority w:val="0"/>
    <w:rPr>
      <w:b/>
      <w:bCs/>
      <w:color w:val="000000"/>
      <w:sz w:val="27"/>
      <w:szCs w:val="27"/>
      <w:u w:val="none"/>
    </w:rPr>
  </w:style>
  <w:style w:type="character" w:customStyle="1" w:styleId="301">
    <w:name w:val="正文6"/>
    <w:qFormat/>
    <w:uiPriority w:val="0"/>
    <w:rPr>
      <w:rFonts w:ascii="Times New Roman" w:hAnsi="Times New Roman" w:eastAsia="宋体"/>
      <w:spacing w:val="0"/>
      <w:w w:val="100"/>
      <w:position w:val="0"/>
      <w:sz w:val="28"/>
      <w:szCs w:val="28"/>
    </w:rPr>
  </w:style>
  <w:style w:type="character" w:customStyle="1" w:styleId="302">
    <w:name w:val="表头样式 Char"/>
    <w:link w:val="303"/>
    <w:qFormat/>
    <w:uiPriority w:val="0"/>
    <w:rPr>
      <w:rFonts w:ascii="黑体" w:hAnsi="黑体" w:eastAsia="黑体" w:cs="Wingdings"/>
      <w:sz w:val="28"/>
      <w:szCs w:val="28"/>
    </w:rPr>
  </w:style>
  <w:style w:type="paragraph" w:customStyle="1" w:styleId="303">
    <w:name w:val="表头样式"/>
    <w:basedOn w:val="1"/>
    <w:link w:val="302"/>
    <w:qFormat/>
    <w:uiPriority w:val="0"/>
    <w:pPr>
      <w:tabs>
        <w:tab w:val="left" w:pos="2160"/>
      </w:tabs>
      <w:snapToGrid/>
      <w:spacing w:line="240" w:lineRule="auto"/>
      <w:jc w:val="center"/>
    </w:pPr>
    <w:rPr>
      <w:rFonts w:ascii="黑体" w:hAnsi="黑体" w:eastAsia="黑体" w:cs="Wingdings"/>
      <w:szCs w:val="28"/>
    </w:rPr>
  </w:style>
  <w:style w:type="character" w:customStyle="1" w:styleId="304">
    <w:name w:val="标题1"/>
    <w:qFormat/>
    <w:uiPriority w:val="0"/>
    <w:rPr>
      <w:rFonts w:eastAsia="隶书"/>
      <w:b/>
      <w:sz w:val="44"/>
    </w:rPr>
  </w:style>
  <w:style w:type="character" w:customStyle="1" w:styleId="305">
    <w:name w:val="样式10 Char"/>
    <w:link w:val="306"/>
    <w:qFormat/>
    <w:locked/>
    <w:uiPriority w:val="0"/>
    <w:rPr>
      <w:rFonts w:ascii="宋体" w:hAnsi="宋体" w:eastAsia="宋体"/>
      <w:b/>
      <w:bCs/>
      <w:color w:val="000000"/>
      <w:kern w:val="24"/>
      <w:sz w:val="30"/>
      <w:szCs w:val="30"/>
    </w:rPr>
  </w:style>
  <w:style w:type="paragraph" w:customStyle="1" w:styleId="306">
    <w:name w:val="样式10"/>
    <w:basedOn w:val="5"/>
    <w:link w:val="305"/>
    <w:qFormat/>
    <w:uiPriority w:val="0"/>
    <w:pPr>
      <w:numPr>
        <w:ilvl w:val="0"/>
        <w:numId w:val="0"/>
      </w:numPr>
      <w:snapToGrid/>
      <w:spacing w:before="156" w:after="156" w:line="240" w:lineRule="auto"/>
    </w:pPr>
    <w:rPr>
      <w:rFonts w:hAnsi="宋体" w:eastAsia="宋体" w:cstheme="minorBidi"/>
      <w:color w:val="000000"/>
      <w:kern w:val="24"/>
      <w:sz w:val="30"/>
      <w:szCs w:val="30"/>
    </w:rPr>
  </w:style>
  <w:style w:type="character" w:customStyle="1" w:styleId="307">
    <w:name w:val="表头 Char"/>
    <w:link w:val="117"/>
    <w:qFormat/>
    <w:uiPriority w:val="0"/>
    <w:rPr>
      <w:rFonts w:ascii="宋体" w:hAnsi="Times New Roman" w:eastAsia="宋体" w:cs="Times New Roman"/>
      <w:b/>
      <w:kern w:val="0"/>
      <w:sz w:val="28"/>
      <w:szCs w:val="20"/>
    </w:rPr>
  </w:style>
  <w:style w:type="character" w:customStyle="1" w:styleId="308">
    <w:name w:val="正缩1 Char"/>
    <w:link w:val="309"/>
    <w:qFormat/>
    <w:uiPriority w:val="0"/>
    <w:rPr>
      <w:rFonts w:eastAsia="仿宋_GB2312"/>
      <w:snapToGrid w:val="0"/>
      <w:color w:val="000000"/>
      <w:sz w:val="28"/>
    </w:rPr>
  </w:style>
  <w:style w:type="paragraph" w:customStyle="1" w:styleId="309">
    <w:name w:val="正缩1"/>
    <w:basedOn w:val="1"/>
    <w:link w:val="308"/>
    <w:qFormat/>
    <w:uiPriority w:val="0"/>
    <w:pPr>
      <w:adjustRightInd w:val="0"/>
      <w:spacing w:line="500" w:lineRule="exact"/>
      <w:ind w:firstLine="567"/>
    </w:pPr>
    <w:rPr>
      <w:rFonts w:eastAsia="仿宋_GB2312" w:asciiTheme="minorHAnsi" w:hAnsiTheme="minorHAnsi" w:cstheme="minorBidi"/>
      <w:snapToGrid w:val="0"/>
      <w:color w:val="000000"/>
      <w:szCs w:val="21"/>
    </w:rPr>
  </w:style>
  <w:style w:type="character" w:customStyle="1" w:styleId="310">
    <w:name w:val="表内容 Char"/>
    <w:link w:val="311"/>
    <w:qFormat/>
    <w:uiPriority w:val="0"/>
    <w:rPr>
      <w:rFonts w:eastAsia="宋体"/>
    </w:rPr>
  </w:style>
  <w:style w:type="paragraph" w:customStyle="1" w:styleId="311">
    <w:name w:val="表内容"/>
    <w:basedOn w:val="312"/>
    <w:link w:val="310"/>
    <w:qFormat/>
    <w:uiPriority w:val="0"/>
    <w:rPr>
      <w:rFonts w:asciiTheme="minorHAnsi" w:hAnsiTheme="minorHAnsi" w:cstheme="minorBidi"/>
      <w:szCs w:val="21"/>
    </w:rPr>
  </w:style>
  <w:style w:type="paragraph" w:customStyle="1" w:styleId="312">
    <w:name w:val="表格"/>
    <w:basedOn w:val="1"/>
    <w:link w:val="1038"/>
    <w:qFormat/>
    <w:uiPriority w:val="0"/>
    <w:pPr>
      <w:adjustRightInd w:val="0"/>
      <w:snapToGrid/>
      <w:jc w:val="center"/>
    </w:pPr>
    <w:rPr>
      <w:rFonts w:ascii="Times New Roman" w:cs="Times New Roman"/>
      <w:sz w:val="21"/>
    </w:rPr>
  </w:style>
  <w:style w:type="character" w:customStyle="1" w:styleId="313">
    <w:name w:val="正文红 Char"/>
    <w:link w:val="314"/>
    <w:qFormat/>
    <w:locked/>
    <w:uiPriority w:val="0"/>
    <w:rPr>
      <w:rFonts w:ascii="宋体" w:eastAsia="宋体"/>
      <w:color w:val="FF0000"/>
      <w:sz w:val="28"/>
    </w:rPr>
  </w:style>
  <w:style w:type="paragraph" w:customStyle="1" w:styleId="314">
    <w:name w:val="正文红"/>
    <w:basedOn w:val="1"/>
    <w:link w:val="313"/>
    <w:qFormat/>
    <w:uiPriority w:val="0"/>
    <w:rPr>
      <w:rFonts w:hAnsiTheme="minorHAnsi" w:cstheme="minorBidi"/>
      <w:color w:val="FF0000"/>
      <w:szCs w:val="21"/>
    </w:rPr>
  </w:style>
  <w:style w:type="character" w:customStyle="1" w:styleId="315">
    <w:name w:val="p21"/>
    <w:qFormat/>
    <w:uiPriority w:val="0"/>
    <w:rPr>
      <w:sz w:val="18"/>
      <w:szCs w:val="18"/>
    </w:rPr>
  </w:style>
  <w:style w:type="character" w:customStyle="1" w:styleId="316">
    <w:name w:val="Char Char25"/>
    <w:qFormat/>
    <w:uiPriority w:val="0"/>
    <w:rPr>
      <w:rFonts w:eastAsia="宋体"/>
      <w:kern w:val="2"/>
      <w:sz w:val="18"/>
      <w:szCs w:val="18"/>
      <w:lang w:val="en-US" w:eastAsia="zh-CN" w:bidi="ar-SA"/>
    </w:rPr>
  </w:style>
  <w:style w:type="character" w:customStyle="1" w:styleId="317">
    <w:name w:val="仿宋四号 Char"/>
    <w:link w:val="152"/>
    <w:qFormat/>
    <w:locked/>
    <w:uiPriority w:val="0"/>
    <w:rPr>
      <w:rFonts w:ascii="宋体" w:hAnsi="Times New Roman" w:eastAsia="仿宋" w:cs="Times New Roman"/>
      <w:snapToGrid w:val="0"/>
      <w:kern w:val="0"/>
      <w:sz w:val="28"/>
      <w:szCs w:val="24"/>
    </w:rPr>
  </w:style>
  <w:style w:type="character" w:customStyle="1" w:styleId="318">
    <w:name w:val="black3"/>
    <w:qFormat/>
    <w:uiPriority w:val="0"/>
    <w:rPr>
      <w:rFonts w:hint="eastAsia" w:ascii="宋体" w:hAnsi="宋体" w:eastAsia="宋体"/>
      <w:color w:val="000000"/>
      <w:spacing w:val="280"/>
      <w:sz w:val="18"/>
      <w:szCs w:val="18"/>
      <w:u w:val="none"/>
    </w:rPr>
  </w:style>
  <w:style w:type="character" w:customStyle="1" w:styleId="319">
    <w:name w:val="标7 Char"/>
    <w:link w:val="320"/>
    <w:qFormat/>
    <w:uiPriority w:val="0"/>
    <w:rPr>
      <w:rFonts w:ascii="宋体" w:hAnsi="宋体" w:eastAsia="宋体" w:cs="宋体"/>
      <w:sz w:val="30"/>
      <w:szCs w:val="30"/>
    </w:rPr>
  </w:style>
  <w:style w:type="paragraph" w:customStyle="1" w:styleId="320">
    <w:name w:val="标7"/>
    <w:basedOn w:val="1"/>
    <w:link w:val="319"/>
    <w:qFormat/>
    <w:uiPriority w:val="0"/>
    <w:pPr>
      <w:ind w:left="720"/>
      <w:jc w:val="left"/>
      <w:outlineLvl w:val="6"/>
    </w:pPr>
    <w:rPr>
      <w:rFonts w:hAnsi="宋体"/>
      <w:sz w:val="30"/>
      <w:szCs w:val="30"/>
    </w:rPr>
  </w:style>
  <w:style w:type="character" w:customStyle="1" w:styleId="321">
    <w:name w:val="style21"/>
    <w:qFormat/>
    <w:uiPriority w:val="1"/>
    <w:rPr>
      <w:color w:val="0000FF"/>
    </w:rPr>
  </w:style>
  <w:style w:type="character" w:customStyle="1" w:styleId="322">
    <w:name w:val="表格内文字 Char"/>
    <w:link w:val="323"/>
    <w:qFormat/>
    <w:uiPriority w:val="0"/>
    <w:rPr>
      <w:rFonts w:ascii="仿宋_GB2312" w:eastAsia="仿宋_GB2312"/>
      <w:szCs w:val="18"/>
    </w:rPr>
  </w:style>
  <w:style w:type="paragraph" w:customStyle="1" w:styleId="323">
    <w:name w:val="表格内文字"/>
    <w:basedOn w:val="1"/>
    <w:link w:val="322"/>
    <w:qFormat/>
    <w:uiPriority w:val="0"/>
    <w:pPr>
      <w:spacing w:line="240" w:lineRule="auto"/>
      <w:jc w:val="center"/>
    </w:pPr>
    <w:rPr>
      <w:rFonts w:ascii="仿宋_GB2312" w:eastAsia="仿宋_GB2312" w:hAnsiTheme="minorHAnsi" w:cstheme="minorBidi"/>
      <w:sz w:val="21"/>
      <w:szCs w:val="18"/>
    </w:rPr>
  </w:style>
  <w:style w:type="character" w:customStyle="1" w:styleId="324">
    <w:name w:val="15"/>
    <w:qFormat/>
    <w:uiPriority w:val="0"/>
    <w:rPr>
      <w:rFonts w:hint="eastAsia" w:ascii="宋体" w:hAnsi="宋体" w:eastAsia="黑体"/>
      <w:b/>
      <w:bCs/>
      <w:sz w:val="28"/>
      <w:szCs w:val="28"/>
    </w:rPr>
  </w:style>
  <w:style w:type="character" w:customStyle="1" w:styleId="325">
    <w:name w:val="tex0011"/>
    <w:qFormat/>
    <w:uiPriority w:val="0"/>
    <w:rPr>
      <w:rFonts w:hint="default"/>
      <w:color w:val="000066"/>
      <w:sz w:val="18"/>
      <w:szCs w:val="18"/>
    </w:rPr>
  </w:style>
  <w:style w:type="character" w:customStyle="1" w:styleId="326">
    <w:name w:val="c lh15"/>
    <w:basedOn w:val="91"/>
    <w:qFormat/>
    <w:uiPriority w:val="0"/>
  </w:style>
  <w:style w:type="character" w:customStyle="1" w:styleId="327">
    <w:name w:val="td3"/>
    <w:basedOn w:val="91"/>
    <w:qFormat/>
    <w:uiPriority w:val="0"/>
  </w:style>
  <w:style w:type="character" w:customStyle="1" w:styleId="328">
    <w:name w:val="表格1 Char Char"/>
    <w:link w:val="329"/>
    <w:qFormat/>
    <w:uiPriority w:val="0"/>
  </w:style>
  <w:style w:type="paragraph" w:customStyle="1" w:styleId="329">
    <w:name w:val="表格1"/>
    <w:link w:val="328"/>
    <w:qFormat/>
    <w:uiPriority w:val="0"/>
    <w:pPr>
      <w:adjustRightInd w:val="0"/>
      <w:spacing w:line="360" w:lineRule="auto"/>
      <w:jc w:val="center"/>
      <w:textAlignment w:val="center"/>
    </w:pPr>
    <w:rPr>
      <w:rFonts w:asciiTheme="minorHAnsi" w:hAnsiTheme="minorHAnsi" w:eastAsiaTheme="minorEastAsia" w:cstheme="minorBidi"/>
      <w:kern w:val="2"/>
      <w:sz w:val="21"/>
      <w:szCs w:val="21"/>
      <w:lang w:val="en-US" w:eastAsia="zh-CN" w:bidi="ar-SA"/>
    </w:rPr>
  </w:style>
  <w:style w:type="character" w:customStyle="1" w:styleId="330">
    <w:name w:val="Char Char"/>
    <w:link w:val="331"/>
    <w:qFormat/>
    <w:uiPriority w:val="0"/>
    <w:rPr>
      <w:rFonts w:eastAsia="宋体"/>
      <w:szCs w:val="24"/>
    </w:rPr>
  </w:style>
  <w:style w:type="paragraph" w:customStyle="1" w:styleId="331">
    <w:name w:val="Char"/>
    <w:basedOn w:val="1"/>
    <w:next w:val="1"/>
    <w:link w:val="330"/>
    <w:qFormat/>
    <w:uiPriority w:val="0"/>
    <w:pPr>
      <w:snapToGrid/>
      <w:spacing w:line="240" w:lineRule="auto"/>
    </w:pPr>
    <w:rPr>
      <w:rFonts w:asciiTheme="minorHAnsi" w:hAnsiTheme="minorHAnsi" w:cstheme="minorBidi"/>
      <w:sz w:val="21"/>
      <w:szCs w:val="24"/>
    </w:rPr>
  </w:style>
  <w:style w:type="character" w:customStyle="1" w:styleId="332">
    <w:name w:val="正文文本 2 字符"/>
    <w:link w:val="70"/>
    <w:qFormat/>
    <w:locked/>
    <w:uiPriority w:val="99"/>
    <w:rPr>
      <w:rFonts w:eastAsia="宋体"/>
      <w:szCs w:val="24"/>
    </w:rPr>
  </w:style>
  <w:style w:type="character" w:customStyle="1" w:styleId="333">
    <w:name w:val="正文文本 2 Char1"/>
    <w:basedOn w:val="91"/>
    <w:semiHidden/>
    <w:qFormat/>
    <w:uiPriority w:val="99"/>
    <w:rPr>
      <w:rFonts w:ascii="宋体" w:hAnsi="Times New Roman" w:eastAsia="宋体" w:cs="宋体"/>
      <w:sz w:val="28"/>
      <w:szCs w:val="20"/>
    </w:rPr>
  </w:style>
  <w:style w:type="character" w:customStyle="1" w:styleId="334">
    <w:name w:val="正文文本缩进 3 字符"/>
    <w:link w:val="66"/>
    <w:qFormat/>
    <w:uiPriority w:val="0"/>
    <w:rPr>
      <w:rFonts w:ascii="宋体" w:eastAsia="宋体"/>
      <w:sz w:val="24"/>
      <w:szCs w:val="24"/>
    </w:rPr>
  </w:style>
  <w:style w:type="character" w:customStyle="1" w:styleId="335">
    <w:name w:val="正文文本缩进 3 Char1"/>
    <w:basedOn w:val="91"/>
    <w:semiHidden/>
    <w:qFormat/>
    <w:uiPriority w:val="99"/>
    <w:rPr>
      <w:rFonts w:ascii="宋体" w:hAnsi="Times New Roman" w:eastAsia="宋体" w:cs="宋体"/>
      <w:sz w:val="16"/>
      <w:szCs w:val="16"/>
    </w:rPr>
  </w:style>
  <w:style w:type="character" w:customStyle="1" w:styleId="336">
    <w:name w:val="正文缩进 字符1"/>
    <w:link w:val="20"/>
    <w:qFormat/>
    <w:uiPriority w:val="0"/>
    <w:rPr>
      <w:rFonts w:ascii="宋体" w:eastAsia="宋体" w:cs="宋体"/>
      <w:sz w:val="24"/>
      <w:szCs w:val="24"/>
    </w:rPr>
  </w:style>
  <w:style w:type="character" w:customStyle="1" w:styleId="337">
    <w:name w:val="news_c_da1"/>
    <w:qFormat/>
    <w:uiPriority w:val="0"/>
    <w:rPr>
      <w:rFonts w:hint="default"/>
      <w:b/>
      <w:bCs/>
      <w:color w:val="000000"/>
      <w:sz w:val="24"/>
      <w:szCs w:val="24"/>
    </w:rPr>
  </w:style>
  <w:style w:type="character" w:customStyle="1" w:styleId="338">
    <w:name w:val="HTML 地址 字符"/>
    <w:link w:val="38"/>
    <w:qFormat/>
    <w:uiPriority w:val="0"/>
    <w:rPr>
      <w:rFonts w:eastAsia="宋体"/>
      <w:i/>
      <w:iCs/>
      <w:sz w:val="24"/>
      <w:szCs w:val="24"/>
    </w:rPr>
  </w:style>
  <w:style w:type="character" w:customStyle="1" w:styleId="339">
    <w:name w:val="HTML 地址 Char1"/>
    <w:basedOn w:val="91"/>
    <w:semiHidden/>
    <w:qFormat/>
    <w:uiPriority w:val="99"/>
    <w:rPr>
      <w:rFonts w:ascii="宋体" w:hAnsi="Times New Roman" w:eastAsia="宋体" w:cs="宋体"/>
      <w:i/>
      <w:iCs/>
      <w:sz w:val="28"/>
      <w:szCs w:val="20"/>
    </w:rPr>
  </w:style>
  <w:style w:type="character" w:customStyle="1" w:styleId="340">
    <w:name w:val="标题 3 Char2"/>
    <w:qFormat/>
    <w:locked/>
    <w:uiPriority w:val="0"/>
    <w:rPr>
      <w:rFonts w:ascii="黑体" w:hAnsi="Arial Narrow" w:eastAsia="黑体"/>
      <w:bCs/>
      <w:color w:val="000000"/>
      <w:sz w:val="28"/>
      <w:szCs w:val="28"/>
      <w:lang w:val="en-US" w:eastAsia="zh-CN" w:bidi="ar-SA"/>
    </w:rPr>
  </w:style>
  <w:style w:type="character" w:customStyle="1" w:styleId="341">
    <w:name w:val="HTML 预设格式 字符"/>
    <w:link w:val="74"/>
    <w:qFormat/>
    <w:uiPriority w:val="99"/>
    <w:rPr>
      <w:rFonts w:ascii="Arial" w:hAnsi="Arial" w:eastAsia="宋体" w:cs="Arial"/>
      <w:sz w:val="24"/>
      <w:szCs w:val="24"/>
    </w:rPr>
  </w:style>
  <w:style w:type="character" w:customStyle="1" w:styleId="342">
    <w:name w:val="HTML 预设格式 Char1"/>
    <w:basedOn w:val="91"/>
    <w:semiHidden/>
    <w:qFormat/>
    <w:uiPriority w:val="99"/>
    <w:rPr>
      <w:rFonts w:ascii="Courier New" w:hAnsi="Courier New" w:eastAsia="宋体" w:cs="Courier New"/>
      <w:sz w:val="20"/>
      <w:szCs w:val="20"/>
    </w:rPr>
  </w:style>
  <w:style w:type="character" w:customStyle="1" w:styleId="343">
    <w:name w:val="填表4小中行距20磅 Char"/>
    <w:link w:val="344"/>
    <w:qFormat/>
    <w:locked/>
    <w:uiPriority w:val="0"/>
    <w:rPr>
      <w:rFonts w:ascii="宋体" w:eastAsia="宋体" w:cs="宋体"/>
      <w:sz w:val="24"/>
    </w:rPr>
  </w:style>
  <w:style w:type="paragraph" w:customStyle="1" w:styleId="344">
    <w:name w:val="填表4小中行距20磅"/>
    <w:basedOn w:val="227"/>
    <w:link w:val="343"/>
    <w:qFormat/>
    <w:uiPriority w:val="0"/>
    <w:pPr>
      <w:snapToGrid w:val="0"/>
      <w:spacing w:line="400" w:lineRule="exact"/>
    </w:pPr>
  </w:style>
  <w:style w:type="character" w:customStyle="1" w:styleId="345">
    <w:name w:val="正文加粗 Char"/>
    <w:link w:val="138"/>
    <w:qFormat/>
    <w:locked/>
    <w:uiPriority w:val="0"/>
    <w:rPr>
      <w:rFonts w:ascii="宋体" w:hAnsi="Times New Roman" w:eastAsia="黑体" w:cs="宋体"/>
      <w:b/>
      <w:sz w:val="28"/>
      <w:szCs w:val="20"/>
    </w:rPr>
  </w:style>
  <w:style w:type="character" w:customStyle="1" w:styleId="346">
    <w:name w:val="style5"/>
    <w:basedOn w:val="91"/>
    <w:qFormat/>
    <w:uiPriority w:val="0"/>
  </w:style>
  <w:style w:type="character" w:customStyle="1" w:styleId="347">
    <w:name w:val="标题 3 Char1"/>
    <w:qFormat/>
    <w:uiPriority w:val="0"/>
    <w:rPr>
      <w:rFonts w:hint="eastAsia" w:ascii="宋体" w:hAnsi="宋体" w:eastAsia="宋体"/>
      <w:b/>
      <w:bCs/>
      <w:kern w:val="2"/>
      <w:sz w:val="32"/>
      <w:szCs w:val="32"/>
      <w:lang w:val="en-US" w:eastAsia="zh-CN" w:bidi="ar-SA"/>
    </w:rPr>
  </w:style>
  <w:style w:type="character" w:customStyle="1" w:styleId="348">
    <w:name w:val="MTEquationSection"/>
    <w:qFormat/>
    <w:uiPriority w:val="0"/>
    <w:rPr>
      <w:vanish/>
      <w:color w:val="FF0000"/>
      <w:kern w:val="0"/>
      <w:sz w:val="28"/>
    </w:rPr>
  </w:style>
  <w:style w:type="character" w:customStyle="1" w:styleId="349">
    <w:name w:val="19号令1"/>
    <w:basedOn w:val="91"/>
    <w:qFormat/>
    <w:uiPriority w:val="0"/>
  </w:style>
  <w:style w:type="character" w:customStyle="1" w:styleId="350">
    <w:name w:val="f3"/>
    <w:basedOn w:val="91"/>
    <w:qFormat/>
    <w:uiPriority w:val="0"/>
  </w:style>
  <w:style w:type="character" w:customStyle="1" w:styleId="351">
    <w:name w:val="dabig1"/>
    <w:qFormat/>
    <w:uiPriority w:val="0"/>
    <w:rPr>
      <w:spacing w:val="402"/>
      <w:sz w:val="23"/>
      <w:szCs w:val="23"/>
    </w:rPr>
  </w:style>
  <w:style w:type="character" w:customStyle="1" w:styleId="352">
    <w:name w:val="top1"/>
    <w:qFormat/>
    <w:uiPriority w:val="0"/>
    <w:rPr>
      <w:spacing w:val="301"/>
      <w:sz w:val="20"/>
      <w:szCs w:val="20"/>
    </w:rPr>
  </w:style>
  <w:style w:type="character" w:customStyle="1" w:styleId="353">
    <w:name w:val="页码1"/>
    <w:qFormat/>
    <w:uiPriority w:val="0"/>
    <w:rPr>
      <w:rFonts w:hint="eastAsia" w:ascii="宋体" w:hAnsi="宋体" w:eastAsia="宋体"/>
      <w:kern w:val="0"/>
      <w:sz w:val="28"/>
    </w:rPr>
  </w:style>
  <w:style w:type="character" w:customStyle="1" w:styleId="354">
    <w:name w:val="bt21"/>
    <w:qFormat/>
    <w:uiPriority w:val="0"/>
    <w:rPr>
      <w:rFonts w:hint="eastAsia" w:ascii="黑体" w:eastAsia="黑体"/>
      <w:spacing w:val="440"/>
      <w:sz w:val="24"/>
      <w:szCs w:val="24"/>
    </w:rPr>
  </w:style>
  <w:style w:type="character" w:customStyle="1" w:styleId="355">
    <w:name w:val="zw1"/>
    <w:qFormat/>
    <w:uiPriority w:val="0"/>
    <w:rPr>
      <w:rFonts w:hint="eastAsia" w:ascii="宋体" w:hAnsi="宋体" w:eastAsia="宋体"/>
      <w:spacing w:val="440"/>
      <w:sz w:val="22"/>
      <w:szCs w:val="22"/>
    </w:rPr>
  </w:style>
  <w:style w:type="character" w:customStyle="1" w:styleId="356">
    <w:name w:val="bt11"/>
    <w:qFormat/>
    <w:uiPriority w:val="0"/>
    <w:rPr>
      <w:rFonts w:hint="eastAsia" w:ascii="黑体" w:eastAsia="黑体"/>
      <w:color w:val="000000"/>
      <w:spacing w:val="700"/>
      <w:sz w:val="28"/>
      <w:szCs w:val="28"/>
    </w:rPr>
  </w:style>
  <w:style w:type="character" w:customStyle="1" w:styleId="357">
    <w:name w:val="签名 字符"/>
    <w:link w:val="54"/>
    <w:qFormat/>
    <w:uiPriority w:val="0"/>
    <w:rPr>
      <w:rFonts w:eastAsia="宋体"/>
      <w:szCs w:val="24"/>
    </w:rPr>
  </w:style>
  <w:style w:type="character" w:customStyle="1" w:styleId="358">
    <w:name w:val="签名 Char1"/>
    <w:basedOn w:val="91"/>
    <w:semiHidden/>
    <w:qFormat/>
    <w:uiPriority w:val="99"/>
    <w:rPr>
      <w:rFonts w:ascii="宋体" w:hAnsi="Times New Roman" w:eastAsia="宋体" w:cs="宋体"/>
      <w:sz w:val="28"/>
      <w:szCs w:val="20"/>
    </w:rPr>
  </w:style>
  <w:style w:type="character" w:customStyle="1" w:styleId="359">
    <w:name w:val="Char Char1"/>
    <w:qFormat/>
    <w:uiPriority w:val="1"/>
    <w:rPr>
      <w:rFonts w:eastAsia="宋体"/>
      <w:kern w:val="2"/>
      <w:sz w:val="28"/>
      <w:szCs w:val="28"/>
      <w:lang w:val="en-US" w:eastAsia="zh-CN" w:bidi="ar-SA"/>
    </w:rPr>
  </w:style>
  <w:style w:type="character" w:customStyle="1" w:styleId="360">
    <w:name w:val="正文文本首行缩进 2 字符"/>
    <w:link w:val="31"/>
    <w:qFormat/>
    <w:uiPriority w:val="0"/>
    <w:rPr>
      <w:rFonts w:eastAsia="宋体"/>
      <w:szCs w:val="24"/>
    </w:rPr>
  </w:style>
  <w:style w:type="character" w:customStyle="1" w:styleId="361">
    <w:name w:val="正文首行缩进 2 Char1"/>
    <w:basedOn w:val="202"/>
    <w:qFormat/>
    <w:uiPriority w:val="0"/>
    <w:rPr>
      <w:rFonts w:ascii="宋体" w:hAnsi="Times New Roman" w:eastAsia="宋体" w:cs="宋体"/>
      <w:sz w:val="28"/>
      <w:szCs w:val="20"/>
    </w:rPr>
  </w:style>
  <w:style w:type="character" w:customStyle="1" w:styleId="362">
    <w:name w:val="称呼 字符"/>
    <w:link w:val="26"/>
    <w:qFormat/>
    <w:uiPriority w:val="0"/>
    <w:rPr>
      <w:rFonts w:eastAsia="宋体"/>
      <w:sz w:val="24"/>
      <w:szCs w:val="24"/>
    </w:rPr>
  </w:style>
  <w:style w:type="character" w:customStyle="1" w:styleId="363">
    <w:name w:val="称呼 Char1"/>
    <w:basedOn w:val="91"/>
    <w:semiHidden/>
    <w:qFormat/>
    <w:uiPriority w:val="99"/>
    <w:rPr>
      <w:rFonts w:ascii="宋体" w:hAnsi="Times New Roman" w:eastAsia="宋体" w:cs="宋体"/>
      <w:sz w:val="28"/>
      <w:szCs w:val="20"/>
    </w:rPr>
  </w:style>
  <w:style w:type="character" w:customStyle="1" w:styleId="364">
    <w:name w:val="电子邮件签名 字符"/>
    <w:link w:val="18"/>
    <w:qFormat/>
    <w:uiPriority w:val="0"/>
    <w:rPr>
      <w:rFonts w:eastAsia="宋体"/>
      <w:sz w:val="24"/>
      <w:szCs w:val="24"/>
    </w:rPr>
  </w:style>
  <w:style w:type="character" w:customStyle="1" w:styleId="365">
    <w:name w:val="电子邮件签名 Char1"/>
    <w:basedOn w:val="91"/>
    <w:semiHidden/>
    <w:qFormat/>
    <w:uiPriority w:val="99"/>
    <w:rPr>
      <w:rFonts w:ascii="宋体" w:hAnsi="Times New Roman" w:eastAsia="宋体" w:cs="宋体"/>
      <w:sz w:val="28"/>
      <w:szCs w:val="20"/>
    </w:rPr>
  </w:style>
  <w:style w:type="character" w:customStyle="1" w:styleId="366">
    <w:name w:val="结束语 字符"/>
    <w:link w:val="28"/>
    <w:qFormat/>
    <w:uiPriority w:val="0"/>
    <w:rPr>
      <w:rFonts w:eastAsia="宋体"/>
      <w:sz w:val="24"/>
      <w:szCs w:val="24"/>
    </w:rPr>
  </w:style>
  <w:style w:type="character" w:customStyle="1" w:styleId="367">
    <w:name w:val="结束语 Char1"/>
    <w:basedOn w:val="91"/>
    <w:semiHidden/>
    <w:qFormat/>
    <w:uiPriority w:val="99"/>
    <w:rPr>
      <w:rFonts w:ascii="宋体" w:hAnsi="Times New Roman" w:eastAsia="宋体" w:cs="宋体"/>
      <w:sz w:val="28"/>
      <w:szCs w:val="20"/>
    </w:rPr>
  </w:style>
  <w:style w:type="character" w:customStyle="1" w:styleId="368">
    <w:name w:val="信息标题 字符"/>
    <w:link w:val="73"/>
    <w:qFormat/>
    <w:uiPriority w:val="0"/>
    <w:rPr>
      <w:rFonts w:ascii="Arial" w:hAnsi="Arial" w:eastAsia="宋体" w:cs="Arial"/>
      <w:sz w:val="24"/>
      <w:szCs w:val="24"/>
      <w:shd w:val="pct20" w:color="auto" w:fill="auto"/>
    </w:rPr>
  </w:style>
  <w:style w:type="character" w:customStyle="1" w:styleId="369">
    <w:name w:val="信息标题 Char1"/>
    <w:basedOn w:val="91"/>
    <w:semiHidden/>
    <w:qFormat/>
    <w:uiPriority w:val="99"/>
    <w:rPr>
      <w:rFonts w:asciiTheme="majorHAnsi" w:hAnsiTheme="majorHAnsi" w:eastAsiaTheme="majorEastAsia" w:cstheme="majorBidi"/>
      <w:sz w:val="24"/>
      <w:szCs w:val="24"/>
      <w:shd w:val="pct20" w:color="auto" w:fill="auto"/>
    </w:rPr>
  </w:style>
  <w:style w:type="character" w:customStyle="1" w:styleId="370">
    <w:name w:val="填表4小13磅 Char"/>
    <w:link w:val="371"/>
    <w:qFormat/>
    <w:uiPriority w:val="0"/>
    <w:rPr>
      <w:rFonts w:ascii="宋体" w:hAnsi="宋体" w:eastAsia="宋体" w:cs="宋体"/>
      <w:sz w:val="24"/>
    </w:rPr>
  </w:style>
  <w:style w:type="paragraph" w:customStyle="1" w:styleId="371">
    <w:name w:val="填表4小13磅"/>
    <w:basedOn w:val="158"/>
    <w:link w:val="370"/>
    <w:qFormat/>
    <w:uiPriority w:val="0"/>
    <w:pPr>
      <w:snapToGrid w:val="0"/>
      <w:spacing w:line="260" w:lineRule="exact"/>
    </w:pPr>
    <w:rPr>
      <w:rFonts w:hAnsi="宋体" w:cs="宋体"/>
      <w:szCs w:val="21"/>
    </w:rPr>
  </w:style>
  <w:style w:type="character" w:customStyle="1" w:styleId="372">
    <w:name w:val="样式 标题 3 + 非加粗 Char"/>
    <w:link w:val="373"/>
    <w:qFormat/>
    <w:uiPriority w:val="0"/>
    <w:rPr>
      <w:rFonts w:ascii="宋体" w:eastAsia="宋体"/>
      <w:sz w:val="28"/>
      <w:szCs w:val="28"/>
    </w:rPr>
  </w:style>
  <w:style w:type="paragraph" w:customStyle="1" w:styleId="373">
    <w:name w:val="样式 标题 3 + 非加粗"/>
    <w:basedOn w:val="5"/>
    <w:link w:val="372"/>
    <w:qFormat/>
    <w:uiPriority w:val="0"/>
    <w:pPr>
      <w:numPr>
        <w:ilvl w:val="0"/>
        <w:numId w:val="0"/>
      </w:numPr>
      <w:adjustRightInd w:val="0"/>
      <w:spacing w:beforeLines="100" w:afterLines="50"/>
    </w:pPr>
    <w:rPr>
      <w:rFonts w:eastAsia="宋体" w:hAnsiTheme="minorHAnsi" w:cstheme="minorBidi"/>
      <w:b w:val="0"/>
      <w:bCs w:val="0"/>
      <w:szCs w:val="28"/>
    </w:rPr>
  </w:style>
  <w:style w:type="character" w:customStyle="1" w:styleId="374">
    <w:name w:val="title21"/>
    <w:qFormat/>
    <w:uiPriority w:val="0"/>
    <w:rPr>
      <w:rFonts w:hint="eastAsia" w:ascii="黑体" w:eastAsia="黑体"/>
      <w:b/>
      <w:bCs/>
      <w:spacing w:val="837"/>
      <w:sz w:val="50"/>
      <w:szCs w:val="50"/>
    </w:rPr>
  </w:style>
  <w:style w:type="character" w:customStyle="1" w:styleId="375">
    <w:name w:val="标题 2 Char Char"/>
    <w:qFormat/>
    <w:uiPriority w:val="0"/>
    <w:rPr>
      <w:rFonts w:ascii="黑体" w:hAnsi="Arial" w:eastAsia="黑体"/>
      <w:sz w:val="30"/>
      <w:szCs w:val="32"/>
      <w:lang w:val="en-US" w:eastAsia="zh-CN" w:bidi="ar-SA"/>
    </w:rPr>
  </w:style>
  <w:style w:type="character" w:customStyle="1" w:styleId="376">
    <w:name w:val="h21"/>
    <w:qFormat/>
    <w:uiPriority w:val="0"/>
    <w:rPr>
      <w:rFonts w:hint="default" w:ascii="Tahoma" w:hAnsi="Tahoma" w:cs="Tahoma"/>
      <w:b/>
      <w:bCs/>
      <w:color w:val="333399"/>
      <w:sz w:val="20"/>
      <w:szCs w:val="20"/>
    </w:rPr>
  </w:style>
  <w:style w:type="character" w:customStyle="1" w:styleId="377">
    <w:name w:val="样式 宋体 四号"/>
    <w:qFormat/>
    <w:uiPriority w:val="0"/>
    <w:rPr>
      <w:rFonts w:ascii="宋体" w:hAnsi="宋体" w:eastAsia="黑体"/>
      <w:b/>
      <w:sz w:val="28"/>
    </w:rPr>
  </w:style>
  <w:style w:type="character" w:customStyle="1" w:styleId="378">
    <w:name w:val="style161"/>
    <w:qFormat/>
    <w:uiPriority w:val="0"/>
    <w:rPr>
      <w:color w:val="000000"/>
      <w:sz w:val="21"/>
      <w:szCs w:val="21"/>
    </w:rPr>
  </w:style>
  <w:style w:type="character" w:customStyle="1" w:styleId="379">
    <w:name w:val="正文 Char"/>
    <w:link w:val="380"/>
    <w:qFormat/>
    <w:uiPriority w:val="0"/>
    <w:rPr>
      <w:rFonts w:eastAsia="宋体" w:cs="宋体"/>
      <w:sz w:val="28"/>
      <w:szCs w:val="28"/>
    </w:rPr>
  </w:style>
  <w:style w:type="paragraph" w:customStyle="1" w:styleId="380">
    <w:name w:val="正文2"/>
    <w:basedOn w:val="1"/>
    <w:link w:val="379"/>
    <w:qFormat/>
    <w:uiPriority w:val="0"/>
    <w:pPr>
      <w:snapToGrid/>
      <w:spacing w:line="500" w:lineRule="exact"/>
      <w:ind w:firstLine="560" w:firstLineChars="200"/>
    </w:pPr>
    <w:rPr>
      <w:rFonts w:asciiTheme="minorHAnsi" w:hAnsiTheme="minorHAnsi"/>
      <w:szCs w:val="28"/>
    </w:rPr>
  </w:style>
  <w:style w:type="character" w:customStyle="1" w:styleId="381">
    <w:name w:val="发布"/>
    <w:qFormat/>
    <w:uiPriority w:val="0"/>
    <w:rPr>
      <w:rFonts w:ascii="黑体" w:eastAsia="黑体"/>
      <w:spacing w:val="22"/>
      <w:w w:val="100"/>
      <w:position w:val="3"/>
      <w:sz w:val="28"/>
    </w:rPr>
  </w:style>
  <w:style w:type="character" w:customStyle="1" w:styleId="382">
    <w:name w:val="font201"/>
    <w:qFormat/>
    <w:uiPriority w:val="0"/>
  </w:style>
  <w:style w:type="character" w:customStyle="1" w:styleId="383">
    <w:name w:val="普通(网站) 字符"/>
    <w:link w:val="75"/>
    <w:qFormat/>
    <w:uiPriority w:val="0"/>
    <w:rPr>
      <w:rFonts w:ascii="仿宋_GB2312" w:hAnsi="宋体" w:eastAsia="仿宋_GB2312"/>
      <w:color w:val="000000"/>
      <w:sz w:val="28"/>
      <w:szCs w:val="28"/>
    </w:rPr>
  </w:style>
  <w:style w:type="character" w:customStyle="1" w:styleId="384">
    <w:name w:val="style41"/>
    <w:qFormat/>
    <w:uiPriority w:val="0"/>
    <w:rPr>
      <w:sz w:val="21"/>
      <w:szCs w:val="21"/>
    </w:rPr>
  </w:style>
  <w:style w:type="character" w:customStyle="1" w:styleId="385">
    <w:name w:val="cpxx_12-181"/>
    <w:qFormat/>
    <w:uiPriority w:val="0"/>
    <w:rPr>
      <w:sz w:val="18"/>
      <w:szCs w:val="18"/>
    </w:rPr>
  </w:style>
  <w:style w:type="character" w:customStyle="1" w:styleId="386">
    <w:name w:val="px14"/>
    <w:basedOn w:val="91"/>
    <w:qFormat/>
    <w:uiPriority w:val="0"/>
  </w:style>
  <w:style w:type="character" w:customStyle="1" w:styleId="387">
    <w:name w:val="表头 Char Char"/>
    <w:qFormat/>
    <w:uiPriority w:val="0"/>
    <w:rPr>
      <w:rFonts w:ascii="宋体" w:eastAsia="宋体"/>
      <w:b/>
      <w:kern w:val="2"/>
      <w:sz w:val="28"/>
      <w:szCs w:val="28"/>
      <w:lang w:val="en-US" w:eastAsia="zh-CN" w:bidi="ar-SA"/>
    </w:rPr>
  </w:style>
  <w:style w:type="character" w:customStyle="1" w:styleId="388">
    <w:name w:val="3zw1"/>
    <w:qFormat/>
    <w:uiPriority w:val="0"/>
    <w:rPr>
      <w:color w:val="000000"/>
      <w:sz w:val="21"/>
      <w:szCs w:val="21"/>
    </w:rPr>
  </w:style>
  <w:style w:type="character" w:customStyle="1" w:styleId="389">
    <w:name w:val="black1"/>
    <w:qFormat/>
    <w:uiPriority w:val="0"/>
    <w:rPr>
      <w:rFonts w:hint="default" w:ascii="Arial" w:hAnsi="Arial" w:cs="Arial"/>
      <w:color w:val="000000"/>
      <w:sz w:val="18"/>
      <w:szCs w:val="18"/>
      <w:u w:val="none"/>
    </w:rPr>
  </w:style>
  <w:style w:type="character" w:customStyle="1" w:styleId="390">
    <w:name w:val="标题2 Char Char1"/>
    <w:qFormat/>
    <w:uiPriority w:val="0"/>
    <w:rPr>
      <w:rFonts w:ascii="宋体" w:hAnsi="宋体" w:eastAsia="宋体"/>
      <w:b/>
      <w:bCs/>
      <w:sz w:val="36"/>
      <w:szCs w:val="32"/>
      <w:lang w:val="en-GB" w:eastAsia="zh-CN" w:bidi="ar-SA"/>
    </w:rPr>
  </w:style>
  <w:style w:type="character" w:customStyle="1" w:styleId="391">
    <w:name w:val="Char Char Char Char1"/>
    <w:qFormat/>
    <w:uiPriority w:val="0"/>
    <w:rPr>
      <w:rFonts w:eastAsia="宋体"/>
      <w:kern w:val="2"/>
      <w:sz w:val="21"/>
      <w:szCs w:val="24"/>
      <w:lang w:val="en-US" w:eastAsia="zh-CN" w:bidi="ar-SA"/>
    </w:rPr>
  </w:style>
  <w:style w:type="character" w:customStyle="1" w:styleId="392">
    <w:name w:val="标题2 Char Char"/>
    <w:qFormat/>
    <w:uiPriority w:val="0"/>
    <w:rPr>
      <w:rFonts w:ascii="宋体" w:hAnsi="宋体" w:eastAsia="宋体"/>
      <w:b/>
      <w:bCs/>
      <w:sz w:val="36"/>
      <w:szCs w:val="32"/>
      <w:lang w:val="en-GB" w:eastAsia="zh-CN" w:bidi="ar-SA"/>
    </w:rPr>
  </w:style>
  <w:style w:type="character" w:customStyle="1" w:styleId="393">
    <w:name w:val="样式 标题 2标题2H2H21Number 2h2l22nd levelTitre2Header 2节标题 ... Char"/>
    <w:link w:val="394"/>
    <w:qFormat/>
    <w:uiPriority w:val="0"/>
    <w:rPr>
      <w:rFonts w:ascii="黑体" w:hAnsi="宋体" w:eastAsia="黑体" w:cstheme="minorBidi"/>
      <w:b/>
      <w:bCs/>
      <w:color w:val="000000" w:themeColor="text1"/>
      <w:sz w:val="28"/>
      <w:szCs w:val="28"/>
      <w14:textFill>
        <w14:solidFill>
          <w14:schemeClr w14:val="tx1"/>
        </w14:solidFill>
      </w14:textFill>
    </w:rPr>
  </w:style>
  <w:style w:type="paragraph" w:customStyle="1" w:styleId="394">
    <w:name w:val="样式 标题 2标题2H2H21Number 2h2l22nd levelTitre2Header 2节标题 ..."/>
    <w:basedOn w:val="4"/>
    <w:link w:val="393"/>
    <w:qFormat/>
    <w:uiPriority w:val="0"/>
    <w:pPr>
      <w:snapToGrid/>
      <w:spacing w:before="260" w:after="260"/>
      <w:jc w:val="left"/>
    </w:pPr>
    <w:rPr>
      <w:rFonts w:ascii="黑体" w:hAnsi="宋体" w:eastAsia="黑体" w:cstheme="minorBidi"/>
      <w:b/>
      <w:sz w:val="28"/>
      <w:szCs w:val="28"/>
    </w:rPr>
  </w:style>
  <w:style w:type="character" w:customStyle="1" w:styleId="395">
    <w:name w:val="sh141"/>
    <w:qFormat/>
    <w:uiPriority w:val="0"/>
    <w:rPr>
      <w:color w:val="2B2B2B"/>
      <w:sz w:val="23"/>
      <w:szCs w:val="23"/>
    </w:rPr>
  </w:style>
  <w:style w:type="character" w:customStyle="1" w:styleId="396">
    <w:name w:val="附件标题 Char"/>
    <w:link w:val="142"/>
    <w:qFormat/>
    <w:uiPriority w:val="0"/>
    <w:rPr>
      <w:rFonts w:ascii="宋体" w:hAnsi="Times New Roman" w:eastAsia="宋体" w:cs="Times New Roman"/>
      <w:b/>
      <w:sz w:val="32"/>
      <w:szCs w:val="28"/>
    </w:rPr>
  </w:style>
  <w:style w:type="character" w:customStyle="1" w:styleId="397">
    <w:name w:val="font21"/>
    <w:qFormat/>
    <w:uiPriority w:val="0"/>
    <w:rPr>
      <w:rFonts w:hint="eastAsia" w:ascii="宋体" w:hAnsi="宋体" w:eastAsia="宋体"/>
      <w:color w:val="000000"/>
      <w:sz w:val="24"/>
      <w:szCs w:val="24"/>
      <w:u w:val="none"/>
    </w:rPr>
  </w:style>
  <w:style w:type="character" w:customStyle="1" w:styleId="398">
    <w:name w:val="font01"/>
    <w:qFormat/>
    <w:uiPriority w:val="0"/>
    <w:rPr>
      <w:rFonts w:hint="eastAsia" w:ascii="宋体" w:hAnsi="宋体" w:eastAsia="宋体"/>
      <w:color w:val="000000"/>
      <w:sz w:val="24"/>
      <w:szCs w:val="24"/>
      <w:u w:val="none"/>
      <w:vertAlign w:val="superscript"/>
    </w:rPr>
  </w:style>
  <w:style w:type="character" w:customStyle="1" w:styleId="399">
    <w:name w:val="样1 Char"/>
    <w:link w:val="400"/>
    <w:qFormat/>
    <w:uiPriority w:val="0"/>
    <w:rPr>
      <w:rFonts w:eastAsia="宋体"/>
      <w:sz w:val="24"/>
    </w:rPr>
  </w:style>
  <w:style w:type="paragraph" w:customStyle="1" w:styleId="400">
    <w:name w:val="样1"/>
    <w:basedOn w:val="1"/>
    <w:link w:val="399"/>
    <w:qFormat/>
    <w:uiPriority w:val="0"/>
    <w:pPr>
      <w:autoSpaceDE w:val="0"/>
      <w:autoSpaceDN w:val="0"/>
      <w:adjustRightInd w:val="0"/>
      <w:snapToGrid/>
      <w:ind w:right="232"/>
      <w:jc w:val="center"/>
      <w:textAlignment w:val="bottom"/>
    </w:pPr>
    <w:rPr>
      <w:rFonts w:asciiTheme="minorHAnsi" w:hAnsiTheme="minorHAnsi" w:cstheme="minorBidi"/>
      <w:sz w:val="24"/>
      <w:szCs w:val="21"/>
    </w:rPr>
  </w:style>
  <w:style w:type="character" w:customStyle="1" w:styleId="401">
    <w:name w:val="title11"/>
    <w:qFormat/>
    <w:uiPriority w:val="0"/>
    <w:rPr>
      <w:rFonts w:hint="eastAsia" w:ascii="黑体" w:eastAsia="黑体"/>
      <w:b/>
      <w:bCs/>
      <w:sz w:val="60"/>
      <w:szCs w:val="60"/>
    </w:rPr>
  </w:style>
  <w:style w:type="character" w:customStyle="1" w:styleId="402">
    <w:name w:val="title31"/>
    <w:qFormat/>
    <w:uiPriority w:val="1"/>
    <w:rPr>
      <w:rFonts w:hint="eastAsia" w:ascii="黑体" w:eastAsia="黑体"/>
      <w:sz w:val="40"/>
      <w:szCs w:val="40"/>
    </w:rPr>
  </w:style>
  <w:style w:type="character" w:customStyle="1" w:styleId="403">
    <w:name w:val="title41"/>
    <w:qFormat/>
    <w:uiPriority w:val="1"/>
    <w:rPr>
      <w:rFonts w:hint="eastAsia" w:ascii="宋体" w:hAnsi="宋体" w:eastAsia="宋体"/>
      <w:color w:val="FF6600"/>
      <w:sz w:val="40"/>
      <w:szCs w:val="40"/>
    </w:rPr>
  </w:style>
  <w:style w:type="character" w:customStyle="1" w:styleId="404">
    <w:name w:val="款标题1.1.1.1 Char"/>
    <w:qFormat/>
    <w:uiPriority w:val="0"/>
    <w:rPr>
      <w:rFonts w:ascii="黑体" w:hAnsi="Arial" w:eastAsia="黑体"/>
      <w:kern w:val="2"/>
      <w:sz w:val="28"/>
      <w:szCs w:val="28"/>
      <w:lang w:val="en-US" w:eastAsia="zh-CN" w:bidi="ar-SA"/>
    </w:rPr>
  </w:style>
  <w:style w:type="character" w:customStyle="1" w:styleId="405">
    <w:name w:val="正文文字 Char Char"/>
    <w:qFormat/>
    <w:uiPriority w:val="0"/>
    <w:rPr>
      <w:rFonts w:eastAsia="宋体"/>
      <w:kern w:val="2"/>
      <w:sz w:val="21"/>
      <w:szCs w:val="24"/>
      <w:lang w:val="en-US" w:eastAsia="zh-CN" w:bidi="ar-SA"/>
    </w:rPr>
  </w:style>
  <w:style w:type="character" w:customStyle="1" w:styleId="406">
    <w:name w:val="正文4号缩进2字符 Char"/>
    <w:link w:val="407"/>
    <w:qFormat/>
    <w:uiPriority w:val="0"/>
    <w:rPr>
      <w:rFonts w:ascii="宋体" w:hAnsi="宋体"/>
      <w:sz w:val="28"/>
      <w:szCs w:val="28"/>
    </w:rPr>
  </w:style>
  <w:style w:type="paragraph" w:customStyle="1" w:styleId="407">
    <w:name w:val="正文4号缩进2字符"/>
    <w:basedOn w:val="1"/>
    <w:next w:val="31"/>
    <w:link w:val="406"/>
    <w:qFormat/>
    <w:uiPriority w:val="0"/>
    <w:pPr>
      <w:widowControl/>
      <w:snapToGrid/>
      <w:spacing w:after="200" w:line="276" w:lineRule="auto"/>
      <w:ind w:firstLine="560"/>
      <w:jc w:val="left"/>
    </w:pPr>
    <w:rPr>
      <w:rFonts w:hAnsi="宋体" w:eastAsiaTheme="minorEastAsia" w:cstheme="minorBidi"/>
      <w:szCs w:val="28"/>
    </w:rPr>
  </w:style>
  <w:style w:type="character" w:customStyle="1" w:styleId="408">
    <w:name w:val="批注主题 字符"/>
    <w:basedOn w:val="278"/>
    <w:link w:val="78"/>
    <w:qFormat/>
    <w:uiPriority w:val="99"/>
    <w:rPr>
      <w:rFonts w:ascii="宋体" w:hAnsi="Times New Roman" w:eastAsia="宋体" w:cs="宋体"/>
      <w:b/>
      <w:bCs/>
      <w:sz w:val="28"/>
      <w:szCs w:val="28"/>
    </w:rPr>
  </w:style>
  <w:style w:type="character" w:customStyle="1" w:styleId="409">
    <w:name w:val="注释标题 字符"/>
    <w:basedOn w:val="91"/>
    <w:link w:val="16"/>
    <w:qFormat/>
    <w:uiPriority w:val="0"/>
    <w:rPr>
      <w:rFonts w:ascii="Times New Roman" w:hAnsi="Times New Roman" w:eastAsia="宋体" w:cs="Times New Roman"/>
      <w:sz w:val="24"/>
      <w:szCs w:val="24"/>
    </w:rPr>
  </w:style>
  <w:style w:type="paragraph" w:customStyle="1" w:styleId="410">
    <w:name w:val="填表小5红"/>
    <w:basedOn w:val="411"/>
    <w:qFormat/>
    <w:uiPriority w:val="0"/>
    <w:rPr>
      <w:rFonts w:eastAsia="仿宋_GB2312"/>
      <w:color w:val="FF0000"/>
    </w:rPr>
  </w:style>
  <w:style w:type="paragraph" w:customStyle="1" w:styleId="411">
    <w:name w:val="填表小5"/>
    <w:basedOn w:val="1"/>
    <w:qFormat/>
    <w:uiPriority w:val="0"/>
    <w:pPr>
      <w:spacing w:line="240" w:lineRule="auto"/>
      <w:jc w:val="left"/>
    </w:pPr>
    <w:rPr>
      <w:rFonts w:cs="Times New Roman"/>
      <w:sz w:val="18"/>
      <w:szCs w:val="18"/>
    </w:rPr>
  </w:style>
  <w:style w:type="paragraph" w:customStyle="1" w:styleId="412">
    <w:name w:val="默认段落字体 Para Char Char Char Char Char"/>
    <w:basedOn w:val="1"/>
    <w:qFormat/>
    <w:uiPriority w:val="0"/>
    <w:pPr>
      <w:snapToGrid/>
      <w:spacing w:line="240" w:lineRule="auto"/>
    </w:pPr>
    <w:rPr>
      <w:rFonts w:ascii="Times New Roman" w:cs="Times New Roman"/>
      <w:sz w:val="21"/>
      <w:szCs w:val="21"/>
    </w:rPr>
  </w:style>
  <w:style w:type="paragraph" w:customStyle="1" w:styleId="413">
    <w:name w:val="样式5"/>
    <w:basedOn w:val="7"/>
    <w:qFormat/>
    <w:uiPriority w:val="0"/>
    <w:pPr>
      <w:keepLines w:val="0"/>
      <w:numPr>
        <w:ilvl w:val="0"/>
        <w:numId w:val="0"/>
      </w:numPr>
      <w:tabs>
        <w:tab w:val="left" w:pos="3087"/>
      </w:tabs>
      <w:snapToGrid/>
      <w:spacing w:before="100" w:beforeAutospacing="1" w:after="100" w:afterAutospacing="1" w:line="240" w:lineRule="auto"/>
    </w:pPr>
    <w:rPr>
      <w:rFonts w:ascii="Times New Roman" w:eastAsia="宋体" w:cs="Times New Roman"/>
      <w:sz w:val="24"/>
      <w:szCs w:val="24"/>
    </w:rPr>
  </w:style>
  <w:style w:type="paragraph" w:customStyle="1" w:styleId="414">
    <w:name w:val="二级标题"/>
    <w:basedOn w:val="1"/>
    <w:next w:val="1"/>
    <w:qFormat/>
    <w:uiPriority w:val="0"/>
    <w:pPr>
      <w:keepNext/>
      <w:adjustRightInd w:val="0"/>
      <w:snapToGrid/>
      <w:spacing w:before="240" w:after="240" w:line="312" w:lineRule="atLeast"/>
      <w:jc w:val="center"/>
    </w:pPr>
    <w:rPr>
      <w:rFonts w:ascii="Times New Roman" w:cs="Times New Roman"/>
    </w:rPr>
  </w:style>
  <w:style w:type="paragraph" w:customStyle="1" w:styleId="415">
    <w:name w:val="xl31"/>
    <w:basedOn w:val="1"/>
    <w:qFormat/>
    <w:uiPriority w:val="1"/>
    <w:pPr>
      <w:widowControl/>
      <w:pBdr>
        <w:top w:val="single" w:color="C0C0C0" w:sz="4" w:space="0"/>
        <w:left w:val="single" w:color="C0C0C0" w:sz="4" w:space="0"/>
        <w:bottom w:val="single" w:color="C0C0C0" w:sz="4" w:space="0"/>
        <w:right w:val="single" w:color="C0C0C0" w:sz="4" w:space="0"/>
      </w:pBdr>
      <w:shd w:val="clear" w:color="auto" w:fill="FFCC99"/>
      <w:snapToGrid/>
      <w:spacing w:before="100" w:beforeAutospacing="1" w:after="100" w:afterAutospacing="1" w:line="240" w:lineRule="auto"/>
      <w:jc w:val="center"/>
    </w:pPr>
    <w:rPr>
      <w:rFonts w:ascii="Arial Unicode MS" w:hAnsi="Arial Unicode MS" w:eastAsia="Arial Unicode MS" w:cs="Arial Unicode MS"/>
      <w:color w:val="000000"/>
      <w:sz w:val="20"/>
    </w:rPr>
  </w:style>
  <w:style w:type="paragraph" w:customStyle="1" w:styleId="416">
    <w:name w:val="xl225"/>
    <w:basedOn w:val="1"/>
    <w:qFormat/>
    <w:uiPriority w:val="0"/>
    <w:pPr>
      <w:widowControl/>
      <w:pBdr>
        <w:top w:val="single" w:color="auto" w:sz="4" w:space="0"/>
        <w:left w:val="single" w:color="auto" w:sz="4" w:space="0"/>
        <w:bottom w:val="single" w:color="auto" w:sz="4" w:space="0"/>
      </w:pBdr>
      <w:snapToGrid/>
      <w:spacing w:before="100" w:beforeAutospacing="1" w:after="100" w:afterAutospacing="1" w:line="240" w:lineRule="auto"/>
      <w:jc w:val="center"/>
    </w:pPr>
    <w:rPr>
      <w:rFonts w:hAnsi="宋体"/>
      <w:sz w:val="20"/>
    </w:rPr>
  </w:style>
  <w:style w:type="paragraph" w:customStyle="1" w:styleId="417">
    <w:name w:val="xl43"/>
    <w:basedOn w:val="1"/>
    <w:qFormat/>
    <w:uiPriority w:val="0"/>
    <w:pPr>
      <w:widowControl/>
      <w:pBdr>
        <w:left w:val="single" w:color="808080" w:sz="4" w:space="0"/>
        <w:bottom w:val="single" w:color="808080" w:sz="4" w:space="0"/>
        <w:right w:val="single" w:color="808080" w:sz="4" w:space="0"/>
      </w:pBdr>
      <w:shd w:val="clear" w:color="auto" w:fill="C0C0C0"/>
      <w:snapToGrid/>
      <w:spacing w:before="100" w:beforeAutospacing="1" w:after="100" w:afterAutospacing="1" w:line="240" w:lineRule="auto"/>
      <w:jc w:val="left"/>
    </w:pPr>
    <w:rPr>
      <w:rFonts w:ascii="Arial Unicode MS" w:hAnsi="Arial Unicode MS" w:eastAsia="Arial Unicode MS" w:cs="Arial Unicode MS"/>
      <w:color w:val="993300"/>
      <w:sz w:val="20"/>
    </w:rPr>
  </w:style>
  <w:style w:type="paragraph" w:customStyle="1" w:styleId="418">
    <w:name w:val="xl59"/>
    <w:basedOn w:val="1"/>
    <w:qFormat/>
    <w:uiPriority w:val="0"/>
    <w:pPr>
      <w:widowControl/>
      <w:pBdr>
        <w:top w:val="single" w:color="C0C0C0" w:sz="4" w:space="0"/>
        <w:left w:val="single" w:color="C0C0C0" w:sz="4" w:space="0"/>
        <w:bottom w:val="single" w:color="C0C0C0" w:sz="4" w:space="0"/>
        <w:right w:val="single" w:color="C0C0C0" w:sz="4" w:space="0"/>
      </w:pBdr>
      <w:shd w:val="clear" w:color="auto" w:fill="CCFFFF"/>
      <w:snapToGrid/>
      <w:spacing w:before="100" w:beforeAutospacing="1" w:after="100" w:afterAutospacing="1" w:line="240" w:lineRule="auto"/>
      <w:jc w:val="center"/>
    </w:pPr>
    <w:rPr>
      <w:rFonts w:ascii="Arial Unicode MS" w:hAnsi="Arial Unicode MS" w:eastAsia="Arial Unicode MS" w:cs="Arial Unicode MS"/>
      <w:color w:val="0000FF"/>
      <w:sz w:val="20"/>
    </w:rPr>
  </w:style>
  <w:style w:type="paragraph" w:customStyle="1" w:styleId="419">
    <w:name w:val="xl30"/>
    <w:basedOn w:val="1"/>
    <w:qFormat/>
    <w:uiPriority w:val="1"/>
    <w:pPr>
      <w:widowControl/>
      <w:snapToGrid/>
      <w:spacing w:before="100" w:beforeAutospacing="1" w:after="100" w:afterAutospacing="1" w:line="240" w:lineRule="auto"/>
      <w:jc w:val="left"/>
    </w:pPr>
    <w:rPr>
      <w:rFonts w:ascii="Arial Unicode MS" w:hAnsi="Arial Unicode MS" w:eastAsia="Arial Unicode MS" w:cs="Arial Unicode MS"/>
      <w:color w:val="0000FF"/>
      <w:sz w:val="24"/>
      <w:szCs w:val="24"/>
    </w:rPr>
  </w:style>
  <w:style w:type="paragraph" w:customStyle="1" w:styleId="420">
    <w:name w:val="xl74"/>
    <w:basedOn w:val="1"/>
    <w:qFormat/>
    <w:uiPriority w:val="0"/>
    <w:pPr>
      <w:widowControl/>
      <w:pBdr>
        <w:left w:val="single" w:color="C0C0C0" w:sz="4" w:space="0"/>
        <w:right w:val="single" w:color="C0C0C0" w:sz="4" w:space="0"/>
      </w:pBdr>
      <w:shd w:val="clear" w:color="auto" w:fill="CCFFFF"/>
      <w:snapToGrid/>
      <w:spacing w:before="100" w:beforeAutospacing="1" w:after="100" w:afterAutospacing="1" w:line="240" w:lineRule="auto"/>
      <w:jc w:val="left"/>
    </w:pPr>
    <w:rPr>
      <w:rFonts w:ascii="Arial Unicode MS" w:hAnsi="Arial Unicode MS" w:eastAsia="Arial Unicode MS" w:cs="Arial Unicode MS"/>
      <w:color w:val="0000FF"/>
      <w:sz w:val="20"/>
    </w:rPr>
  </w:style>
  <w:style w:type="paragraph" w:customStyle="1" w:styleId="421">
    <w:name w:val="一级条标题"/>
    <w:next w:val="5"/>
    <w:qFormat/>
    <w:uiPriority w:val="0"/>
    <w:pPr>
      <w:tabs>
        <w:tab w:val="left" w:pos="1820"/>
      </w:tabs>
      <w:ind w:left="1820" w:hanging="420"/>
      <w:outlineLvl w:val="2"/>
    </w:pPr>
    <w:rPr>
      <w:rFonts w:ascii="Times New Roman" w:hAnsi="Times New Roman" w:eastAsia="黑体" w:cs="Times New Roman"/>
      <w:sz w:val="21"/>
      <w:lang w:val="en-US" w:eastAsia="zh-CN" w:bidi="ar-SA"/>
    </w:rPr>
  </w:style>
  <w:style w:type="paragraph" w:customStyle="1" w:styleId="422">
    <w:name w:val="xl66"/>
    <w:basedOn w:val="1"/>
    <w:qFormat/>
    <w:uiPriority w:val="0"/>
    <w:pPr>
      <w:widowControl/>
      <w:pBdr>
        <w:top w:val="single" w:color="C0C0C0" w:sz="4" w:space="0"/>
        <w:left w:val="single" w:color="C0C0C0" w:sz="4" w:space="0"/>
        <w:bottom w:val="single" w:color="C0C0C0" w:sz="4" w:space="0"/>
        <w:right w:val="single" w:color="C0C0C0" w:sz="4" w:space="0"/>
      </w:pBdr>
      <w:shd w:val="clear" w:color="auto" w:fill="CCFFFF"/>
      <w:snapToGrid/>
      <w:spacing w:before="100" w:beforeAutospacing="1" w:after="100" w:afterAutospacing="1" w:line="240" w:lineRule="auto"/>
      <w:jc w:val="left"/>
    </w:pPr>
    <w:rPr>
      <w:rFonts w:ascii="Arial Unicode MS" w:hAnsi="Arial Unicode MS" w:eastAsia="Arial Unicode MS" w:cs="Arial Unicode MS"/>
      <w:color w:val="0000FF"/>
      <w:sz w:val="20"/>
    </w:rPr>
  </w:style>
  <w:style w:type="paragraph" w:customStyle="1" w:styleId="423">
    <w:name w:val="标题3"/>
    <w:basedOn w:val="5"/>
    <w:qFormat/>
    <w:uiPriority w:val="0"/>
    <w:pPr>
      <w:keepNext w:val="0"/>
      <w:keepLines w:val="0"/>
      <w:snapToGrid/>
      <w:ind w:firstLine="567"/>
      <w:jc w:val="both"/>
      <w:outlineLvl w:val="9"/>
    </w:pPr>
    <w:rPr>
      <w:rFonts w:eastAsia="宋体"/>
      <w:b w:val="0"/>
      <w:bCs w:val="0"/>
      <w:spacing w:val="24"/>
      <w:sz w:val="24"/>
    </w:rPr>
  </w:style>
  <w:style w:type="paragraph" w:customStyle="1" w:styleId="424">
    <w:name w:val="No Spacing1"/>
    <w:qFormat/>
    <w:uiPriority w:val="0"/>
    <w:rPr>
      <w:rFonts w:ascii="Times New Roman" w:hAnsi="Times New Roman" w:eastAsia="宋体" w:cs="Times New Roman"/>
      <w:lang w:val="en-US" w:eastAsia="en-US" w:bidi="ar-SA"/>
    </w:rPr>
  </w:style>
  <w:style w:type="paragraph" w:customStyle="1" w:styleId="425">
    <w:name w:val="默认段落字体 Para Char"/>
    <w:basedOn w:val="1"/>
    <w:semiHidden/>
    <w:qFormat/>
    <w:uiPriority w:val="0"/>
    <w:pPr>
      <w:autoSpaceDE w:val="0"/>
      <w:autoSpaceDN w:val="0"/>
      <w:adjustRightInd w:val="0"/>
      <w:snapToGrid/>
      <w:spacing w:line="240" w:lineRule="auto"/>
      <w:jc w:val="left"/>
      <w:outlineLvl w:val="1"/>
    </w:pPr>
    <w:rPr>
      <w:rFonts w:ascii="楷体_GB2312" w:hAnsi="宋体" w:eastAsia="楷体_GB2312"/>
      <w:sz w:val="21"/>
      <w:szCs w:val="24"/>
    </w:rPr>
  </w:style>
  <w:style w:type="paragraph" w:customStyle="1" w:styleId="426">
    <w:name w:val="xl223"/>
    <w:basedOn w:val="1"/>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jc w:val="center"/>
    </w:pPr>
    <w:rPr>
      <w:rFonts w:hAnsi="宋体"/>
      <w:sz w:val="24"/>
      <w:szCs w:val="24"/>
    </w:rPr>
  </w:style>
  <w:style w:type="paragraph" w:customStyle="1" w:styleId="427">
    <w:name w:val="填表4小红单倍行距"/>
    <w:basedOn w:val="428"/>
    <w:qFormat/>
    <w:uiPriority w:val="0"/>
    <w:rPr>
      <w:rFonts w:cs="宋体"/>
    </w:rPr>
  </w:style>
  <w:style w:type="paragraph" w:customStyle="1" w:styleId="428">
    <w:name w:val="填表4小红1.5倍行距"/>
    <w:basedOn w:val="186"/>
    <w:qFormat/>
    <w:uiPriority w:val="0"/>
    <w:rPr>
      <w:rFonts w:hAnsi="宋体"/>
      <w:color w:val="FF0000"/>
    </w:rPr>
  </w:style>
  <w:style w:type="paragraph" w:customStyle="1" w:styleId="429">
    <w:name w:val="xl26"/>
    <w:basedOn w:val="1"/>
    <w:qFormat/>
    <w:uiPriority w:val="1"/>
    <w:pPr>
      <w:widowControl/>
      <w:pBdr>
        <w:top w:val="single" w:color="C0C0C0" w:sz="4" w:space="0"/>
      </w:pBdr>
      <w:snapToGrid/>
      <w:spacing w:before="100" w:beforeAutospacing="1" w:after="100" w:afterAutospacing="1" w:line="240" w:lineRule="auto"/>
      <w:jc w:val="left"/>
    </w:pPr>
    <w:rPr>
      <w:rFonts w:ascii="Arial Unicode MS" w:hAnsi="Arial Unicode MS" w:eastAsia="Arial Unicode MS" w:cs="Arial Unicode MS"/>
      <w:sz w:val="24"/>
      <w:szCs w:val="24"/>
    </w:rPr>
  </w:style>
  <w:style w:type="paragraph" w:customStyle="1" w:styleId="430">
    <w:name w:val="xl222"/>
    <w:basedOn w:val="1"/>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jc w:val="center"/>
    </w:pPr>
    <w:rPr>
      <w:rFonts w:hAnsi="宋体"/>
      <w:color w:val="FF0000"/>
      <w:sz w:val="24"/>
      <w:szCs w:val="24"/>
    </w:rPr>
  </w:style>
  <w:style w:type="paragraph" w:customStyle="1" w:styleId="431">
    <w:name w:val="xl87"/>
    <w:basedOn w:val="1"/>
    <w:qFormat/>
    <w:uiPriority w:val="0"/>
    <w:pPr>
      <w:widowControl/>
      <w:pBdr>
        <w:top w:val="single" w:color="C0C0C0" w:sz="4" w:space="0"/>
        <w:left w:val="single" w:color="C0C0C0" w:sz="4" w:space="0"/>
        <w:bottom w:val="single" w:color="C0C0C0" w:sz="4" w:space="0"/>
        <w:right w:val="single" w:color="C0C0C0" w:sz="4" w:space="0"/>
      </w:pBdr>
      <w:shd w:val="clear" w:color="auto" w:fill="CCFFFF"/>
      <w:snapToGrid/>
      <w:spacing w:before="100" w:beforeAutospacing="1" w:after="100" w:afterAutospacing="1" w:line="240" w:lineRule="auto"/>
      <w:jc w:val="center"/>
    </w:pPr>
    <w:rPr>
      <w:rFonts w:ascii="Arial Unicode MS" w:hAnsi="Arial Unicode MS" w:eastAsia="Arial Unicode MS" w:cs="Arial Unicode MS"/>
      <w:color w:val="0000FF"/>
      <w:sz w:val="20"/>
    </w:rPr>
  </w:style>
  <w:style w:type="paragraph" w:customStyle="1" w:styleId="432">
    <w:name w:val="图文"/>
    <w:basedOn w:val="1"/>
    <w:qFormat/>
    <w:uiPriority w:val="0"/>
    <w:pPr>
      <w:overflowPunct w:val="0"/>
      <w:autoSpaceDE w:val="0"/>
      <w:autoSpaceDN w:val="0"/>
      <w:adjustRightInd w:val="0"/>
      <w:snapToGrid/>
      <w:spacing w:line="160" w:lineRule="atLeast"/>
      <w:jc w:val="center"/>
    </w:pPr>
    <w:rPr>
      <w:rFonts w:ascii="Times New Roman"/>
      <w:iCs/>
      <w:szCs w:val="28"/>
    </w:rPr>
  </w:style>
  <w:style w:type="paragraph" w:customStyle="1" w:styleId="433">
    <w:name w:val="目录10"/>
    <w:basedOn w:val="77"/>
    <w:qFormat/>
    <w:uiPriority w:val="0"/>
    <w:pPr>
      <w:spacing w:before="0" w:after="0" w:line="600" w:lineRule="exact"/>
      <w:jc w:val="both"/>
      <w:outlineLvl w:val="9"/>
    </w:pPr>
    <w:rPr>
      <w:rFonts w:ascii="Times New Roman" w:hAnsi="Times New Roman" w:cs="Times New Roman"/>
      <w:bCs/>
    </w:rPr>
  </w:style>
  <w:style w:type="paragraph" w:customStyle="1" w:styleId="434">
    <w:name w:val="流程图"/>
    <w:basedOn w:val="1"/>
    <w:qFormat/>
    <w:uiPriority w:val="0"/>
    <w:pPr>
      <w:tabs>
        <w:tab w:val="left" w:pos="0"/>
      </w:tabs>
      <w:autoSpaceDE w:val="0"/>
      <w:autoSpaceDN w:val="0"/>
      <w:adjustRightInd w:val="0"/>
      <w:snapToGrid/>
      <w:spacing w:line="240" w:lineRule="atLeast"/>
      <w:jc w:val="center"/>
    </w:pPr>
  </w:style>
  <w:style w:type="paragraph" w:customStyle="1" w:styleId="435">
    <w:name w:val="节标题1"/>
    <w:basedOn w:val="1"/>
    <w:qFormat/>
    <w:uiPriority w:val="0"/>
    <w:pPr>
      <w:snapToGrid/>
      <w:spacing w:line="700" w:lineRule="exact"/>
      <w:outlineLvl w:val="2"/>
    </w:pPr>
    <w:rPr>
      <w:rFonts w:ascii="Arial" w:hAnsi="Arial" w:eastAsia="仿宋_GB2312" w:cs="Times New Roman"/>
      <w:b/>
    </w:rPr>
  </w:style>
  <w:style w:type="paragraph" w:customStyle="1" w:styleId="436">
    <w:name w:val="Char Char Char Char Char Char"/>
    <w:basedOn w:val="1"/>
    <w:next w:val="2"/>
    <w:qFormat/>
    <w:uiPriority w:val="1"/>
    <w:pPr>
      <w:snapToGrid/>
      <w:spacing w:line="240" w:lineRule="auto"/>
    </w:pPr>
    <w:rPr>
      <w:rFonts w:ascii="Times New Roman" w:cs="Times New Roman"/>
      <w:sz w:val="21"/>
    </w:rPr>
  </w:style>
  <w:style w:type="paragraph" w:customStyle="1" w:styleId="437">
    <w:name w:val="样式 标题 1 + (中文) 宋体"/>
    <w:basedOn w:val="3"/>
    <w:next w:val="3"/>
    <w:qFormat/>
    <w:uiPriority w:val="0"/>
    <w:pPr>
      <w:snapToGrid/>
      <w:spacing w:line="240" w:lineRule="auto"/>
    </w:pPr>
    <w:rPr>
      <w:rFonts w:ascii="Times New Roman" w:eastAsia="宋体" w:cs="Times New Roman"/>
      <w:sz w:val="44"/>
      <w:szCs w:val="48"/>
    </w:rPr>
  </w:style>
  <w:style w:type="paragraph" w:customStyle="1" w:styleId="438">
    <w:name w:val="font11"/>
    <w:basedOn w:val="1"/>
    <w:qFormat/>
    <w:uiPriority w:val="0"/>
    <w:pPr>
      <w:widowControl/>
      <w:snapToGrid/>
      <w:spacing w:before="100" w:beforeAutospacing="1" w:after="100" w:afterAutospacing="1" w:line="240" w:lineRule="auto"/>
      <w:jc w:val="left"/>
    </w:pPr>
    <w:rPr>
      <w:rFonts w:hAnsi="宋体"/>
      <w:color w:val="000000"/>
      <w:sz w:val="24"/>
      <w:szCs w:val="24"/>
    </w:rPr>
  </w:style>
  <w:style w:type="paragraph" w:customStyle="1" w:styleId="439">
    <w:name w:val="pa-1"/>
    <w:basedOn w:val="1"/>
    <w:qFormat/>
    <w:uiPriority w:val="0"/>
    <w:pPr>
      <w:widowControl/>
      <w:snapToGrid/>
      <w:spacing w:line="340" w:lineRule="atLeast"/>
      <w:ind w:firstLine="600"/>
    </w:pPr>
    <w:rPr>
      <w:rFonts w:hAnsi="宋体"/>
      <w:sz w:val="24"/>
      <w:szCs w:val="24"/>
    </w:rPr>
  </w:style>
  <w:style w:type="paragraph" w:customStyle="1" w:styleId="440">
    <w:name w:val="font7"/>
    <w:basedOn w:val="1"/>
    <w:qFormat/>
    <w:uiPriority w:val="0"/>
    <w:pPr>
      <w:widowControl/>
      <w:snapToGrid/>
      <w:spacing w:before="100" w:beforeAutospacing="1" w:after="100" w:afterAutospacing="1" w:line="240" w:lineRule="auto"/>
      <w:jc w:val="left"/>
    </w:pPr>
    <w:rPr>
      <w:rFonts w:ascii="Times New Roman" w:eastAsia="Arial Unicode MS" w:cs="Times New Roman"/>
      <w:color w:val="0000FF"/>
      <w:sz w:val="20"/>
    </w:rPr>
  </w:style>
  <w:style w:type="paragraph" w:customStyle="1" w:styleId="441">
    <w:name w:val="xl216"/>
    <w:basedOn w:val="1"/>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jc w:val="center"/>
    </w:pPr>
    <w:rPr>
      <w:rFonts w:ascii="仿宋_GB2312" w:hAnsi="宋体" w:eastAsia="仿宋_GB2312"/>
      <w:sz w:val="24"/>
      <w:szCs w:val="24"/>
    </w:rPr>
  </w:style>
  <w:style w:type="paragraph" w:customStyle="1" w:styleId="442">
    <w:name w:val="xl42"/>
    <w:basedOn w:val="1"/>
    <w:qFormat/>
    <w:uiPriority w:val="0"/>
    <w:pPr>
      <w:widowControl/>
      <w:pBdr>
        <w:top w:val="single" w:color="969696" w:sz="4" w:space="0"/>
        <w:left w:val="single" w:color="969696" w:sz="4" w:space="0"/>
        <w:bottom w:val="single" w:color="969696" w:sz="4" w:space="0"/>
        <w:right w:val="single" w:color="969696" w:sz="4" w:space="0"/>
      </w:pBdr>
      <w:shd w:val="clear" w:color="auto" w:fill="C0C0C0"/>
      <w:snapToGrid/>
      <w:spacing w:before="100" w:beforeAutospacing="1" w:after="100" w:afterAutospacing="1" w:line="240" w:lineRule="auto"/>
      <w:jc w:val="center"/>
    </w:pPr>
    <w:rPr>
      <w:rFonts w:ascii="Arial Unicode MS" w:hAnsi="Arial Unicode MS" w:eastAsia="Arial Unicode MS" w:cs="Arial Unicode MS"/>
      <w:color w:val="993300"/>
      <w:sz w:val="20"/>
    </w:rPr>
  </w:style>
  <w:style w:type="paragraph" w:customStyle="1" w:styleId="443">
    <w:name w:val="xl82"/>
    <w:basedOn w:val="1"/>
    <w:qFormat/>
    <w:uiPriority w:val="0"/>
    <w:pPr>
      <w:widowControl/>
      <w:pBdr>
        <w:top w:val="single" w:color="C0C0C0" w:sz="4" w:space="0"/>
        <w:left w:val="single" w:color="C0C0C0" w:sz="4" w:space="0"/>
        <w:right w:val="single" w:color="C0C0C0" w:sz="4" w:space="0"/>
      </w:pBdr>
      <w:shd w:val="clear" w:color="auto" w:fill="CCFFFF"/>
      <w:snapToGrid/>
      <w:spacing w:before="100" w:beforeAutospacing="1" w:after="100" w:afterAutospacing="1" w:line="240" w:lineRule="auto"/>
      <w:jc w:val="left"/>
    </w:pPr>
    <w:rPr>
      <w:rFonts w:ascii="Arial Unicode MS" w:hAnsi="Arial Unicode MS" w:eastAsia="Arial Unicode MS" w:cs="Arial Unicode MS"/>
      <w:color w:val="0000FF"/>
      <w:sz w:val="20"/>
    </w:rPr>
  </w:style>
  <w:style w:type="paragraph" w:customStyle="1" w:styleId="444">
    <w:name w:val="Plain Text2"/>
    <w:basedOn w:val="1"/>
    <w:qFormat/>
    <w:uiPriority w:val="0"/>
    <w:pPr>
      <w:adjustRightInd w:val="0"/>
      <w:snapToGrid/>
      <w:spacing w:line="240" w:lineRule="auto"/>
      <w:textAlignment w:val="baseline"/>
    </w:pPr>
    <w:rPr>
      <w:rFonts w:hAnsi="Courier New" w:cs="Times New Roman"/>
      <w:sz w:val="21"/>
    </w:rPr>
  </w:style>
  <w:style w:type="paragraph" w:customStyle="1" w:styleId="445">
    <w:name w:val="表格文字2"/>
    <w:basedOn w:val="1"/>
    <w:qFormat/>
    <w:uiPriority w:val="0"/>
    <w:pPr>
      <w:tabs>
        <w:tab w:val="left" w:pos="277"/>
        <w:tab w:val="left" w:pos="600"/>
        <w:tab w:val="left" w:pos="780"/>
        <w:tab w:val="left" w:pos="2517"/>
      </w:tabs>
      <w:adjustRightInd w:val="0"/>
      <w:snapToGrid/>
      <w:spacing w:before="60" w:line="240" w:lineRule="auto"/>
      <w:jc w:val="center"/>
    </w:pPr>
    <w:rPr>
      <w:rFonts w:ascii="Times New Roman"/>
    </w:rPr>
  </w:style>
  <w:style w:type="paragraph" w:customStyle="1" w:styleId="446">
    <w:name w:val="样式8"/>
    <w:basedOn w:val="1"/>
    <w:link w:val="853"/>
    <w:qFormat/>
    <w:uiPriority w:val="0"/>
    <w:pPr>
      <w:snapToGrid/>
      <w:spacing w:line="500" w:lineRule="exact"/>
      <w:ind w:firstLine="560" w:firstLineChars="200"/>
    </w:pPr>
    <w:rPr>
      <w:rFonts w:hAnsi="宋体" w:cs="Times New Roman"/>
      <w:szCs w:val="28"/>
    </w:rPr>
  </w:style>
  <w:style w:type="paragraph" w:customStyle="1" w:styleId="447">
    <w:name w:val="xl33"/>
    <w:basedOn w:val="1"/>
    <w:qFormat/>
    <w:uiPriority w:val="1"/>
    <w:pPr>
      <w:widowControl/>
      <w:pBdr>
        <w:top w:val="single" w:color="C0C0C0" w:sz="4" w:space="0"/>
        <w:bottom w:val="single" w:color="C0C0C0" w:sz="4" w:space="0"/>
        <w:right w:val="single" w:color="C0C0C0" w:sz="4" w:space="0"/>
      </w:pBdr>
      <w:shd w:val="clear" w:color="auto" w:fill="FFCC99"/>
      <w:snapToGrid/>
      <w:spacing w:before="100" w:beforeAutospacing="1" w:after="100" w:afterAutospacing="1" w:line="240" w:lineRule="auto"/>
      <w:jc w:val="center"/>
    </w:pPr>
    <w:rPr>
      <w:rFonts w:ascii="Arial Unicode MS" w:hAnsi="Arial Unicode MS" w:eastAsia="Arial Unicode MS" w:cs="Arial Unicode MS"/>
      <w:color w:val="000000"/>
      <w:sz w:val="20"/>
    </w:rPr>
  </w:style>
  <w:style w:type="paragraph" w:customStyle="1" w:styleId="448">
    <w:name w:val="xl65"/>
    <w:basedOn w:val="1"/>
    <w:qFormat/>
    <w:uiPriority w:val="1"/>
    <w:pPr>
      <w:widowControl/>
      <w:pBdr>
        <w:left w:val="single" w:color="C0C0C0" w:sz="4" w:space="0"/>
        <w:bottom w:val="single" w:color="C0C0C0" w:sz="4" w:space="0"/>
        <w:right w:val="single" w:color="C0C0C0" w:sz="4" w:space="0"/>
      </w:pBdr>
      <w:shd w:val="clear" w:color="auto" w:fill="CCFFFF"/>
      <w:snapToGrid/>
      <w:spacing w:before="100" w:beforeAutospacing="1" w:after="100" w:afterAutospacing="1" w:line="240" w:lineRule="auto"/>
      <w:jc w:val="left"/>
    </w:pPr>
    <w:rPr>
      <w:rFonts w:ascii="Arial Unicode MS" w:hAnsi="Arial Unicode MS" w:eastAsia="Arial Unicode MS" w:cs="Arial Unicode MS"/>
      <w:color w:val="0000FF"/>
      <w:sz w:val="20"/>
    </w:rPr>
  </w:style>
  <w:style w:type="paragraph" w:customStyle="1" w:styleId="449">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450">
    <w:name w:val="填表5中仿宋"/>
    <w:basedOn w:val="1"/>
    <w:qFormat/>
    <w:uiPriority w:val="0"/>
    <w:pPr>
      <w:jc w:val="center"/>
    </w:pPr>
    <w:rPr>
      <w:rFonts w:ascii="仿宋_GB2312" w:eastAsia="仿宋_GB2312" w:cs="Times New Roman"/>
      <w:sz w:val="21"/>
      <w:szCs w:val="21"/>
    </w:rPr>
  </w:style>
  <w:style w:type="paragraph" w:customStyle="1" w:styleId="451">
    <w:name w:val="1"/>
    <w:basedOn w:val="1"/>
    <w:next w:val="70"/>
    <w:qFormat/>
    <w:uiPriority w:val="1"/>
    <w:pPr>
      <w:snapToGrid/>
      <w:spacing w:line="240" w:lineRule="auto"/>
    </w:pPr>
    <w:rPr>
      <w:rFonts w:ascii="Times New Roman" w:cs="Times New Roman"/>
      <w:sz w:val="24"/>
      <w:szCs w:val="28"/>
    </w:rPr>
  </w:style>
  <w:style w:type="paragraph" w:customStyle="1" w:styleId="452">
    <w:name w:val="实施日期"/>
    <w:basedOn w:val="453"/>
    <w:qFormat/>
    <w:uiPriority w:val="0"/>
    <w:pPr>
      <w:framePr w:hSpace="0" w:wrap="around" w:hAnchor="text" w:xAlign="right"/>
      <w:tabs>
        <w:tab w:val="left" w:pos="2660"/>
      </w:tabs>
      <w:ind w:left="2660" w:hanging="420"/>
      <w:jc w:val="right"/>
    </w:pPr>
  </w:style>
  <w:style w:type="paragraph" w:customStyle="1" w:styleId="453">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454">
    <w:name w:val="xl71"/>
    <w:basedOn w:val="1"/>
    <w:qFormat/>
    <w:uiPriority w:val="0"/>
    <w:pPr>
      <w:widowControl/>
      <w:pBdr>
        <w:top w:val="single" w:color="C0C0C0" w:sz="4" w:space="0"/>
        <w:left w:val="single" w:color="C0C0C0" w:sz="4" w:space="0"/>
        <w:bottom w:val="single" w:color="C0C0C0" w:sz="4" w:space="0"/>
        <w:right w:val="single" w:color="C0C0C0" w:sz="4" w:space="0"/>
      </w:pBdr>
      <w:shd w:val="clear" w:color="auto" w:fill="CCFFFF"/>
      <w:snapToGrid/>
      <w:spacing w:before="100" w:beforeAutospacing="1" w:after="100" w:afterAutospacing="1" w:line="240" w:lineRule="auto"/>
      <w:jc w:val="left"/>
    </w:pPr>
    <w:rPr>
      <w:rFonts w:ascii="Arial Unicode MS" w:hAnsi="Arial Unicode MS" w:eastAsia="Arial Unicode MS" w:cs="Arial Unicode MS"/>
      <w:color w:val="0000FF"/>
      <w:sz w:val="20"/>
    </w:rPr>
  </w:style>
  <w:style w:type="paragraph" w:customStyle="1" w:styleId="455">
    <w:name w:val="填表4小15磅"/>
    <w:basedOn w:val="158"/>
    <w:qFormat/>
    <w:uiPriority w:val="0"/>
    <w:pPr>
      <w:snapToGrid w:val="0"/>
      <w:spacing w:line="300" w:lineRule="exact"/>
    </w:pPr>
    <w:rPr>
      <w:rFonts w:cs="宋体"/>
      <w:szCs w:val="20"/>
    </w:rPr>
  </w:style>
  <w:style w:type="paragraph" w:customStyle="1" w:styleId="456">
    <w:name w:val="Char Char Char Char Char Char1"/>
    <w:basedOn w:val="1"/>
    <w:next w:val="2"/>
    <w:qFormat/>
    <w:uiPriority w:val="1"/>
    <w:pPr>
      <w:snapToGrid/>
      <w:spacing w:line="240" w:lineRule="auto"/>
    </w:pPr>
    <w:rPr>
      <w:rFonts w:ascii="Times New Roman" w:cs="Times New Roman"/>
      <w:szCs w:val="28"/>
    </w:rPr>
  </w:style>
  <w:style w:type="paragraph" w:customStyle="1" w:styleId="457">
    <w:name w:val="xl107"/>
    <w:basedOn w:val="1"/>
    <w:qFormat/>
    <w:uiPriority w:val="0"/>
    <w:pPr>
      <w:widowControl/>
      <w:pBdr>
        <w:bottom w:val="single" w:color="auto" w:sz="4" w:space="0"/>
      </w:pBdr>
      <w:snapToGrid/>
      <w:spacing w:before="100" w:beforeAutospacing="1" w:after="100" w:afterAutospacing="1" w:line="240" w:lineRule="auto"/>
      <w:jc w:val="center"/>
    </w:pPr>
    <w:rPr>
      <w:rFonts w:hAnsi="宋体"/>
      <w:sz w:val="24"/>
      <w:szCs w:val="24"/>
    </w:rPr>
  </w:style>
  <w:style w:type="paragraph" w:customStyle="1" w:styleId="458">
    <w:name w:val="简单回函地址"/>
    <w:basedOn w:val="1"/>
    <w:qFormat/>
    <w:uiPriority w:val="0"/>
    <w:pPr>
      <w:autoSpaceDE w:val="0"/>
      <w:autoSpaceDN w:val="0"/>
      <w:adjustRightInd w:val="0"/>
      <w:snapToGrid/>
      <w:spacing w:line="240" w:lineRule="auto"/>
    </w:pPr>
    <w:rPr>
      <w:rFonts w:ascii="Times New Roman" w:eastAsia="楷体_GB2312" w:cs="Times New Roman"/>
    </w:rPr>
  </w:style>
  <w:style w:type="paragraph" w:customStyle="1" w:styleId="459">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460">
    <w:name w:val="zw"/>
    <w:basedOn w:val="1"/>
    <w:qFormat/>
    <w:uiPriority w:val="0"/>
    <w:pPr>
      <w:widowControl/>
      <w:snapToGrid/>
      <w:spacing w:before="100" w:beforeAutospacing="1" w:after="100" w:afterAutospacing="1" w:line="440" w:lineRule="atLeast"/>
      <w:jc w:val="left"/>
    </w:pPr>
    <w:rPr>
      <w:rFonts w:hAnsi="宋体" w:cs="Times New Roman"/>
      <w:sz w:val="22"/>
      <w:szCs w:val="22"/>
    </w:rPr>
  </w:style>
  <w:style w:type="paragraph" w:customStyle="1" w:styleId="461">
    <w:name w:val="样式 标题 1 + 宋体 三号 黑色"/>
    <w:basedOn w:val="3"/>
    <w:qFormat/>
    <w:uiPriority w:val="0"/>
    <w:pPr>
      <w:tabs>
        <w:tab w:val="left" w:pos="927"/>
      </w:tabs>
      <w:snapToGrid/>
      <w:ind w:firstLine="567"/>
    </w:pPr>
    <w:rPr>
      <w:rFonts w:ascii="黑体" w:hAnsi="宋体" w:cs="Times New Roman"/>
      <w:color w:val="000000"/>
    </w:rPr>
  </w:style>
  <w:style w:type="paragraph" w:customStyle="1" w:styleId="462">
    <w:name w:val="标准书眉一"/>
    <w:qFormat/>
    <w:uiPriority w:val="0"/>
    <w:pPr>
      <w:jc w:val="both"/>
    </w:pPr>
    <w:rPr>
      <w:rFonts w:ascii="Times New Roman" w:hAnsi="Times New Roman" w:eastAsia="宋体" w:cs="Times New Roman"/>
      <w:lang w:val="en-US" w:eastAsia="zh-CN" w:bidi="ar-SA"/>
    </w:rPr>
  </w:style>
  <w:style w:type="paragraph" w:customStyle="1" w:styleId="463">
    <w:name w:val="xl214"/>
    <w:basedOn w:val="1"/>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jc w:val="center"/>
    </w:pPr>
    <w:rPr>
      <w:rFonts w:hAnsi="宋体"/>
      <w:b/>
      <w:bCs/>
      <w:sz w:val="24"/>
      <w:szCs w:val="24"/>
    </w:rPr>
  </w:style>
  <w:style w:type="paragraph" w:customStyle="1" w:styleId="464">
    <w:name w:val="标2"/>
    <w:basedOn w:val="465"/>
    <w:next w:val="1"/>
    <w:qFormat/>
    <w:uiPriority w:val="0"/>
    <w:pPr>
      <w:keepNext w:val="0"/>
      <w:pageBreakBefore w:val="0"/>
      <w:widowControl w:val="0"/>
      <w:tabs>
        <w:tab w:val="left" w:pos="840"/>
        <w:tab w:val="left" w:pos="2701"/>
      </w:tabs>
      <w:spacing w:beforeLines="0" w:afterLines="0" w:line="360" w:lineRule="auto"/>
      <w:ind w:left="840" w:hanging="420"/>
      <w:jc w:val="left"/>
      <w:outlineLvl w:val="1"/>
    </w:pPr>
    <w:rPr>
      <w:snapToGrid w:val="0"/>
      <w:sz w:val="30"/>
      <w:szCs w:val="30"/>
    </w:rPr>
  </w:style>
  <w:style w:type="paragraph" w:customStyle="1" w:styleId="465">
    <w:name w:val="标1"/>
    <w:next w:val="1"/>
    <w:qFormat/>
    <w:uiPriority w:val="0"/>
    <w:pPr>
      <w:keepNext/>
      <w:pageBreakBefore/>
      <w:tabs>
        <w:tab w:val="left" w:pos="2701"/>
      </w:tabs>
      <w:spacing w:beforeLines="300" w:afterLines="100" w:line="480" w:lineRule="auto"/>
      <w:ind w:left="1000"/>
      <w:jc w:val="center"/>
      <w:outlineLvl w:val="0"/>
    </w:pPr>
    <w:rPr>
      <w:rFonts w:ascii="宋体" w:hAnsi="宋体" w:eastAsia="宋体" w:cs="宋体"/>
      <w:b/>
      <w:bCs/>
      <w:kern w:val="44"/>
      <w:sz w:val="44"/>
      <w:szCs w:val="44"/>
      <w:lang w:val="en-US" w:eastAsia="zh-CN" w:bidi="ar-SA"/>
    </w:rPr>
  </w:style>
  <w:style w:type="paragraph" w:customStyle="1" w:styleId="466">
    <w:name w:val="xl55"/>
    <w:basedOn w:val="1"/>
    <w:qFormat/>
    <w:uiPriority w:val="0"/>
    <w:pPr>
      <w:widowControl/>
      <w:pBdr>
        <w:left w:val="single" w:color="808080" w:sz="4" w:space="0"/>
        <w:bottom w:val="single" w:color="808080" w:sz="4" w:space="0"/>
        <w:right w:val="single" w:color="808080" w:sz="4" w:space="0"/>
      </w:pBdr>
      <w:shd w:val="clear" w:color="auto" w:fill="C0C0C0"/>
      <w:snapToGrid/>
      <w:spacing w:before="100" w:beforeAutospacing="1" w:after="100" w:afterAutospacing="1" w:line="240" w:lineRule="auto"/>
      <w:jc w:val="left"/>
    </w:pPr>
    <w:rPr>
      <w:rFonts w:ascii="Arial Unicode MS" w:hAnsi="Arial Unicode MS" w:eastAsia="Arial Unicode MS" w:cs="Arial Unicode MS"/>
      <w:color w:val="993300"/>
      <w:sz w:val="20"/>
    </w:rPr>
  </w:style>
  <w:style w:type="paragraph" w:customStyle="1" w:styleId="467">
    <w:name w:val="5"/>
    <w:basedOn w:val="1"/>
    <w:next w:val="66"/>
    <w:qFormat/>
    <w:uiPriority w:val="0"/>
    <w:pPr>
      <w:adjustRightInd w:val="0"/>
      <w:spacing w:line="500" w:lineRule="atLeast"/>
      <w:ind w:firstLine="480" w:firstLineChars="200"/>
    </w:pPr>
    <w:rPr>
      <w:rFonts w:ascii="Times New Roman" w:cs="Times New Roman"/>
      <w:sz w:val="24"/>
      <w:szCs w:val="24"/>
    </w:rPr>
  </w:style>
  <w:style w:type="paragraph" w:customStyle="1" w:styleId="468">
    <w:name w:val="xl213"/>
    <w:basedOn w:val="1"/>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jc w:val="center"/>
    </w:pPr>
    <w:rPr>
      <w:rFonts w:hAnsi="宋体"/>
      <w:sz w:val="24"/>
      <w:szCs w:val="24"/>
    </w:rPr>
  </w:style>
  <w:style w:type="paragraph" w:customStyle="1" w:styleId="469">
    <w:name w:val="xl220"/>
    <w:basedOn w:val="1"/>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jc w:val="center"/>
    </w:pPr>
    <w:rPr>
      <w:rFonts w:hAnsi="宋体"/>
      <w:sz w:val="20"/>
    </w:rPr>
  </w:style>
  <w:style w:type="paragraph" w:customStyle="1" w:styleId="470">
    <w:name w:val="著录项"/>
    <w:basedOn w:val="471"/>
    <w:next w:val="471"/>
    <w:qFormat/>
    <w:uiPriority w:val="0"/>
  </w:style>
  <w:style w:type="paragraph" w:customStyle="1" w:styleId="471">
    <w:name w:val="著录项2"/>
    <w:basedOn w:val="1"/>
    <w:qFormat/>
    <w:uiPriority w:val="0"/>
    <w:pPr>
      <w:spacing w:line="240" w:lineRule="auto"/>
      <w:ind w:firstLine="1680" w:firstLineChars="600"/>
      <w:jc w:val="left"/>
    </w:pPr>
  </w:style>
  <w:style w:type="paragraph" w:customStyle="1" w:styleId="472">
    <w:name w:val="标4"/>
    <w:basedOn w:val="465"/>
    <w:next w:val="1"/>
    <w:qFormat/>
    <w:uiPriority w:val="0"/>
    <w:pPr>
      <w:keepNext w:val="0"/>
      <w:pageBreakBefore w:val="0"/>
      <w:widowControl w:val="0"/>
      <w:tabs>
        <w:tab w:val="left" w:pos="1680"/>
      </w:tabs>
      <w:spacing w:beforeLines="0" w:afterLines="0" w:line="360" w:lineRule="auto"/>
      <w:ind w:left="1680" w:hanging="420"/>
      <w:jc w:val="left"/>
      <w:outlineLvl w:val="3"/>
    </w:pPr>
    <w:rPr>
      <w:b w:val="0"/>
      <w:sz w:val="30"/>
      <w:szCs w:val="30"/>
    </w:rPr>
  </w:style>
  <w:style w:type="paragraph" w:customStyle="1" w:styleId="473">
    <w:name w:val="样式 标题 2标题2H2H21Number 2h2l22nd levelTitre22Header 2节标..."/>
    <w:basedOn w:val="4"/>
    <w:qFormat/>
    <w:uiPriority w:val="0"/>
    <w:pPr>
      <w:adjustRightInd w:val="0"/>
      <w:spacing w:before="260" w:after="260" w:line="300" w:lineRule="auto"/>
      <w:jc w:val="left"/>
    </w:pPr>
    <w:rPr>
      <w:rFonts w:ascii="黑体" w:eastAsia="黑体"/>
      <w:b/>
      <w:bCs w:val="0"/>
      <w:kern w:val="44"/>
      <w:sz w:val="30"/>
    </w:rPr>
  </w:style>
  <w:style w:type="paragraph" w:customStyle="1" w:styleId="474">
    <w:name w:val="BIG BOLD"/>
    <w:basedOn w:val="1"/>
    <w:qFormat/>
    <w:uiPriority w:val="0"/>
    <w:pPr>
      <w:tabs>
        <w:tab w:val="left" w:leader="underscore" w:pos="1134"/>
      </w:tabs>
      <w:snapToGrid/>
      <w:spacing w:line="240" w:lineRule="auto"/>
    </w:pPr>
    <w:rPr>
      <w:rFonts w:ascii="Times New Roman" w:cs="Times New Roman"/>
      <w:sz w:val="21"/>
    </w:rPr>
  </w:style>
  <w:style w:type="paragraph" w:customStyle="1" w:styleId="475">
    <w:name w:val="xl224"/>
    <w:basedOn w:val="1"/>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jc w:val="center"/>
    </w:pPr>
    <w:rPr>
      <w:rFonts w:hAnsi="宋体"/>
      <w:sz w:val="24"/>
      <w:szCs w:val="24"/>
    </w:rPr>
  </w:style>
  <w:style w:type="paragraph" w:customStyle="1" w:styleId="476">
    <w:name w:val="填表小5中红"/>
    <w:basedOn w:val="199"/>
    <w:qFormat/>
    <w:uiPriority w:val="0"/>
    <w:rPr>
      <w:color w:val="FF0000"/>
    </w:rPr>
  </w:style>
  <w:style w:type="paragraph" w:customStyle="1" w:styleId="477">
    <w:name w:val="xl98"/>
    <w:basedOn w:val="1"/>
    <w:qFormat/>
    <w:uiPriority w:val="0"/>
    <w:pPr>
      <w:widowControl/>
      <w:pBdr>
        <w:top w:val="single" w:color="C0C0C0" w:sz="4" w:space="0"/>
        <w:left w:val="single" w:color="C0C0C0" w:sz="4" w:space="0"/>
        <w:bottom w:val="single" w:color="C0C0C0" w:sz="4" w:space="0"/>
        <w:right w:val="single" w:color="C0C0C0" w:sz="4" w:space="0"/>
      </w:pBdr>
      <w:shd w:val="clear" w:color="auto" w:fill="CCFFFF"/>
      <w:snapToGrid/>
      <w:spacing w:before="100" w:beforeAutospacing="1" w:after="100" w:afterAutospacing="1" w:line="240" w:lineRule="auto"/>
      <w:jc w:val="center"/>
    </w:pPr>
    <w:rPr>
      <w:rFonts w:ascii="Arial Unicode MS" w:hAnsi="Arial Unicode MS" w:eastAsia="Arial Unicode MS" w:cs="Arial Unicode MS"/>
      <w:color w:val="FF0000"/>
      <w:sz w:val="20"/>
    </w:rPr>
  </w:style>
  <w:style w:type="paragraph" w:customStyle="1" w:styleId="478">
    <w:name w:val="font1"/>
    <w:basedOn w:val="1"/>
    <w:qFormat/>
    <w:uiPriority w:val="0"/>
    <w:pPr>
      <w:widowControl/>
      <w:snapToGrid/>
      <w:spacing w:before="100" w:beforeAutospacing="1" w:after="100" w:afterAutospacing="1" w:line="240" w:lineRule="auto"/>
      <w:jc w:val="left"/>
    </w:pPr>
    <w:rPr>
      <w:rFonts w:hAnsi="宋体" w:cs="Arial Unicode MS"/>
      <w:sz w:val="24"/>
      <w:szCs w:val="24"/>
    </w:rPr>
  </w:style>
  <w:style w:type="paragraph" w:customStyle="1" w:styleId="479">
    <w:name w:val="项目符号2"/>
    <w:basedOn w:val="1"/>
    <w:qFormat/>
    <w:uiPriority w:val="0"/>
    <w:pPr>
      <w:tabs>
        <w:tab w:val="left" w:pos="1405"/>
      </w:tabs>
      <w:overflowPunct w:val="0"/>
      <w:spacing w:line="480" w:lineRule="exact"/>
      <w:ind w:left="1405" w:hanging="425" w:firstLineChars="200"/>
    </w:pPr>
    <w:rPr>
      <w:rFonts w:ascii="Arial" w:hAnsi="Arial" w:eastAsia="仿宋_GB2312" w:cs="Times New Roman"/>
    </w:rPr>
  </w:style>
  <w:style w:type="paragraph" w:customStyle="1" w:styleId="480">
    <w:name w:val="Char Char2 Char Char Char Char"/>
    <w:basedOn w:val="1"/>
    <w:qFormat/>
    <w:uiPriority w:val="0"/>
    <w:pPr>
      <w:snapToGrid/>
      <w:spacing w:line="240" w:lineRule="auto"/>
    </w:pPr>
    <w:rPr>
      <w:rFonts w:ascii="Times New Roman" w:cs="Times New Roman"/>
      <w:sz w:val="21"/>
      <w:szCs w:val="24"/>
    </w:rPr>
  </w:style>
  <w:style w:type="paragraph" w:customStyle="1" w:styleId="481">
    <w:name w:val="正文 + 宋体"/>
    <w:basedOn w:val="1"/>
    <w:qFormat/>
    <w:uiPriority w:val="0"/>
    <w:pPr>
      <w:snapToGrid/>
      <w:spacing w:line="600" w:lineRule="exact"/>
    </w:pPr>
    <w:rPr>
      <w:rFonts w:hAnsi="宋体" w:cs="Times New Roman"/>
      <w:bCs/>
      <w:sz w:val="24"/>
      <w:szCs w:val="21"/>
    </w:rPr>
  </w:style>
  <w:style w:type="paragraph" w:customStyle="1" w:styleId="482">
    <w:name w:val="font6"/>
    <w:basedOn w:val="1"/>
    <w:qFormat/>
    <w:uiPriority w:val="0"/>
    <w:pPr>
      <w:widowControl/>
      <w:snapToGrid/>
      <w:spacing w:before="100" w:beforeAutospacing="1" w:after="100" w:afterAutospacing="1" w:line="240" w:lineRule="auto"/>
      <w:jc w:val="left"/>
    </w:pPr>
    <w:rPr>
      <w:rFonts w:hAnsi="宋体" w:cs="Arial Unicode MS"/>
      <w:color w:val="0000FF"/>
      <w:sz w:val="20"/>
    </w:rPr>
  </w:style>
  <w:style w:type="paragraph" w:customStyle="1" w:styleId="483">
    <w:name w:val="reader-word-layer"/>
    <w:basedOn w:val="1"/>
    <w:qFormat/>
    <w:uiPriority w:val="1"/>
    <w:pPr>
      <w:widowControl/>
      <w:snapToGrid/>
      <w:spacing w:before="100" w:beforeAutospacing="1" w:after="100" w:afterAutospacing="1" w:line="240" w:lineRule="auto"/>
      <w:jc w:val="left"/>
    </w:pPr>
    <w:rPr>
      <w:rFonts w:hAnsi="宋体"/>
      <w:sz w:val="24"/>
      <w:szCs w:val="24"/>
    </w:rPr>
  </w:style>
  <w:style w:type="paragraph" w:customStyle="1" w:styleId="484">
    <w:name w:val="xl48"/>
    <w:basedOn w:val="1"/>
    <w:qFormat/>
    <w:uiPriority w:val="0"/>
    <w:pPr>
      <w:widowControl/>
      <w:pBdr>
        <w:top w:val="single" w:color="969696" w:sz="4" w:space="0"/>
        <w:left w:val="single" w:color="969696" w:sz="4" w:space="0"/>
        <w:bottom w:val="single" w:color="969696" w:sz="4" w:space="0"/>
      </w:pBdr>
      <w:shd w:val="clear" w:color="auto" w:fill="FFCC99"/>
      <w:snapToGrid/>
      <w:spacing w:before="100" w:beforeAutospacing="1" w:after="100" w:afterAutospacing="1" w:line="240" w:lineRule="auto"/>
      <w:jc w:val="left"/>
    </w:pPr>
    <w:rPr>
      <w:rFonts w:ascii="Arial Unicode MS" w:hAnsi="Arial Unicode MS" w:eastAsia="Arial Unicode MS" w:cs="Arial Unicode MS"/>
      <w:sz w:val="24"/>
      <w:szCs w:val="24"/>
    </w:rPr>
  </w:style>
  <w:style w:type="paragraph" w:customStyle="1" w:styleId="485">
    <w:name w:val="附件标题白"/>
    <w:basedOn w:val="1"/>
    <w:next w:val="1"/>
    <w:qFormat/>
    <w:uiPriority w:val="0"/>
    <w:pPr>
      <w:jc w:val="right"/>
    </w:pPr>
    <w:rPr>
      <w:rFonts w:ascii="Times New Roman"/>
      <w:b/>
      <w:bCs/>
      <w:color w:val="FFFFFF"/>
      <w:sz w:val="32"/>
    </w:rPr>
  </w:style>
  <w:style w:type="paragraph" w:customStyle="1" w:styleId="486">
    <w:name w:val="xl102"/>
    <w:basedOn w:val="1"/>
    <w:qFormat/>
    <w:uiPriority w:val="0"/>
    <w:pPr>
      <w:widowControl/>
      <w:pBdr>
        <w:left w:val="single" w:color="C0C0C0" w:sz="4" w:space="0"/>
        <w:bottom w:val="single" w:color="C0C0C0" w:sz="4" w:space="0"/>
        <w:right w:val="single" w:color="C0C0C0" w:sz="4" w:space="0"/>
      </w:pBdr>
      <w:shd w:val="clear" w:color="auto" w:fill="CCFFFF"/>
      <w:snapToGrid/>
      <w:spacing w:before="100" w:beforeAutospacing="1" w:after="100" w:afterAutospacing="1" w:line="240" w:lineRule="auto"/>
      <w:jc w:val="left"/>
    </w:pPr>
    <w:rPr>
      <w:rFonts w:ascii="Arial Unicode MS" w:hAnsi="Arial Unicode MS" w:eastAsia="Arial Unicode MS" w:cs="Arial Unicode MS"/>
      <w:color w:val="FF0000"/>
      <w:sz w:val="20"/>
    </w:rPr>
  </w:style>
  <w:style w:type="paragraph" w:customStyle="1" w:styleId="487">
    <w:name w:val="xl72"/>
    <w:basedOn w:val="1"/>
    <w:qFormat/>
    <w:uiPriority w:val="0"/>
    <w:pPr>
      <w:widowControl/>
      <w:pBdr>
        <w:top w:val="single" w:color="C0C0C0" w:sz="4" w:space="0"/>
        <w:left w:val="single" w:color="C0C0C0" w:sz="4" w:space="0"/>
        <w:bottom w:val="single" w:color="C0C0C0" w:sz="4" w:space="0"/>
        <w:right w:val="single" w:color="C0C0C0" w:sz="4" w:space="0"/>
      </w:pBdr>
      <w:shd w:val="clear" w:color="auto" w:fill="CCFFFF"/>
      <w:snapToGrid/>
      <w:spacing w:before="100" w:beforeAutospacing="1" w:after="100" w:afterAutospacing="1" w:line="240" w:lineRule="auto"/>
      <w:jc w:val="left"/>
    </w:pPr>
    <w:rPr>
      <w:rFonts w:ascii="Arial Unicode MS" w:hAnsi="Arial Unicode MS" w:eastAsia="Arial Unicode MS" w:cs="Arial Unicode MS"/>
      <w:color w:val="0000FF"/>
      <w:sz w:val="20"/>
    </w:rPr>
  </w:style>
  <w:style w:type="paragraph" w:customStyle="1" w:styleId="488">
    <w:name w:val="填表4小中15磅"/>
    <w:basedOn w:val="227"/>
    <w:qFormat/>
    <w:uiPriority w:val="0"/>
    <w:pPr>
      <w:snapToGrid w:val="0"/>
      <w:spacing w:line="300" w:lineRule="exact"/>
    </w:pPr>
    <w:rPr>
      <w:rFonts w:cs="Times New Roman"/>
    </w:rPr>
  </w:style>
  <w:style w:type="paragraph" w:customStyle="1" w:styleId="489">
    <w:name w:val="图表脚注"/>
    <w:next w:val="5"/>
    <w:qFormat/>
    <w:uiPriority w:val="0"/>
    <w:pPr>
      <w:tabs>
        <w:tab w:val="left" w:pos="3080"/>
      </w:tabs>
      <w:ind w:left="3080" w:leftChars="200" w:hanging="420" w:hangingChars="100"/>
      <w:jc w:val="both"/>
    </w:pPr>
    <w:rPr>
      <w:rFonts w:ascii="宋体" w:hAnsi="Times New Roman" w:eastAsia="宋体" w:cs="Times New Roman"/>
      <w:sz w:val="18"/>
      <w:lang w:val="en-US" w:eastAsia="zh-CN" w:bidi="ar-SA"/>
    </w:rPr>
  </w:style>
  <w:style w:type="paragraph" w:customStyle="1" w:styleId="490">
    <w:name w:val="xl56"/>
    <w:basedOn w:val="1"/>
    <w:qFormat/>
    <w:uiPriority w:val="0"/>
    <w:pPr>
      <w:widowControl/>
      <w:pBdr>
        <w:left w:val="single" w:color="808080" w:sz="4" w:space="0"/>
        <w:bottom w:val="single" w:color="808080" w:sz="4" w:space="0"/>
        <w:right w:val="single" w:color="808080" w:sz="4" w:space="0"/>
      </w:pBdr>
      <w:shd w:val="clear" w:color="auto" w:fill="C0C0C0"/>
      <w:snapToGrid/>
      <w:spacing w:before="100" w:beforeAutospacing="1" w:after="100" w:afterAutospacing="1" w:line="240" w:lineRule="auto"/>
      <w:jc w:val="center"/>
    </w:pPr>
    <w:rPr>
      <w:rFonts w:ascii="Arial Unicode MS" w:hAnsi="Arial Unicode MS" w:eastAsia="Arial Unicode MS" w:cs="Arial Unicode MS"/>
      <w:color w:val="993300"/>
      <w:sz w:val="20"/>
    </w:rPr>
  </w:style>
  <w:style w:type="paragraph" w:customStyle="1" w:styleId="491">
    <w:name w:val="xl67"/>
    <w:basedOn w:val="1"/>
    <w:qFormat/>
    <w:uiPriority w:val="0"/>
    <w:pPr>
      <w:widowControl/>
      <w:pBdr>
        <w:top w:val="single" w:color="C0C0C0" w:sz="4" w:space="0"/>
        <w:left w:val="single" w:color="C0C0C0" w:sz="4" w:space="0"/>
        <w:bottom w:val="single" w:color="C0C0C0" w:sz="4" w:space="0"/>
        <w:right w:val="single" w:color="C0C0C0" w:sz="4" w:space="0"/>
      </w:pBdr>
      <w:shd w:val="clear" w:color="auto" w:fill="CCFFFF"/>
      <w:snapToGrid/>
      <w:spacing w:before="100" w:beforeAutospacing="1" w:after="100" w:afterAutospacing="1" w:line="240" w:lineRule="auto"/>
      <w:jc w:val="center"/>
    </w:pPr>
    <w:rPr>
      <w:rFonts w:ascii="Arial Unicode MS" w:hAnsi="Arial Unicode MS" w:eastAsia="Arial Unicode MS" w:cs="Arial Unicode MS"/>
      <w:color w:val="0000FF"/>
      <w:sz w:val="20"/>
    </w:rPr>
  </w:style>
  <w:style w:type="paragraph" w:customStyle="1" w:styleId="492">
    <w:name w:val="样式 标题 + 宋体 小二 行距: 1.5 倍行距"/>
    <w:basedOn w:val="77"/>
    <w:qFormat/>
    <w:uiPriority w:val="0"/>
    <w:pPr>
      <w:spacing w:line="360" w:lineRule="auto"/>
    </w:pPr>
    <w:rPr>
      <w:rFonts w:ascii="黑体" w:hAnsi="宋体" w:eastAsia="黑体" w:cs="宋体"/>
      <w:bCs/>
      <w:sz w:val="36"/>
      <w:szCs w:val="36"/>
    </w:rPr>
  </w:style>
  <w:style w:type="paragraph" w:customStyle="1" w:styleId="493">
    <w:name w:val="xl61"/>
    <w:basedOn w:val="1"/>
    <w:qFormat/>
    <w:uiPriority w:val="0"/>
    <w:pPr>
      <w:widowControl/>
      <w:pBdr>
        <w:left w:val="single" w:color="C0C0C0" w:sz="4" w:space="0"/>
        <w:bottom w:val="single" w:color="C0C0C0" w:sz="4" w:space="0"/>
        <w:right w:val="single" w:color="C0C0C0" w:sz="4" w:space="0"/>
      </w:pBdr>
      <w:shd w:val="clear" w:color="auto" w:fill="CCFFFF"/>
      <w:snapToGrid/>
      <w:spacing w:before="100" w:beforeAutospacing="1" w:after="100" w:afterAutospacing="1" w:line="240" w:lineRule="auto"/>
      <w:jc w:val="left"/>
    </w:pPr>
    <w:rPr>
      <w:rFonts w:ascii="Arial Unicode MS" w:hAnsi="Arial Unicode MS" w:eastAsia="Arial Unicode MS" w:cs="Arial Unicode MS"/>
      <w:color w:val="0000FF"/>
      <w:sz w:val="20"/>
    </w:rPr>
  </w:style>
  <w:style w:type="paragraph" w:customStyle="1" w:styleId="494">
    <w:name w:val="Char2"/>
    <w:basedOn w:val="1"/>
    <w:qFormat/>
    <w:uiPriority w:val="1"/>
    <w:pPr>
      <w:snapToGrid/>
    </w:pPr>
    <w:rPr>
      <w:rFonts w:ascii="Times New Roman" w:cs="Times New Roman"/>
      <w:sz w:val="21"/>
    </w:rPr>
  </w:style>
  <w:style w:type="paragraph" w:customStyle="1" w:styleId="495">
    <w:name w:val="xl47"/>
    <w:basedOn w:val="1"/>
    <w:qFormat/>
    <w:uiPriority w:val="0"/>
    <w:pPr>
      <w:widowControl/>
      <w:pBdr>
        <w:top w:val="single" w:color="C0C0C0" w:sz="4" w:space="0"/>
        <w:left w:val="single" w:color="C0C0C0" w:sz="4" w:space="0"/>
        <w:bottom w:val="single" w:color="C0C0C0" w:sz="4" w:space="0"/>
      </w:pBdr>
      <w:snapToGrid/>
      <w:spacing w:before="100" w:beforeAutospacing="1" w:after="100" w:afterAutospacing="1" w:line="240" w:lineRule="auto"/>
      <w:jc w:val="left"/>
    </w:pPr>
    <w:rPr>
      <w:rFonts w:ascii="Arial Unicode MS" w:hAnsi="Arial Unicode MS" w:eastAsia="Arial Unicode MS" w:cs="Arial Unicode MS"/>
      <w:sz w:val="24"/>
      <w:szCs w:val="24"/>
    </w:rPr>
  </w:style>
  <w:style w:type="paragraph" w:customStyle="1" w:styleId="496">
    <w:name w:val="样式4"/>
    <w:basedOn w:val="5"/>
    <w:qFormat/>
    <w:uiPriority w:val="0"/>
    <w:pPr>
      <w:numPr>
        <w:ilvl w:val="0"/>
        <w:numId w:val="0"/>
      </w:numPr>
      <w:adjustRightInd w:val="0"/>
      <w:spacing w:before="260" w:after="120"/>
      <w:jc w:val="both"/>
    </w:pPr>
    <w:rPr>
      <w:rFonts w:ascii="黑体"/>
      <w:b w:val="0"/>
      <w:bCs w:val="0"/>
      <w:szCs w:val="32"/>
    </w:rPr>
  </w:style>
  <w:style w:type="paragraph" w:customStyle="1" w:styleId="497">
    <w:name w:val="Char Char Char Char Char Char Char Char"/>
    <w:basedOn w:val="1"/>
    <w:qFormat/>
    <w:uiPriority w:val="0"/>
    <w:pPr>
      <w:widowControl/>
      <w:snapToGrid/>
      <w:spacing w:after="160" w:line="240" w:lineRule="exact"/>
      <w:jc w:val="left"/>
    </w:pPr>
    <w:rPr>
      <w:rFonts w:ascii="Times New Roman" w:cs="Times New Roman"/>
      <w:sz w:val="21"/>
    </w:rPr>
  </w:style>
  <w:style w:type="paragraph" w:customStyle="1" w:styleId="498">
    <w:name w:val="4"/>
    <w:basedOn w:val="1"/>
    <w:next w:val="32"/>
    <w:qFormat/>
    <w:uiPriority w:val="0"/>
    <w:pPr>
      <w:widowControl/>
      <w:suppressAutoHyphens/>
      <w:adjustRightInd w:val="0"/>
      <w:spacing w:line="500" w:lineRule="atLeast"/>
      <w:ind w:firstLine="200" w:firstLineChars="200"/>
    </w:pPr>
    <w:rPr>
      <w:rFonts w:ascii="Times New Roman" w:cs="Times New Roman"/>
      <w:sz w:val="24"/>
      <w:szCs w:val="24"/>
    </w:rPr>
  </w:style>
  <w:style w:type="paragraph" w:customStyle="1" w:styleId="499">
    <w:name w:val="填表小5中12磅"/>
    <w:basedOn w:val="199"/>
    <w:qFormat/>
    <w:uiPriority w:val="0"/>
    <w:pPr>
      <w:spacing w:line="240" w:lineRule="exact"/>
    </w:pPr>
    <w:rPr>
      <w:rFonts w:eastAsia="仿宋_GB2312" w:cs="宋体"/>
      <w:szCs w:val="20"/>
    </w:rPr>
  </w:style>
  <w:style w:type="paragraph" w:customStyle="1" w:styleId="500">
    <w:name w:val="Char4 Char Char Char"/>
    <w:basedOn w:val="1"/>
    <w:next w:val="30"/>
    <w:qFormat/>
    <w:uiPriority w:val="0"/>
    <w:pPr>
      <w:snapToGrid/>
      <w:spacing w:line="240" w:lineRule="auto"/>
    </w:pPr>
    <w:rPr>
      <w:rFonts w:ascii="Times New Roman" w:cs="Times New Roman"/>
      <w:sz w:val="21"/>
      <w:szCs w:val="24"/>
    </w:rPr>
  </w:style>
  <w:style w:type="paragraph" w:customStyle="1" w:styleId="501">
    <w:name w:val="样式 标题 1h11st levelSection Headl1章标题 1featurehead标题 1 Char..."/>
    <w:basedOn w:val="3"/>
    <w:qFormat/>
    <w:uiPriority w:val="0"/>
    <w:pPr>
      <w:snapToGrid/>
      <w:spacing w:before="120" w:after="120"/>
      <w:ind w:left="425" w:hanging="137"/>
    </w:pPr>
    <w:rPr>
      <w:rFonts w:hAnsi="宋体"/>
      <w:b w:val="0"/>
      <w:snapToGrid w:val="0"/>
      <w:sz w:val="30"/>
      <w:szCs w:val="20"/>
    </w:rPr>
  </w:style>
  <w:style w:type="paragraph" w:customStyle="1" w:styleId="502">
    <w:name w:val="xl101"/>
    <w:basedOn w:val="1"/>
    <w:qFormat/>
    <w:uiPriority w:val="0"/>
    <w:pPr>
      <w:widowControl/>
      <w:pBdr>
        <w:left w:val="single" w:color="C0C0C0" w:sz="4" w:space="0"/>
        <w:bottom w:val="single" w:color="C0C0C0" w:sz="4" w:space="0"/>
        <w:right w:val="single" w:color="C0C0C0" w:sz="4" w:space="0"/>
      </w:pBdr>
      <w:shd w:val="clear" w:color="auto" w:fill="CCFFFF"/>
      <w:snapToGrid/>
      <w:spacing w:before="100" w:beforeAutospacing="1" w:after="100" w:afterAutospacing="1" w:line="240" w:lineRule="auto"/>
      <w:jc w:val="center"/>
    </w:pPr>
    <w:rPr>
      <w:rFonts w:ascii="Arial Unicode MS" w:hAnsi="Arial Unicode MS" w:eastAsia="Arial Unicode MS" w:cs="Arial Unicode MS"/>
      <w:color w:val="FF0000"/>
      <w:sz w:val="20"/>
    </w:rPr>
  </w:style>
  <w:style w:type="paragraph" w:customStyle="1" w:styleId="503">
    <w:name w:val="Char Char Char"/>
    <w:basedOn w:val="1"/>
    <w:next w:val="2"/>
    <w:qFormat/>
    <w:uiPriority w:val="1"/>
    <w:pPr>
      <w:snapToGrid/>
      <w:spacing w:line="240" w:lineRule="auto"/>
    </w:pPr>
    <w:rPr>
      <w:rFonts w:ascii="Times New Roman" w:cs="Times New Roman"/>
      <w:szCs w:val="28"/>
    </w:rPr>
  </w:style>
  <w:style w:type="paragraph" w:customStyle="1" w:styleId="504">
    <w:name w:val="说明书正文"/>
    <w:basedOn w:val="1"/>
    <w:qFormat/>
    <w:uiPriority w:val="0"/>
    <w:pPr>
      <w:snapToGrid/>
      <w:spacing w:line="520" w:lineRule="exact"/>
      <w:ind w:firstLine="200" w:firstLineChars="200"/>
    </w:pPr>
    <w:rPr>
      <w:rFonts w:ascii="Trebuchet MS" w:hAnsi="Trebuchet MS" w:cs="Times New Roman"/>
      <w:szCs w:val="24"/>
    </w:rPr>
  </w:style>
  <w:style w:type="paragraph" w:customStyle="1" w:styleId="505">
    <w:name w:val="Char Char Char Char"/>
    <w:basedOn w:val="1"/>
    <w:qFormat/>
    <w:uiPriority w:val="1"/>
    <w:pPr>
      <w:snapToGrid/>
      <w:spacing w:line="240" w:lineRule="auto"/>
    </w:pPr>
    <w:rPr>
      <w:rFonts w:ascii="Times New Roman" w:cs="Times New Roman"/>
      <w:sz w:val="21"/>
      <w:szCs w:val="21"/>
    </w:rPr>
  </w:style>
  <w:style w:type="paragraph" w:customStyle="1" w:styleId="506">
    <w:name w:val="填表5中行距12磅"/>
    <w:basedOn w:val="130"/>
    <w:qFormat/>
    <w:uiPriority w:val="0"/>
    <w:pPr>
      <w:snapToGrid w:val="0"/>
      <w:spacing w:line="240" w:lineRule="auto"/>
    </w:pPr>
    <w:rPr>
      <w:rFonts w:cs="宋体"/>
    </w:rPr>
  </w:style>
  <w:style w:type="paragraph" w:customStyle="1" w:styleId="507">
    <w:name w:val="xl25"/>
    <w:basedOn w:val="1"/>
    <w:qFormat/>
    <w:uiPriority w:val="1"/>
    <w:pPr>
      <w:widowControl/>
      <w:pBdr>
        <w:bottom w:val="single" w:color="C0C0C0" w:sz="4" w:space="0"/>
      </w:pBdr>
      <w:snapToGrid/>
      <w:spacing w:before="100" w:beforeAutospacing="1" w:after="100" w:afterAutospacing="1" w:line="240" w:lineRule="auto"/>
      <w:jc w:val="left"/>
    </w:pPr>
    <w:rPr>
      <w:rFonts w:ascii="Arial Unicode MS" w:hAnsi="Arial Unicode MS" w:eastAsia="Arial Unicode MS" w:cs="Arial Unicode MS"/>
      <w:sz w:val="24"/>
      <w:szCs w:val="24"/>
    </w:rPr>
  </w:style>
  <w:style w:type="paragraph" w:customStyle="1" w:styleId="508">
    <w:name w:val="样式"/>
    <w:qFormat/>
    <w:uiPriority w:val="0"/>
    <w:pPr>
      <w:widowControl w:val="0"/>
      <w:autoSpaceDE w:val="0"/>
      <w:autoSpaceDN w:val="0"/>
      <w:adjustRightInd w:val="0"/>
    </w:pPr>
    <w:rPr>
      <w:rFonts w:ascii="Arial" w:hAnsi="Arial" w:eastAsia="宋体" w:cs="Arial"/>
      <w:sz w:val="24"/>
      <w:szCs w:val="24"/>
      <w:lang w:val="en-US" w:eastAsia="zh-CN" w:bidi="ar-SA"/>
    </w:rPr>
  </w:style>
  <w:style w:type="paragraph" w:customStyle="1" w:styleId="509">
    <w:name w:val="font9"/>
    <w:basedOn w:val="1"/>
    <w:qFormat/>
    <w:uiPriority w:val="0"/>
    <w:pPr>
      <w:widowControl/>
      <w:snapToGrid/>
      <w:spacing w:before="100" w:beforeAutospacing="1" w:after="100" w:afterAutospacing="1" w:line="240" w:lineRule="auto"/>
      <w:jc w:val="left"/>
    </w:pPr>
    <w:rPr>
      <w:rFonts w:hAnsi="宋体" w:cs="Arial Unicode MS"/>
      <w:color w:val="FF00FF"/>
      <w:sz w:val="16"/>
      <w:szCs w:val="16"/>
    </w:rPr>
  </w:style>
  <w:style w:type="paragraph" w:customStyle="1" w:styleId="510">
    <w:name w:val="CM_正文"/>
    <w:basedOn w:val="1"/>
    <w:next w:val="1"/>
    <w:link w:val="784"/>
    <w:qFormat/>
    <w:uiPriority w:val="0"/>
    <w:pPr>
      <w:snapToGrid/>
      <w:ind w:firstLine="560" w:firstLineChars="200"/>
    </w:pPr>
    <w:rPr>
      <w:rFonts w:hAnsi="宋体" w:cs="Times New Roman"/>
      <w:color w:val="000000"/>
      <w:szCs w:val="28"/>
    </w:rPr>
  </w:style>
  <w:style w:type="paragraph" w:customStyle="1" w:styleId="511">
    <w:name w:val="正文文字缩进1"/>
    <w:basedOn w:val="1"/>
    <w:qFormat/>
    <w:uiPriority w:val="0"/>
    <w:pPr>
      <w:autoSpaceDE w:val="0"/>
      <w:autoSpaceDN w:val="0"/>
      <w:adjustRightInd w:val="0"/>
      <w:snapToGrid/>
      <w:spacing w:line="240" w:lineRule="auto"/>
      <w:textAlignment w:val="baseline"/>
    </w:pPr>
    <w:rPr>
      <w:rFonts w:ascii="Times New Roman" w:cs="Times New Roman"/>
      <w:spacing w:val="-20"/>
      <w:sz w:val="24"/>
    </w:rPr>
  </w:style>
  <w:style w:type="paragraph" w:customStyle="1" w:styleId="512">
    <w:name w:val="样式3"/>
    <w:basedOn w:val="3"/>
    <w:qFormat/>
    <w:uiPriority w:val="0"/>
    <w:pPr>
      <w:adjustRightInd w:val="0"/>
      <w:spacing w:before="340" w:after="330"/>
      <w:jc w:val="left"/>
    </w:pPr>
    <w:rPr>
      <w:rFonts w:ascii="黑体" w:cs="Times New Roman"/>
      <w:b w:val="0"/>
      <w:bCs w:val="0"/>
    </w:rPr>
  </w:style>
  <w:style w:type="paragraph" w:customStyle="1" w:styleId="513">
    <w:name w:val="xl221"/>
    <w:basedOn w:val="1"/>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jc w:val="center"/>
    </w:pPr>
    <w:rPr>
      <w:rFonts w:ascii="仿宋_GB2312" w:hAnsi="宋体" w:eastAsia="仿宋_GB2312"/>
      <w:sz w:val="20"/>
    </w:rPr>
  </w:style>
  <w:style w:type="paragraph" w:customStyle="1" w:styleId="514">
    <w:name w:val="xl85"/>
    <w:basedOn w:val="1"/>
    <w:qFormat/>
    <w:uiPriority w:val="0"/>
    <w:pPr>
      <w:widowControl/>
      <w:pBdr>
        <w:top w:val="single" w:color="C0C0C0" w:sz="4" w:space="0"/>
        <w:left w:val="single" w:color="C0C0C0" w:sz="4" w:space="0"/>
        <w:bottom w:val="single" w:color="C0C0C0" w:sz="4" w:space="0"/>
        <w:right w:val="single" w:color="C0C0C0" w:sz="4" w:space="0"/>
      </w:pBdr>
      <w:shd w:val="clear" w:color="auto" w:fill="CCFFFF"/>
      <w:snapToGrid/>
      <w:spacing w:before="100" w:beforeAutospacing="1" w:after="100" w:afterAutospacing="1" w:line="240" w:lineRule="auto"/>
      <w:jc w:val="left"/>
    </w:pPr>
    <w:rPr>
      <w:rFonts w:ascii="Arial Unicode MS" w:hAnsi="Arial Unicode MS" w:eastAsia="Arial Unicode MS" w:cs="Arial Unicode MS"/>
      <w:color w:val="0000FF"/>
      <w:sz w:val="18"/>
      <w:szCs w:val="18"/>
    </w:rPr>
  </w:style>
  <w:style w:type="paragraph" w:customStyle="1" w:styleId="515">
    <w:name w:val="样式 标题 2标题2h2l22nd levelTitre2Header 2节标题 1.1BSH-2标题 2 C...1"/>
    <w:basedOn w:val="4"/>
    <w:qFormat/>
    <w:uiPriority w:val="0"/>
    <w:pPr>
      <w:snapToGrid/>
      <w:spacing w:before="100" w:after="100"/>
      <w:jc w:val="both"/>
    </w:pPr>
    <w:rPr>
      <w:rFonts w:hAnsi="宋体" w:eastAsia="黑体" w:cs="宋体"/>
      <w:sz w:val="28"/>
      <w:szCs w:val="20"/>
    </w:rPr>
  </w:style>
  <w:style w:type="paragraph" w:customStyle="1" w:styleId="516">
    <w:name w:val="xl86"/>
    <w:basedOn w:val="1"/>
    <w:qFormat/>
    <w:uiPriority w:val="0"/>
    <w:pPr>
      <w:widowControl/>
      <w:pBdr>
        <w:top w:val="single" w:color="C0C0C0" w:sz="4" w:space="0"/>
        <w:left w:val="single" w:color="C0C0C0" w:sz="4" w:space="0"/>
        <w:bottom w:val="single" w:color="C0C0C0" w:sz="4" w:space="0"/>
        <w:right w:val="single" w:color="C0C0C0" w:sz="4" w:space="0"/>
      </w:pBdr>
      <w:shd w:val="clear" w:color="auto" w:fill="CCFFFF"/>
      <w:snapToGrid/>
      <w:spacing w:before="100" w:beforeAutospacing="1" w:after="100" w:afterAutospacing="1" w:line="240" w:lineRule="auto"/>
      <w:jc w:val="left"/>
    </w:pPr>
    <w:rPr>
      <w:rFonts w:ascii="Arial Unicode MS" w:hAnsi="Arial Unicode MS" w:eastAsia="Arial Unicode MS" w:cs="Arial Unicode MS"/>
      <w:color w:val="FF9900"/>
      <w:sz w:val="24"/>
      <w:szCs w:val="24"/>
    </w:rPr>
  </w:style>
  <w:style w:type="paragraph" w:customStyle="1" w:styleId="517">
    <w:name w:val="正文五号"/>
    <w:qFormat/>
    <w:uiPriority w:val="0"/>
    <w:pPr>
      <w:adjustRightInd w:val="0"/>
      <w:jc w:val="both"/>
      <w:textAlignment w:val="baseline"/>
    </w:pPr>
    <w:rPr>
      <w:rFonts w:ascii="Times New Roman" w:hAnsi="Times New Roman" w:eastAsia="宋体" w:cs="Times New Roman"/>
      <w:sz w:val="21"/>
      <w:lang w:val="en-US" w:eastAsia="zh-CN" w:bidi="ar-SA"/>
    </w:rPr>
  </w:style>
  <w:style w:type="paragraph" w:customStyle="1" w:styleId="518">
    <w:name w:val="样式 样式 标题 33h33rd levelH3l3CT条标题1.1.1段 + 宋体 四号 行距: 固定值 25 磅 + 行距:..."/>
    <w:basedOn w:val="519"/>
    <w:qFormat/>
    <w:uiPriority w:val="0"/>
    <w:pPr>
      <w:tabs>
        <w:tab w:val="left" w:pos="931"/>
      </w:tabs>
      <w:jc w:val="both"/>
    </w:pPr>
    <w:rPr>
      <w:rFonts w:eastAsia="黑体"/>
    </w:rPr>
  </w:style>
  <w:style w:type="paragraph" w:customStyle="1" w:styleId="519">
    <w:name w:val="样式 标题 33h33rd levelH3l3CT条标题1.1.1段 + 宋体 四号 行距: 固定值 25 磅"/>
    <w:basedOn w:val="5"/>
    <w:qFormat/>
    <w:uiPriority w:val="0"/>
    <w:pPr>
      <w:snapToGrid/>
      <w:spacing w:before="260" w:after="260" w:line="240" w:lineRule="auto"/>
    </w:pPr>
    <w:rPr>
      <w:rFonts w:hAnsi="宋体" w:eastAsia="宋体" w:cs="宋体"/>
    </w:rPr>
  </w:style>
  <w:style w:type="paragraph" w:customStyle="1" w:styleId="520">
    <w:name w:val="6"/>
    <w:basedOn w:val="1"/>
    <w:next w:val="47"/>
    <w:qFormat/>
    <w:uiPriority w:val="0"/>
    <w:pPr>
      <w:adjustRightInd w:val="0"/>
      <w:spacing w:line="500" w:lineRule="atLeast"/>
      <w:ind w:firstLine="480" w:firstLineChars="200"/>
    </w:pPr>
    <w:rPr>
      <w:rFonts w:ascii="Times New Roman" w:cs="Times New Roman"/>
      <w:sz w:val="24"/>
      <w:szCs w:val="24"/>
    </w:rPr>
  </w:style>
  <w:style w:type="paragraph" w:customStyle="1" w:styleId="521">
    <w:name w:val="xl49"/>
    <w:basedOn w:val="1"/>
    <w:qFormat/>
    <w:uiPriority w:val="0"/>
    <w:pPr>
      <w:widowControl/>
      <w:pBdr>
        <w:left w:val="single" w:color="969696" w:sz="4" w:space="0"/>
        <w:bottom w:val="single" w:color="969696" w:sz="4" w:space="0"/>
        <w:right w:val="single" w:color="969696" w:sz="4" w:space="0"/>
      </w:pBdr>
      <w:shd w:val="clear" w:color="auto" w:fill="C0C0C0"/>
      <w:snapToGrid/>
      <w:spacing w:before="100" w:beforeAutospacing="1" w:after="100" w:afterAutospacing="1" w:line="240" w:lineRule="auto"/>
      <w:jc w:val="left"/>
    </w:pPr>
    <w:rPr>
      <w:rFonts w:ascii="Arial Unicode MS" w:hAnsi="Arial Unicode MS" w:eastAsia="Arial Unicode MS" w:cs="Arial Unicode MS"/>
      <w:color w:val="993300"/>
      <w:sz w:val="20"/>
    </w:rPr>
  </w:style>
  <w:style w:type="paragraph" w:customStyle="1" w:styleId="522">
    <w:name w:val="DefaultParagraphStyle"/>
    <w:basedOn w:val="1"/>
    <w:qFormat/>
    <w:uiPriority w:val="0"/>
    <w:pPr>
      <w:widowControl/>
      <w:snapToGrid/>
      <w:ind w:firstLine="420" w:firstLineChars="200"/>
      <w:jc w:val="left"/>
    </w:pPr>
    <w:rPr>
      <w:rFonts w:ascii="Arial" w:hAnsi="Arial" w:cs="Arial"/>
      <w:sz w:val="20"/>
    </w:rPr>
  </w:style>
  <w:style w:type="paragraph" w:customStyle="1" w:styleId="523">
    <w:name w:val="三级目录"/>
    <w:basedOn w:val="5"/>
    <w:next w:val="1"/>
    <w:qFormat/>
    <w:uiPriority w:val="0"/>
    <w:pPr>
      <w:snapToGrid/>
      <w:spacing w:line="415" w:lineRule="auto"/>
      <w:ind w:left="720" w:hanging="720"/>
      <w:jc w:val="both"/>
    </w:pPr>
    <w:rPr>
      <w:rFonts w:ascii="黑体" w:cs="宋体"/>
      <w:b w:val="0"/>
      <w:bCs w:val="0"/>
    </w:rPr>
  </w:style>
  <w:style w:type="paragraph" w:customStyle="1" w:styleId="524">
    <w:name w:val="二级条标题"/>
    <w:basedOn w:val="421"/>
    <w:next w:val="5"/>
    <w:qFormat/>
    <w:uiPriority w:val="0"/>
    <w:pPr>
      <w:tabs>
        <w:tab w:val="left" w:pos="2240"/>
        <w:tab w:val="clear" w:pos="1820"/>
      </w:tabs>
      <w:ind w:left="2240"/>
      <w:outlineLvl w:val="3"/>
    </w:pPr>
  </w:style>
  <w:style w:type="paragraph" w:customStyle="1" w:styleId="525">
    <w:name w:val="报告正文"/>
    <w:basedOn w:val="1"/>
    <w:link w:val="766"/>
    <w:qFormat/>
    <w:uiPriority w:val="0"/>
    <w:pPr>
      <w:snapToGrid/>
      <w:ind w:firstLine="482"/>
    </w:pPr>
    <w:rPr>
      <w:rFonts w:ascii="Times New Roman" w:cs="Times New Roman"/>
      <w:sz w:val="24"/>
      <w:szCs w:val="24"/>
    </w:rPr>
  </w:style>
  <w:style w:type="paragraph" w:customStyle="1" w:styleId="526">
    <w:name w:val="填表4小14磅"/>
    <w:basedOn w:val="158"/>
    <w:qFormat/>
    <w:uiPriority w:val="0"/>
    <w:pPr>
      <w:spacing w:line="280" w:lineRule="exact"/>
    </w:pPr>
    <w:rPr>
      <w:rFonts w:cs="宋体"/>
      <w:szCs w:val="20"/>
    </w:rPr>
  </w:style>
  <w:style w:type="paragraph" w:customStyle="1" w:styleId="527">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528">
    <w:name w:val="xl215"/>
    <w:basedOn w:val="1"/>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jc w:val="center"/>
    </w:pPr>
    <w:rPr>
      <w:rFonts w:ascii="仿宋_GB2312" w:hAnsi="宋体" w:eastAsia="仿宋_GB2312"/>
      <w:szCs w:val="28"/>
    </w:rPr>
  </w:style>
  <w:style w:type="paragraph" w:customStyle="1" w:styleId="529">
    <w:name w:val="xl77"/>
    <w:basedOn w:val="1"/>
    <w:qFormat/>
    <w:uiPriority w:val="0"/>
    <w:pPr>
      <w:widowControl/>
      <w:shd w:val="clear" w:color="auto" w:fill="CCFFFF"/>
      <w:snapToGrid/>
      <w:spacing w:before="100" w:beforeAutospacing="1" w:after="100" w:afterAutospacing="1" w:line="240" w:lineRule="auto"/>
      <w:jc w:val="left"/>
    </w:pPr>
    <w:rPr>
      <w:rFonts w:ascii="Arial Unicode MS" w:hAnsi="Arial Unicode MS" w:eastAsia="Arial Unicode MS" w:cs="Arial Unicode MS"/>
      <w:sz w:val="24"/>
      <w:szCs w:val="24"/>
    </w:rPr>
  </w:style>
  <w:style w:type="paragraph" w:customStyle="1" w:styleId="530">
    <w:name w:val="封面项目名称2"/>
    <w:qFormat/>
    <w:uiPriority w:val="0"/>
    <w:pPr>
      <w:spacing w:line="480" w:lineRule="auto"/>
      <w:ind w:right="113"/>
      <w:jc w:val="center"/>
      <w:outlineLvl w:val="0"/>
    </w:pPr>
    <w:rPr>
      <w:rFonts w:ascii="黑体" w:hAnsi="宋体" w:eastAsia="黑体" w:cs="Times New Roman"/>
      <w:color w:val="000000"/>
      <w:kern w:val="52"/>
      <w:sz w:val="32"/>
      <w:szCs w:val="32"/>
      <w:lang w:val="en-US" w:eastAsia="zh-CN" w:bidi="ar-SA"/>
    </w:rPr>
  </w:style>
  <w:style w:type="paragraph" w:customStyle="1" w:styleId="531">
    <w:name w:val="样式 样式 首行缩进:  2 字符 + 首行缩进:  2 字符1"/>
    <w:basedOn w:val="1"/>
    <w:qFormat/>
    <w:uiPriority w:val="0"/>
    <w:pPr>
      <w:snapToGrid/>
      <w:ind w:firstLine="480" w:firstLineChars="200"/>
    </w:pPr>
    <w:rPr>
      <w:rFonts w:ascii="Arial" w:hAnsi="Arial"/>
      <w:szCs w:val="28"/>
    </w:rPr>
  </w:style>
  <w:style w:type="paragraph" w:customStyle="1" w:styleId="532">
    <w:name w:val="Char Char Char Char Char Char Char"/>
    <w:basedOn w:val="1"/>
    <w:qFormat/>
    <w:uiPriority w:val="0"/>
    <w:pPr>
      <w:widowControl/>
      <w:snapToGrid/>
      <w:spacing w:after="160" w:line="240" w:lineRule="exact"/>
      <w:jc w:val="left"/>
    </w:pPr>
    <w:rPr>
      <w:rFonts w:ascii="Verdana" w:hAnsi="Verdana" w:cs="Times New Roman"/>
      <w:sz w:val="20"/>
      <w:lang w:eastAsia="en-US"/>
    </w:rPr>
  </w:style>
  <w:style w:type="paragraph" w:customStyle="1" w:styleId="533">
    <w:name w:val="表格居中五号"/>
    <w:basedOn w:val="1"/>
    <w:qFormat/>
    <w:uiPriority w:val="0"/>
    <w:pPr>
      <w:snapToGrid/>
      <w:spacing w:line="240" w:lineRule="auto"/>
      <w:jc w:val="center"/>
    </w:pPr>
    <w:rPr>
      <w:rFonts w:ascii="Times New Roman" w:cs="Times New Roman"/>
      <w:sz w:val="21"/>
      <w:szCs w:val="24"/>
    </w:rPr>
  </w:style>
  <w:style w:type="paragraph" w:customStyle="1" w:styleId="534">
    <w:name w:val="xl84"/>
    <w:basedOn w:val="1"/>
    <w:qFormat/>
    <w:uiPriority w:val="0"/>
    <w:pPr>
      <w:widowControl/>
      <w:pBdr>
        <w:top w:val="single" w:color="C0C0C0" w:sz="4" w:space="0"/>
        <w:left w:val="single" w:color="C0C0C0" w:sz="4" w:space="0"/>
        <w:bottom w:val="single" w:color="C0C0C0" w:sz="4" w:space="0"/>
        <w:right w:val="single" w:color="C0C0C0" w:sz="4" w:space="0"/>
      </w:pBdr>
      <w:shd w:val="clear" w:color="auto" w:fill="CCFFFF"/>
      <w:snapToGrid/>
      <w:spacing w:before="100" w:beforeAutospacing="1" w:after="100" w:afterAutospacing="1" w:line="240" w:lineRule="auto"/>
      <w:jc w:val="left"/>
    </w:pPr>
    <w:rPr>
      <w:rFonts w:ascii="Arial Unicode MS" w:hAnsi="Arial Unicode MS" w:eastAsia="Arial Unicode MS" w:cs="Arial Unicode MS"/>
      <w:sz w:val="24"/>
      <w:szCs w:val="24"/>
    </w:rPr>
  </w:style>
  <w:style w:type="paragraph" w:customStyle="1" w:styleId="535">
    <w:name w:val="填表4小中14磅"/>
    <w:basedOn w:val="227"/>
    <w:qFormat/>
    <w:uiPriority w:val="0"/>
    <w:pPr>
      <w:snapToGrid w:val="0"/>
      <w:spacing w:line="280" w:lineRule="exact"/>
    </w:pPr>
    <w:rPr>
      <w:rFonts w:cs="Times New Roman"/>
    </w:rPr>
  </w:style>
  <w:style w:type="paragraph" w:customStyle="1" w:styleId="536">
    <w:name w:val="Char Char Char Char Char Char Char Char Char Char Char Char Char"/>
    <w:basedOn w:val="1"/>
    <w:qFormat/>
    <w:uiPriority w:val="0"/>
    <w:pPr>
      <w:snapToGrid/>
      <w:spacing w:line="240" w:lineRule="auto"/>
    </w:pPr>
    <w:rPr>
      <w:rFonts w:ascii="Times New Roman" w:cs="Times New Roman"/>
      <w:sz w:val="21"/>
      <w:szCs w:val="24"/>
    </w:rPr>
  </w:style>
  <w:style w:type="paragraph" w:customStyle="1" w:styleId="537">
    <w:name w:val="xl62"/>
    <w:basedOn w:val="1"/>
    <w:qFormat/>
    <w:uiPriority w:val="0"/>
    <w:pPr>
      <w:widowControl/>
      <w:pBdr>
        <w:left w:val="single" w:color="C0C0C0" w:sz="4" w:space="0"/>
        <w:bottom w:val="single" w:color="C0C0C0" w:sz="4" w:space="0"/>
        <w:right w:val="single" w:color="C0C0C0" w:sz="4" w:space="0"/>
      </w:pBdr>
      <w:shd w:val="clear" w:color="auto" w:fill="CCFFFF"/>
      <w:snapToGrid/>
      <w:spacing w:before="100" w:beforeAutospacing="1" w:after="100" w:afterAutospacing="1" w:line="240" w:lineRule="auto"/>
      <w:jc w:val="left"/>
    </w:pPr>
    <w:rPr>
      <w:rFonts w:ascii="Arial Unicode MS" w:hAnsi="Arial Unicode MS" w:eastAsia="Arial Unicode MS" w:cs="Arial Unicode MS"/>
      <w:color w:val="0000FF"/>
      <w:sz w:val="20"/>
    </w:rPr>
  </w:style>
  <w:style w:type="paragraph" w:customStyle="1" w:styleId="538">
    <w:name w:val="xl96"/>
    <w:basedOn w:val="1"/>
    <w:qFormat/>
    <w:uiPriority w:val="0"/>
    <w:pPr>
      <w:widowControl/>
      <w:pBdr>
        <w:top w:val="single" w:color="C0C0C0" w:sz="4" w:space="0"/>
        <w:left w:val="single" w:color="C0C0C0" w:sz="4" w:space="0"/>
        <w:right w:val="single" w:color="C0C0C0" w:sz="4" w:space="0"/>
      </w:pBdr>
      <w:shd w:val="clear" w:color="auto" w:fill="CCFFFF"/>
      <w:snapToGrid/>
      <w:spacing w:before="100" w:beforeAutospacing="1" w:after="100" w:afterAutospacing="1" w:line="240" w:lineRule="auto"/>
      <w:jc w:val="center"/>
    </w:pPr>
    <w:rPr>
      <w:rFonts w:ascii="Arial Unicode MS" w:hAnsi="Arial Unicode MS" w:eastAsia="Arial Unicode MS" w:cs="Arial Unicode MS"/>
      <w:color w:val="0000FF"/>
      <w:sz w:val="20"/>
    </w:rPr>
  </w:style>
  <w:style w:type="paragraph" w:customStyle="1" w:styleId="539">
    <w:name w:val="xl94"/>
    <w:basedOn w:val="1"/>
    <w:qFormat/>
    <w:uiPriority w:val="0"/>
    <w:pPr>
      <w:widowControl/>
      <w:pBdr>
        <w:top w:val="single" w:color="C0C0C0" w:sz="4" w:space="0"/>
        <w:left w:val="single" w:color="C0C0C0" w:sz="4" w:space="0"/>
        <w:right w:val="single" w:color="969696" w:sz="4" w:space="0"/>
      </w:pBdr>
      <w:shd w:val="clear" w:color="auto" w:fill="CCFFFF"/>
      <w:snapToGrid/>
      <w:spacing w:before="100" w:beforeAutospacing="1" w:after="100" w:afterAutospacing="1" w:line="240" w:lineRule="auto"/>
      <w:jc w:val="left"/>
    </w:pPr>
    <w:rPr>
      <w:rFonts w:ascii="Arial Unicode MS" w:hAnsi="Arial Unicode MS" w:eastAsia="Arial Unicode MS" w:cs="Arial Unicode MS"/>
      <w:color w:val="0000FF"/>
      <w:sz w:val="20"/>
    </w:rPr>
  </w:style>
  <w:style w:type="paragraph" w:customStyle="1" w:styleId="540">
    <w:name w:val="标3"/>
    <w:basedOn w:val="465"/>
    <w:next w:val="1"/>
    <w:qFormat/>
    <w:uiPriority w:val="0"/>
    <w:pPr>
      <w:pageBreakBefore w:val="0"/>
      <w:tabs>
        <w:tab w:val="left" w:pos="1260"/>
      </w:tabs>
      <w:spacing w:beforeLines="0" w:afterLines="0" w:line="360" w:lineRule="auto"/>
      <w:ind w:left="1260" w:hanging="420"/>
      <w:jc w:val="left"/>
      <w:outlineLvl w:val="2"/>
    </w:pPr>
    <w:rPr>
      <w:b w:val="0"/>
      <w:snapToGrid w:val="0"/>
      <w:kern w:val="30"/>
      <w:sz w:val="30"/>
      <w:szCs w:val="30"/>
    </w:rPr>
  </w:style>
  <w:style w:type="paragraph" w:customStyle="1" w:styleId="541">
    <w:name w:val="font10"/>
    <w:basedOn w:val="1"/>
    <w:qFormat/>
    <w:uiPriority w:val="0"/>
    <w:pPr>
      <w:widowControl/>
      <w:snapToGrid/>
      <w:spacing w:before="100" w:beforeAutospacing="1" w:after="100" w:afterAutospacing="1" w:line="240" w:lineRule="auto"/>
      <w:jc w:val="left"/>
    </w:pPr>
    <w:rPr>
      <w:rFonts w:ascii="Times New Roman" w:eastAsia="Arial Unicode MS" w:cs="Times New Roman"/>
      <w:color w:val="FF00FF"/>
      <w:sz w:val="20"/>
    </w:rPr>
  </w:style>
  <w:style w:type="paragraph" w:customStyle="1" w:styleId="542">
    <w:name w:val="xl90"/>
    <w:basedOn w:val="1"/>
    <w:qFormat/>
    <w:uiPriority w:val="0"/>
    <w:pPr>
      <w:widowControl/>
      <w:pBdr>
        <w:top w:val="single" w:color="C0C0C0" w:sz="4" w:space="0"/>
        <w:left w:val="single" w:color="C0C0C0" w:sz="4" w:space="0"/>
        <w:bottom w:val="single" w:color="C0C0C0" w:sz="4" w:space="0"/>
        <w:right w:val="single" w:color="C0C0C0" w:sz="4" w:space="0"/>
      </w:pBdr>
      <w:shd w:val="clear" w:color="auto" w:fill="CCFFFF"/>
      <w:snapToGrid/>
      <w:spacing w:before="100" w:beforeAutospacing="1" w:after="100" w:afterAutospacing="1" w:line="240" w:lineRule="auto"/>
      <w:jc w:val="left"/>
    </w:pPr>
    <w:rPr>
      <w:rFonts w:ascii="Arial Unicode MS" w:hAnsi="Arial Unicode MS" w:eastAsia="Arial Unicode MS" w:cs="Arial Unicode MS"/>
      <w:color w:val="0000FF"/>
      <w:sz w:val="20"/>
    </w:rPr>
  </w:style>
  <w:style w:type="paragraph" w:customStyle="1" w:styleId="543">
    <w:name w:val="xl106"/>
    <w:basedOn w:val="1"/>
    <w:qFormat/>
    <w:uiPriority w:val="0"/>
    <w:pPr>
      <w:widowControl/>
      <w:pBdr>
        <w:bottom w:val="single" w:color="auto" w:sz="4" w:space="0"/>
      </w:pBdr>
      <w:snapToGrid/>
      <w:spacing w:before="100" w:beforeAutospacing="1" w:after="100" w:afterAutospacing="1" w:line="240" w:lineRule="auto"/>
      <w:jc w:val="center"/>
    </w:pPr>
    <w:rPr>
      <w:rFonts w:hAnsi="宋体"/>
      <w:sz w:val="24"/>
      <w:szCs w:val="24"/>
    </w:rPr>
  </w:style>
  <w:style w:type="paragraph" w:customStyle="1" w:styleId="544">
    <w:name w:val="填表4小中红1.5 倍行距"/>
    <w:basedOn w:val="545"/>
    <w:qFormat/>
    <w:uiPriority w:val="0"/>
    <w:pPr>
      <w:spacing w:line="360" w:lineRule="auto"/>
    </w:pPr>
    <w:rPr>
      <w:szCs w:val="20"/>
    </w:rPr>
  </w:style>
  <w:style w:type="paragraph" w:customStyle="1" w:styleId="545">
    <w:name w:val="填表4小中红单倍行距"/>
    <w:basedOn w:val="1"/>
    <w:qFormat/>
    <w:uiPriority w:val="0"/>
    <w:pPr>
      <w:snapToGrid/>
      <w:spacing w:line="240" w:lineRule="auto"/>
      <w:jc w:val="center"/>
    </w:pPr>
    <w:rPr>
      <w:color w:val="FF0000"/>
      <w:sz w:val="24"/>
      <w:szCs w:val="28"/>
    </w:rPr>
  </w:style>
  <w:style w:type="paragraph" w:customStyle="1" w:styleId="546">
    <w:name w:val="xl89"/>
    <w:basedOn w:val="1"/>
    <w:qFormat/>
    <w:uiPriority w:val="0"/>
    <w:pPr>
      <w:widowControl/>
      <w:pBdr>
        <w:top w:val="single" w:color="C0C0C0" w:sz="4" w:space="0"/>
        <w:left w:val="single" w:color="C0C0C0" w:sz="4" w:space="0"/>
        <w:bottom w:val="single" w:color="C0C0C0" w:sz="4" w:space="0"/>
        <w:right w:val="single" w:color="969696" w:sz="4" w:space="0"/>
      </w:pBdr>
      <w:shd w:val="clear" w:color="auto" w:fill="CCFFFF"/>
      <w:snapToGrid/>
      <w:spacing w:before="100" w:beforeAutospacing="1" w:after="100" w:afterAutospacing="1" w:line="240" w:lineRule="auto"/>
      <w:jc w:val="left"/>
    </w:pPr>
    <w:rPr>
      <w:rFonts w:ascii="Arial Unicode MS" w:hAnsi="Arial Unicode MS" w:eastAsia="Arial Unicode MS" w:cs="Arial Unicode MS"/>
      <w:color w:val="0000FF"/>
      <w:sz w:val="20"/>
    </w:rPr>
  </w:style>
  <w:style w:type="paragraph" w:customStyle="1" w:styleId="547">
    <w:name w:val="附件封面2"/>
    <w:basedOn w:val="1"/>
    <w:next w:val="1"/>
    <w:qFormat/>
    <w:uiPriority w:val="0"/>
    <w:pPr>
      <w:jc w:val="center"/>
    </w:pPr>
    <w:rPr>
      <w:rFonts w:ascii="Times New Roman" w:eastAsia="楷体_GB2312" w:cs="Times New Roman"/>
      <w:b/>
      <w:bCs/>
      <w:sz w:val="84"/>
      <w:szCs w:val="24"/>
    </w:rPr>
  </w:style>
  <w:style w:type="paragraph" w:customStyle="1" w:styleId="548">
    <w:name w:val="正文25磅"/>
    <w:basedOn w:val="1"/>
    <w:qFormat/>
    <w:uiPriority w:val="0"/>
    <w:pPr>
      <w:spacing w:line="500" w:lineRule="exact"/>
    </w:pPr>
  </w:style>
  <w:style w:type="paragraph" w:customStyle="1" w:styleId="549">
    <w:name w:val="xl27"/>
    <w:basedOn w:val="1"/>
    <w:qFormat/>
    <w:uiPriority w:val="1"/>
    <w:pPr>
      <w:widowControl/>
      <w:shd w:val="clear" w:color="auto" w:fill="FFFFFF"/>
      <w:snapToGrid/>
      <w:spacing w:before="100" w:beforeAutospacing="1" w:after="100" w:afterAutospacing="1" w:line="240" w:lineRule="auto"/>
      <w:jc w:val="left"/>
    </w:pPr>
    <w:rPr>
      <w:rFonts w:ascii="Arial Unicode MS" w:hAnsi="Arial Unicode MS" w:eastAsia="Arial Unicode MS" w:cs="Arial Unicode MS"/>
      <w:sz w:val="24"/>
      <w:szCs w:val="24"/>
    </w:rPr>
  </w:style>
  <w:style w:type="paragraph" w:customStyle="1" w:styleId="550">
    <w:name w:val="xl54"/>
    <w:basedOn w:val="1"/>
    <w:qFormat/>
    <w:uiPriority w:val="0"/>
    <w:pPr>
      <w:widowControl/>
      <w:pBdr>
        <w:top w:val="single" w:color="C0C0C0" w:sz="4" w:space="0"/>
        <w:left w:val="single" w:color="C0C0C0" w:sz="4" w:space="0"/>
        <w:right w:val="single" w:color="C0C0C0" w:sz="4" w:space="0"/>
      </w:pBdr>
      <w:shd w:val="clear" w:color="auto" w:fill="FFCC99"/>
      <w:snapToGrid/>
      <w:spacing w:before="100" w:beforeAutospacing="1" w:after="100" w:afterAutospacing="1" w:line="240" w:lineRule="auto"/>
      <w:jc w:val="center"/>
    </w:pPr>
    <w:rPr>
      <w:rFonts w:ascii="Arial Unicode MS" w:hAnsi="Arial Unicode MS" w:eastAsia="Arial Unicode MS" w:cs="Arial Unicode MS"/>
      <w:sz w:val="20"/>
    </w:rPr>
  </w:style>
  <w:style w:type="paragraph" w:customStyle="1" w:styleId="551">
    <w:name w:val="xl28"/>
    <w:basedOn w:val="1"/>
    <w:qFormat/>
    <w:uiPriority w:val="1"/>
    <w:pPr>
      <w:widowControl/>
      <w:shd w:val="clear" w:color="auto" w:fill="C0C0C0"/>
      <w:snapToGrid/>
      <w:spacing w:before="100" w:beforeAutospacing="1" w:after="100" w:afterAutospacing="1" w:line="240" w:lineRule="auto"/>
      <w:jc w:val="left"/>
    </w:pPr>
    <w:rPr>
      <w:rFonts w:ascii="Arial Unicode MS" w:hAnsi="Arial Unicode MS" w:eastAsia="Arial Unicode MS" w:cs="Arial Unicode MS"/>
      <w:sz w:val="24"/>
      <w:szCs w:val="24"/>
    </w:rPr>
  </w:style>
  <w:style w:type="paragraph" w:customStyle="1" w:styleId="552">
    <w:name w:val="xl45"/>
    <w:basedOn w:val="1"/>
    <w:qFormat/>
    <w:uiPriority w:val="0"/>
    <w:pPr>
      <w:widowControl/>
      <w:shd w:val="clear" w:color="auto" w:fill="FFCC99"/>
      <w:snapToGrid/>
      <w:spacing w:before="100" w:beforeAutospacing="1" w:after="100" w:afterAutospacing="1" w:line="240" w:lineRule="auto"/>
      <w:jc w:val="center"/>
    </w:pPr>
    <w:rPr>
      <w:rFonts w:ascii="Arial Unicode MS" w:hAnsi="Arial Unicode MS" w:eastAsia="Arial Unicode MS" w:cs="Arial Unicode MS"/>
      <w:sz w:val="20"/>
    </w:rPr>
  </w:style>
  <w:style w:type="paragraph" w:customStyle="1" w:styleId="553">
    <w:name w:val="填表5行距12 磅"/>
    <w:basedOn w:val="125"/>
    <w:qFormat/>
    <w:uiPriority w:val="0"/>
    <w:pPr>
      <w:spacing w:line="240" w:lineRule="exact"/>
    </w:pPr>
    <w:rPr>
      <w:rFonts w:hAnsi="Calibri" w:cs="宋体"/>
    </w:rPr>
  </w:style>
  <w:style w:type="paragraph" w:customStyle="1" w:styleId="554">
    <w:name w:val="xl75"/>
    <w:basedOn w:val="1"/>
    <w:qFormat/>
    <w:uiPriority w:val="0"/>
    <w:pPr>
      <w:widowControl/>
      <w:pBdr>
        <w:right w:val="single" w:color="C0C0C0" w:sz="4" w:space="0"/>
      </w:pBdr>
      <w:shd w:val="clear" w:color="auto" w:fill="CCFFFF"/>
      <w:snapToGrid/>
      <w:spacing w:before="100" w:beforeAutospacing="1" w:after="100" w:afterAutospacing="1" w:line="240" w:lineRule="auto"/>
      <w:jc w:val="left"/>
    </w:pPr>
    <w:rPr>
      <w:rFonts w:ascii="Arial Unicode MS" w:hAnsi="Arial Unicode MS" w:eastAsia="Arial Unicode MS" w:cs="Arial Unicode MS"/>
      <w:color w:val="0000FF"/>
      <w:sz w:val="20"/>
    </w:rPr>
  </w:style>
  <w:style w:type="paragraph" w:customStyle="1" w:styleId="555">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556">
    <w:name w:val="xl50"/>
    <w:basedOn w:val="1"/>
    <w:qFormat/>
    <w:uiPriority w:val="0"/>
    <w:pPr>
      <w:widowControl/>
      <w:pBdr>
        <w:left w:val="single" w:color="969696" w:sz="4" w:space="0"/>
        <w:bottom w:val="single" w:color="969696" w:sz="4" w:space="0"/>
        <w:right w:val="single" w:color="969696" w:sz="4" w:space="0"/>
      </w:pBdr>
      <w:shd w:val="clear" w:color="auto" w:fill="C0C0C0"/>
      <w:snapToGrid/>
      <w:spacing w:before="100" w:beforeAutospacing="1" w:after="100" w:afterAutospacing="1" w:line="240" w:lineRule="auto"/>
      <w:jc w:val="center"/>
    </w:pPr>
    <w:rPr>
      <w:rFonts w:ascii="Arial Unicode MS" w:hAnsi="Arial Unicode MS" w:eastAsia="Arial Unicode MS" w:cs="Arial Unicode MS"/>
      <w:color w:val="993300"/>
      <w:sz w:val="20"/>
    </w:rPr>
  </w:style>
  <w:style w:type="paragraph" w:customStyle="1" w:styleId="557">
    <w:name w:val="Char Char1 Char Char Char Char1"/>
    <w:basedOn w:val="1"/>
    <w:qFormat/>
    <w:uiPriority w:val="0"/>
    <w:pPr>
      <w:snapToGrid/>
      <w:ind w:firstLine="200" w:firstLineChars="200"/>
    </w:pPr>
    <w:rPr>
      <w:rFonts w:ascii="Tahoma" w:hAnsi="Tahoma" w:cs="Times New Roman"/>
      <w:sz w:val="24"/>
    </w:rPr>
  </w:style>
  <w:style w:type="paragraph" w:customStyle="1" w:styleId="558">
    <w:name w:val="xl217"/>
    <w:basedOn w:val="1"/>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jc w:val="center"/>
    </w:pPr>
    <w:rPr>
      <w:rFonts w:ascii="仿宋_GB2312" w:hAnsi="宋体" w:eastAsia="仿宋_GB2312"/>
      <w:b/>
      <w:bCs/>
      <w:szCs w:val="28"/>
    </w:rPr>
  </w:style>
  <w:style w:type="paragraph" w:customStyle="1" w:styleId="559">
    <w:name w:val="样式 标题 3标题 3 Char Char Char Char标题 3 Char Char Char Char Char C...1"/>
    <w:basedOn w:val="5"/>
    <w:qFormat/>
    <w:uiPriority w:val="0"/>
    <w:pPr>
      <w:snapToGrid/>
      <w:spacing w:before="100" w:after="100" w:line="240" w:lineRule="auto"/>
      <w:jc w:val="both"/>
    </w:pPr>
    <w:rPr>
      <w:rFonts w:hAnsi="宋体" w:eastAsia="宋体" w:cs="宋体"/>
    </w:rPr>
  </w:style>
  <w:style w:type="paragraph" w:customStyle="1" w:styleId="560">
    <w:name w:val="S_T-04-正文"/>
    <w:qFormat/>
    <w:uiPriority w:val="0"/>
    <w:pPr>
      <w:widowControl w:val="0"/>
      <w:adjustRightInd w:val="0"/>
      <w:snapToGrid w:val="0"/>
      <w:spacing w:line="360" w:lineRule="auto"/>
      <w:ind w:firstLine="560" w:firstLineChars="200"/>
      <w:jc w:val="both"/>
    </w:pPr>
    <w:rPr>
      <w:rFonts w:ascii="Times New Roman" w:hAnsi="Times New Roman" w:eastAsia="宋体" w:cs="Times New Roman"/>
      <w:color w:val="000000"/>
      <w:kern w:val="2"/>
      <w:sz w:val="28"/>
      <w:szCs w:val="24"/>
      <w:lang w:val="en-US" w:eastAsia="zh-CN" w:bidi="ar-SA"/>
    </w:rPr>
  </w:style>
  <w:style w:type="paragraph" w:customStyle="1" w:styleId="561">
    <w:name w:val="文件抬头"/>
    <w:basedOn w:val="1"/>
    <w:next w:val="1"/>
    <w:qFormat/>
    <w:uiPriority w:val="0"/>
    <w:pPr>
      <w:pBdr>
        <w:bottom w:val="thinThickSmallGap" w:color="auto" w:sz="24" w:space="1"/>
      </w:pBdr>
      <w:spacing w:after="720" w:line="240" w:lineRule="auto"/>
      <w:jc w:val="center"/>
      <w:outlineLvl w:val="1"/>
    </w:pPr>
    <w:rPr>
      <w:rFonts w:ascii="Times New Roman" w:eastAsia="楷体_GB2312" w:cs="Times New Roman"/>
      <w:b/>
      <w:sz w:val="44"/>
      <w:szCs w:val="24"/>
    </w:rPr>
  </w:style>
  <w:style w:type="paragraph" w:customStyle="1" w:styleId="562">
    <w:name w:val="puce"/>
    <w:basedOn w:val="1"/>
    <w:qFormat/>
    <w:uiPriority w:val="0"/>
    <w:pPr>
      <w:widowControl/>
      <w:adjustRightInd w:val="0"/>
      <w:spacing w:before="120" w:after="120"/>
      <w:ind w:left="-121" w:leftChars="-143" w:hanging="179" w:hangingChars="64"/>
    </w:pPr>
    <w:rPr>
      <w:rFonts w:hAnsi="宋体"/>
      <w:szCs w:val="28"/>
    </w:rPr>
  </w:style>
  <w:style w:type="paragraph" w:customStyle="1" w:styleId="563">
    <w:name w:val="xl44"/>
    <w:basedOn w:val="1"/>
    <w:qFormat/>
    <w:uiPriority w:val="0"/>
    <w:pPr>
      <w:widowControl/>
      <w:pBdr>
        <w:left w:val="single" w:color="808080" w:sz="4" w:space="0"/>
        <w:bottom w:val="single" w:color="808080" w:sz="4" w:space="0"/>
        <w:right w:val="single" w:color="808080" w:sz="4" w:space="0"/>
      </w:pBdr>
      <w:shd w:val="clear" w:color="auto" w:fill="C0C0C0"/>
      <w:snapToGrid/>
      <w:spacing w:before="100" w:beforeAutospacing="1" w:after="100" w:afterAutospacing="1" w:line="240" w:lineRule="auto"/>
      <w:jc w:val="center"/>
    </w:pPr>
    <w:rPr>
      <w:rFonts w:ascii="Arial Unicode MS" w:hAnsi="Arial Unicode MS" w:eastAsia="Arial Unicode MS" w:cs="Arial Unicode MS"/>
      <w:color w:val="993300"/>
      <w:sz w:val="20"/>
    </w:rPr>
  </w:style>
  <w:style w:type="paragraph" w:customStyle="1" w:styleId="564">
    <w:name w:val="著录项1"/>
    <w:basedOn w:val="1"/>
    <w:qFormat/>
    <w:uiPriority w:val="0"/>
    <w:rPr>
      <w:rFonts w:cs="Times New Roman"/>
      <w:bCs/>
      <w:kern w:val="3"/>
      <w:szCs w:val="30"/>
    </w:rPr>
  </w:style>
  <w:style w:type="paragraph" w:customStyle="1" w:styleId="565">
    <w:name w:val="xl38"/>
    <w:basedOn w:val="1"/>
    <w:qFormat/>
    <w:uiPriority w:val="0"/>
    <w:pPr>
      <w:widowControl/>
      <w:pBdr>
        <w:top w:val="single" w:color="C0C0C0" w:sz="4" w:space="0"/>
        <w:left w:val="single" w:color="C0C0C0" w:sz="4" w:space="0"/>
        <w:bottom w:val="single" w:color="C0C0C0" w:sz="4" w:space="0"/>
        <w:right w:val="single" w:color="C0C0C0" w:sz="4" w:space="0"/>
      </w:pBdr>
      <w:snapToGrid/>
      <w:spacing w:before="100" w:beforeAutospacing="1" w:after="100" w:afterAutospacing="1" w:line="240" w:lineRule="auto"/>
      <w:jc w:val="left"/>
    </w:pPr>
    <w:rPr>
      <w:rFonts w:ascii="Arial Unicode MS" w:hAnsi="Arial Unicode MS" w:eastAsia="Arial Unicode MS" w:cs="Arial Unicode MS"/>
      <w:sz w:val="24"/>
      <w:szCs w:val="24"/>
    </w:rPr>
  </w:style>
  <w:style w:type="paragraph" w:customStyle="1" w:styleId="566">
    <w:name w:val="标题5缩2"/>
    <w:basedOn w:val="1"/>
    <w:next w:val="1"/>
    <w:qFormat/>
    <w:uiPriority w:val="0"/>
    <w:pPr>
      <w:ind w:firstLine="562" w:firstLineChars="200"/>
      <w:outlineLvl w:val="4"/>
    </w:pPr>
    <w:rPr>
      <w:rFonts w:eastAsia="黑体"/>
      <w:b/>
      <w:bCs/>
    </w:rPr>
  </w:style>
  <w:style w:type="paragraph" w:customStyle="1" w:styleId="567">
    <w:name w:val="章标题"/>
    <w:next w:val="5"/>
    <w:qFormat/>
    <w:uiPriority w:val="0"/>
    <w:pPr>
      <w:tabs>
        <w:tab w:val="left" w:pos="1400"/>
      </w:tabs>
      <w:spacing w:beforeLines="50" w:afterLines="50"/>
      <w:ind w:left="1400" w:hanging="420"/>
      <w:jc w:val="both"/>
      <w:outlineLvl w:val="1"/>
    </w:pPr>
    <w:rPr>
      <w:rFonts w:ascii="黑体" w:hAnsi="Times New Roman" w:eastAsia="黑体" w:cs="Times New Roman"/>
      <w:sz w:val="21"/>
      <w:lang w:val="en-US" w:eastAsia="zh-CN" w:bidi="ar-SA"/>
    </w:rPr>
  </w:style>
  <w:style w:type="paragraph" w:customStyle="1" w:styleId="568">
    <w:name w:val="填表4小中蓝"/>
    <w:basedOn w:val="160"/>
    <w:qFormat/>
    <w:uiPriority w:val="0"/>
    <w:pPr>
      <w:spacing w:line="360" w:lineRule="auto"/>
    </w:pPr>
    <w:rPr>
      <w:rFonts w:hAnsi="宋体" w:cs="宋体"/>
      <w:color w:val="0000FF"/>
      <w:szCs w:val="20"/>
    </w:rPr>
  </w:style>
  <w:style w:type="paragraph" w:customStyle="1" w:styleId="569">
    <w:name w:val="表格标题"/>
    <w:basedOn w:val="1"/>
    <w:next w:val="1"/>
    <w:link w:val="1632"/>
    <w:qFormat/>
    <w:uiPriority w:val="0"/>
    <w:pPr>
      <w:keepNext/>
      <w:widowControl/>
      <w:overflowPunct w:val="0"/>
      <w:adjustRightInd w:val="0"/>
      <w:spacing w:before="360" w:after="120" w:line="480" w:lineRule="exact"/>
      <w:jc w:val="center"/>
    </w:pPr>
    <w:rPr>
      <w:rFonts w:ascii="Arial" w:hAnsi="Arial" w:eastAsia="黑体" w:cs="Times New Roman"/>
      <w:sz w:val="24"/>
    </w:rPr>
  </w:style>
  <w:style w:type="paragraph" w:customStyle="1" w:styleId="570">
    <w:name w:val="xl23"/>
    <w:basedOn w:val="1"/>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jc w:val="center"/>
      <w:textAlignment w:val="center"/>
    </w:pPr>
    <w:rPr>
      <w:rFonts w:ascii="Times New Roman" w:cs="Times New Roman"/>
      <w:sz w:val="24"/>
      <w:szCs w:val="24"/>
    </w:rPr>
  </w:style>
  <w:style w:type="paragraph" w:customStyle="1" w:styleId="571">
    <w:name w:val="xl218"/>
    <w:basedOn w:val="1"/>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jc w:val="left"/>
    </w:pPr>
    <w:rPr>
      <w:rFonts w:hAnsi="宋体"/>
      <w:sz w:val="20"/>
    </w:rPr>
  </w:style>
  <w:style w:type="paragraph" w:customStyle="1" w:styleId="572">
    <w:name w:val="xl51"/>
    <w:basedOn w:val="1"/>
    <w:qFormat/>
    <w:uiPriority w:val="0"/>
    <w:pPr>
      <w:widowControl/>
      <w:pBdr>
        <w:left w:val="single" w:color="969696" w:sz="4" w:space="0"/>
        <w:bottom w:val="single" w:color="969696" w:sz="4" w:space="0"/>
        <w:right w:val="single" w:color="969696" w:sz="4" w:space="0"/>
      </w:pBdr>
      <w:shd w:val="clear" w:color="auto" w:fill="C0C0C0"/>
      <w:snapToGrid/>
      <w:spacing w:before="100" w:beforeAutospacing="1" w:after="100" w:afterAutospacing="1" w:line="240" w:lineRule="auto"/>
      <w:jc w:val="center"/>
    </w:pPr>
    <w:rPr>
      <w:rFonts w:ascii="Arial Unicode MS" w:hAnsi="Arial Unicode MS" w:eastAsia="Arial Unicode MS" w:cs="Arial Unicode MS"/>
      <w:color w:val="993300"/>
      <w:sz w:val="20"/>
    </w:rPr>
  </w:style>
  <w:style w:type="paragraph" w:customStyle="1" w:styleId="573">
    <w:name w:val="样式 正文首行缩进 + 段前: 0.5 行"/>
    <w:basedOn w:val="79"/>
    <w:qFormat/>
    <w:uiPriority w:val="0"/>
    <w:pPr>
      <w:spacing w:before="156" w:after="0" w:line="360" w:lineRule="auto"/>
      <w:ind w:firstLine="567" w:firstLineChars="0"/>
    </w:pPr>
    <w:rPr>
      <w:sz w:val="28"/>
      <w:szCs w:val="20"/>
    </w:rPr>
  </w:style>
  <w:style w:type="paragraph" w:customStyle="1" w:styleId="574">
    <w:name w:val="附件标题3"/>
    <w:basedOn w:val="1"/>
    <w:next w:val="1"/>
    <w:qFormat/>
    <w:uiPriority w:val="0"/>
    <w:pPr>
      <w:jc w:val="left"/>
      <w:outlineLvl w:val="3"/>
    </w:pPr>
    <w:rPr>
      <w:rFonts w:ascii="楷体_GB2312" w:eastAsia="楷体_GB2312" w:cs="Times New Roman"/>
      <w:b/>
      <w:szCs w:val="28"/>
    </w:rPr>
  </w:style>
  <w:style w:type="paragraph" w:customStyle="1" w:styleId="575">
    <w:name w:val="xl103"/>
    <w:basedOn w:val="1"/>
    <w:qFormat/>
    <w:uiPriority w:val="0"/>
    <w:pPr>
      <w:widowControl/>
      <w:pBdr>
        <w:top w:val="single" w:color="auto" w:sz="4" w:space="0"/>
      </w:pBdr>
      <w:snapToGrid/>
      <w:spacing w:before="100" w:beforeAutospacing="1" w:after="100" w:afterAutospacing="1" w:line="240" w:lineRule="auto"/>
      <w:jc w:val="center"/>
    </w:pPr>
    <w:rPr>
      <w:rFonts w:hAnsi="宋体"/>
      <w:b/>
      <w:bCs/>
      <w:szCs w:val="28"/>
    </w:rPr>
  </w:style>
  <w:style w:type="paragraph" w:customStyle="1" w:styleId="576">
    <w:name w:val="Char Char1 Char Char Char Char Char Char Char Char Char Char Char Char Char Char Char Char Char Char Char Char1 Char"/>
    <w:basedOn w:val="1"/>
    <w:qFormat/>
    <w:uiPriority w:val="0"/>
    <w:pPr>
      <w:snapToGrid/>
      <w:ind w:firstLine="200" w:firstLineChars="200"/>
    </w:pPr>
    <w:rPr>
      <w:rFonts w:hAnsi="宋体"/>
      <w:sz w:val="24"/>
      <w:szCs w:val="24"/>
    </w:rPr>
  </w:style>
  <w:style w:type="paragraph" w:customStyle="1" w:styleId="577">
    <w:name w:val="附件封面5"/>
    <w:basedOn w:val="1"/>
    <w:next w:val="1"/>
    <w:qFormat/>
    <w:uiPriority w:val="0"/>
    <w:pPr>
      <w:ind w:firstLine="200" w:firstLineChars="200"/>
      <w:jc w:val="left"/>
      <w:outlineLvl w:val="5"/>
    </w:pPr>
    <w:rPr>
      <w:rFonts w:eastAsia="黑体"/>
      <w:b/>
      <w:bCs/>
    </w:rPr>
  </w:style>
  <w:style w:type="paragraph" w:customStyle="1" w:styleId="578">
    <w:name w:val="xl34"/>
    <w:basedOn w:val="1"/>
    <w:qFormat/>
    <w:uiPriority w:val="0"/>
    <w:pPr>
      <w:widowControl/>
      <w:pBdr>
        <w:bottom w:val="single" w:color="C0C0C0" w:sz="4" w:space="0"/>
        <w:right w:val="single" w:color="C0C0C0" w:sz="4" w:space="0"/>
      </w:pBdr>
      <w:shd w:val="clear" w:color="auto" w:fill="FFCC99"/>
      <w:snapToGrid/>
      <w:spacing w:before="100" w:beforeAutospacing="1" w:after="100" w:afterAutospacing="1" w:line="240" w:lineRule="auto"/>
      <w:jc w:val="center"/>
    </w:pPr>
    <w:rPr>
      <w:rFonts w:ascii="Arial Unicode MS" w:hAnsi="Arial Unicode MS" w:eastAsia="Arial Unicode MS" w:cs="Arial Unicode MS"/>
      <w:color w:val="000000"/>
      <w:sz w:val="20"/>
    </w:rPr>
  </w:style>
  <w:style w:type="paragraph" w:customStyle="1" w:styleId="579">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580">
    <w:name w:val="正文3"/>
    <w:basedOn w:val="1"/>
    <w:qFormat/>
    <w:uiPriority w:val="0"/>
    <w:pPr>
      <w:snapToGrid/>
      <w:spacing w:line="500" w:lineRule="exact"/>
      <w:ind w:firstLine="560" w:firstLineChars="200"/>
    </w:pPr>
    <w:rPr>
      <w:rFonts w:ascii="Times New Roman"/>
      <w:szCs w:val="28"/>
    </w:rPr>
  </w:style>
  <w:style w:type="paragraph" w:customStyle="1" w:styleId="581">
    <w:name w:val="表格内容"/>
    <w:basedOn w:val="1"/>
    <w:link w:val="757"/>
    <w:qFormat/>
    <w:uiPriority w:val="0"/>
    <w:pPr>
      <w:overflowPunct w:val="0"/>
      <w:adjustRightInd w:val="0"/>
      <w:snapToGrid/>
      <w:spacing w:before="40" w:after="60" w:line="200" w:lineRule="atLeast"/>
      <w:textAlignment w:val="baseline"/>
    </w:pPr>
    <w:rPr>
      <w:rFonts w:ascii="Arial" w:hAnsi="Arial" w:eastAsia="仿宋_GB2312" w:cs="Times New Roman"/>
      <w:sz w:val="24"/>
    </w:rPr>
  </w:style>
  <w:style w:type="paragraph" w:customStyle="1" w:styleId="582">
    <w:name w:val="xl57"/>
    <w:basedOn w:val="1"/>
    <w:qFormat/>
    <w:uiPriority w:val="0"/>
    <w:pPr>
      <w:widowControl/>
      <w:pBdr>
        <w:top w:val="single" w:color="C0C0C0" w:sz="4" w:space="0"/>
        <w:left w:val="single" w:color="C0C0C0" w:sz="4" w:space="0"/>
        <w:bottom w:val="single" w:color="C0C0C0" w:sz="4" w:space="0"/>
        <w:right w:val="single" w:color="C0C0C0" w:sz="4" w:space="0"/>
      </w:pBdr>
      <w:shd w:val="clear" w:color="auto" w:fill="CCFFFF"/>
      <w:snapToGrid/>
      <w:spacing w:before="100" w:beforeAutospacing="1" w:after="100" w:afterAutospacing="1" w:line="240" w:lineRule="auto"/>
      <w:jc w:val="left"/>
    </w:pPr>
    <w:rPr>
      <w:rFonts w:ascii="Arial Unicode MS" w:hAnsi="Arial Unicode MS" w:eastAsia="Arial Unicode MS" w:cs="Arial Unicode MS"/>
      <w:color w:val="0000FF"/>
      <w:sz w:val="20"/>
    </w:rPr>
  </w:style>
  <w:style w:type="paragraph" w:customStyle="1" w:styleId="583">
    <w:name w:val="表居中（中文）"/>
    <w:basedOn w:val="1"/>
    <w:qFormat/>
    <w:uiPriority w:val="0"/>
    <w:pPr>
      <w:adjustRightInd w:val="0"/>
      <w:snapToGrid/>
      <w:spacing w:line="380" w:lineRule="atLeast"/>
      <w:jc w:val="center"/>
    </w:pPr>
    <w:rPr>
      <w:rFonts w:ascii="Times New Roman" w:eastAsia="楷体_GB2312" w:cs="Times New Roman"/>
      <w:sz w:val="21"/>
    </w:rPr>
  </w:style>
  <w:style w:type="paragraph" w:customStyle="1" w:styleId="584">
    <w:name w:val="样式 标题 1h11st levelSection Headl1章标题 1featurehead标题 1 Char...4"/>
    <w:basedOn w:val="3"/>
    <w:qFormat/>
    <w:uiPriority w:val="0"/>
    <w:pPr>
      <w:snapToGrid/>
      <w:spacing w:before="120" w:after="120"/>
      <w:ind w:left="425" w:hanging="137"/>
    </w:pPr>
    <w:rPr>
      <w:rFonts w:hAnsi="宋体"/>
      <w:b w:val="0"/>
      <w:sz w:val="30"/>
      <w:szCs w:val="20"/>
    </w:rPr>
  </w:style>
  <w:style w:type="paragraph" w:customStyle="1" w:styleId="585">
    <w:name w:val="xl226"/>
    <w:basedOn w:val="1"/>
    <w:qFormat/>
    <w:uiPriority w:val="0"/>
    <w:pPr>
      <w:widowControl/>
      <w:pBdr>
        <w:top w:val="single" w:color="auto" w:sz="4" w:space="0"/>
        <w:bottom w:val="single" w:color="auto" w:sz="4" w:space="0"/>
        <w:right w:val="single" w:color="auto" w:sz="4" w:space="0"/>
      </w:pBdr>
      <w:snapToGrid/>
      <w:spacing w:before="100" w:beforeAutospacing="1" w:after="100" w:afterAutospacing="1" w:line="240" w:lineRule="auto"/>
      <w:jc w:val="center"/>
    </w:pPr>
    <w:rPr>
      <w:rFonts w:hAnsi="宋体"/>
      <w:sz w:val="20"/>
    </w:rPr>
  </w:style>
  <w:style w:type="paragraph" w:customStyle="1" w:styleId="586">
    <w:name w:val="font5"/>
    <w:basedOn w:val="1"/>
    <w:qFormat/>
    <w:uiPriority w:val="0"/>
    <w:pPr>
      <w:widowControl/>
      <w:snapToGrid/>
      <w:spacing w:before="100" w:beforeAutospacing="1" w:after="100" w:afterAutospacing="1" w:line="240" w:lineRule="auto"/>
      <w:jc w:val="left"/>
    </w:pPr>
    <w:rPr>
      <w:rFonts w:hAnsi="宋体" w:cs="Arial Unicode MS"/>
      <w:sz w:val="18"/>
      <w:szCs w:val="18"/>
    </w:rPr>
  </w:style>
  <w:style w:type="paragraph" w:customStyle="1" w:styleId="587">
    <w:name w:val="样式2"/>
    <w:basedOn w:val="1"/>
    <w:link w:val="1039"/>
    <w:qFormat/>
    <w:uiPriority w:val="0"/>
    <w:pPr>
      <w:adjustRightInd w:val="0"/>
      <w:spacing w:line="500" w:lineRule="exact"/>
      <w:ind w:firstLine="192" w:firstLineChars="192"/>
    </w:pPr>
    <w:rPr>
      <w:rFonts w:hAnsi="宋体" w:cs="Times New Roman"/>
      <w:color w:val="000000"/>
      <w:szCs w:val="28"/>
    </w:rPr>
  </w:style>
  <w:style w:type="paragraph" w:customStyle="1" w:styleId="588">
    <w:name w:val="填表4小中1.5倍行距"/>
    <w:basedOn w:val="162"/>
    <w:qFormat/>
    <w:uiPriority w:val="0"/>
    <w:pPr>
      <w:spacing w:line="360" w:lineRule="auto"/>
    </w:pPr>
    <w:rPr>
      <w:rFonts w:hAnsi="宋体" w:cs="宋体"/>
      <w:szCs w:val="28"/>
    </w:rPr>
  </w:style>
  <w:style w:type="paragraph" w:customStyle="1" w:styleId="589">
    <w:name w:val="填表4小中13磅"/>
    <w:basedOn w:val="162"/>
    <w:qFormat/>
    <w:uiPriority w:val="0"/>
    <w:pPr>
      <w:spacing w:line="260" w:lineRule="exact"/>
    </w:pPr>
    <w:rPr>
      <w:rFonts w:hAnsi="宋体" w:cs="宋体"/>
      <w:szCs w:val="20"/>
    </w:rPr>
  </w:style>
  <w:style w:type="paragraph" w:customStyle="1" w:styleId="590">
    <w:name w:val="xl88"/>
    <w:basedOn w:val="1"/>
    <w:qFormat/>
    <w:uiPriority w:val="0"/>
    <w:pPr>
      <w:widowControl/>
      <w:pBdr>
        <w:top w:val="single" w:color="C0C0C0" w:sz="4" w:space="0"/>
        <w:left w:val="single" w:color="C0C0C0" w:sz="4" w:space="0"/>
        <w:bottom w:val="single" w:color="C0C0C0" w:sz="4" w:space="0"/>
        <w:right w:val="single" w:color="C0C0C0" w:sz="4" w:space="0"/>
      </w:pBdr>
      <w:shd w:val="clear" w:color="auto" w:fill="CCFFFF"/>
      <w:snapToGrid/>
      <w:spacing w:before="100" w:beforeAutospacing="1" w:after="100" w:afterAutospacing="1" w:line="240" w:lineRule="auto"/>
      <w:jc w:val="left"/>
    </w:pPr>
    <w:rPr>
      <w:rFonts w:ascii="Arial Unicode MS" w:hAnsi="Arial Unicode MS" w:eastAsia="Arial Unicode MS" w:cs="Arial Unicode MS"/>
      <w:color w:val="0000FF"/>
      <w:sz w:val="20"/>
    </w:rPr>
  </w:style>
  <w:style w:type="paragraph" w:customStyle="1" w:styleId="591">
    <w:name w:val="Plain Text1"/>
    <w:basedOn w:val="1"/>
    <w:qFormat/>
    <w:uiPriority w:val="0"/>
    <w:pPr>
      <w:adjustRightInd w:val="0"/>
      <w:snapToGrid/>
      <w:spacing w:line="240" w:lineRule="auto"/>
      <w:jc w:val="left"/>
    </w:pPr>
    <w:rPr>
      <w:rFonts w:hAnsi="Courier New" w:cs="Times New Roman"/>
      <w:sz w:val="24"/>
      <w:szCs w:val="24"/>
    </w:rPr>
  </w:style>
  <w:style w:type="paragraph" w:customStyle="1" w:styleId="592">
    <w:name w:val="Char Char3"/>
    <w:basedOn w:val="1"/>
    <w:semiHidden/>
    <w:qFormat/>
    <w:uiPriority w:val="0"/>
    <w:pPr>
      <w:snapToGrid/>
      <w:spacing w:line="240" w:lineRule="auto"/>
    </w:pPr>
    <w:rPr>
      <w:rFonts w:ascii="Times New Roman" w:eastAsia="仿宋_GB2312" w:cs="Times New Roman"/>
      <w:szCs w:val="24"/>
    </w:rPr>
  </w:style>
  <w:style w:type="paragraph" w:customStyle="1" w:styleId="593">
    <w:name w:val="预案封面"/>
    <w:basedOn w:val="154"/>
    <w:next w:val="154"/>
    <w:qFormat/>
    <w:uiPriority w:val="0"/>
    <w:pPr>
      <w:snapToGrid w:val="0"/>
      <w:spacing w:line="360" w:lineRule="auto"/>
      <w:jc w:val="center"/>
    </w:pPr>
    <w:rPr>
      <w:rFonts w:ascii="Times New Roman" w:eastAsia="仿宋_GB2312" w:cs="宋体"/>
      <w:b/>
      <w:sz w:val="84"/>
      <w:szCs w:val="28"/>
    </w:rPr>
  </w:style>
  <w:style w:type="paragraph" w:customStyle="1" w:styleId="594">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95">
    <w:name w:val="L_正文"/>
    <w:basedOn w:val="1"/>
    <w:next w:val="1"/>
    <w:qFormat/>
    <w:uiPriority w:val="0"/>
    <w:pPr>
      <w:tabs>
        <w:tab w:val="left" w:pos="0"/>
      </w:tabs>
      <w:snapToGrid/>
      <w:ind w:firstLine="560" w:firstLineChars="200"/>
    </w:pPr>
    <w:rPr>
      <w:rFonts w:ascii="Times New Roman" w:cs="Times New Roman"/>
      <w:szCs w:val="28"/>
    </w:rPr>
  </w:style>
  <w:style w:type="paragraph" w:customStyle="1" w:styleId="596">
    <w:name w:val="MTDisplayEquation"/>
    <w:basedOn w:val="1"/>
    <w:next w:val="1"/>
    <w:qFormat/>
    <w:uiPriority w:val="0"/>
    <w:pPr>
      <w:tabs>
        <w:tab w:val="center" w:pos="4160"/>
        <w:tab w:val="right" w:pos="8300"/>
      </w:tabs>
      <w:snapToGrid/>
      <w:spacing w:line="240" w:lineRule="auto"/>
    </w:pPr>
    <w:rPr>
      <w:rFonts w:ascii="Times New Roman" w:cs="Times New Roman"/>
      <w:snapToGrid w:val="0"/>
      <w:szCs w:val="24"/>
    </w:rPr>
  </w:style>
  <w:style w:type="paragraph" w:customStyle="1" w:styleId="597">
    <w:name w:val="附件标题2"/>
    <w:basedOn w:val="1"/>
    <w:next w:val="1"/>
    <w:qFormat/>
    <w:uiPriority w:val="0"/>
    <w:pPr>
      <w:jc w:val="left"/>
      <w:outlineLvl w:val="2"/>
    </w:pPr>
    <w:rPr>
      <w:rFonts w:ascii="楷体_GB2312" w:eastAsia="楷体_GB2312" w:cs="Times New Roman"/>
      <w:b/>
      <w:sz w:val="32"/>
      <w:szCs w:val="32"/>
    </w:rPr>
  </w:style>
  <w:style w:type="paragraph" w:customStyle="1" w:styleId="598">
    <w:name w:val="xl100"/>
    <w:basedOn w:val="1"/>
    <w:qFormat/>
    <w:uiPriority w:val="0"/>
    <w:pPr>
      <w:widowControl/>
      <w:pBdr>
        <w:left w:val="single" w:color="C0C0C0" w:sz="4" w:space="0"/>
        <w:bottom w:val="single" w:color="C0C0C0" w:sz="4" w:space="0"/>
        <w:right w:val="single" w:color="C0C0C0" w:sz="4" w:space="0"/>
      </w:pBdr>
      <w:shd w:val="clear" w:color="auto" w:fill="CCFFFF"/>
      <w:snapToGrid/>
      <w:spacing w:before="100" w:beforeAutospacing="1" w:after="100" w:afterAutospacing="1" w:line="240" w:lineRule="auto"/>
      <w:jc w:val="left"/>
    </w:pPr>
    <w:rPr>
      <w:rFonts w:ascii="Arial Unicode MS" w:hAnsi="Arial Unicode MS" w:eastAsia="Arial Unicode MS" w:cs="Arial Unicode MS"/>
      <w:color w:val="FF0000"/>
      <w:sz w:val="20"/>
    </w:rPr>
  </w:style>
  <w:style w:type="paragraph" w:customStyle="1" w:styleId="599">
    <w:name w:val="中环二级标题"/>
    <w:basedOn w:val="1"/>
    <w:next w:val="1"/>
    <w:qFormat/>
    <w:uiPriority w:val="0"/>
    <w:pPr>
      <w:snapToGrid/>
      <w:spacing w:line="240" w:lineRule="auto"/>
      <w:jc w:val="left"/>
    </w:pPr>
    <w:rPr>
      <w:rFonts w:ascii="Times New Roman" w:eastAsia="楷体" w:cs="Times New Roman"/>
      <w:sz w:val="30"/>
      <w:szCs w:val="24"/>
    </w:rPr>
  </w:style>
  <w:style w:type="paragraph" w:customStyle="1" w:styleId="600">
    <w:name w:val="表格文字（小）"/>
    <w:basedOn w:val="1"/>
    <w:qFormat/>
    <w:uiPriority w:val="0"/>
    <w:pPr>
      <w:adjustRightInd w:val="0"/>
      <w:spacing w:line="240" w:lineRule="auto"/>
      <w:jc w:val="center"/>
    </w:pPr>
    <w:rPr>
      <w:rFonts w:ascii="Arial" w:hAnsi="Arial" w:cs="Times New Roman"/>
      <w:sz w:val="18"/>
      <w:szCs w:val="21"/>
    </w:rPr>
  </w:style>
  <w:style w:type="paragraph" w:customStyle="1" w:styleId="601">
    <w:name w:val="默认段落字体 Para Char Char Char Char Char Char Char"/>
    <w:basedOn w:val="1"/>
    <w:qFormat/>
    <w:uiPriority w:val="0"/>
    <w:pPr>
      <w:tabs>
        <w:tab w:val="left" w:pos="4665"/>
        <w:tab w:val="left" w:pos="8970"/>
      </w:tabs>
      <w:snapToGrid/>
      <w:spacing w:line="240" w:lineRule="auto"/>
      <w:ind w:firstLine="400"/>
    </w:pPr>
    <w:rPr>
      <w:rFonts w:ascii="Tahoma" w:hAnsi="Tahoma" w:cs="Times New Roman"/>
      <w:sz w:val="24"/>
    </w:rPr>
  </w:style>
  <w:style w:type="paragraph" w:customStyle="1" w:styleId="602">
    <w:name w:val="标5"/>
    <w:basedOn w:val="465"/>
    <w:next w:val="1"/>
    <w:qFormat/>
    <w:uiPriority w:val="0"/>
    <w:pPr>
      <w:keepNext w:val="0"/>
      <w:pageBreakBefore w:val="0"/>
      <w:widowControl w:val="0"/>
      <w:tabs>
        <w:tab w:val="left" w:pos="2100"/>
      </w:tabs>
      <w:snapToGrid w:val="0"/>
      <w:spacing w:beforeLines="0" w:afterLines="0" w:line="360" w:lineRule="auto"/>
      <w:ind w:left="2100" w:hanging="420"/>
      <w:jc w:val="left"/>
      <w:outlineLvl w:val="4"/>
    </w:pPr>
    <w:rPr>
      <w:b w:val="0"/>
      <w:kern w:val="2"/>
      <w:sz w:val="30"/>
      <w:szCs w:val="30"/>
    </w:rPr>
  </w:style>
  <w:style w:type="paragraph" w:customStyle="1" w:styleId="603">
    <w:name w:val="xl60"/>
    <w:basedOn w:val="1"/>
    <w:qFormat/>
    <w:uiPriority w:val="0"/>
    <w:pPr>
      <w:widowControl/>
      <w:pBdr>
        <w:top w:val="single" w:color="C0C0C0" w:sz="4" w:space="0"/>
        <w:left w:val="single" w:color="C0C0C0" w:sz="4" w:space="0"/>
        <w:bottom w:val="single" w:color="C0C0C0" w:sz="4" w:space="0"/>
        <w:right w:val="single" w:color="C0C0C0" w:sz="4" w:space="0"/>
      </w:pBdr>
      <w:shd w:val="clear" w:color="auto" w:fill="CCFFFF"/>
      <w:snapToGrid/>
      <w:spacing w:before="100" w:beforeAutospacing="1" w:after="100" w:afterAutospacing="1" w:line="240" w:lineRule="auto"/>
      <w:jc w:val="center"/>
    </w:pPr>
    <w:rPr>
      <w:rFonts w:ascii="Arial Unicode MS" w:hAnsi="Arial Unicode MS" w:eastAsia="Arial Unicode MS" w:cs="Arial Unicode MS"/>
      <w:color w:val="0000FF"/>
      <w:sz w:val="20"/>
    </w:rPr>
  </w:style>
  <w:style w:type="paragraph" w:customStyle="1" w:styleId="604">
    <w:name w:val="Char Char Char Char2"/>
    <w:basedOn w:val="1"/>
    <w:qFormat/>
    <w:uiPriority w:val="0"/>
    <w:pPr>
      <w:widowControl/>
      <w:snapToGrid/>
      <w:spacing w:after="160" w:line="240" w:lineRule="exact"/>
      <w:jc w:val="left"/>
    </w:pPr>
    <w:rPr>
      <w:rFonts w:ascii="Verdana" w:hAnsi="Verdana" w:cs="Times New Roman"/>
      <w:sz w:val="20"/>
      <w:lang w:eastAsia="en-US"/>
    </w:rPr>
  </w:style>
  <w:style w:type="paragraph" w:customStyle="1" w:styleId="605">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606">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607">
    <w:name w:val="填表小512磅"/>
    <w:basedOn w:val="411"/>
    <w:qFormat/>
    <w:uiPriority w:val="0"/>
    <w:pPr>
      <w:spacing w:line="240" w:lineRule="exact"/>
    </w:pPr>
    <w:rPr>
      <w:rFonts w:eastAsia="仿宋_GB2312" w:cs="宋体"/>
      <w:szCs w:val="20"/>
    </w:rPr>
  </w:style>
  <w:style w:type="paragraph" w:customStyle="1" w:styleId="608">
    <w:name w:val="xl39"/>
    <w:basedOn w:val="1"/>
    <w:qFormat/>
    <w:uiPriority w:val="0"/>
    <w:pPr>
      <w:widowControl/>
      <w:pBdr>
        <w:top w:val="single" w:color="C0C0C0" w:sz="4" w:space="0"/>
        <w:left w:val="single" w:color="C0C0C0" w:sz="4" w:space="0"/>
        <w:bottom w:val="single" w:color="C0C0C0" w:sz="4" w:space="0"/>
        <w:right w:val="single" w:color="C0C0C0" w:sz="4" w:space="0"/>
      </w:pBdr>
      <w:shd w:val="clear" w:color="auto" w:fill="FFFFFF"/>
      <w:snapToGrid/>
      <w:spacing w:before="100" w:beforeAutospacing="1" w:after="100" w:afterAutospacing="1" w:line="240" w:lineRule="auto"/>
      <w:jc w:val="left"/>
    </w:pPr>
    <w:rPr>
      <w:rFonts w:ascii="Arial Unicode MS" w:hAnsi="Arial Unicode MS" w:eastAsia="Arial Unicode MS" w:cs="Arial Unicode MS"/>
      <w:sz w:val="24"/>
      <w:szCs w:val="24"/>
    </w:rPr>
  </w:style>
  <w:style w:type="paragraph" w:customStyle="1" w:styleId="609">
    <w:name w:val="样式 标题 1 + 宋体 三号 黑色 段前: 7.8 磅 段后: 7.8 磅 行距: 固定值 40 磅"/>
    <w:basedOn w:val="3"/>
    <w:qFormat/>
    <w:uiPriority w:val="0"/>
    <w:pPr>
      <w:tabs>
        <w:tab w:val="left" w:pos="927"/>
      </w:tabs>
      <w:snapToGrid/>
      <w:spacing w:before="156" w:after="156" w:line="800" w:lineRule="exact"/>
      <w:ind w:firstLine="567"/>
    </w:pPr>
    <w:rPr>
      <w:rFonts w:hAnsi="宋体" w:eastAsia="宋体"/>
      <w:color w:val="000000"/>
      <w:szCs w:val="20"/>
    </w:rPr>
  </w:style>
  <w:style w:type="paragraph" w:customStyle="1" w:styleId="610">
    <w:name w:val="xl81"/>
    <w:basedOn w:val="1"/>
    <w:qFormat/>
    <w:uiPriority w:val="0"/>
    <w:pPr>
      <w:widowControl/>
      <w:pBdr>
        <w:top w:val="single" w:color="C0C0C0" w:sz="4" w:space="0"/>
        <w:left w:val="single" w:color="C0C0C0" w:sz="4" w:space="0"/>
        <w:right w:val="single" w:color="C0C0C0" w:sz="4" w:space="0"/>
      </w:pBdr>
      <w:shd w:val="clear" w:color="auto" w:fill="CCFFFF"/>
      <w:snapToGrid/>
      <w:spacing w:before="100" w:beforeAutospacing="1" w:after="100" w:afterAutospacing="1" w:line="240" w:lineRule="auto"/>
      <w:jc w:val="left"/>
    </w:pPr>
    <w:rPr>
      <w:rFonts w:ascii="Arial Unicode MS" w:hAnsi="Arial Unicode MS" w:eastAsia="Arial Unicode MS" w:cs="Arial Unicode MS"/>
      <w:color w:val="0000FF"/>
      <w:sz w:val="20"/>
    </w:rPr>
  </w:style>
  <w:style w:type="paragraph" w:customStyle="1" w:styleId="611">
    <w:name w:val="1名"/>
    <w:basedOn w:val="1"/>
    <w:qFormat/>
    <w:uiPriority w:val="0"/>
    <w:pPr>
      <w:snapToGrid/>
      <w:spacing w:before="120" w:line="240" w:lineRule="auto"/>
    </w:pPr>
    <w:rPr>
      <w:rFonts w:cs="Times New Roman"/>
    </w:rPr>
  </w:style>
  <w:style w:type="paragraph" w:customStyle="1" w:styleId="612">
    <w:name w:val="Char Char Char Char Char Char Char Char Char Char Char"/>
    <w:basedOn w:val="1"/>
    <w:qFormat/>
    <w:uiPriority w:val="0"/>
    <w:pPr>
      <w:snapToGrid/>
      <w:spacing w:line="240" w:lineRule="auto"/>
    </w:pPr>
    <w:rPr>
      <w:rFonts w:ascii="Times New Roman" w:cs="Times New Roman"/>
      <w:sz w:val="21"/>
      <w:szCs w:val="24"/>
    </w:rPr>
  </w:style>
  <w:style w:type="paragraph" w:customStyle="1" w:styleId="613">
    <w:name w:val="样式 标题 1标题 1 Char1 Char标题 1 Char1 Char1 Char标题 1 Char1 Char1 C...1"/>
    <w:basedOn w:val="3"/>
    <w:qFormat/>
    <w:uiPriority w:val="0"/>
    <w:pPr>
      <w:snapToGrid/>
      <w:spacing w:before="340" w:after="330"/>
      <w:ind w:left="425" w:hanging="137"/>
    </w:pPr>
    <w:rPr>
      <w:rFonts w:ascii="黑体" w:hAnsi="黑体"/>
      <w:b w:val="0"/>
      <w:snapToGrid w:val="0"/>
      <w:kern w:val="0"/>
      <w:sz w:val="30"/>
      <w:szCs w:val="30"/>
    </w:rPr>
  </w:style>
  <w:style w:type="paragraph" w:customStyle="1" w:styleId="614">
    <w:name w:val="填表5仿宋"/>
    <w:basedOn w:val="125"/>
    <w:qFormat/>
    <w:uiPriority w:val="0"/>
    <w:pPr>
      <w:snapToGrid w:val="0"/>
      <w:spacing w:line="300" w:lineRule="exact"/>
    </w:pPr>
    <w:rPr>
      <w:rFonts w:ascii="仿宋_GB2312" w:eastAsia="仿宋_GB2312"/>
      <w:szCs w:val="21"/>
    </w:rPr>
  </w:style>
  <w:style w:type="paragraph" w:customStyle="1" w:styleId="615">
    <w:name w:val="xl219"/>
    <w:basedOn w:val="1"/>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jc w:val="left"/>
    </w:pPr>
    <w:rPr>
      <w:rFonts w:hAnsi="宋体"/>
      <w:sz w:val="20"/>
    </w:rPr>
  </w:style>
  <w:style w:type="paragraph" w:customStyle="1" w:styleId="616">
    <w:name w:val="xl40"/>
    <w:basedOn w:val="1"/>
    <w:qFormat/>
    <w:uiPriority w:val="0"/>
    <w:pPr>
      <w:widowControl/>
      <w:pBdr>
        <w:top w:val="single" w:color="969696" w:sz="4" w:space="0"/>
        <w:left w:val="single" w:color="969696" w:sz="4" w:space="0"/>
        <w:bottom w:val="single" w:color="969696" w:sz="4" w:space="0"/>
        <w:right w:val="single" w:color="969696" w:sz="4" w:space="0"/>
      </w:pBdr>
      <w:shd w:val="clear" w:color="auto" w:fill="C0C0C0"/>
      <w:snapToGrid/>
      <w:spacing w:before="100" w:beforeAutospacing="1" w:after="100" w:afterAutospacing="1" w:line="240" w:lineRule="auto"/>
      <w:jc w:val="left"/>
    </w:pPr>
    <w:rPr>
      <w:rFonts w:ascii="Arial Unicode MS" w:hAnsi="Arial Unicode MS" w:eastAsia="Arial Unicode MS" w:cs="Arial Unicode MS"/>
      <w:color w:val="993300"/>
      <w:sz w:val="20"/>
    </w:rPr>
  </w:style>
  <w:style w:type="paragraph" w:customStyle="1" w:styleId="617">
    <w:name w:val="xl80"/>
    <w:basedOn w:val="1"/>
    <w:qFormat/>
    <w:uiPriority w:val="0"/>
    <w:pPr>
      <w:widowControl/>
      <w:pBdr>
        <w:left w:val="single" w:color="C0C0C0" w:sz="4" w:space="0"/>
        <w:right w:val="single" w:color="C0C0C0" w:sz="4" w:space="0"/>
      </w:pBdr>
      <w:shd w:val="clear" w:color="auto" w:fill="CCFFFF"/>
      <w:snapToGrid/>
      <w:spacing w:before="100" w:beforeAutospacing="1" w:after="100" w:afterAutospacing="1" w:line="240" w:lineRule="auto"/>
      <w:jc w:val="left"/>
    </w:pPr>
    <w:rPr>
      <w:rFonts w:ascii="Arial Unicode MS" w:hAnsi="Arial Unicode MS" w:eastAsia="Arial Unicode MS" w:cs="Arial Unicode MS"/>
      <w:color w:val="0000FF"/>
      <w:sz w:val="24"/>
      <w:szCs w:val="24"/>
    </w:rPr>
  </w:style>
  <w:style w:type="paragraph" w:customStyle="1" w:styleId="618">
    <w:name w:val="Char Char Char Char11"/>
    <w:basedOn w:val="1"/>
    <w:qFormat/>
    <w:uiPriority w:val="0"/>
    <w:pPr>
      <w:widowControl/>
      <w:snapToGrid/>
      <w:spacing w:after="160" w:line="240" w:lineRule="exact"/>
      <w:jc w:val="left"/>
    </w:pPr>
    <w:rPr>
      <w:rFonts w:ascii="Verdana" w:hAnsi="Verdana" w:cs="Times New Roman"/>
      <w:sz w:val="20"/>
      <w:lang w:eastAsia="en-US"/>
    </w:rPr>
  </w:style>
  <w:style w:type="paragraph" w:customStyle="1" w:styleId="619">
    <w:name w:val="xl70"/>
    <w:basedOn w:val="1"/>
    <w:qFormat/>
    <w:uiPriority w:val="0"/>
    <w:pPr>
      <w:widowControl/>
      <w:pBdr>
        <w:top w:val="single" w:color="C0C0C0" w:sz="4" w:space="0"/>
        <w:left w:val="single" w:color="C0C0C0" w:sz="4" w:space="0"/>
        <w:bottom w:val="single" w:color="C0C0C0" w:sz="4" w:space="0"/>
        <w:right w:val="single" w:color="C0C0C0" w:sz="4" w:space="0"/>
      </w:pBdr>
      <w:shd w:val="clear" w:color="auto" w:fill="CCFFFF"/>
      <w:snapToGrid/>
      <w:spacing w:before="100" w:beforeAutospacing="1" w:after="100" w:afterAutospacing="1" w:line="240" w:lineRule="auto"/>
      <w:jc w:val="center"/>
    </w:pPr>
    <w:rPr>
      <w:rFonts w:ascii="Arial Unicode MS" w:hAnsi="Arial Unicode MS" w:eastAsia="Arial Unicode MS" w:cs="Arial Unicode MS"/>
      <w:color w:val="0000FF"/>
      <w:sz w:val="20"/>
    </w:rPr>
  </w:style>
  <w:style w:type="paragraph" w:customStyle="1" w:styleId="620">
    <w:name w:val="Char Char Char Char Char Char Char Char Char Char Char Char Char Char Char"/>
    <w:basedOn w:val="1"/>
    <w:qFormat/>
    <w:uiPriority w:val="0"/>
    <w:pPr>
      <w:widowControl/>
      <w:snapToGrid/>
      <w:spacing w:after="160" w:line="240" w:lineRule="exact"/>
      <w:jc w:val="left"/>
    </w:pPr>
    <w:rPr>
      <w:rFonts w:ascii="Tahoma" w:hAnsi="Tahoma" w:cs="Times New Roman"/>
      <w:sz w:val="20"/>
      <w:lang w:eastAsia="en-US"/>
    </w:rPr>
  </w:style>
  <w:style w:type="paragraph" w:customStyle="1" w:styleId="621">
    <w:name w:val="封面正文"/>
    <w:qFormat/>
    <w:uiPriority w:val="0"/>
    <w:pPr>
      <w:jc w:val="both"/>
    </w:pPr>
    <w:rPr>
      <w:rFonts w:ascii="Times New Roman" w:hAnsi="Times New Roman" w:eastAsia="宋体" w:cs="Times New Roman"/>
      <w:lang w:val="en-US" w:eastAsia="zh-CN" w:bidi="ar-SA"/>
    </w:rPr>
  </w:style>
  <w:style w:type="paragraph" w:customStyle="1" w:styleId="622">
    <w:name w:val="样式 标题 1标题 1 Char1 Char标题 1 Char1 Char1 Char标题 1 Char1 Char1 C..."/>
    <w:basedOn w:val="3"/>
    <w:qFormat/>
    <w:uiPriority w:val="0"/>
    <w:pPr>
      <w:snapToGrid/>
      <w:spacing w:before="340" w:after="330"/>
      <w:ind w:left="425" w:hanging="137"/>
    </w:pPr>
    <w:rPr>
      <w:rFonts w:hAnsi="宋体"/>
      <w:b w:val="0"/>
      <w:snapToGrid w:val="0"/>
      <w:kern w:val="0"/>
      <w:sz w:val="30"/>
      <w:szCs w:val="20"/>
    </w:rPr>
  </w:style>
  <w:style w:type="paragraph" w:customStyle="1" w:styleId="623">
    <w:name w:val="Char Char23 Char Char Char Char Char Char Char Char"/>
    <w:basedOn w:val="1"/>
    <w:qFormat/>
    <w:uiPriority w:val="0"/>
    <w:pPr>
      <w:snapToGrid/>
      <w:spacing w:line="240" w:lineRule="auto"/>
    </w:pPr>
    <w:rPr>
      <w:rFonts w:ascii="Times New Roman" w:cs="Times New Roman"/>
      <w:sz w:val="21"/>
      <w:szCs w:val="24"/>
    </w:rPr>
  </w:style>
  <w:style w:type="paragraph" w:customStyle="1" w:styleId="624">
    <w:name w:val="正文不空"/>
    <w:basedOn w:val="1"/>
    <w:qFormat/>
    <w:uiPriority w:val="0"/>
    <w:pPr>
      <w:snapToGrid/>
      <w:spacing w:line="480" w:lineRule="exact"/>
      <w:ind w:firstLine="200" w:firstLineChars="200"/>
    </w:pPr>
  </w:style>
  <w:style w:type="paragraph" w:customStyle="1" w:styleId="625">
    <w:name w:val="楷体表头"/>
    <w:basedOn w:val="1"/>
    <w:next w:val="1"/>
    <w:qFormat/>
    <w:uiPriority w:val="0"/>
    <w:pPr>
      <w:spacing w:before="340" w:after="330"/>
      <w:jc w:val="center"/>
    </w:pPr>
    <w:rPr>
      <w:rFonts w:ascii="Times New Roman" w:eastAsia="楷体_GB2312" w:cs="Times New Roman"/>
      <w:b/>
      <w:sz w:val="48"/>
      <w:szCs w:val="24"/>
    </w:rPr>
  </w:style>
  <w:style w:type="paragraph" w:customStyle="1" w:styleId="626">
    <w:name w:val="封面项目名称1"/>
    <w:basedOn w:val="1"/>
    <w:next w:val="1"/>
    <w:qFormat/>
    <w:uiPriority w:val="0"/>
    <w:pPr>
      <w:widowControl/>
      <w:snapToGrid/>
      <w:spacing w:line="160" w:lineRule="atLeast"/>
      <w:jc w:val="center"/>
      <w:outlineLvl w:val="7"/>
    </w:pPr>
    <w:rPr>
      <w:rFonts w:ascii="Times New Roman"/>
      <w:b/>
      <w:snapToGrid w:val="0"/>
      <w:color w:val="000000"/>
      <w:spacing w:val="20"/>
      <w:w w:val="120"/>
      <w:kern w:val="48"/>
      <w:sz w:val="60"/>
      <w:szCs w:val="52"/>
    </w:rPr>
  </w:style>
  <w:style w:type="paragraph" w:customStyle="1" w:styleId="627">
    <w:name w:val="样式 标题 2标题2h2l22nd levelTitre2Header 2节标题 1.1BSH-2标题 2 C..."/>
    <w:basedOn w:val="4"/>
    <w:qFormat/>
    <w:uiPriority w:val="0"/>
    <w:pPr>
      <w:snapToGrid/>
      <w:spacing w:before="260" w:after="260"/>
      <w:jc w:val="both"/>
    </w:pPr>
    <w:rPr>
      <w:rFonts w:hAnsi="宋体" w:eastAsia="黑体" w:cs="宋体"/>
      <w:sz w:val="28"/>
      <w:szCs w:val="20"/>
    </w:rPr>
  </w:style>
  <w:style w:type="paragraph" w:customStyle="1" w:styleId="628">
    <w:name w:val="bigbold"/>
    <w:basedOn w:val="1"/>
    <w:qFormat/>
    <w:uiPriority w:val="0"/>
    <w:pPr>
      <w:widowControl/>
      <w:snapToGrid/>
      <w:spacing w:before="100" w:beforeAutospacing="1" w:after="100" w:afterAutospacing="1" w:line="240" w:lineRule="auto"/>
      <w:jc w:val="left"/>
    </w:pPr>
    <w:rPr>
      <w:rFonts w:hint="eastAsia" w:hAnsi="宋体" w:cs="Times New Roman"/>
      <w:sz w:val="24"/>
      <w:szCs w:val="24"/>
    </w:rPr>
  </w:style>
  <w:style w:type="paragraph" w:customStyle="1" w:styleId="629">
    <w:name w:val="表标题"/>
    <w:basedOn w:val="75"/>
    <w:qFormat/>
    <w:uiPriority w:val="0"/>
    <w:pPr>
      <w:spacing w:line="560" w:lineRule="exact"/>
      <w:jc w:val="center"/>
    </w:pPr>
    <w:rPr>
      <w:rFonts w:ascii="Times New Roman" w:hAnsi="Times New Roman" w:eastAsia="仿宋"/>
      <w:b/>
      <w:bCs/>
      <w:color w:val="auto"/>
    </w:rPr>
  </w:style>
  <w:style w:type="paragraph" w:customStyle="1" w:styleId="630">
    <w:name w:val="填表4小中鲜绿"/>
    <w:basedOn w:val="545"/>
    <w:qFormat/>
    <w:uiPriority w:val="0"/>
    <w:rPr>
      <w:color w:val="00FF00"/>
    </w:rPr>
  </w:style>
  <w:style w:type="paragraph" w:customStyle="1" w:styleId="631">
    <w:name w:val="WPS Plain"/>
    <w:qFormat/>
    <w:uiPriority w:val="0"/>
    <w:rPr>
      <w:rFonts w:ascii="Times New Roman" w:hAnsi="Times New Roman" w:eastAsia="宋体" w:cs="Times New Roman"/>
      <w:lang w:val="en-US" w:eastAsia="zh-CN" w:bidi="ar-SA"/>
    </w:rPr>
  </w:style>
  <w:style w:type="paragraph" w:customStyle="1" w:styleId="632">
    <w:name w:val="xl108"/>
    <w:basedOn w:val="1"/>
    <w:qFormat/>
    <w:uiPriority w:val="0"/>
    <w:pPr>
      <w:widowControl/>
      <w:snapToGrid/>
      <w:spacing w:before="100" w:beforeAutospacing="1" w:after="100" w:afterAutospacing="1" w:line="240" w:lineRule="auto"/>
      <w:jc w:val="center"/>
    </w:pPr>
    <w:rPr>
      <w:rFonts w:hAnsi="宋体"/>
      <w:sz w:val="24"/>
      <w:szCs w:val="24"/>
    </w:rPr>
  </w:style>
  <w:style w:type="paragraph" w:customStyle="1" w:styleId="633">
    <w:name w:val="申报单位样式1"/>
    <w:basedOn w:val="626"/>
    <w:qFormat/>
    <w:uiPriority w:val="0"/>
    <w:pPr>
      <w:spacing w:line="580" w:lineRule="exact"/>
      <w:ind w:right="113"/>
      <w:outlineLvl w:val="9"/>
    </w:pPr>
    <w:rPr>
      <w:rFonts w:ascii="隶书" w:hAnsi="宋体" w:eastAsia="隶书" w:cs="Times New Roman"/>
      <w:b w:val="0"/>
      <w:spacing w:val="0"/>
      <w:w w:val="100"/>
      <w:kern w:val="32"/>
      <w:sz w:val="36"/>
      <w:szCs w:val="36"/>
    </w:rPr>
  </w:style>
  <w:style w:type="paragraph" w:customStyle="1" w:styleId="634">
    <w:name w:val="表格正文"/>
    <w:basedOn w:val="1"/>
    <w:qFormat/>
    <w:uiPriority w:val="0"/>
    <w:pPr>
      <w:adjustRightInd w:val="0"/>
      <w:spacing w:before="60" w:after="60" w:line="240" w:lineRule="auto"/>
      <w:jc w:val="center"/>
      <w:textAlignment w:val="baseline"/>
    </w:pPr>
    <w:rPr>
      <w:rFonts w:ascii="Times New Roman"/>
      <w:sz w:val="24"/>
    </w:rPr>
  </w:style>
  <w:style w:type="paragraph" w:customStyle="1" w:styleId="635">
    <w:name w:val="样2"/>
    <w:basedOn w:val="1"/>
    <w:next w:val="1"/>
    <w:qFormat/>
    <w:uiPriority w:val="0"/>
    <w:pPr>
      <w:adjustRightInd w:val="0"/>
      <w:snapToGrid/>
      <w:spacing w:line="240" w:lineRule="auto"/>
      <w:jc w:val="center"/>
      <w:textAlignment w:val="baseline"/>
    </w:pPr>
    <w:rPr>
      <w:rFonts w:ascii="Times New Roman" w:cs="Times New Roman"/>
      <w:sz w:val="24"/>
    </w:rPr>
  </w:style>
  <w:style w:type="paragraph" w:customStyle="1" w:styleId="636">
    <w:name w:val="其他发布部门"/>
    <w:basedOn w:val="1"/>
    <w:qFormat/>
    <w:uiPriority w:val="0"/>
    <w:pPr>
      <w:framePr w:w="7433" w:h="585" w:hRule="exact" w:hSpace="180" w:vSpace="180" w:wrap="around" w:vAnchor="margin" w:hAnchor="margin" w:xAlign="center" w:y="14401" w:anchorLock="1"/>
      <w:widowControl/>
      <w:snapToGrid/>
      <w:spacing w:line="0" w:lineRule="atLeast"/>
      <w:jc w:val="center"/>
    </w:pPr>
    <w:rPr>
      <w:rFonts w:ascii="黑体" w:eastAsia="黑体" w:cs="Times New Roman"/>
      <w:spacing w:val="20"/>
      <w:w w:val="135"/>
      <w:sz w:val="36"/>
    </w:rPr>
  </w:style>
  <w:style w:type="paragraph" w:customStyle="1" w:styleId="637">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638">
    <w:name w:val="xl64"/>
    <w:basedOn w:val="1"/>
    <w:qFormat/>
    <w:uiPriority w:val="0"/>
    <w:pPr>
      <w:widowControl/>
      <w:pBdr>
        <w:left w:val="single" w:color="C0C0C0" w:sz="4" w:space="0"/>
        <w:bottom w:val="single" w:color="C0C0C0" w:sz="4" w:space="0"/>
        <w:right w:val="single" w:color="C0C0C0" w:sz="4" w:space="0"/>
      </w:pBdr>
      <w:shd w:val="clear" w:color="auto" w:fill="CCFFFF"/>
      <w:snapToGrid/>
      <w:spacing w:before="100" w:beforeAutospacing="1" w:after="100" w:afterAutospacing="1" w:line="240" w:lineRule="auto"/>
      <w:jc w:val="center"/>
    </w:pPr>
    <w:rPr>
      <w:rFonts w:ascii="Arial Unicode MS" w:hAnsi="Arial Unicode MS" w:eastAsia="Arial Unicode MS" w:cs="Arial Unicode MS"/>
      <w:color w:val="0000FF"/>
      <w:sz w:val="20"/>
    </w:rPr>
  </w:style>
  <w:style w:type="paragraph" w:customStyle="1" w:styleId="639">
    <w:name w:val="xl41"/>
    <w:basedOn w:val="1"/>
    <w:qFormat/>
    <w:uiPriority w:val="0"/>
    <w:pPr>
      <w:widowControl/>
      <w:pBdr>
        <w:top w:val="single" w:color="969696" w:sz="4" w:space="0"/>
        <w:left w:val="single" w:color="969696" w:sz="4" w:space="0"/>
        <w:bottom w:val="single" w:color="969696" w:sz="4" w:space="0"/>
        <w:right w:val="single" w:color="969696" w:sz="4" w:space="0"/>
      </w:pBdr>
      <w:shd w:val="clear" w:color="auto" w:fill="C0C0C0"/>
      <w:snapToGrid/>
      <w:spacing w:before="100" w:beforeAutospacing="1" w:after="100" w:afterAutospacing="1" w:line="240" w:lineRule="auto"/>
      <w:jc w:val="center"/>
    </w:pPr>
    <w:rPr>
      <w:rFonts w:ascii="Arial Unicode MS" w:hAnsi="Arial Unicode MS" w:eastAsia="Arial Unicode MS" w:cs="Arial Unicode MS"/>
      <w:color w:val="993300"/>
      <w:sz w:val="20"/>
    </w:rPr>
  </w:style>
  <w:style w:type="paragraph" w:customStyle="1" w:styleId="640">
    <w:name w:val="p0"/>
    <w:basedOn w:val="1"/>
    <w:qFormat/>
    <w:uiPriority w:val="0"/>
    <w:pPr>
      <w:widowControl/>
      <w:snapToGrid/>
      <w:spacing w:line="549" w:lineRule="auto"/>
      <w:ind w:left="1"/>
    </w:pPr>
    <w:rPr>
      <w:rFonts w:ascii="Times New Roman" w:cs="Times New Roman"/>
      <w:color w:val="000000"/>
      <w:sz w:val="21"/>
      <w:szCs w:val="21"/>
    </w:rPr>
  </w:style>
  <w:style w:type="paragraph" w:customStyle="1" w:styleId="641">
    <w:name w:val="样式 标题 3 + 宋体 四号"/>
    <w:basedOn w:val="5"/>
    <w:qFormat/>
    <w:uiPriority w:val="0"/>
    <w:pPr>
      <w:tabs>
        <w:tab w:val="left" w:pos="1647"/>
      </w:tabs>
      <w:snapToGrid/>
      <w:spacing w:before="260" w:after="260" w:line="413" w:lineRule="auto"/>
      <w:ind w:firstLine="567"/>
      <w:jc w:val="both"/>
    </w:pPr>
    <w:rPr>
      <w:rFonts w:hAnsi="宋体" w:eastAsia="楷体_GB2312"/>
      <w:szCs w:val="32"/>
    </w:rPr>
  </w:style>
  <w:style w:type="paragraph" w:customStyle="1" w:styleId="642">
    <w:name w:val="填表5中红"/>
    <w:basedOn w:val="130"/>
    <w:qFormat/>
    <w:uiPriority w:val="0"/>
    <w:pPr>
      <w:spacing w:line="240" w:lineRule="auto"/>
    </w:pPr>
    <w:rPr>
      <w:color w:val="FF0000"/>
      <w:szCs w:val="21"/>
    </w:rPr>
  </w:style>
  <w:style w:type="paragraph" w:customStyle="1" w:styleId="643">
    <w:name w:val="Table Title"/>
    <w:basedOn w:val="1"/>
    <w:qFormat/>
    <w:uiPriority w:val="0"/>
    <w:pPr>
      <w:widowControl/>
      <w:snapToGrid/>
      <w:spacing w:line="240" w:lineRule="auto"/>
      <w:ind w:left="1295"/>
      <w:jc w:val="left"/>
    </w:pPr>
    <w:rPr>
      <w:rFonts w:ascii="Arial" w:hAnsi="Arial" w:cs="Times New Roman"/>
      <w:b/>
      <w:bCs/>
      <w:sz w:val="22"/>
    </w:rPr>
  </w:style>
  <w:style w:type="paragraph" w:customStyle="1" w:styleId="644">
    <w:name w:val="xl104"/>
    <w:basedOn w:val="1"/>
    <w:qFormat/>
    <w:uiPriority w:val="0"/>
    <w:pPr>
      <w:widowControl/>
      <w:snapToGrid/>
      <w:spacing w:before="100" w:beforeAutospacing="1" w:after="100" w:afterAutospacing="1" w:line="240" w:lineRule="auto"/>
      <w:jc w:val="center"/>
    </w:pPr>
    <w:rPr>
      <w:rFonts w:ascii="Times New Roman" w:cs="Times New Roman"/>
      <w:b/>
      <w:bCs/>
      <w:i/>
      <w:iCs/>
      <w:sz w:val="32"/>
      <w:szCs w:val="32"/>
    </w:rPr>
  </w:style>
  <w:style w:type="paragraph" w:customStyle="1" w:styleId="645">
    <w:name w:val="xl105"/>
    <w:basedOn w:val="1"/>
    <w:qFormat/>
    <w:uiPriority w:val="0"/>
    <w:pPr>
      <w:widowControl/>
      <w:snapToGrid/>
      <w:spacing w:before="100" w:beforeAutospacing="1" w:after="100" w:afterAutospacing="1" w:line="240" w:lineRule="auto"/>
      <w:jc w:val="center"/>
    </w:pPr>
    <w:rPr>
      <w:rFonts w:hAnsi="宋体"/>
      <w:b/>
      <w:bCs/>
      <w:i/>
      <w:iCs/>
      <w:sz w:val="32"/>
      <w:szCs w:val="32"/>
    </w:rPr>
  </w:style>
  <w:style w:type="paragraph" w:customStyle="1" w:styleId="646">
    <w:name w:val="附件标题1"/>
    <w:basedOn w:val="1"/>
    <w:next w:val="1"/>
    <w:qFormat/>
    <w:uiPriority w:val="0"/>
    <w:pPr>
      <w:spacing w:before="340" w:after="330"/>
      <w:jc w:val="center"/>
      <w:outlineLvl w:val="1"/>
    </w:pPr>
    <w:rPr>
      <w:rFonts w:ascii="楷体_GB2312" w:eastAsia="楷体_GB2312" w:cs="Times New Roman"/>
      <w:b/>
      <w:sz w:val="48"/>
      <w:szCs w:val="48"/>
    </w:rPr>
  </w:style>
  <w:style w:type="paragraph" w:customStyle="1" w:styleId="647">
    <w:name w:val="前言、引言标题"/>
    <w:next w:val="1"/>
    <w:qFormat/>
    <w:uiPriority w:val="0"/>
    <w:pPr>
      <w:shd w:val="clear" w:color="FFFFFF" w:fill="FFFFFF"/>
      <w:tabs>
        <w:tab w:val="left" w:pos="920"/>
      </w:tabs>
      <w:spacing w:before="640" w:after="560"/>
      <w:ind w:left="920" w:hanging="360"/>
      <w:jc w:val="center"/>
      <w:outlineLvl w:val="0"/>
    </w:pPr>
    <w:rPr>
      <w:rFonts w:ascii="黑体" w:hAnsi="Times New Roman" w:eastAsia="黑体" w:cs="Times New Roman"/>
      <w:sz w:val="32"/>
      <w:lang w:val="en-US" w:eastAsia="zh-CN" w:bidi="ar-SA"/>
    </w:rPr>
  </w:style>
  <w:style w:type="paragraph" w:customStyle="1" w:styleId="648">
    <w:name w:val="填表4小中12磅"/>
    <w:basedOn w:val="227"/>
    <w:qFormat/>
    <w:uiPriority w:val="0"/>
    <w:pPr>
      <w:snapToGrid w:val="0"/>
      <w:spacing w:line="240" w:lineRule="exact"/>
    </w:pPr>
    <w:rPr>
      <w:rFonts w:cs="Times New Roman"/>
    </w:rPr>
  </w:style>
  <w:style w:type="paragraph" w:customStyle="1" w:styleId="649">
    <w:name w:val="Normal1"/>
    <w:qFormat/>
    <w:uiPriority w:val="0"/>
    <w:pPr>
      <w:jc w:val="both"/>
    </w:pPr>
    <w:rPr>
      <w:rFonts w:ascii="Times New Roman" w:hAnsi="Times New Roman" w:eastAsia="宋体" w:cs="Times New Roman"/>
      <w:kern w:val="2"/>
      <w:sz w:val="21"/>
      <w:szCs w:val="21"/>
      <w:lang w:val="en-US" w:eastAsia="zh-CN" w:bidi="ar-SA"/>
    </w:rPr>
  </w:style>
  <w:style w:type="paragraph" w:customStyle="1" w:styleId="650">
    <w:name w:val="说明书标题"/>
    <w:basedOn w:val="1"/>
    <w:next w:val="1"/>
    <w:qFormat/>
    <w:uiPriority w:val="0"/>
    <w:pPr>
      <w:tabs>
        <w:tab w:val="left" w:pos="210"/>
        <w:tab w:val="left" w:pos="360"/>
      </w:tabs>
      <w:snapToGrid/>
      <w:spacing w:line="520" w:lineRule="exact"/>
      <w:ind w:left="227" w:hanging="227"/>
    </w:pPr>
    <w:rPr>
      <w:rFonts w:ascii="Trebuchet MS" w:hAnsi="Trebuchet MS" w:eastAsia="黑体" w:cs="Times New Roman"/>
    </w:rPr>
  </w:style>
  <w:style w:type="paragraph" w:customStyle="1" w:styleId="651">
    <w:name w:val="xl35"/>
    <w:basedOn w:val="1"/>
    <w:qFormat/>
    <w:uiPriority w:val="0"/>
    <w:pPr>
      <w:widowControl/>
      <w:pBdr>
        <w:top w:val="single" w:color="C0C0C0" w:sz="4" w:space="0"/>
        <w:right w:val="single" w:color="C0C0C0" w:sz="4" w:space="0"/>
      </w:pBdr>
      <w:shd w:val="clear" w:color="auto" w:fill="FFCC99"/>
      <w:snapToGrid/>
      <w:spacing w:before="100" w:beforeAutospacing="1" w:after="100" w:afterAutospacing="1" w:line="240" w:lineRule="auto"/>
      <w:jc w:val="center"/>
    </w:pPr>
    <w:rPr>
      <w:rFonts w:ascii="Arial Unicode MS" w:hAnsi="Arial Unicode MS" w:eastAsia="Arial Unicode MS" w:cs="Arial Unicode MS"/>
      <w:color w:val="000000"/>
      <w:sz w:val="20"/>
    </w:rPr>
  </w:style>
  <w:style w:type="paragraph" w:customStyle="1" w:styleId="652">
    <w:name w:val="标6"/>
    <w:basedOn w:val="465"/>
    <w:qFormat/>
    <w:uiPriority w:val="0"/>
    <w:pPr>
      <w:keepNext w:val="0"/>
      <w:pageBreakBefore w:val="0"/>
      <w:widowControl w:val="0"/>
      <w:tabs>
        <w:tab w:val="left" w:pos="2520"/>
      </w:tabs>
      <w:adjustRightInd w:val="0"/>
      <w:spacing w:beforeLines="0" w:afterLines="0" w:line="360" w:lineRule="auto"/>
      <w:ind w:left="2520" w:hanging="420"/>
      <w:jc w:val="left"/>
      <w:outlineLvl w:val="5"/>
    </w:pPr>
    <w:rPr>
      <w:b w:val="0"/>
      <w:sz w:val="30"/>
      <w:szCs w:val="30"/>
    </w:rPr>
  </w:style>
  <w:style w:type="paragraph" w:customStyle="1" w:styleId="653">
    <w:name w:val="目次、标准名称标题"/>
    <w:basedOn w:val="647"/>
    <w:next w:val="5"/>
    <w:qFormat/>
    <w:uiPriority w:val="0"/>
    <w:pPr>
      <w:tabs>
        <w:tab w:val="clear" w:pos="920"/>
      </w:tabs>
      <w:spacing w:line="460" w:lineRule="exact"/>
      <w:ind w:left="0" w:firstLine="0"/>
    </w:pPr>
  </w:style>
  <w:style w:type="paragraph" w:customStyle="1" w:styleId="654">
    <w:name w:val="xl97"/>
    <w:basedOn w:val="1"/>
    <w:qFormat/>
    <w:uiPriority w:val="0"/>
    <w:pPr>
      <w:widowControl/>
      <w:pBdr>
        <w:top w:val="single" w:color="C0C0C0" w:sz="4" w:space="0"/>
        <w:left w:val="single" w:color="C0C0C0" w:sz="4" w:space="0"/>
        <w:bottom w:val="single" w:color="C0C0C0" w:sz="4" w:space="0"/>
        <w:right w:val="single" w:color="C0C0C0" w:sz="4" w:space="0"/>
      </w:pBdr>
      <w:shd w:val="clear" w:color="auto" w:fill="CCFFFF"/>
      <w:snapToGrid/>
      <w:spacing w:before="100" w:beforeAutospacing="1" w:after="100" w:afterAutospacing="1" w:line="240" w:lineRule="auto"/>
      <w:jc w:val="left"/>
    </w:pPr>
    <w:rPr>
      <w:rFonts w:ascii="Arial Unicode MS" w:hAnsi="Arial Unicode MS" w:eastAsia="Arial Unicode MS" w:cs="Arial Unicode MS"/>
      <w:color w:val="FF0000"/>
      <w:sz w:val="20"/>
    </w:rPr>
  </w:style>
  <w:style w:type="paragraph" w:customStyle="1" w:styleId="655">
    <w:name w:val="纯文本1"/>
    <w:basedOn w:val="1"/>
    <w:qFormat/>
    <w:uiPriority w:val="0"/>
    <w:pPr>
      <w:adjustRightInd w:val="0"/>
      <w:snapToGrid/>
      <w:spacing w:line="240" w:lineRule="auto"/>
      <w:textAlignment w:val="baseline"/>
    </w:pPr>
    <w:rPr>
      <w:rFonts w:hAnsi="Courier New" w:cs="Times New Roman"/>
      <w:sz w:val="21"/>
    </w:rPr>
  </w:style>
  <w:style w:type="paragraph" w:customStyle="1" w:styleId="656">
    <w:name w:val="附件"/>
    <w:basedOn w:val="1"/>
    <w:qFormat/>
    <w:uiPriority w:val="0"/>
    <w:pPr>
      <w:snapToGrid/>
      <w:spacing w:line="240" w:lineRule="auto"/>
      <w:jc w:val="center"/>
    </w:pPr>
    <w:rPr>
      <w:rFonts w:ascii="Times New Roman" w:eastAsia="楷体_GB2312" w:cs="Times New Roman"/>
      <w:b/>
      <w:szCs w:val="24"/>
    </w:rPr>
  </w:style>
  <w:style w:type="paragraph" w:customStyle="1" w:styleId="657">
    <w:name w:val="Char3"/>
    <w:basedOn w:val="1"/>
    <w:next w:val="1"/>
    <w:qFormat/>
    <w:uiPriority w:val="0"/>
    <w:pPr>
      <w:snapToGrid/>
      <w:spacing w:line="240" w:lineRule="auto"/>
    </w:pPr>
    <w:rPr>
      <w:rFonts w:ascii="Times New Roman" w:cs="Times New Roman"/>
      <w:sz w:val="21"/>
      <w:szCs w:val="24"/>
    </w:rPr>
  </w:style>
  <w:style w:type="paragraph" w:customStyle="1" w:styleId="658">
    <w:name w:val="填表5中单位行距"/>
    <w:basedOn w:val="1"/>
    <w:next w:val="1"/>
    <w:qFormat/>
    <w:uiPriority w:val="0"/>
    <w:pPr>
      <w:spacing w:line="240" w:lineRule="auto"/>
      <w:jc w:val="center"/>
    </w:pPr>
    <w:rPr>
      <w:rFonts w:cs="Times New Roman"/>
      <w:sz w:val="21"/>
      <w:szCs w:val="21"/>
    </w:rPr>
  </w:style>
  <w:style w:type="paragraph" w:customStyle="1" w:styleId="659">
    <w:name w:val="xl22"/>
    <w:basedOn w:val="1"/>
    <w:qFormat/>
    <w:uiPriority w:val="1"/>
    <w:pPr>
      <w:widowControl/>
      <w:snapToGrid/>
      <w:spacing w:before="100" w:beforeAutospacing="1" w:after="100" w:afterAutospacing="1" w:line="240" w:lineRule="auto"/>
      <w:jc w:val="center"/>
    </w:pPr>
    <w:rPr>
      <w:rFonts w:hAnsi="宋体" w:cs="Times New Roman"/>
      <w:sz w:val="21"/>
      <w:szCs w:val="21"/>
    </w:rPr>
  </w:style>
  <w:style w:type="paragraph" w:customStyle="1" w:styleId="660">
    <w:name w:val="标题三"/>
    <w:basedOn w:val="1"/>
    <w:qFormat/>
    <w:uiPriority w:val="0"/>
    <w:pPr>
      <w:adjustRightInd w:val="0"/>
      <w:spacing w:line="300" w:lineRule="atLeast"/>
      <w:jc w:val="center"/>
    </w:pPr>
    <w:rPr>
      <w:rFonts w:ascii="Times New Roman" w:cs="Times New Roman"/>
      <w:sz w:val="22"/>
      <w:szCs w:val="24"/>
    </w:rPr>
  </w:style>
  <w:style w:type="paragraph" w:customStyle="1" w:styleId="661">
    <w:name w:val="正文+ 四号"/>
    <w:basedOn w:val="1"/>
    <w:qFormat/>
    <w:uiPriority w:val="0"/>
    <w:pPr>
      <w:tabs>
        <w:tab w:val="left" w:pos="0"/>
      </w:tabs>
      <w:adjustRightInd w:val="0"/>
      <w:spacing w:line="240" w:lineRule="auto"/>
    </w:pPr>
    <w:rPr>
      <w:rFonts w:hAnsi="宋体" w:cs="Times New Roman"/>
      <w:szCs w:val="28"/>
    </w:rPr>
  </w:style>
  <w:style w:type="paragraph" w:customStyle="1" w:styleId="662">
    <w:name w:val="xl37"/>
    <w:basedOn w:val="1"/>
    <w:qFormat/>
    <w:uiPriority w:val="0"/>
    <w:pPr>
      <w:widowControl/>
      <w:pBdr>
        <w:top w:val="single" w:color="C0C0C0" w:sz="4" w:space="0"/>
        <w:bottom w:val="single" w:color="C0C0C0" w:sz="4" w:space="0"/>
      </w:pBdr>
      <w:shd w:val="clear" w:color="auto" w:fill="FFFFFF"/>
      <w:snapToGrid/>
      <w:spacing w:before="100" w:beforeAutospacing="1" w:after="100" w:afterAutospacing="1" w:line="240" w:lineRule="auto"/>
      <w:jc w:val="left"/>
    </w:pPr>
    <w:rPr>
      <w:rFonts w:ascii="Arial Unicode MS" w:hAnsi="Arial Unicode MS" w:eastAsia="Arial Unicode MS" w:cs="Arial Unicode MS"/>
      <w:sz w:val="24"/>
      <w:szCs w:val="24"/>
    </w:rPr>
  </w:style>
  <w:style w:type="paragraph" w:customStyle="1" w:styleId="663">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664">
    <w:name w:val="xl68"/>
    <w:basedOn w:val="1"/>
    <w:qFormat/>
    <w:uiPriority w:val="0"/>
    <w:pPr>
      <w:widowControl/>
      <w:pBdr>
        <w:top w:val="single" w:color="C0C0C0" w:sz="4" w:space="0"/>
        <w:left w:val="single" w:color="C0C0C0" w:sz="4" w:space="0"/>
        <w:bottom w:val="single" w:color="C0C0C0" w:sz="4" w:space="0"/>
        <w:right w:val="single" w:color="C0C0C0" w:sz="4" w:space="0"/>
      </w:pBdr>
      <w:shd w:val="clear" w:color="auto" w:fill="CCFFFF"/>
      <w:snapToGrid/>
      <w:spacing w:before="100" w:beforeAutospacing="1" w:after="100" w:afterAutospacing="1" w:line="240" w:lineRule="auto"/>
      <w:jc w:val="center"/>
    </w:pPr>
    <w:rPr>
      <w:rFonts w:ascii="Arial Unicode MS" w:hAnsi="Arial Unicode MS" w:eastAsia="Arial Unicode MS" w:cs="Arial Unicode MS"/>
      <w:color w:val="0000FF"/>
      <w:sz w:val="20"/>
    </w:rPr>
  </w:style>
  <w:style w:type="paragraph" w:customStyle="1" w:styleId="665">
    <w:name w:val="xl63"/>
    <w:basedOn w:val="1"/>
    <w:qFormat/>
    <w:uiPriority w:val="0"/>
    <w:pPr>
      <w:widowControl/>
      <w:pBdr>
        <w:left w:val="single" w:color="C0C0C0" w:sz="4" w:space="0"/>
        <w:bottom w:val="single" w:color="C0C0C0" w:sz="4" w:space="0"/>
        <w:right w:val="single" w:color="C0C0C0" w:sz="4" w:space="0"/>
      </w:pBdr>
      <w:shd w:val="clear" w:color="auto" w:fill="CCFFFF"/>
      <w:snapToGrid/>
      <w:spacing w:before="100" w:beforeAutospacing="1" w:after="100" w:afterAutospacing="1" w:line="240" w:lineRule="auto"/>
      <w:jc w:val="center"/>
    </w:pPr>
    <w:rPr>
      <w:rFonts w:ascii="Arial Unicode MS" w:hAnsi="Arial Unicode MS" w:eastAsia="Arial Unicode MS" w:cs="Arial Unicode MS"/>
      <w:color w:val="0000FF"/>
      <w:sz w:val="20"/>
    </w:rPr>
  </w:style>
  <w:style w:type="paragraph" w:customStyle="1" w:styleId="666">
    <w:name w:val="xl36"/>
    <w:basedOn w:val="1"/>
    <w:qFormat/>
    <w:uiPriority w:val="0"/>
    <w:pPr>
      <w:widowControl/>
      <w:pBdr>
        <w:top w:val="single" w:color="C0C0C0" w:sz="4" w:space="0"/>
        <w:left w:val="single" w:color="C0C0C0" w:sz="4" w:space="0"/>
        <w:bottom w:val="single" w:color="C0C0C0" w:sz="4" w:space="0"/>
      </w:pBdr>
      <w:shd w:val="clear" w:color="auto" w:fill="FFFFFF"/>
      <w:snapToGrid/>
      <w:spacing w:before="100" w:beforeAutospacing="1" w:after="100" w:afterAutospacing="1" w:line="240" w:lineRule="auto"/>
      <w:jc w:val="left"/>
    </w:pPr>
    <w:rPr>
      <w:rFonts w:ascii="Arial Unicode MS" w:hAnsi="Arial Unicode MS" w:eastAsia="Arial Unicode MS" w:cs="Arial Unicode MS"/>
      <w:sz w:val="24"/>
      <w:szCs w:val="24"/>
    </w:rPr>
  </w:style>
  <w:style w:type="paragraph" w:customStyle="1" w:styleId="667">
    <w:name w:val="xl78"/>
    <w:basedOn w:val="1"/>
    <w:qFormat/>
    <w:uiPriority w:val="0"/>
    <w:pPr>
      <w:widowControl/>
      <w:pBdr>
        <w:left w:val="single" w:color="C0C0C0" w:sz="4" w:space="0"/>
        <w:right w:val="single" w:color="C0C0C0" w:sz="4" w:space="0"/>
      </w:pBdr>
      <w:shd w:val="clear" w:color="auto" w:fill="CCFFFF"/>
      <w:snapToGrid/>
      <w:spacing w:before="100" w:beforeAutospacing="1" w:after="100" w:afterAutospacing="1" w:line="240" w:lineRule="auto"/>
      <w:jc w:val="left"/>
    </w:pPr>
    <w:rPr>
      <w:rFonts w:ascii="Arial Unicode MS" w:hAnsi="Arial Unicode MS" w:eastAsia="Arial Unicode MS" w:cs="Arial Unicode MS"/>
      <w:color w:val="0000FF"/>
      <w:sz w:val="20"/>
    </w:rPr>
  </w:style>
  <w:style w:type="paragraph" w:customStyle="1" w:styleId="668">
    <w:name w:val="款宋"/>
    <w:basedOn w:val="1"/>
    <w:qFormat/>
    <w:uiPriority w:val="0"/>
    <w:pPr>
      <w:snapToGrid/>
      <w:spacing w:line="240" w:lineRule="auto"/>
      <w:ind w:firstLine="420" w:firstLineChars="200"/>
    </w:pPr>
    <w:rPr>
      <w:rFonts w:ascii="黑体" w:cs="Times New Roman"/>
      <w:color w:val="000000"/>
      <w:sz w:val="21"/>
      <w:szCs w:val="28"/>
    </w:rPr>
  </w:style>
  <w:style w:type="paragraph" w:customStyle="1" w:styleId="669">
    <w:name w:val="样式1"/>
    <w:basedOn w:val="1"/>
    <w:link w:val="780"/>
    <w:qFormat/>
    <w:uiPriority w:val="0"/>
    <w:pPr>
      <w:adjustRightInd w:val="0"/>
      <w:spacing w:line="500" w:lineRule="exact"/>
      <w:ind w:firstLine="200" w:firstLineChars="200"/>
    </w:pPr>
    <w:rPr>
      <w:rFonts w:hAnsi="宋体" w:cs="Times New Roman"/>
      <w:color w:val="000000"/>
      <w:szCs w:val="28"/>
    </w:rPr>
  </w:style>
  <w:style w:type="paragraph" w:customStyle="1" w:styleId="670">
    <w:name w:val="Char1"/>
    <w:basedOn w:val="1"/>
    <w:next w:val="1"/>
    <w:qFormat/>
    <w:uiPriority w:val="1"/>
    <w:pPr>
      <w:adjustRightInd w:val="0"/>
      <w:ind w:firstLine="200" w:firstLineChars="200"/>
    </w:pPr>
    <w:rPr>
      <w:rFonts w:hAnsi="宋体" w:eastAsia="华文中宋" w:cs="Courier New"/>
      <w:sz w:val="32"/>
      <w:szCs w:val="32"/>
    </w:rPr>
  </w:style>
  <w:style w:type="paragraph" w:customStyle="1" w:styleId="671">
    <w:name w:val="xl95"/>
    <w:basedOn w:val="1"/>
    <w:qFormat/>
    <w:uiPriority w:val="0"/>
    <w:pPr>
      <w:widowControl/>
      <w:pBdr>
        <w:top w:val="single" w:color="C0C0C0" w:sz="4" w:space="0"/>
        <w:left w:val="single" w:color="C0C0C0" w:sz="4" w:space="0"/>
        <w:bottom w:val="single" w:color="C0C0C0" w:sz="4" w:space="0"/>
        <w:right w:val="single" w:color="C0C0C0" w:sz="4" w:space="0"/>
      </w:pBdr>
      <w:shd w:val="clear" w:color="auto" w:fill="CCFFFF"/>
      <w:snapToGrid/>
      <w:spacing w:before="100" w:beforeAutospacing="1" w:after="100" w:afterAutospacing="1" w:line="240" w:lineRule="auto"/>
      <w:jc w:val="left"/>
    </w:pPr>
    <w:rPr>
      <w:rFonts w:ascii="Arial Unicode MS" w:hAnsi="Arial Unicode MS" w:eastAsia="Arial Unicode MS" w:cs="Arial Unicode MS"/>
      <w:color w:val="0000FF"/>
      <w:sz w:val="20"/>
    </w:rPr>
  </w:style>
  <w:style w:type="paragraph" w:customStyle="1" w:styleId="672">
    <w:name w:val="Char Char Char Char Char Char Char Char Char Char Char Char Char Char Char1"/>
    <w:basedOn w:val="1"/>
    <w:qFormat/>
    <w:uiPriority w:val="0"/>
    <w:pPr>
      <w:widowControl/>
      <w:snapToGrid/>
      <w:spacing w:after="160" w:line="240" w:lineRule="exact"/>
      <w:jc w:val="left"/>
    </w:pPr>
    <w:rPr>
      <w:rFonts w:ascii="Tahoma" w:hAnsi="Tahoma" w:cs="Times New Roman"/>
      <w:sz w:val="20"/>
      <w:lang w:eastAsia="en-US"/>
    </w:rPr>
  </w:style>
  <w:style w:type="paragraph" w:customStyle="1" w:styleId="673">
    <w:name w:val="填表4小15 磅"/>
    <w:basedOn w:val="158"/>
    <w:qFormat/>
    <w:uiPriority w:val="0"/>
    <w:pPr>
      <w:snapToGrid w:val="0"/>
      <w:spacing w:line="300" w:lineRule="exact"/>
    </w:pPr>
    <w:rPr>
      <w:rFonts w:cs="宋体"/>
      <w:szCs w:val="20"/>
    </w:rPr>
  </w:style>
  <w:style w:type="paragraph" w:customStyle="1" w:styleId="674">
    <w:name w:val="xl91"/>
    <w:basedOn w:val="1"/>
    <w:qFormat/>
    <w:uiPriority w:val="0"/>
    <w:pPr>
      <w:widowControl/>
      <w:pBdr>
        <w:top w:val="single" w:color="C0C0C0" w:sz="4" w:space="0"/>
        <w:left w:val="single" w:color="C0C0C0" w:sz="4" w:space="0"/>
        <w:bottom w:val="single" w:color="C0C0C0" w:sz="4" w:space="0"/>
        <w:right w:val="single" w:color="C0C0C0" w:sz="4" w:space="0"/>
      </w:pBdr>
      <w:shd w:val="clear" w:color="auto" w:fill="CCFFFF"/>
      <w:snapToGrid/>
      <w:spacing w:before="100" w:beforeAutospacing="1" w:after="100" w:afterAutospacing="1" w:line="240" w:lineRule="auto"/>
      <w:jc w:val="center"/>
    </w:pPr>
    <w:rPr>
      <w:rFonts w:ascii="Arial Unicode MS" w:hAnsi="Arial Unicode MS" w:eastAsia="Arial Unicode MS" w:cs="Arial Unicode MS"/>
      <w:color w:val="008080"/>
      <w:sz w:val="20"/>
    </w:rPr>
  </w:style>
  <w:style w:type="paragraph" w:customStyle="1" w:styleId="675">
    <w:name w:val="1.1.1"/>
    <w:basedOn w:val="1"/>
    <w:qFormat/>
    <w:uiPriority w:val="0"/>
    <w:pPr>
      <w:adjustRightInd w:val="0"/>
      <w:snapToGrid/>
      <w:spacing w:line="240" w:lineRule="auto"/>
      <w:jc w:val="left"/>
    </w:pPr>
    <w:rPr>
      <w:rFonts w:cs="Times New Roman"/>
      <w:spacing w:val="10"/>
      <w:sz w:val="24"/>
      <w:szCs w:val="24"/>
    </w:rPr>
  </w:style>
  <w:style w:type="paragraph" w:customStyle="1" w:styleId="676">
    <w:name w:val="table"/>
    <w:basedOn w:val="1"/>
    <w:qFormat/>
    <w:uiPriority w:val="0"/>
    <w:pPr>
      <w:autoSpaceDE w:val="0"/>
      <w:autoSpaceDN w:val="0"/>
      <w:adjustRightInd w:val="0"/>
      <w:snapToGrid/>
      <w:spacing w:before="80" w:after="80" w:line="240" w:lineRule="atLeast"/>
      <w:jc w:val="center"/>
    </w:pPr>
    <w:rPr>
      <w:rFonts w:cs="Times New Roman"/>
      <w:position w:val="-6"/>
    </w:rPr>
  </w:style>
  <w:style w:type="paragraph" w:customStyle="1" w:styleId="677">
    <w:name w:val="Char Char1 Char1"/>
    <w:basedOn w:val="1"/>
    <w:semiHidden/>
    <w:qFormat/>
    <w:uiPriority w:val="0"/>
    <w:pPr>
      <w:snapToGrid/>
      <w:spacing w:line="240" w:lineRule="auto"/>
    </w:pPr>
    <w:rPr>
      <w:rFonts w:ascii="Times New Roman" w:cs="Times New Roman"/>
      <w:sz w:val="21"/>
      <w:szCs w:val="24"/>
    </w:rPr>
  </w:style>
  <w:style w:type="paragraph" w:customStyle="1" w:styleId="678">
    <w:name w:val="xl69"/>
    <w:basedOn w:val="1"/>
    <w:qFormat/>
    <w:uiPriority w:val="0"/>
    <w:pPr>
      <w:widowControl/>
      <w:pBdr>
        <w:top w:val="single" w:color="C0C0C0" w:sz="4" w:space="0"/>
        <w:left w:val="single" w:color="C0C0C0" w:sz="4" w:space="0"/>
        <w:bottom w:val="single" w:color="C0C0C0" w:sz="4" w:space="0"/>
        <w:right w:val="single" w:color="C0C0C0" w:sz="4" w:space="0"/>
      </w:pBdr>
      <w:shd w:val="clear" w:color="auto" w:fill="CCFFFF"/>
      <w:snapToGrid/>
      <w:spacing w:before="100" w:beforeAutospacing="1" w:after="100" w:afterAutospacing="1" w:line="240" w:lineRule="auto"/>
      <w:jc w:val="left"/>
    </w:pPr>
    <w:rPr>
      <w:rFonts w:ascii="Arial Unicode MS" w:hAnsi="Arial Unicode MS" w:eastAsia="Arial Unicode MS" w:cs="Arial Unicode MS"/>
      <w:color w:val="0000FF"/>
      <w:sz w:val="24"/>
      <w:szCs w:val="24"/>
    </w:rPr>
  </w:style>
  <w:style w:type="paragraph" w:customStyle="1" w:styleId="679">
    <w:name w:val="Char11"/>
    <w:basedOn w:val="1"/>
    <w:qFormat/>
    <w:uiPriority w:val="0"/>
    <w:pPr>
      <w:widowControl/>
      <w:snapToGrid/>
      <w:spacing w:after="160" w:line="240" w:lineRule="exact"/>
      <w:jc w:val="left"/>
    </w:pPr>
    <w:rPr>
      <w:rFonts w:ascii="Verdana" w:hAnsi="Verdana" w:eastAsia="仿宋_GB2312" w:cs="Times New Roman"/>
      <w:sz w:val="24"/>
      <w:lang w:eastAsia="en-US"/>
    </w:rPr>
  </w:style>
  <w:style w:type="paragraph" w:customStyle="1" w:styleId="680">
    <w:name w:val="xl58"/>
    <w:basedOn w:val="1"/>
    <w:qFormat/>
    <w:uiPriority w:val="0"/>
    <w:pPr>
      <w:widowControl/>
      <w:pBdr>
        <w:top w:val="single" w:color="C0C0C0" w:sz="4" w:space="0"/>
        <w:left w:val="single" w:color="C0C0C0" w:sz="4" w:space="0"/>
        <w:bottom w:val="single" w:color="C0C0C0" w:sz="4" w:space="0"/>
        <w:right w:val="single" w:color="C0C0C0" w:sz="4" w:space="0"/>
      </w:pBdr>
      <w:shd w:val="clear" w:color="auto" w:fill="CCFFFF"/>
      <w:snapToGrid/>
      <w:spacing w:before="100" w:beforeAutospacing="1" w:after="100" w:afterAutospacing="1" w:line="240" w:lineRule="auto"/>
      <w:jc w:val="left"/>
    </w:pPr>
    <w:rPr>
      <w:rFonts w:ascii="Arial Unicode MS" w:hAnsi="Arial Unicode MS" w:eastAsia="Arial Unicode MS" w:cs="Arial Unicode MS"/>
      <w:color w:val="0000FF"/>
      <w:sz w:val="20"/>
    </w:rPr>
  </w:style>
  <w:style w:type="paragraph" w:customStyle="1" w:styleId="681">
    <w:name w:val="xl46"/>
    <w:basedOn w:val="1"/>
    <w:qFormat/>
    <w:uiPriority w:val="0"/>
    <w:pPr>
      <w:widowControl/>
      <w:pBdr>
        <w:top w:val="single" w:color="969696" w:sz="4" w:space="0"/>
        <w:left w:val="single" w:color="969696" w:sz="4" w:space="0"/>
        <w:bottom w:val="single" w:color="969696" w:sz="4" w:space="0"/>
        <w:right w:val="single" w:color="969696" w:sz="4" w:space="0"/>
      </w:pBdr>
      <w:shd w:val="clear" w:color="auto" w:fill="C0C0C0"/>
      <w:snapToGrid/>
      <w:spacing w:before="100" w:beforeAutospacing="1" w:after="100" w:afterAutospacing="1" w:line="240" w:lineRule="auto"/>
      <w:jc w:val="left"/>
    </w:pPr>
    <w:rPr>
      <w:rFonts w:ascii="Arial Unicode MS" w:hAnsi="Arial Unicode MS" w:eastAsia="Arial Unicode MS" w:cs="Arial Unicode MS"/>
      <w:color w:val="993300"/>
      <w:sz w:val="20"/>
    </w:rPr>
  </w:style>
  <w:style w:type="paragraph" w:customStyle="1" w:styleId="682">
    <w:name w:val="Char Char Char1"/>
    <w:basedOn w:val="1"/>
    <w:qFormat/>
    <w:uiPriority w:val="0"/>
    <w:pPr>
      <w:snapToGrid/>
      <w:spacing w:line="240" w:lineRule="auto"/>
    </w:pPr>
    <w:rPr>
      <w:rFonts w:ascii="Times New Roman"/>
      <w:sz w:val="21"/>
      <w:szCs w:val="24"/>
    </w:rPr>
  </w:style>
  <w:style w:type="paragraph" w:customStyle="1" w:styleId="683">
    <w:name w:val="bt_content"/>
    <w:basedOn w:val="1"/>
    <w:qFormat/>
    <w:uiPriority w:val="0"/>
    <w:pPr>
      <w:widowControl/>
      <w:snapToGrid/>
      <w:spacing w:before="100" w:beforeAutospacing="1" w:after="100" w:afterAutospacing="1" w:line="440" w:lineRule="atLeast"/>
      <w:jc w:val="left"/>
    </w:pPr>
    <w:rPr>
      <w:rFonts w:hAnsi="宋体"/>
      <w:sz w:val="21"/>
      <w:szCs w:val="21"/>
    </w:rPr>
  </w:style>
  <w:style w:type="paragraph" w:customStyle="1" w:styleId="684">
    <w:name w:val="样式 标题 2 + 楷体_GB2312 四号 黑色"/>
    <w:basedOn w:val="4"/>
    <w:qFormat/>
    <w:uiPriority w:val="0"/>
    <w:pPr>
      <w:tabs>
        <w:tab w:val="left" w:pos="1287"/>
      </w:tabs>
      <w:snapToGrid/>
      <w:spacing w:before="260" w:after="260" w:line="413" w:lineRule="auto"/>
      <w:ind w:firstLine="567"/>
      <w:jc w:val="both"/>
    </w:pPr>
    <w:rPr>
      <w:rFonts w:ascii="楷体_GB2312" w:hAnsi="楷体_GB2312" w:eastAsia="楷体_GB2312"/>
      <w:color w:val="000000"/>
    </w:rPr>
  </w:style>
  <w:style w:type="paragraph" w:customStyle="1" w:styleId="685">
    <w:name w:val="Char Char1 Char Char Char Char"/>
    <w:basedOn w:val="1"/>
    <w:qFormat/>
    <w:uiPriority w:val="0"/>
    <w:pPr>
      <w:snapToGrid/>
      <w:ind w:firstLine="200" w:firstLineChars="200"/>
    </w:pPr>
    <w:rPr>
      <w:rFonts w:ascii="Tahoma" w:hAnsi="Tahoma" w:cs="Times New Roman"/>
      <w:sz w:val="24"/>
    </w:rPr>
  </w:style>
  <w:style w:type="paragraph" w:customStyle="1" w:styleId="686">
    <w:name w:val="font8"/>
    <w:basedOn w:val="1"/>
    <w:qFormat/>
    <w:uiPriority w:val="0"/>
    <w:pPr>
      <w:widowControl/>
      <w:snapToGrid/>
      <w:spacing w:before="100" w:beforeAutospacing="1" w:after="100" w:afterAutospacing="1" w:line="240" w:lineRule="auto"/>
      <w:jc w:val="left"/>
    </w:pPr>
    <w:rPr>
      <w:rFonts w:hAnsi="宋体" w:cs="Arial Unicode MS"/>
      <w:color w:val="FF00FF"/>
      <w:sz w:val="20"/>
    </w:rPr>
  </w:style>
  <w:style w:type="paragraph" w:customStyle="1" w:styleId="687">
    <w:name w:val="xl52"/>
    <w:basedOn w:val="1"/>
    <w:qFormat/>
    <w:uiPriority w:val="0"/>
    <w:pPr>
      <w:widowControl/>
      <w:pBdr>
        <w:left w:val="single" w:color="969696" w:sz="4" w:space="0"/>
        <w:bottom w:val="single" w:color="969696" w:sz="4" w:space="0"/>
        <w:right w:val="single" w:color="969696" w:sz="4" w:space="0"/>
      </w:pBdr>
      <w:shd w:val="clear" w:color="auto" w:fill="C0C0C0"/>
      <w:snapToGrid/>
      <w:spacing w:before="100" w:beforeAutospacing="1" w:after="100" w:afterAutospacing="1" w:line="240" w:lineRule="auto"/>
      <w:jc w:val="left"/>
    </w:pPr>
    <w:rPr>
      <w:rFonts w:ascii="Arial Unicode MS" w:hAnsi="Arial Unicode MS" w:eastAsia="Arial Unicode MS" w:cs="Arial Unicode MS"/>
      <w:color w:val="993300"/>
      <w:sz w:val="20"/>
    </w:rPr>
  </w:style>
  <w:style w:type="paragraph" w:customStyle="1" w:styleId="688">
    <w:name w:val="xl32"/>
    <w:basedOn w:val="1"/>
    <w:qFormat/>
    <w:uiPriority w:val="1"/>
    <w:pPr>
      <w:widowControl/>
      <w:pBdr>
        <w:right w:val="single" w:color="C0C0C0" w:sz="4" w:space="0"/>
      </w:pBdr>
      <w:shd w:val="clear" w:color="auto" w:fill="FFCC99"/>
      <w:snapToGrid/>
      <w:spacing w:before="100" w:beforeAutospacing="1" w:after="100" w:afterAutospacing="1" w:line="240" w:lineRule="auto"/>
      <w:jc w:val="center"/>
    </w:pPr>
    <w:rPr>
      <w:rFonts w:ascii="Arial Unicode MS" w:hAnsi="Arial Unicode MS" w:eastAsia="Arial Unicode MS" w:cs="Arial Unicode MS"/>
      <w:color w:val="000000"/>
      <w:sz w:val="20"/>
    </w:rPr>
  </w:style>
  <w:style w:type="paragraph" w:customStyle="1" w:styleId="689">
    <w:name w:val="Char Char Char Char Char Char Char Char Char Char Char Char Char Char Char Char Char Char Char"/>
    <w:basedOn w:val="1"/>
    <w:qFormat/>
    <w:uiPriority w:val="0"/>
    <w:pPr>
      <w:snapToGrid/>
      <w:spacing w:line="240" w:lineRule="auto"/>
    </w:pPr>
    <w:rPr>
      <w:rFonts w:ascii="Times New Roman" w:cs="Times New Roman"/>
      <w:sz w:val="21"/>
      <w:szCs w:val="24"/>
    </w:rPr>
  </w:style>
  <w:style w:type="paragraph" w:customStyle="1" w:styleId="690">
    <w:name w:val="样式 四号 左 行距: 1.5 倍行距"/>
    <w:basedOn w:val="1"/>
    <w:qFormat/>
    <w:uiPriority w:val="0"/>
    <w:pPr>
      <w:tabs>
        <w:tab w:val="left" w:pos="360"/>
      </w:tabs>
      <w:snapToGrid/>
      <w:ind w:hanging="200" w:hangingChars="200"/>
      <w:jc w:val="left"/>
    </w:pPr>
    <w:rPr>
      <w:rFonts w:ascii="Times New Roman" w:cs="Times New Roman"/>
      <w:szCs w:val="28"/>
    </w:rPr>
  </w:style>
  <w:style w:type="paragraph" w:customStyle="1" w:styleId="691">
    <w:name w:val="No Spacing2"/>
    <w:qFormat/>
    <w:uiPriority w:val="0"/>
    <w:pPr>
      <w:jc w:val="both"/>
    </w:pPr>
    <w:rPr>
      <w:rFonts w:ascii="Calibri" w:hAnsi="Calibri" w:eastAsia="宋体" w:cs="Times New Roman"/>
      <w:sz w:val="22"/>
      <w:szCs w:val="22"/>
      <w:lang w:val="en-US" w:eastAsia="zh-CN" w:bidi="ar-SA"/>
    </w:rPr>
  </w:style>
  <w:style w:type="paragraph" w:customStyle="1" w:styleId="692">
    <w:name w:val="样式 标题 33h33rd levelH3l3CT条标题1.1.1段 + 宋体 黑色 行距: 1.5 倍行距"/>
    <w:basedOn w:val="5"/>
    <w:qFormat/>
    <w:uiPriority w:val="0"/>
    <w:pPr>
      <w:snapToGrid/>
      <w:spacing w:before="260" w:after="260" w:line="240" w:lineRule="auto"/>
      <w:jc w:val="both"/>
    </w:pPr>
    <w:rPr>
      <w:rFonts w:hAnsi="宋体" w:eastAsia="宋体" w:cs="宋体"/>
    </w:rPr>
  </w:style>
  <w:style w:type="paragraph" w:customStyle="1" w:styleId="693">
    <w:name w:val="Char Char Char Char Char Char Char1"/>
    <w:basedOn w:val="1"/>
    <w:qFormat/>
    <w:uiPriority w:val="1"/>
    <w:pPr>
      <w:widowControl/>
      <w:snapToGrid/>
      <w:spacing w:after="160" w:line="240" w:lineRule="exact"/>
      <w:jc w:val="left"/>
    </w:pPr>
    <w:rPr>
      <w:rFonts w:ascii="Verdana" w:hAnsi="Verdana" w:cs="Times New Roman"/>
      <w:sz w:val="20"/>
      <w:lang w:eastAsia="en-US"/>
    </w:rPr>
  </w:style>
  <w:style w:type="paragraph" w:customStyle="1" w:styleId="694">
    <w:name w:val="表列"/>
    <w:basedOn w:val="312"/>
    <w:qFormat/>
    <w:uiPriority w:val="0"/>
    <w:pPr>
      <w:jc w:val="both"/>
    </w:pPr>
  </w:style>
  <w:style w:type="paragraph" w:customStyle="1" w:styleId="695">
    <w:name w:val="默认段落字体 Para Char Char Char Char Char Char Char Char Char1 Char Char Char Char Char Char Char"/>
    <w:basedOn w:val="24"/>
    <w:qFormat/>
    <w:uiPriority w:val="0"/>
    <w:pPr>
      <w:shd w:val="clear" w:color="auto" w:fill="000080"/>
      <w:spacing w:line="240" w:lineRule="auto"/>
    </w:pPr>
    <w:rPr>
      <w:rFonts w:ascii="Tahoma" w:hAnsi="Tahoma" w:cs="Tahoma"/>
      <w:sz w:val="24"/>
      <w:szCs w:val="24"/>
    </w:rPr>
  </w:style>
  <w:style w:type="paragraph" w:customStyle="1" w:styleId="696">
    <w:name w:val="标准"/>
    <w:basedOn w:val="1"/>
    <w:qFormat/>
    <w:uiPriority w:val="0"/>
    <w:pPr>
      <w:tabs>
        <w:tab w:val="left" w:pos="720"/>
      </w:tabs>
      <w:adjustRightInd w:val="0"/>
      <w:snapToGrid/>
      <w:spacing w:line="312" w:lineRule="atLeast"/>
      <w:textAlignment w:val="baseline"/>
    </w:pPr>
    <w:rPr>
      <w:rFonts w:ascii="Times New Roman" w:cs="Times New Roman"/>
      <w:sz w:val="21"/>
    </w:rPr>
  </w:style>
  <w:style w:type="paragraph" w:customStyle="1" w:styleId="697">
    <w:name w:val="xl83"/>
    <w:basedOn w:val="1"/>
    <w:qFormat/>
    <w:uiPriority w:val="0"/>
    <w:pPr>
      <w:widowControl/>
      <w:pBdr>
        <w:top w:val="single" w:color="C0C0C0" w:sz="4" w:space="0"/>
        <w:left w:val="single" w:color="C0C0C0" w:sz="4" w:space="0"/>
        <w:right w:val="single" w:color="C0C0C0" w:sz="4" w:space="0"/>
      </w:pBdr>
      <w:shd w:val="clear" w:color="auto" w:fill="CCFFFF"/>
      <w:snapToGrid/>
      <w:spacing w:before="100" w:beforeAutospacing="1" w:after="100" w:afterAutospacing="1" w:line="240" w:lineRule="auto"/>
      <w:jc w:val="left"/>
    </w:pPr>
    <w:rPr>
      <w:rFonts w:ascii="Arial Unicode MS" w:hAnsi="Arial Unicode MS" w:eastAsia="Arial Unicode MS" w:cs="Arial Unicode MS"/>
      <w:color w:val="0000FF"/>
      <w:sz w:val="24"/>
      <w:szCs w:val="24"/>
    </w:rPr>
  </w:style>
  <w:style w:type="paragraph" w:customStyle="1" w:styleId="698">
    <w:name w:val="样式 标题 3标题 3 Char Char Char Char标题 3 Char Char Char Char Char C..."/>
    <w:basedOn w:val="5"/>
    <w:qFormat/>
    <w:uiPriority w:val="0"/>
    <w:pPr>
      <w:snapToGrid/>
      <w:spacing w:before="260" w:after="260" w:line="240" w:lineRule="auto"/>
      <w:jc w:val="both"/>
    </w:pPr>
    <w:rPr>
      <w:rFonts w:hAnsi="宋体" w:eastAsia="宋体" w:cs="宋体"/>
    </w:rPr>
  </w:style>
  <w:style w:type="paragraph" w:customStyle="1" w:styleId="699">
    <w:name w:val="xl93"/>
    <w:basedOn w:val="1"/>
    <w:qFormat/>
    <w:uiPriority w:val="0"/>
    <w:pPr>
      <w:widowControl/>
      <w:pBdr>
        <w:top w:val="single" w:color="C0C0C0" w:sz="4" w:space="0"/>
        <w:left w:val="single" w:color="C0C0C0" w:sz="4" w:space="0"/>
        <w:right w:val="single" w:color="C0C0C0" w:sz="4" w:space="0"/>
      </w:pBdr>
      <w:shd w:val="clear" w:color="auto" w:fill="CCFFFF"/>
      <w:snapToGrid/>
      <w:spacing w:before="100" w:beforeAutospacing="1" w:after="100" w:afterAutospacing="1" w:line="240" w:lineRule="auto"/>
      <w:jc w:val="center"/>
    </w:pPr>
    <w:rPr>
      <w:rFonts w:ascii="Arial Unicode MS" w:hAnsi="Arial Unicode MS" w:eastAsia="Arial Unicode MS" w:cs="Arial Unicode MS"/>
      <w:color w:val="0000FF"/>
      <w:sz w:val="20"/>
    </w:rPr>
  </w:style>
  <w:style w:type="paragraph" w:customStyle="1" w:styleId="700">
    <w:name w:val="Body Text 22"/>
    <w:basedOn w:val="1"/>
    <w:qFormat/>
    <w:uiPriority w:val="0"/>
    <w:pPr>
      <w:wordWrap w:val="0"/>
      <w:overflowPunct w:val="0"/>
      <w:autoSpaceDE w:val="0"/>
      <w:autoSpaceDN w:val="0"/>
      <w:adjustRightInd w:val="0"/>
      <w:snapToGrid/>
      <w:spacing w:line="480" w:lineRule="exact"/>
      <w:ind w:firstLine="600"/>
      <w:jc w:val="left"/>
    </w:pPr>
    <w:rPr>
      <w:rFonts w:cs="Times New Roman"/>
      <w:color w:val="000000"/>
      <w:szCs w:val="28"/>
    </w:rPr>
  </w:style>
  <w:style w:type="paragraph" w:customStyle="1" w:styleId="701">
    <w:name w:val="xl24"/>
    <w:basedOn w:val="1"/>
    <w:qFormat/>
    <w:uiPriority w:val="1"/>
    <w:pPr>
      <w:widowControl/>
      <w:pBdr>
        <w:top w:val="single" w:color="C0C0C0" w:sz="4" w:space="0"/>
        <w:bottom w:val="single" w:color="C0C0C0" w:sz="4" w:space="0"/>
      </w:pBdr>
      <w:snapToGrid/>
      <w:spacing w:before="100" w:beforeAutospacing="1" w:after="100" w:afterAutospacing="1" w:line="240" w:lineRule="auto"/>
      <w:jc w:val="left"/>
    </w:pPr>
    <w:rPr>
      <w:rFonts w:ascii="Arial Unicode MS" w:hAnsi="Arial Unicode MS" w:eastAsia="Arial Unicode MS" w:cs="Arial Unicode MS"/>
      <w:sz w:val="24"/>
      <w:szCs w:val="24"/>
    </w:rPr>
  </w:style>
  <w:style w:type="paragraph" w:customStyle="1" w:styleId="702">
    <w:name w:val="表头红1"/>
    <w:basedOn w:val="1"/>
    <w:qFormat/>
    <w:uiPriority w:val="0"/>
    <w:pPr>
      <w:widowControl/>
      <w:spacing w:before="100" w:beforeAutospacing="1" w:after="100" w:afterAutospacing="1"/>
      <w:jc w:val="center"/>
      <w:textAlignment w:val="center"/>
    </w:pPr>
    <w:rPr>
      <w:rFonts w:eastAsia="黑体"/>
      <w:b/>
      <w:bCs/>
      <w:color w:val="FF0000"/>
      <w:szCs w:val="32"/>
    </w:rPr>
  </w:style>
  <w:style w:type="paragraph" w:customStyle="1" w:styleId="703">
    <w:name w:val="xl79"/>
    <w:basedOn w:val="1"/>
    <w:qFormat/>
    <w:uiPriority w:val="0"/>
    <w:pPr>
      <w:widowControl/>
      <w:pBdr>
        <w:left w:val="single" w:color="C0C0C0" w:sz="4" w:space="0"/>
        <w:right w:val="single" w:color="C0C0C0" w:sz="4" w:space="0"/>
      </w:pBdr>
      <w:shd w:val="clear" w:color="auto" w:fill="CCFFFF"/>
      <w:snapToGrid/>
      <w:spacing w:before="100" w:beforeAutospacing="1" w:after="100" w:afterAutospacing="1" w:line="240" w:lineRule="auto"/>
      <w:jc w:val="left"/>
    </w:pPr>
    <w:rPr>
      <w:rFonts w:ascii="Arial Unicode MS" w:hAnsi="Arial Unicode MS" w:eastAsia="Arial Unicode MS" w:cs="Arial Unicode MS"/>
      <w:color w:val="0000FF"/>
      <w:sz w:val="20"/>
    </w:rPr>
  </w:style>
  <w:style w:type="paragraph" w:customStyle="1" w:styleId="704">
    <w:name w:val="附件封面1"/>
    <w:basedOn w:val="1"/>
    <w:next w:val="1"/>
    <w:qFormat/>
    <w:uiPriority w:val="0"/>
    <w:pPr>
      <w:jc w:val="center"/>
    </w:pPr>
    <w:rPr>
      <w:rFonts w:eastAsia="黑体" w:cs="Times New Roman"/>
      <w:b/>
      <w:sz w:val="32"/>
    </w:rPr>
  </w:style>
  <w:style w:type="paragraph" w:customStyle="1" w:styleId="705">
    <w:name w:val="p15"/>
    <w:basedOn w:val="1"/>
    <w:qFormat/>
    <w:uiPriority w:val="0"/>
    <w:pPr>
      <w:widowControl/>
      <w:spacing w:line="240" w:lineRule="auto"/>
      <w:jc w:val="left"/>
    </w:pPr>
    <w:rPr>
      <w:rFonts w:ascii="Times New Roman" w:cs="Times New Roman"/>
      <w:color w:val="000000"/>
      <w:sz w:val="24"/>
      <w:szCs w:val="24"/>
    </w:rPr>
  </w:style>
  <w:style w:type="paragraph" w:customStyle="1" w:styleId="706">
    <w:name w:val="List Paragraph1"/>
    <w:basedOn w:val="1"/>
    <w:qFormat/>
    <w:uiPriority w:val="0"/>
    <w:pPr>
      <w:snapToGrid/>
      <w:spacing w:line="240" w:lineRule="auto"/>
      <w:ind w:firstLine="420" w:firstLineChars="200"/>
    </w:pPr>
    <w:rPr>
      <w:rFonts w:ascii="Times New Roman" w:cs="Times New Roman"/>
      <w:sz w:val="21"/>
      <w:szCs w:val="21"/>
    </w:rPr>
  </w:style>
  <w:style w:type="paragraph" w:customStyle="1" w:styleId="707">
    <w:name w:val="Char21"/>
    <w:basedOn w:val="1"/>
    <w:qFormat/>
    <w:uiPriority w:val="0"/>
    <w:pPr>
      <w:snapToGrid/>
      <w:spacing w:line="240" w:lineRule="auto"/>
    </w:pPr>
    <w:rPr>
      <w:rFonts w:ascii="Times New Roman" w:cs="Times New Roman"/>
      <w:sz w:val="24"/>
      <w:szCs w:val="24"/>
    </w:rPr>
  </w:style>
  <w:style w:type="paragraph" w:customStyle="1" w:styleId="708">
    <w:name w:val="Char1 Char Char Char Char Char Char Char Char Char Char Char Char Char Char Char Char Char Char Char Char Char Char Char Char Char Char Char"/>
    <w:basedOn w:val="1"/>
    <w:semiHidden/>
    <w:qFormat/>
    <w:uiPriority w:val="0"/>
    <w:pPr>
      <w:snapToGrid/>
      <w:spacing w:line="240" w:lineRule="auto"/>
    </w:pPr>
    <w:rPr>
      <w:rFonts w:ascii="Times New Roman" w:cs="Times New Roman"/>
      <w:sz w:val="21"/>
      <w:szCs w:val="21"/>
    </w:rPr>
  </w:style>
  <w:style w:type="paragraph" w:customStyle="1" w:styleId="709">
    <w:name w:val="首行缩进鲜绿"/>
    <w:basedOn w:val="122"/>
    <w:next w:val="122"/>
    <w:qFormat/>
    <w:uiPriority w:val="0"/>
    <w:pPr>
      <w:ind w:firstLine="482"/>
    </w:pPr>
    <w:rPr>
      <w:color w:val="00FF00"/>
      <w:kern w:val="2"/>
      <w:szCs w:val="24"/>
    </w:rPr>
  </w:style>
  <w:style w:type="paragraph" w:customStyle="1" w:styleId="710">
    <w:name w:val="font0"/>
    <w:basedOn w:val="1"/>
    <w:qFormat/>
    <w:uiPriority w:val="0"/>
    <w:pPr>
      <w:widowControl/>
      <w:snapToGrid/>
      <w:spacing w:before="100" w:beforeAutospacing="1" w:after="100" w:afterAutospacing="1" w:line="240" w:lineRule="auto"/>
      <w:jc w:val="left"/>
    </w:pPr>
    <w:rPr>
      <w:rFonts w:hAnsi="宋体" w:cs="Arial Unicode MS"/>
      <w:sz w:val="24"/>
      <w:szCs w:val="24"/>
    </w:rPr>
  </w:style>
  <w:style w:type="paragraph" w:customStyle="1" w:styleId="711">
    <w:name w:val="xl92"/>
    <w:basedOn w:val="1"/>
    <w:qFormat/>
    <w:uiPriority w:val="0"/>
    <w:pPr>
      <w:widowControl/>
      <w:pBdr>
        <w:top w:val="single" w:color="C0C0C0" w:sz="4" w:space="0"/>
        <w:left w:val="single" w:color="C0C0C0" w:sz="4" w:space="0"/>
        <w:right w:val="single" w:color="C0C0C0" w:sz="4" w:space="0"/>
      </w:pBdr>
      <w:shd w:val="clear" w:color="auto" w:fill="CCFFFF"/>
      <w:snapToGrid/>
      <w:spacing w:before="100" w:beforeAutospacing="1" w:after="100" w:afterAutospacing="1" w:line="240" w:lineRule="auto"/>
      <w:jc w:val="left"/>
    </w:pPr>
    <w:rPr>
      <w:rFonts w:ascii="Arial Unicode MS" w:hAnsi="Arial Unicode MS" w:eastAsia="Arial Unicode MS" w:cs="Arial Unicode MS"/>
      <w:color w:val="0000FF"/>
      <w:sz w:val="20"/>
    </w:rPr>
  </w:style>
  <w:style w:type="paragraph" w:customStyle="1" w:styleId="712">
    <w:name w:val="样式 表格文字 +"/>
    <w:basedOn w:val="41"/>
    <w:qFormat/>
    <w:uiPriority w:val="0"/>
    <w:pPr>
      <w:adjustRightInd w:val="0"/>
      <w:snapToGrid w:val="0"/>
      <w:jc w:val="center"/>
    </w:pPr>
    <w:rPr>
      <w:rFonts w:ascii="Arial" w:hAnsi="Arial" w:eastAsia="Times New Roman"/>
      <w:szCs w:val="24"/>
    </w:rPr>
  </w:style>
  <w:style w:type="paragraph" w:customStyle="1" w:styleId="713">
    <w:name w:val="xl99"/>
    <w:basedOn w:val="1"/>
    <w:qFormat/>
    <w:uiPriority w:val="0"/>
    <w:pPr>
      <w:widowControl/>
      <w:pBdr>
        <w:top w:val="single" w:color="C0C0C0" w:sz="4" w:space="0"/>
        <w:left w:val="single" w:color="C0C0C0" w:sz="4" w:space="0"/>
        <w:bottom w:val="single" w:color="C0C0C0" w:sz="4" w:space="0"/>
        <w:right w:val="single" w:color="C0C0C0" w:sz="4" w:space="0"/>
      </w:pBdr>
      <w:shd w:val="clear" w:color="auto" w:fill="CCFFFF"/>
      <w:snapToGrid/>
      <w:spacing w:before="100" w:beforeAutospacing="1" w:after="100" w:afterAutospacing="1" w:line="240" w:lineRule="auto"/>
      <w:jc w:val="left"/>
    </w:pPr>
    <w:rPr>
      <w:rFonts w:ascii="Arial Unicode MS" w:hAnsi="Arial Unicode MS" w:eastAsia="Arial Unicode MS" w:cs="Arial Unicode MS"/>
      <w:color w:val="FF0000"/>
      <w:sz w:val="20"/>
    </w:rPr>
  </w:style>
  <w:style w:type="paragraph" w:customStyle="1" w:styleId="714">
    <w:name w:val="表目"/>
    <w:basedOn w:val="312"/>
    <w:qFormat/>
    <w:uiPriority w:val="0"/>
    <w:pPr>
      <w:shd w:val="pct5" w:color="auto" w:fill="FFFFFF"/>
    </w:pPr>
    <w:rPr>
      <w:b/>
      <w:sz w:val="24"/>
    </w:rPr>
  </w:style>
  <w:style w:type="paragraph" w:customStyle="1" w:styleId="715">
    <w:name w:val="xl29"/>
    <w:basedOn w:val="1"/>
    <w:qFormat/>
    <w:uiPriority w:val="1"/>
    <w:pPr>
      <w:widowControl/>
      <w:pBdr>
        <w:top w:val="single" w:color="C0C0C0" w:sz="4" w:space="0"/>
        <w:left w:val="single" w:color="C0C0C0" w:sz="4" w:space="0"/>
        <w:bottom w:val="single" w:color="C0C0C0" w:sz="4" w:space="0"/>
        <w:right w:val="single" w:color="C0C0C0" w:sz="4" w:space="0"/>
      </w:pBdr>
      <w:shd w:val="clear" w:color="auto" w:fill="FFCC99"/>
      <w:snapToGrid/>
      <w:spacing w:before="100" w:beforeAutospacing="1" w:after="100" w:afterAutospacing="1" w:line="240" w:lineRule="auto"/>
      <w:jc w:val="center"/>
    </w:pPr>
    <w:rPr>
      <w:rFonts w:ascii="Arial Unicode MS" w:hAnsi="Arial Unicode MS" w:eastAsia="Arial Unicode MS" w:cs="Arial Unicode MS"/>
      <w:sz w:val="20"/>
    </w:rPr>
  </w:style>
  <w:style w:type="paragraph" w:customStyle="1" w:styleId="716">
    <w:name w:val="表中文字"/>
    <w:basedOn w:val="1"/>
    <w:qFormat/>
    <w:uiPriority w:val="0"/>
    <w:pPr>
      <w:snapToGrid/>
      <w:spacing w:before="60" w:after="60"/>
    </w:pPr>
    <w:rPr>
      <w:rFonts w:ascii="Times New Roman"/>
      <w:sz w:val="24"/>
    </w:rPr>
  </w:style>
  <w:style w:type="paragraph" w:customStyle="1" w:styleId="717">
    <w:name w:val="预案封面落款"/>
    <w:basedOn w:val="154"/>
    <w:qFormat/>
    <w:uiPriority w:val="0"/>
    <w:pPr>
      <w:snapToGrid w:val="0"/>
      <w:spacing w:line="360" w:lineRule="auto"/>
      <w:ind w:left="1120" w:leftChars="400"/>
    </w:pPr>
    <w:rPr>
      <w:rFonts w:ascii="Times New Roman" w:eastAsia="仿宋_GB2312" w:cs="宋体"/>
      <w:sz w:val="28"/>
      <w:szCs w:val="20"/>
    </w:rPr>
  </w:style>
  <w:style w:type="paragraph" w:customStyle="1" w:styleId="718">
    <w:name w:val="xl73"/>
    <w:basedOn w:val="1"/>
    <w:qFormat/>
    <w:uiPriority w:val="0"/>
    <w:pPr>
      <w:widowControl/>
      <w:pBdr>
        <w:top w:val="single" w:color="C0C0C0" w:sz="4" w:space="0"/>
        <w:left w:val="single" w:color="C0C0C0" w:sz="4" w:space="0"/>
        <w:bottom w:val="single" w:color="C0C0C0" w:sz="4" w:space="0"/>
        <w:right w:val="single" w:color="C0C0C0" w:sz="4" w:space="0"/>
      </w:pBdr>
      <w:shd w:val="clear" w:color="auto" w:fill="FFFFFF"/>
      <w:snapToGrid/>
      <w:spacing w:before="100" w:beforeAutospacing="1" w:after="100" w:afterAutospacing="1" w:line="240" w:lineRule="auto"/>
      <w:jc w:val="left"/>
    </w:pPr>
    <w:rPr>
      <w:rFonts w:ascii="Arial Unicode MS" w:hAnsi="Arial Unicode MS" w:eastAsia="Arial Unicode MS" w:cs="Arial Unicode MS"/>
      <w:color w:val="0000FF"/>
      <w:sz w:val="24"/>
      <w:szCs w:val="24"/>
    </w:rPr>
  </w:style>
  <w:style w:type="paragraph" w:customStyle="1" w:styleId="719">
    <w:name w:val="Char Char Char Char Char Char Char Char Char Char Char Char Char Char Char Char Char Char1 Char Char Char Char Char Char Char Char Char Char Char Char Char Char Char Char Char Char Char Char Char Char Char Char Char"/>
    <w:basedOn w:val="1"/>
    <w:qFormat/>
    <w:uiPriority w:val="0"/>
    <w:pPr>
      <w:snapToGrid/>
      <w:spacing w:line="240" w:lineRule="auto"/>
    </w:pPr>
    <w:rPr>
      <w:rFonts w:ascii="Times New Roman" w:cs="Times New Roman"/>
      <w:sz w:val="24"/>
      <w:szCs w:val="24"/>
    </w:rPr>
  </w:style>
  <w:style w:type="paragraph" w:customStyle="1" w:styleId="720">
    <w:name w:val="xl76"/>
    <w:basedOn w:val="1"/>
    <w:qFormat/>
    <w:uiPriority w:val="0"/>
    <w:pPr>
      <w:widowControl/>
      <w:pBdr>
        <w:left w:val="single" w:color="C0C0C0" w:sz="4" w:space="0"/>
        <w:bottom w:val="single" w:color="C0C0C0" w:sz="4" w:space="0"/>
        <w:right w:val="single" w:color="C0C0C0" w:sz="4" w:space="0"/>
      </w:pBdr>
      <w:shd w:val="clear" w:color="auto" w:fill="CCFFFF"/>
      <w:snapToGrid/>
      <w:spacing w:before="100" w:beforeAutospacing="1" w:after="100" w:afterAutospacing="1" w:line="240" w:lineRule="auto"/>
      <w:jc w:val="left"/>
    </w:pPr>
    <w:rPr>
      <w:rFonts w:ascii="Arial Unicode MS" w:hAnsi="Arial Unicode MS" w:eastAsia="Arial Unicode MS" w:cs="Arial Unicode MS"/>
      <w:color w:val="0000FF"/>
      <w:sz w:val="24"/>
      <w:szCs w:val="24"/>
    </w:rPr>
  </w:style>
  <w:style w:type="paragraph" w:customStyle="1" w:styleId="721">
    <w:name w:val="xl53"/>
    <w:basedOn w:val="1"/>
    <w:qFormat/>
    <w:uiPriority w:val="0"/>
    <w:pPr>
      <w:widowControl/>
      <w:pBdr>
        <w:left w:val="single" w:color="C0C0C0" w:sz="4" w:space="0"/>
        <w:bottom w:val="single" w:color="C0C0C0" w:sz="4" w:space="0"/>
        <w:right w:val="single" w:color="C0C0C0" w:sz="4" w:space="0"/>
      </w:pBdr>
      <w:shd w:val="clear" w:color="auto" w:fill="FFCC99"/>
      <w:snapToGrid/>
      <w:spacing w:before="100" w:beforeAutospacing="1" w:after="100" w:afterAutospacing="1" w:line="240" w:lineRule="auto"/>
      <w:jc w:val="center"/>
    </w:pPr>
    <w:rPr>
      <w:rFonts w:ascii="Arial Unicode MS" w:hAnsi="Arial Unicode MS" w:eastAsia="Arial Unicode MS" w:cs="Arial Unicode MS"/>
      <w:sz w:val="20"/>
    </w:rPr>
  </w:style>
  <w:style w:type="paragraph" w:customStyle="1" w:styleId="722">
    <w:name w:val="正文(首行缩进两字2)"/>
    <w:basedOn w:val="213"/>
    <w:qFormat/>
    <w:uiPriority w:val="0"/>
    <w:pPr>
      <w:spacing w:line="480" w:lineRule="exact"/>
    </w:pPr>
  </w:style>
  <w:style w:type="paragraph" w:customStyle="1" w:styleId="723">
    <w:name w:val="0"/>
    <w:basedOn w:val="1"/>
    <w:qFormat/>
    <w:uiPriority w:val="1"/>
    <w:pPr>
      <w:tabs>
        <w:tab w:val="left" w:pos="-210"/>
      </w:tabs>
      <w:adjustRightInd w:val="0"/>
      <w:spacing w:line="500" w:lineRule="atLeast"/>
      <w:ind w:left="-50" w:leftChars="-50"/>
      <w:jc w:val="left"/>
    </w:pPr>
    <w:rPr>
      <w:rFonts w:ascii="Times New Roman" w:cs="Times New Roman"/>
      <w:sz w:val="24"/>
      <w:szCs w:val="24"/>
    </w:rPr>
  </w:style>
  <w:style w:type="paragraph" w:customStyle="1" w:styleId="724">
    <w:name w:val="填表4"/>
    <w:basedOn w:val="1"/>
    <w:next w:val="1"/>
    <w:qFormat/>
    <w:uiPriority w:val="0"/>
    <w:pPr>
      <w:spacing w:line="480" w:lineRule="auto"/>
    </w:pPr>
    <w:rPr>
      <w:rFonts w:cs="Times New Roman"/>
      <w:szCs w:val="28"/>
    </w:rPr>
  </w:style>
  <w:style w:type="paragraph" w:customStyle="1" w:styleId="725">
    <w:name w:val="样式 小四 加粗 居中1"/>
    <w:basedOn w:val="1"/>
    <w:qFormat/>
    <w:uiPriority w:val="0"/>
    <w:pPr>
      <w:snapToGrid/>
      <w:spacing w:line="240" w:lineRule="auto"/>
      <w:jc w:val="center"/>
    </w:pPr>
    <w:rPr>
      <w:rFonts w:ascii="Times New Roman"/>
      <w:bCs/>
      <w:sz w:val="24"/>
    </w:rPr>
  </w:style>
  <w:style w:type="table" w:customStyle="1" w:styleId="726">
    <w:name w:val="表格样式1"/>
    <w:basedOn w:val="80"/>
    <w:qFormat/>
    <w:uiPriority w:val="0"/>
  </w:style>
  <w:style w:type="character" w:customStyle="1" w:styleId="727">
    <w:name w:val="fontstyle01"/>
    <w:qFormat/>
    <w:uiPriority w:val="0"/>
    <w:rPr>
      <w:rFonts w:hint="eastAsia" w:ascii="宋体" w:hAnsi="宋体" w:eastAsia="宋体"/>
      <w:color w:val="000000"/>
      <w:sz w:val="28"/>
      <w:szCs w:val="28"/>
    </w:rPr>
  </w:style>
  <w:style w:type="character" w:customStyle="1" w:styleId="728">
    <w:name w:val="fontstyle21"/>
    <w:qFormat/>
    <w:uiPriority w:val="0"/>
    <w:rPr>
      <w:rFonts w:hint="eastAsia" w:ascii="黑体" w:hAnsi="黑体" w:eastAsia="黑体"/>
      <w:color w:val="000000"/>
      <w:sz w:val="32"/>
      <w:szCs w:val="32"/>
    </w:rPr>
  </w:style>
  <w:style w:type="character" w:customStyle="1" w:styleId="729">
    <w:name w:val="fontstyle31"/>
    <w:qFormat/>
    <w:uiPriority w:val="0"/>
    <w:rPr>
      <w:rFonts w:hint="eastAsia" w:ascii="宋体" w:hAnsi="宋体" w:eastAsia="宋体"/>
      <w:color w:val="000000"/>
      <w:sz w:val="28"/>
      <w:szCs w:val="28"/>
    </w:rPr>
  </w:style>
  <w:style w:type="character" w:customStyle="1" w:styleId="730">
    <w:name w:val="hover37"/>
    <w:qFormat/>
    <w:uiPriority w:val="0"/>
    <w:rPr>
      <w:color w:val="6FB3E0"/>
    </w:rPr>
  </w:style>
  <w:style w:type="character" w:customStyle="1" w:styleId="731">
    <w:name w:val="bds_nopic2"/>
    <w:basedOn w:val="91"/>
    <w:qFormat/>
    <w:uiPriority w:val="0"/>
  </w:style>
  <w:style w:type="character" w:customStyle="1" w:styleId="732">
    <w:name w:val="px141"/>
    <w:qFormat/>
    <w:uiPriority w:val="1"/>
    <w:rPr>
      <w:rFonts w:hint="default" w:ascii="ˎ̥" w:hAnsi="ˎ̥"/>
      <w:sz w:val="21"/>
      <w:szCs w:val="21"/>
    </w:rPr>
  </w:style>
  <w:style w:type="character" w:customStyle="1" w:styleId="733">
    <w:name w:val="题注 字符"/>
    <w:link w:val="21"/>
    <w:qFormat/>
    <w:uiPriority w:val="0"/>
    <w:rPr>
      <w:rFonts w:ascii="Arial" w:hAnsi="Arial" w:eastAsia="黑体" w:cs="Arial"/>
      <w:sz w:val="20"/>
      <w:szCs w:val="20"/>
    </w:rPr>
  </w:style>
  <w:style w:type="character" w:customStyle="1" w:styleId="734">
    <w:name w:val="报告表标题 Char"/>
    <w:link w:val="735"/>
    <w:qFormat/>
    <w:uiPriority w:val="0"/>
    <w:rPr>
      <w:rFonts w:ascii="宋体" w:hAnsi="宋体"/>
      <w:sz w:val="24"/>
      <w:szCs w:val="24"/>
    </w:rPr>
  </w:style>
  <w:style w:type="paragraph" w:customStyle="1" w:styleId="735">
    <w:name w:val="报告表标题"/>
    <w:basedOn w:val="1"/>
    <w:link w:val="734"/>
    <w:qFormat/>
    <w:uiPriority w:val="0"/>
    <w:pPr>
      <w:widowControl/>
      <w:tabs>
        <w:tab w:val="left" w:pos="900"/>
        <w:tab w:val="left" w:pos="1049"/>
      </w:tabs>
      <w:snapToGrid/>
      <w:spacing w:line="240" w:lineRule="auto"/>
      <w:ind w:firstLine="482"/>
      <w:jc w:val="left"/>
    </w:pPr>
    <w:rPr>
      <w:rFonts w:hAnsi="宋体" w:eastAsiaTheme="minorEastAsia" w:cstheme="minorBidi"/>
      <w:sz w:val="24"/>
      <w:szCs w:val="24"/>
    </w:rPr>
  </w:style>
  <w:style w:type="character" w:customStyle="1" w:styleId="736">
    <w:name w:val="bds_more"/>
    <w:basedOn w:val="91"/>
    <w:qFormat/>
    <w:uiPriority w:val="0"/>
  </w:style>
  <w:style w:type="character" w:customStyle="1" w:styleId="737">
    <w:name w:val="填表4小中 Char Char"/>
    <w:qFormat/>
    <w:uiPriority w:val="0"/>
    <w:rPr>
      <w:rFonts w:ascii="宋体" w:eastAsia="宋体" w:cs="宋体"/>
      <w:kern w:val="2"/>
      <w:sz w:val="24"/>
      <w:lang w:val="en-US" w:eastAsia="zh-CN" w:bidi="ar-SA"/>
    </w:rPr>
  </w:style>
  <w:style w:type="character" w:customStyle="1" w:styleId="738">
    <w:name w:val="正文首行缩进 Char2"/>
    <w:qFormat/>
    <w:uiPriority w:val="0"/>
    <w:rPr>
      <w:spacing w:val="6"/>
      <w:w w:val="92"/>
      <w:kern w:val="24"/>
      <w:sz w:val="26"/>
    </w:rPr>
  </w:style>
  <w:style w:type="character" w:customStyle="1" w:styleId="739">
    <w:name w:val="bds_more1"/>
    <w:basedOn w:val="91"/>
    <w:qFormat/>
    <w:uiPriority w:val="0"/>
  </w:style>
  <w:style w:type="character" w:customStyle="1" w:styleId="740">
    <w:name w:val="正文缩进 Char1"/>
    <w:qFormat/>
    <w:uiPriority w:val="0"/>
    <w:rPr>
      <w:kern w:val="2"/>
      <w:sz w:val="24"/>
      <w:lang w:bidi="ar-SA"/>
    </w:rPr>
  </w:style>
  <w:style w:type="character" w:customStyle="1" w:styleId="741">
    <w:name w:val="hover38"/>
    <w:qFormat/>
    <w:uiPriority w:val="0"/>
    <w:rPr>
      <w:color w:val="EC7063"/>
    </w:rPr>
  </w:style>
  <w:style w:type="character" w:customStyle="1" w:styleId="742">
    <w:name w:val="bds_nopic"/>
    <w:basedOn w:val="91"/>
    <w:qFormat/>
    <w:uiPriority w:val="0"/>
  </w:style>
  <w:style w:type="character" w:customStyle="1" w:styleId="743">
    <w:name w:val="bds_nopic1"/>
    <w:basedOn w:val="91"/>
    <w:qFormat/>
    <w:uiPriority w:val="0"/>
  </w:style>
  <w:style w:type="character" w:customStyle="1" w:styleId="744">
    <w:name w:val="bds_more2"/>
    <w:basedOn w:val="91"/>
    <w:qFormat/>
    <w:uiPriority w:val="0"/>
  </w:style>
  <w:style w:type="paragraph" w:customStyle="1" w:styleId="745">
    <w:name w:val="正weng"/>
    <w:basedOn w:val="1"/>
    <w:qFormat/>
    <w:uiPriority w:val="0"/>
    <w:pPr>
      <w:snapToGrid/>
      <w:ind w:firstLine="200" w:firstLineChars="200"/>
    </w:pPr>
    <w:rPr>
      <w:rFonts w:ascii="Times New Roman" w:hAnsi="Calibri" w:cs="Times New Roman"/>
      <w:sz w:val="24"/>
      <w:szCs w:val="22"/>
    </w:rPr>
  </w:style>
  <w:style w:type="paragraph" w:customStyle="1" w:styleId="746">
    <w:name w:val="普通文字"/>
    <w:basedOn w:val="1"/>
    <w:next w:val="1"/>
    <w:qFormat/>
    <w:uiPriority w:val="0"/>
    <w:pPr>
      <w:autoSpaceDE w:val="0"/>
      <w:autoSpaceDN w:val="0"/>
      <w:adjustRightInd w:val="0"/>
      <w:snapToGrid/>
      <w:spacing w:line="240" w:lineRule="auto"/>
      <w:jc w:val="left"/>
    </w:pPr>
    <w:rPr>
      <w:rFonts w:hAnsi="Calibri" w:cs="Times New Roman"/>
      <w:sz w:val="24"/>
      <w:szCs w:val="24"/>
    </w:rPr>
  </w:style>
  <w:style w:type="paragraph" w:customStyle="1" w:styleId="747">
    <w:name w:val="44444444444"/>
    <w:basedOn w:val="1"/>
    <w:qFormat/>
    <w:uiPriority w:val="0"/>
    <w:pPr>
      <w:ind w:firstLine="550" w:firstLineChars="200"/>
    </w:pPr>
    <w:rPr>
      <w:rFonts w:hAnsi="宋体" w:cs="Times New Roman"/>
    </w:rPr>
  </w:style>
  <w:style w:type="paragraph" w:customStyle="1" w:styleId="748">
    <w:name w:val="3-3333333333333333333"/>
    <w:basedOn w:val="1"/>
    <w:qFormat/>
    <w:uiPriority w:val="0"/>
    <w:pPr>
      <w:snapToGrid/>
      <w:spacing w:line="520" w:lineRule="exact"/>
      <w:outlineLvl w:val="2"/>
    </w:pPr>
    <w:rPr>
      <w:rFonts w:hAnsi="宋体" w:cs="Times New Roman"/>
      <w:b/>
      <w:color w:val="000000"/>
      <w:sz w:val="24"/>
      <w:szCs w:val="24"/>
    </w:rPr>
  </w:style>
  <w:style w:type="paragraph" w:customStyle="1" w:styleId="749">
    <w:name w:val="55555555555555555555"/>
    <w:basedOn w:val="750"/>
    <w:qFormat/>
    <w:uiPriority w:val="0"/>
    <w:rPr>
      <w:sz w:val="24"/>
      <w:szCs w:val="24"/>
    </w:rPr>
  </w:style>
  <w:style w:type="paragraph" w:customStyle="1" w:styleId="750">
    <w:name w:val="5555555555555"/>
    <w:basedOn w:val="751"/>
    <w:qFormat/>
    <w:uiPriority w:val="0"/>
    <w:pPr>
      <w:ind w:firstLine="0" w:firstLineChars="0"/>
      <w:jc w:val="center"/>
    </w:pPr>
    <w:rPr>
      <w:b/>
    </w:rPr>
  </w:style>
  <w:style w:type="paragraph" w:customStyle="1" w:styleId="751">
    <w:name w:val="44444444444444444"/>
    <w:basedOn w:val="1"/>
    <w:qFormat/>
    <w:uiPriority w:val="0"/>
    <w:pPr>
      <w:adjustRightInd w:val="0"/>
      <w:ind w:firstLine="560" w:firstLineChars="200"/>
    </w:pPr>
    <w:rPr>
      <w:rFonts w:hAnsi="宋体" w:cs="Times New Roman"/>
      <w:color w:val="000000"/>
      <w:szCs w:val="28"/>
    </w:rPr>
  </w:style>
  <w:style w:type="paragraph" w:customStyle="1" w:styleId="752">
    <w:name w:val="44444444444444"/>
    <w:basedOn w:val="1"/>
    <w:qFormat/>
    <w:uiPriority w:val="0"/>
    <w:pPr>
      <w:adjustRightInd w:val="0"/>
      <w:spacing w:line="520" w:lineRule="atLeast"/>
      <w:ind w:firstLine="480" w:firstLineChars="200"/>
    </w:pPr>
    <w:rPr>
      <w:rFonts w:hAnsi="宋体" w:cs="Times New Roman"/>
      <w:color w:val="000000"/>
      <w:sz w:val="24"/>
      <w:szCs w:val="24"/>
    </w:rPr>
  </w:style>
  <w:style w:type="paragraph" w:customStyle="1" w:styleId="753">
    <w:name w:val="样式 正文001 + 首行缩进:  2 字符1"/>
    <w:basedOn w:val="1"/>
    <w:qFormat/>
    <w:uiPriority w:val="0"/>
    <w:pPr>
      <w:snapToGrid/>
      <w:spacing w:before="60" w:line="460" w:lineRule="exact"/>
      <w:ind w:firstLine="480" w:firstLineChars="200"/>
    </w:pPr>
    <w:rPr>
      <w:rFonts w:ascii="Times New Roman" w:hAnsi="Calibri" w:cs="Times New Roman"/>
      <w:sz w:val="24"/>
    </w:rPr>
  </w:style>
  <w:style w:type="paragraph" w:customStyle="1" w:styleId="754">
    <w:name w:val="列出段落1"/>
    <w:basedOn w:val="1"/>
    <w:qFormat/>
    <w:uiPriority w:val="34"/>
    <w:pPr>
      <w:ind w:firstLine="420" w:firstLineChars="200"/>
    </w:pPr>
    <w:rPr>
      <w:rFonts w:hAnsi="Calibri" w:cs="Times New Roman"/>
      <w:szCs w:val="22"/>
    </w:rPr>
  </w:style>
  <w:style w:type="paragraph" w:customStyle="1" w:styleId="755">
    <w:name w:val="正文 + 首行缩进"/>
    <w:basedOn w:val="1"/>
    <w:qFormat/>
    <w:uiPriority w:val="0"/>
    <w:pPr>
      <w:spacing w:line="500" w:lineRule="exact"/>
      <w:ind w:firstLine="560" w:firstLineChars="200"/>
    </w:pPr>
    <w:rPr>
      <w:rFonts w:hAnsi="Calibri"/>
    </w:rPr>
  </w:style>
  <w:style w:type="paragraph" w:customStyle="1" w:styleId="756">
    <w:name w:val="默认段落字体 Para Char Char Char Char Char Char Char Char Char1 Char Char Char Char Char Char Char Char Char Char"/>
    <w:basedOn w:val="24"/>
    <w:qFormat/>
    <w:uiPriority w:val="0"/>
    <w:pPr>
      <w:shd w:val="clear" w:color="auto" w:fill="000080"/>
      <w:snapToGrid/>
      <w:spacing w:line="240" w:lineRule="auto"/>
    </w:pPr>
    <w:rPr>
      <w:rFonts w:ascii="黑体" w:hAnsi="Arial" w:cs="Verdana"/>
      <w:bCs/>
      <w:sz w:val="24"/>
      <w:szCs w:val="28"/>
      <w:lang w:eastAsia="en-US"/>
    </w:rPr>
  </w:style>
  <w:style w:type="character" w:customStyle="1" w:styleId="757">
    <w:name w:val="表格内容 Char Char"/>
    <w:link w:val="581"/>
    <w:qFormat/>
    <w:uiPriority w:val="0"/>
    <w:rPr>
      <w:rFonts w:ascii="Arial" w:hAnsi="Arial" w:eastAsia="仿宋_GB2312" w:cs="Times New Roman"/>
      <w:kern w:val="0"/>
      <w:sz w:val="24"/>
      <w:szCs w:val="20"/>
    </w:rPr>
  </w:style>
  <w:style w:type="paragraph" w:customStyle="1" w:styleId="758">
    <w:name w:val="正文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759">
    <w:name w:val="题注 Char"/>
    <w:qFormat/>
    <w:uiPriority w:val="0"/>
    <w:rPr>
      <w:rFonts w:ascii="Arial" w:hAnsi="Arial" w:eastAsia="黑体"/>
      <w:lang w:val="en-US" w:eastAsia="zh-CN"/>
    </w:rPr>
  </w:style>
  <w:style w:type="paragraph" w:customStyle="1" w:styleId="760">
    <w:name w:val="列出段落11"/>
    <w:basedOn w:val="1"/>
    <w:qFormat/>
    <w:uiPriority w:val="34"/>
    <w:pPr>
      <w:ind w:firstLine="420" w:firstLineChars="200"/>
    </w:pPr>
    <w:rPr>
      <w:rFonts w:hAnsi="Calibri" w:cs="Times New Roman"/>
      <w:szCs w:val="22"/>
    </w:rPr>
  </w:style>
  <w:style w:type="character" w:customStyle="1" w:styleId="761">
    <w:name w:val="fn org"/>
    <w:basedOn w:val="91"/>
    <w:qFormat/>
    <w:uiPriority w:val="0"/>
  </w:style>
  <w:style w:type="character" w:customStyle="1" w:styleId="762">
    <w:name w:val="表格样式1 Char"/>
    <w:qFormat/>
    <w:uiPriority w:val="0"/>
    <w:rPr>
      <w:rFonts w:ascii="Times New Roman" w:hAnsi="Times New Roman"/>
      <w:sz w:val="21"/>
      <w:szCs w:val="21"/>
    </w:rPr>
  </w:style>
  <w:style w:type="character" w:customStyle="1" w:styleId="763">
    <w:name w:val="表名 Char"/>
    <w:link w:val="764"/>
    <w:qFormat/>
    <w:uiPriority w:val="0"/>
    <w:rPr>
      <w:rFonts w:ascii="Times New Roman" w:hAnsi="Times New Roman" w:eastAsia="黑体"/>
      <w:sz w:val="24"/>
      <w:szCs w:val="24"/>
    </w:rPr>
  </w:style>
  <w:style w:type="paragraph" w:customStyle="1" w:styleId="764">
    <w:name w:val="表名"/>
    <w:basedOn w:val="1"/>
    <w:link w:val="763"/>
    <w:qFormat/>
    <w:uiPriority w:val="0"/>
    <w:pPr>
      <w:adjustRightInd w:val="0"/>
      <w:jc w:val="center"/>
    </w:pPr>
    <w:rPr>
      <w:rFonts w:ascii="Times New Roman" w:eastAsia="黑体" w:cstheme="minorBidi"/>
      <w:sz w:val="24"/>
      <w:szCs w:val="24"/>
    </w:rPr>
  </w:style>
  <w:style w:type="character" w:customStyle="1" w:styleId="765">
    <w:name w:val="正文（首行缩进两字） Char"/>
    <w:qFormat/>
    <w:uiPriority w:val="0"/>
    <w:rPr>
      <w:rFonts w:hint="eastAsia" w:ascii="宋体" w:hAnsi="宋体" w:eastAsia="宋体"/>
      <w:kern w:val="2"/>
      <w:sz w:val="24"/>
      <w:lang w:val="en-US" w:eastAsia="zh-CN"/>
    </w:rPr>
  </w:style>
  <w:style w:type="character" w:customStyle="1" w:styleId="766">
    <w:name w:val="报告正文 Char Char"/>
    <w:link w:val="525"/>
    <w:qFormat/>
    <w:uiPriority w:val="0"/>
    <w:rPr>
      <w:rFonts w:ascii="Times New Roman" w:hAnsi="Times New Roman" w:eastAsia="宋体" w:cs="Times New Roman"/>
      <w:sz w:val="24"/>
      <w:szCs w:val="24"/>
    </w:rPr>
  </w:style>
  <w:style w:type="paragraph" w:customStyle="1" w:styleId="767">
    <w:name w:val="图名"/>
    <w:basedOn w:val="1"/>
    <w:link w:val="768"/>
    <w:qFormat/>
    <w:uiPriority w:val="0"/>
    <w:pPr>
      <w:adjustRightInd w:val="0"/>
      <w:jc w:val="center"/>
    </w:pPr>
    <w:rPr>
      <w:rFonts w:ascii="Times New Roman" w:eastAsia="黑体" w:cs="Times New Roman"/>
      <w:sz w:val="24"/>
      <w:szCs w:val="21"/>
    </w:rPr>
  </w:style>
  <w:style w:type="character" w:customStyle="1" w:styleId="768">
    <w:name w:val="图名 Char"/>
    <w:link w:val="767"/>
    <w:qFormat/>
    <w:uiPriority w:val="0"/>
    <w:rPr>
      <w:rFonts w:ascii="Times New Roman" w:hAnsi="Times New Roman" w:eastAsia="黑体" w:cs="Times New Roman"/>
      <w:kern w:val="0"/>
      <w:sz w:val="24"/>
    </w:rPr>
  </w:style>
  <w:style w:type="character" w:customStyle="1" w:styleId="769">
    <w:name w:val="表格内容（标） Char"/>
    <w:link w:val="770"/>
    <w:qFormat/>
    <w:locked/>
    <w:uiPriority w:val="0"/>
    <w:rPr>
      <w:rFonts w:ascii="宋体" w:hAnsi="宋体" w:cs="宋体"/>
    </w:rPr>
  </w:style>
  <w:style w:type="paragraph" w:customStyle="1" w:styleId="770">
    <w:name w:val="表格内容（标）"/>
    <w:next w:val="1"/>
    <w:link w:val="769"/>
    <w:qFormat/>
    <w:uiPriority w:val="0"/>
    <w:pPr>
      <w:widowControl w:val="0"/>
      <w:spacing w:line="360" w:lineRule="exact"/>
      <w:jc w:val="center"/>
    </w:pPr>
    <w:rPr>
      <w:rFonts w:ascii="宋体" w:hAnsi="宋体" w:cs="宋体" w:eastAsiaTheme="minorEastAsia"/>
      <w:kern w:val="2"/>
      <w:sz w:val="21"/>
      <w:szCs w:val="21"/>
      <w:lang w:val="en-US" w:eastAsia="zh-CN" w:bidi="ar-SA"/>
    </w:rPr>
  </w:style>
  <w:style w:type="paragraph" w:customStyle="1" w:styleId="771">
    <w:name w:val="pailei"/>
    <w:basedOn w:val="1"/>
    <w:qFormat/>
    <w:uiPriority w:val="0"/>
    <w:pPr>
      <w:widowControl/>
      <w:snapToGrid/>
      <w:spacing w:before="100" w:after="100" w:line="375" w:lineRule="atLeast"/>
      <w:jc w:val="left"/>
    </w:pPr>
    <w:rPr>
      <w:rFonts w:hAnsi="宋体" w:cs="Times New Roman"/>
      <w:sz w:val="24"/>
    </w:rPr>
  </w:style>
  <w:style w:type="character" w:customStyle="1" w:styleId="772">
    <w:name w:val="正文（首行缩进两字）m Char Char"/>
    <w:basedOn w:val="91"/>
    <w:link w:val="773"/>
    <w:qFormat/>
    <w:uiPriority w:val="0"/>
    <w:rPr>
      <w:rFonts w:ascii="宋体" w:hAnsi="宋体"/>
      <w:sz w:val="24"/>
    </w:rPr>
  </w:style>
  <w:style w:type="paragraph" w:customStyle="1" w:styleId="773">
    <w:name w:val="正文（首行缩进两字）m"/>
    <w:basedOn w:val="20"/>
    <w:link w:val="772"/>
    <w:qFormat/>
    <w:uiPriority w:val="0"/>
    <w:pPr>
      <w:tabs>
        <w:tab w:val="left" w:pos="1848"/>
        <w:tab w:val="left" w:pos="6061"/>
        <w:tab w:val="left" w:pos="8665"/>
      </w:tabs>
      <w:snapToGrid w:val="0"/>
      <w:spacing w:beforeLines="50" w:line="460" w:lineRule="exact"/>
      <w:ind w:firstLine="480" w:firstLineChars="200"/>
      <w:jc w:val="left"/>
    </w:pPr>
    <w:rPr>
      <w:rFonts w:hAnsi="宋体" w:eastAsiaTheme="minorEastAsia" w:cstheme="minorBidi"/>
      <w:szCs w:val="21"/>
    </w:rPr>
  </w:style>
  <w:style w:type="character" w:customStyle="1" w:styleId="774">
    <w:name w:val="正文居中 Char Char"/>
    <w:qFormat/>
    <w:uiPriority w:val="0"/>
    <w:rPr>
      <w:rFonts w:ascii="宋体" w:hAnsi="宋体" w:eastAsia="宋体"/>
      <w:kern w:val="2"/>
      <w:sz w:val="28"/>
      <w:lang w:val="en-US" w:eastAsia="zh-CN"/>
    </w:rPr>
  </w:style>
  <w:style w:type="character" w:customStyle="1" w:styleId="775">
    <w:name w:val="DefaultFontStyle"/>
    <w:qFormat/>
    <w:uiPriority w:val="0"/>
    <w:rPr>
      <w:rFonts w:ascii="黑体" w:hAnsi="黑体" w:cs="黑体"/>
      <w:sz w:val="24"/>
      <w:szCs w:val="24"/>
    </w:rPr>
  </w:style>
  <w:style w:type="character" w:customStyle="1" w:styleId="776">
    <w:name w:val="首行缩进 Char Char"/>
    <w:qFormat/>
    <w:uiPriority w:val="0"/>
    <w:rPr>
      <w:rFonts w:ascii="宋体" w:hAnsi="Times New Roman" w:eastAsia="宋体" w:cs="宋体"/>
      <w:kern w:val="2"/>
      <w:sz w:val="28"/>
    </w:rPr>
  </w:style>
  <w:style w:type="character" w:customStyle="1" w:styleId="777">
    <w:name w:val="页眉 字符"/>
    <w:qFormat/>
    <w:uiPriority w:val="0"/>
    <w:rPr>
      <w:kern w:val="2"/>
      <w:sz w:val="18"/>
      <w:szCs w:val="18"/>
    </w:rPr>
  </w:style>
  <w:style w:type="character" w:customStyle="1" w:styleId="778">
    <w:name w:val="批注文字 字符"/>
    <w:qFormat/>
    <w:uiPriority w:val="0"/>
    <w:rPr>
      <w:kern w:val="2"/>
      <w:sz w:val="28"/>
      <w:szCs w:val="24"/>
    </w:rPr>
  </w:style>
  <w:style w:type="paragraph" w:customStyle="1" w:styleId="779">
    <w:name w:val="Char411"/>
    <w:basedOn w:val="1"/>
    <w:qFormat/>
    <w:uiPriority w:val="0"/>
    <w:pPr>
      <w:snapToGrid/>
      <w:ind w:firstLine="200" w:firstLineChars="200"/>
    </w:pPr>
    <w:rPr>
      <w:rFonts w:ascii="Tahoma" w:hAnsi="Tahoma" w:cs="Times New Roman"/>
      <w:sz w:val="24"/>
    </w:rPr>
  </w:style>
  <w:style w:type="character" w:customStyle="1" w:styleId="780">
    <w:name w:val="样式1 Char Char"/>
    <w:link w:val="669"/>
    <w:qFormat/>
    <w:uiPriority w:val="0"/>
    <w:rPr>
      <w:rFonts w:ascii="宋体" w:hAnsi="宋体" w:eastAsia="宋体" w:cs="Times New Roman"/>
      <w:color w:val="000000"/>
      <w:kern w:val="0"/>
      <w:sz w:val="28"/>
      <w:szCs w:val="28"/>
    </w:rPr>
  </w:style>
  <w:style w:type="table" w:customStyle="1" w:styleId="781">
    <w:name w:val="Table Normal"/>
    <w:unhideWhenUsed/>
    <w:qFormat/>
    <w:uiPriority w:val="2"/>
    <w:rPr>
      <w:rFonts w:ascii="Arial" w:hAnsi="Arial" w:cs="Arial"/>
    </w:rPr>
    <w:tblPr>
      <w:tblCellMar>
        <w:top w:w="0" w:type="dxa"/>
        <w:left w:w="0" w:type="dxa"/>
        <w:bottom w:w="0" w:type="dxa"/>
        <w:right w:w="0" w:type="dxa"/>
      </w:tblCellMar>
    </w:tblPr>
  </w:style>
  <w:style w:type="paragraph" w:customStyle="1" w:styleId="782">
    <w:name w:val="Char5"/>
    <w:basedOn w:val="1"/>
    <w:qFormat/>
    <w:uiPriority w:val="0"/>
    <w:pPr>
      <w:snapToGrid/>
      <w:ind w:firstLine="200" w:firstLineChars="200"/>
    </w:pPr>
    <w:rPr>
      <w:rFonts w:ascii="Tahoma" w:hAnsi="Tahoma" w:cs="Times New Roman"/>
      <w:sz w:val="24"/>
    </w:rPr>
  </w:style>
  <w:style w:type="paragraph" w:customStyle="1" w:styleId="783">
    <w:name w:val="Char6"/>
    <w:basedOn w:val="1"/>
    <w:qFormat/>
    <w:uiPriority w:val="0"/>
    <w:pPr>
      <w:snapToGrid/>
      <w:ind w:firstLine="200" w:firstLineChars="200"/>
    </w:pPr>
    <w:rPr>
      <w:rFonts w:ascii="Tahoma" w:hAnsi="Tahoma" w:cs="Times New Roman"/>
      <w:sz w:val="24"/>
    </w:rPr>
  </w:style>
  <w:style w:type="character" w:customStyle="1" w:styleId="784">
    <w:name w:val="CM_正文 Char"/>
    <w:link w:val="510"/>
    <w:qFormat/>
    <w:uiPriority w:val="0"/>
    <w:rPr>
      <w:rFonts w:ascii="宋体" w:hAnsi="宋体" w:eastAsia="宋体" w:cs="Times New Roman"/>
      <w:color w:val="000000"/>
      <w:kern w:val="0"/>
      <w:sz w:val="28"/>
      <w:szCs w:val="28"/>
    </w:rPr>
  </w:style>
  <w:style w:type="paragraph" w:customStyle="1" w:styleId="785">
    <w:name w:val="Char7"/>
    <w:basedOn w:val="1"/>
    <w:qFormat/>
    <w:uiPriority w:val="0"/>
    <w:pPr>
      <w:snapToGrid/>
      <w:ind w:firstLine="200" w:firstLineChars="200"/>
    </w:pPr>
    <w:rPr>
      <w:rFonts w:ascii="Tahoma" w:hAnsi="Tahoma" w:cs="Times New Roman"/>
      <w:sz w:val="24"/>
    </w:rPr>
  </w:style>
  <w:style w:type="paragraph" w:customStyle="1" w:styleId="786">
    <w:name w:val="正文首行缩进2"/>
    <w:basedOn w:val="1"/>
    <w:qFormat/>
    <w:uiPriority w:val="0"/>
    <w:pPr>
      <w:widowControl/>
      <w:snapToGrid/>
      <w:ind w:firstLine="200" w:firstLineChars="200"/>
    </w:pPr>
    <w:rPr>
      <w:rFonts w:ascii="Arial" w:hAnsi="Arial"/>
    </w:rPr>
  </w:style>
  <w:style w:type="paragraph" w:customStyle="1" w:styleId="787">
    <w:name w:val="表文"/>
    <w:basedOn w:val="1"/>
    <w:qFormat/>
    <w:uiPriority w:val="0"/>
    <w:pPr>
      <w:widowControl/>
      <w:numPr>
        <w:ilvl w:val="1"/>
        <w:numId w:val="4"/>
      </w:numPr>
      <w:tabs>
        <w:tab w:val="clear" w:pos="1800"/>
      </w:tabs>
      <w:spacing w:line="240" w:lineRule="auto"/>
      <w:ind w:left="85" w:right="85" w:firstLine="0"/>
    </w:pPr>
    <w:rPr>
      <w:rFonts w:ascii="Arial" w:hAnsi="Arial" w:eastAsia="華康中明體" w:cs="Times New Roman"/>
      <w:sz w:val="18"/>
      <w:szCs w:val="24"/>
      <w:lang w:eastAsia="zh-TW"/>
    </w:rPr>
  </w:style>
  <w:style w:type="character" w:customStyle="1" w:styleId="788">
    <w:name w:val="图片标题 字符"/>
    <w:basedOn w:val="91"/>
    <w:link w:val="789"/>
    <w:qFormat/>
    <w:locked/>
    <w:uiPriority w:val="0"/>
    <w:rPr>
      <w:rFonts w:ascii="Arial" w:hAnsi="Arial"/>
      <w:b/>
      <w:sz w:val="24"/>
      <w:szCs w:val="24"/>
    </w:rPr>
  </w:style>
  <w:style w:type="paragraph" w:customStyle="1" w:styleId="789">
    <w:name w:val="图片标题"/>
    <w:basedOn w:val="1"/>
    <w:next w:val="241"/>
    <w:link w:val="788"/>
    <w:qFormat/>
    <w:uiPriority w:val="0"/>
    <w:pPr>
      <w:widowControl/>
      <w:snapToGrid/>
      <w:spacing w:afterLines="50" w:line="240" w:lineRule="auto"/>
      <w:jc w:val="center"/>
    </w:pPr>
    <w:rPr>
      <w:rFonts w:ascii="Arial" w:hAnsi="Arial" w:eastAsiaTheme="minorEastAsia" w:cstheme="minorBidi"/>
      <w:b/>
      <w:sz w:val="24"/>
      <w:szCs w:val="24"/>
    </w:rPr>
  </w:style>
  <w:style w:type="table" w:customStyle="1" w:styleId="790">
    <w:name w:val="表格（大字体）111"/>
    <w:basedOn w:val="80"/>
    <w:qFormat/>
    <w:uiPriority w:val="99"/>
    <w:pPr>
      <w:jc w:val="center"/>
    </w:pPr>
    <w:rPr>
      <w:rFonts w:ascii="微软雅黑"/>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pPr>
        <w:keepLines/>
        <w:widowControl/>
        <w:suppressLineNumbers w:val="0"/>
        <w:suppressAutoHyphens w:val="0"/>
        <w:wordWrap/>
        <w:jc w:val="center"/>
      </w:pPr>
      <w:rPr>
        <w:rFonts w:hint="eastAsia" w:ascii="Bahnschrift Light" w:hAnsi="Bahnschrift Light" w:eastAsiaTheme="minorEastAsia"/>
        <w:b/>
        <w:sz w:val="21"/>
        <w:szCs w:val="21"/>
      </w:rPr>
      <w:tcPr>
        <w:tcBorders>
          <w:top w:val="single" w:color="auto" w:sz="12" w:space="0"/>
          <w:left w:val="single" w:color="auto" w:sz="12" w:space="0"/>
          <w:bottom w:val="single" w:color="auto" w:sz="12" w:space="0"/>
          <w:right w:val="single" w:color="auto" w:sz="12" w:space="0"/>
        </w:tcBorders>
      </w:tcPr>
    </w:tblStylePr>
    <w:tblStylePr w:type="lastRow">
      <w:pPr>
        <w:jc w:val="center"/>
      </w:pPr>
      <w:rPr>
        <w:rFonts w:hint="eastAsia" w:ascii="Bahnschrift Light" w:hAnsi="Bahnschrift Light" w:eastAsiaTheme="minorEastAsia"/>
        <w:b/>
        <w:sz w:val="21"/>
        <w:szCs w:val="21"/>
      </w:rPr>
      <w:tcPr>
        <w:tcBorders>
          <w:top w:val="single" w:color="auto" w:sz="12" w:space="0"/>
          <w:left w:val="single" w:color="auto" w:sz="12" w:space="0"/>
          <w:bottom w:val="single" w:color="auto" w:sz="12" w:space="0"/>
          <w:right w:val="single" w:color="auto" w:sz="12" w:space="0"/>
        </w:tcBorders>
      </w:tcPr>
    </w:tblStylePr>
    <w:tblStylePr w:type="firstCol">
      <w:pPr>
        <w:jc w:val="center"/>
      </w:pPr>
      <w:rPr>
        <w:b/>
      </w:rPr>
    </w:tblStylePr>
    <w:tblStylePr w:type="lastCol">
      <w:rPr>
        <w:b/>
      </w:rPr>
    </w:tblStylePr>
  </w:style>
  <w:style w:type="paragraph" w:customStyle="1" w:styleId="791">
    <w:name w:val="正文首行缩进6"/>
    <w:basedOn w:val="1"/>
    <w:qFormat/>
    <w:uiPriority w:val="0"/>
    <w:pPr>
      <w:widowControl/>
      <w:snapToGrid/>
      <w:ind w:firstLine="200" w:firstLineChars="200"/>
    </w:pPr>
    <w:rPr>
      <w:rFonts w:ascii="Arial" w:hAnsi="Arial"/>
    </w:rPr>
  </w:style>
  <w:style w:type="paragraph" w:customStyle="1" w:styleId="792">
    <w:name w:val="答复（同意）"/>
    <w:basedOn w:val="1"/>
    <w:qFormat/>
    <w:uiPriority w:val="0"/>
    <w:pPr>
      <w:widowControl/>
      <w:numPr>
        <w:ilvl w:val="0"/>
        <w:numId w:val="5"/>
      </w:numPr>
      <w:adjustRightInd w:val="0"/>
      <w:spacing w:beforeLines="50" w:afterLines="50"/>
      <w:ind w:left="100" w:leftChars="100"/>
    </w:pPr>
    <w:rPr>
      <w:rFonts w:ascii="Arial" w:hAnsi="Arial" w:cs="Times New Roman"/>
      <w:b/>
      <w:color w:val="0070C0"/>
      <w:sz w:val="24"/>
      <w:szCs w:val="24"/>
    </w:rPr>
  </w:style>
  <w:style w:type="paragraph" w:customStyle="1" w:styleId="793">
    <w:name w:val="答复（不同意）"/>
    <w:basedOn w:val="792"/>
    <w:qFormat/>
    <w:uiPriority w:val="0"/>
    <w:pPr>
      <w:numPr>
        <w:ilvl w:val="0"/>
        <w:numId w:val="6"/>
      </w:numPr>
      <w:spacing w:before="156" w:after="156"/>
    </w:pPr>
    <w:rPr>
      <w:color w:val="FF0000"/>
    </w:rPr>
  </w:style>
  <w:style w:type="table" w:customStyle="1" w:styleId="794">
    <w:name w:val="表格（大字体）4"/>
    <w:basedOn w:val="80"/>
    <w:qFormat/>
    <w:uiPriority w:val="99"/>
    <w:pPr>
      <w:jc w:val="center"/>
    </w:pPr>
    <w:rPr>
      <w:rFonts w:ascii="微软雅黑"/>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tblStylePr w:type="firstRow">
      <w:pPr>
        <w:keepNext/>
        <w:keepLines/>
        <w:pageBreakBefore w:val="0"/>
        <w:widowControl/>
        <w:suppressLineNumbers w:val="0"/>
        <w:suppressAutoHyphens w:val="0"/>
        <w:wordWrap/>
        <w:jc w:val="center"/>
      </w:pPr>
      <w:rPr>
        <w:rFonts w:eastAsiaTheme="minorEastAsia"/>
        <w:b/>
        <w:sz w:val="21"/>
      </w:rPr>
      <w:tblPr/>
      <w:trPr>
        <w:cantSplit/>
        <w:tblHeader/>
      </w:trPr>
      <w:tcPr>
        <w:tcBorders>
          <w:top w:val="single" w:color="auto" w:sz="12" w:space="0"/>
          <w:left w:val="single" w:color="auto" w:sz="12" w:space="0"/>
          <w:bottom w:val="single" w:color="auto" w:sz="12" w:space="0"/>
          <w:right w:val="single" w:color="auto" w:sz="12" w:space="0"/>
        </w:tcBorders>
      </w:tcPr>
    </w:tblStylePr>
    <w:tblStylePr w:type="lastRow">
      <w:pPr>
        <w:jc w:val="center"/>
      </w:pPr>
      <w:rPr>
        <w:rFonts w:eastAsiaTheme="minorEastAsia"/>
        <w:b/>
        <w:sz w:val="21"/>
      </w:rPr>
      <w:tcPr>
        <w:tcBorders>
          <w:top w:val="single" w:color="auto" w:sz="12" w:space="0"/>
          <w:left w:val="single" w:color="auto" w:sz="12" w:space="0"/>
          <w:bottom w:val="single" w:color="auto" w:sz="12" w:space="0"/>
          <w:right w:val="single" w:color="auto" w:sz="12" w:space="0"/>
        </w:tcBorders>
      </w:tcPr>
    </w:tblStylePr>
    <w:tblStylePr w:type="firstCol">
      <w:pPr>
        <w:jc w:val="center"/>
      </w:pPr>
      <w:rPr>
        <w:b/>
      </w:rPr>
    </w:tblStylePr>
    <w:tblStylePr w:type="lastCol">
      <w:rPr>
        <w:b/>
      </w:rPr>
    </w:tblStylePr>
  </w:style>
  <w:style w:type="character" w:customStyle="1" w:styleId="795">
    <w:name w:val="正文缩进 Char4"/>
    <w:qFormat/>
    <w:uiPriority w:val="0"/>
    <w:rPr>
      <w:rFonts w:ascii="Arial" w:hAnsi="Arial"/>
      <w:sz w:val="28"/>
      <w:szCs w:val="24"/>
    </w:rPr>
  </w:style>
  <w:style w:type="character" w:customStyle="1" w:styleId="796">
    <w:name w:val="尾注文本 字符"/>
    <w:basedOn w:val="91"/>
    <w:link w:val="48"/>
    <w:qFormat/>
    <w:uiPriority w:val="99"/>
    <w:rPr>
      <w:rFonts w:ascii="Arial" w:hAnsi="Arial" w:eastAsia="宋体" w:cs="Times New Roman"/>
      <w:sz w:val="13"/>
      <w:szCs w:val="24"/>
    </w:rPr>
  </w:style>
  <w:style w:type="character" w:customStyle="1" w:styleId="797">
    <w:name w:val="脚注文本 字符"/>
    <w:basedOn w:val="91"/>
    <w:link w:val="63"/>
    <w:semiHidden/>
    <w:qFormat/>
    <w:uiPriority w:val="99"/>
    <w:rPr>
      <w:rFonts w:ascii="Arial" w:hAnsi="Arial" w:eastAsia="宋体" w:cs="Times New Roman"/>
      <w:sz w:val="18"/>
      <w:szCs w:val="18"/>
    </w:rPr>
  </w:style>
  <w:style w:type="table" w:customStyle="1" w:styleId="798">
    <w:name w:val="浅色列表 - 着色 1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799">
    <w:name w:val="中等深浅底纹 1 - 着色 1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character" w:customStyle="1" w:styleId="800">
    <w:name w:val="标题 3 Char7"/>
    <w:basedOn w:val="91"/>
    <w:qFormat/>
    <w:uiPriority w:val="0"/>
    <w:rPr>
      <w:rFonts w:ascii="Arial" w:hAnsi="Arial"/>
      <w:b/>
      <w:sz w:val="28"/>
      <w:szCs w:val="28"/>
    </w:rPr>
  </w:style>
  <w:style w:type="paragraph" w:customStyle="1" w:styleId="801">
    <w:name w:val="样式 正文首行缩进正文首行缩进 Char Char正文首行缩进 Char1 + 段前: 0.5 行 段后: 0.5 行"/>
    <w:basedOn w:val="79"/>
    <w:qFormat/>
    <w:uiPriority w:val="0"/>
    <w:pPr>
      <w:widowControl/>
      <w:adjustRightInd w:val="0"/>
      <w:snapToGrid w:val="0"/>
      <w:spacing w:before="50" w:beforeLines="50" w:after="50" w:afterLines="50" w:line="360" w:lineRule="auto"/>
      <w:ind w:firstLine="567" w:firstLineChars="0"/>
    </w:pPr>
    <w:rPr>
      <w:rFonts w:ascii="Arial" w:hAnsi="Arial" w:cs="宋体"/>
      <w:sz w:val="28"/>
    </w:rPr>
  </w:style>
  <w:style w:type="character" w:customStyle="1" w:styleId="802">
    <w:name w:val="纯文本 字符"/>
    <w:basedOn w:val="91"/>
    <w:qFormat/>
    <w:uiPriority w:val="0"/>
    <w:rPr>
      <w:rFonts w:hAnsi="Courier New" w:cs="Courier New" w:asciiTheme="minorEastAsia"/>
      <w:sz w:val="24"/>
    </w:rPr>
  </w:style>
  <w:style w:type="paragraph" w:customStyle="1" w:styleId="803">
    <w:name w:val="样式 正文首行缩进正文首行缩进 Char Char正文首行缩进 Char1 + 段前: 0.5 行 段后: 0.5 行1"/>
    <w:basedOn w:val="79"/>
    <w:qFormat/>
    <w:uiPriority w:val="0"/>
    <w:pPr>
      <w:widowControl/>
      <w:adjustRightInd w:val="0"/>
      <w:snapToGrid w:val="0"/>
      <w:spacing w:before="50" w:beforeLines="50" w:after="50" w:afterLines="50" w:line="360" w:lineRule="auto"/>
      <w:ind w:firstLine="567" w:firstLineChars="0"/>
    </w:pPr>
    <w:rPr>
      <w:rFonts w:ascii="Arial" w:hAnsi="Arial" w:cs="宋体"/>
      <w:sz w:val="28"/>
    </w:rPr>
  </w:style>
  <w:style w:type="paragraph" w:styleId="804">
    <w:name w:val="No Spacing"/>
    <w:link w:val="807"/>
    <w:qFormat/>
    <w:uiPriority w:val="1"/>
    <w:rPr>
      <w:rFonts w:ascii="Calibri" w:hAnsi="Calibri" w:eastAsia="宋体" w:cs="Times New Roman"/>
      <w:sz w:val="22"/>
      <w:szCs w:val="22"/>
      <w:lang w:val="en-US" w:eastAsia="zh-CN" w:bidi="ar-SA"/>
    </w:rPr>
  </w:style>
  <w:style w:type="paragraph" w:customStyle="1" w:styleId="805">
    <w:name w:val="验收正文"/>
    <w:basedOn w:val="1"/>
    <w:qFormat/>
    <w:uiPriority w:val="0"/>
    <w:pPr>
      <w:adjustRightInd w:val="0"/>
      <w:spacing w:line="440" w:lineRule="exact"/>
      <w:textAlignment w:val="bottom"/>
    </w:pPr>
    <w:rPr>
      <w:rFonts w:ascii="Arial" w:hAnsi="Arial" w:cs="Times New Roman"/>
      <w:sz w:val="13"/>
    </w:rPr>
  </w:style>
  <w:style w:type="paragraph" w:customStyle="1" w:styleId="806">
    <w:name w:val="TOC 标题1"/>
    <w:basedOn w:val="3"/>
    <w:next w:val="1"/>
    <w:unhideWhenUsed/>
    <w:qFormat/>
    <w:uiPriority w:val="99"/>
    <w:pPr>
      <w:keepLines w:val="0"/>
      <w:pageBreakBefore/>
      <w:widowControl/>
      <w:adjustRightInd w:val="0"/>
      <w:snapToGrid/>
      <w:spacing w:before="480" w:after="120" w:line="276" w:lineRule="auto"/>
      <w:ind w:left="1134" w:hanging="1134"/>
      <w:jc w:val="left"/>
      <w:textAlignment w:val="baseline"/>
      <w:outlineLvl w:val="9"/>
    </w:pPr>
    <w:rPr>
      <w:rFonts w:asciiTheme="majorHAnsi" w:hAnsiTheme="majorHAnsi" w:eastAsiaTheme="majorEastAsia" w:cstheme="majorBidi"/>
      <w:b w:val="0"/>
      <w:bCs w:val="0"/>
      <w:color w:val="376092" w:themeColor="accent1" w:themeShade="BF"/>
      <w:kern w:val="0"/>
      <w:sz w:val="30"/>
      <w:szCs w:val="28"/>
    </w:rPr>
  </w:style>
  <w:style w:type="character" w:customStyle="1" w:styleId="807">
    <w:name w:val="无间隔 字符"/>
    <w:basedOn w:val="91"/>
    <w:link w:val="804"/>
    <w:qFormat/>
    <w:locked/>
    <w:uiPriority w:val="1"/>
    <w:rPr>
      <w:rFonts w:ascii="Calibri" w:hAnsi="Calibri" w:eastAsia="宋体" w:cs="Times New Roman"/>
      <w:kern w:val="0"/>
      <w:sz w:val="22"/>
      <w:szCs w:val="22"/>
    </w:rPr>
  </w:style>
  <w:style w:type="paragraph" w:styleId="808">
    <w:name w:val="Intense Quote"/>
    <w:basedOn w:val="1"/>
    <w:next w:val="1"/>
    <w:link w:val="809"/>
    <w:qFormat/>
    <w:uiPriority w:val="30"/>
    <w:pPr>
      <w:pBdr>
        <w:bottom w:val="single" w:color="4F81BD" w:sz="4" w:space="4"/>
      </w:pBdr>
      <w:snapToGrid/>
      <w:spacing w:before="200" w:after="280" w:line="240" w:lineRule="auto"/>
      <w:ind w:left="936" w:right="936"/>
    </w:pPr>
    <w:rPr>
      <w:rFonts w:ascii="Arial" w:hAnsi="Arial" w:cs="Times New Roman"/>
      <w:b/>
      <w:bCs/>
      <w:i/>
      <w:iCs/>
      <w:color w:val="4F81BD"/>
      <w:sz w:val="13"/>
      <w:szCs w:val="24"/>
    </w:rPr>
  </w:style>
  <w:style w:type="character" w:customStyle="1" w:styleId="809">
    <w:name w:val="明显引用 字符"/>
    <w:basedOn w:val="91"/>
    <w:link w:val="808"/>
    <w:qFormat/>
    <w:uiPriority w:val="30"/>
    <w:rPr>
      <w:rFonts w:ascii="Arial" w:hAnsi="Arial" w:eastAsia="宋体" w:cs="Times New Roman"/>
      <w:b/>
      <w:bCs/>
      <w:i/>
      <w:iCs/>
      <w:color w:val="4F81BD"/>
      <w:sz w:val="13"/>
      <w:szCs w:val="24"/>
    </w:rPr>
  </w:style>
  <w:style w:type="character" w:customStyle="1" w:styleId="810">
    <w:name w:val="样式1 Char"/>
    <w:qFormat/>
    <w:locked/>
    <w:uiPriority w:val="0"/>
    <w:rPr>
      <w:rFonts w:ascii="Arial" w:hAnsi="Arial" w:cs="Arial"/>
      <w:bCs/>
      <w:sz w:val="24"/>
      <w:szCs w:val="28"/>
    </w:rPr>
  </w:style>
  <w:style w:type="paragraph" w:customStyle="1" w:styleId="811">
    <w:name w:val="A"/>
    <w:basedOn w:val="1"/>
    <w:qFormat/>
    <w:uiPriority w:val="1"/>
    <w:pPr>
      <w:widowControl/>
      <w:tabs>
        <w:tab w:val="left" w:pos="900"/>
      </w:tabs>
      <w:overflowPunct w:val="0"/>
      <w:autoSpaceDE w:val="0"/>
      <w:autoSpaceDN w:val="0"/>
      <w:adjustRightInd w:val="0"/>
      <w:snapToGrid/>
      <w:spacing w:line="240" w:lineRule="auto"/>
    </w:pPr>
    <w:rPr>
      <w:rFonts w:ascii="楷体" w:hAnsi="Arial" w:eastAsia="楷体" w:cs="Times New Roman"/>
      <w:sz w:val="13"/>
      <w:lang w:val="en-GB"/>
    </w:rPr>
  </w:style>
  <w:style w:type="paragraph" w:customStyle="1" w:styleId="812">
    <w:name w:val="a"/>
    <w:basedOn w:val="1"/>
    <w:qFormat/>
    <w:uiPriority w:val="1"/>
    <w:pPr>
      <w:tabs>
        <w:tab w:val="left" w:pos="992"/>
      </w:tabs>
      <w:snapToGrid/>
      <w:spacing w:after="120" w:line="240" w:lineRule="auto"/>
    </w:pPr>
    <w:rPr>
      <w:rFonts w:ascii="楷体_GB2312" w:hAnsi="Arial" w:eastAsia="楷体_GB2312" w:cs="Times New Roman"/>
    </w:rPr>
  </w:style>
  <w:style w:type="paragraph" w:customStyle="1" w:styleId="813">
    <w:name w:val="Fliesstext"/>
    <w:basedOn w:val="1"/>
    <w:qFormat/>
    <w:uiPriority w:val="1"/>
    <w:pPr>
      <w:widowControl/>
      <w:spacing w:before="140" w:line="240" w:lineRule="auto"/>
      <w:ind w:left="851"/>
      <w:jc w:val="left"/>
    </w:pPr>
    <w:rPr>
      <w:rFonts w:ascii="Arial" w:hAnsi="Arial" w:cs="Times New Roman"/>
      <w:sz w:val="22"/>
      <w:lang w:val="de-CH" w:eastAsia="de-DE"/>
    </w:rPr>
  </w:style>
  <w:style w:type="paragraph" w:customStyle="1" w:styleId="814">
    <w:name w:val="样式 编号正文 + 段前: 0.5 行 段后: 0.5 行"/>
    <w:basedOn w:val="205"/>
    <w:qFormat/>
    <w:uiPriority w:val="0"/>
    <w:pPr>
      <w:widowControl/>
      <w:numPr>
        <w:ilvl w:val="0"/>
        <w:numId w:val="7"/>
      </w:numPr>
      <w:tabs>
        <w:tab w:val="clear" w:pos="560"/>
        <w:tab w:val="clear" w:pos="1280"/>
      </w:tabs>
      <w:spacing w:line="360" w:lineRule="auto"/>
      <w:ind w:hanging="284"/>
    </w:pPr>
    <w:rPr>
      <w:rFonts w:ascii="Arial" w:hAnsi="Arial" w:eastAsia="宋体" w:cs="宋体"/>
      <w:szCs w:val="24"/>
    </w:rPr>
  </w:style>
  <w:style w:type="paragraph" w:customStyle="1" w:styleId="815">
    <w:name w:val="样式 标题 4 + 段前: 0.5 行 段后: 0.5 行"/>
    <w:basedOn w:val="6"/>
    <w:qFormat/>
    <w:uiPriority w:val="0"/>
    <w:pPr>
      <w:keepNext w:val="0"/>
      <w:widowControl/>
      <w:numPr>
        <w:numId w:val="0"/>
      </w:numPr>
      <w:spacing w:before="50" w:beforeLines="50" w:after="50" w:afterLines="50"/>
      <w:ind w:hanging="392" w:hangingChars="392"/>
      <w:jc w:val="left"/>
      <w:textAlignment w:val="baseline"/>
    </w:pPr>
    <w:rPr>
      <w:rFonts w:ascii="Arial" w:hAnsi="Arial" w:eastAsia="宋体"/>
      <w:b w:val="0"/>
      <w:bCs w:val="0"/>
    </w:rPr>
  </w:style>
  <w:style w:type="paragraph" w:customStyle="1" w:styleId="816">
    <w:name w:val="样式 标题 4 + 段前: 0.5 行 段后: 0.5 行1"/>
    <w:basedOn w:val="6"/>
    <w:qFormat/>
    <w:uiPriority w:val="0"/>
    <w:pPr>
      <w:keepNext w:val="0"/>
      <w:widowControl/>
      <w:numPr>
        <w:numId w:val="0"/>
      </w:numPr>
      <w:spacing w:before="50" w:beforeLines="50" w:after="50" w:afterLines="50"/>
      <w:ind w:hanging="523" w:hangingChars="523"/>
      <w:jc w:val="left"/>
      <w:textAlignment w:val="baseline"/>
    </w:pPr>
    <w:rPr>
      <w:rFonts w:ascii="Arial" w:hAnsi="Arial" w:eastAsia="宋体"/>
      <w:b w:val="0"/>
      <w:bCs w:val="0"/>
    </w:rPr>
  </w:style>
  <w:style w:type="paragraph" w:customStyle="1" w:styleId="817">
    <w:name w:val="样式 正文首行缩进 + 段前: 0.5 行 段后: 0.5 行"/>
    <w:basedOn w:val="79"/>
    <w:qFormat/>
    <w:uiPriority w:val="0"/>
    <w:pPr>
      <w:widowControl/>
      <w:adjustRightInd w:val="0"/>
      <w:snapToGrid w:val="0"/>
      <w:spacing w:before="120" w:beforeLines="50" w:afterLines="50" w:line="360" w:lineRule="auto"/>
      <w:ind w:firstLine="567" w:firstLineChars="0"/>
    </w:pPr>
    <w:rPr>
      <w:rFonts w:ascii="Arial" w:hAnsi="Arial" w:cs="Times New Roman"/>
      <w:sz w:val="28"/>
    </w:rPr>
  </w:style>
  <w:style w:type="paragraph" w:customStyle="1" w:styleId="818">
    <w:name w:val="答复正文"/>
    <w:basedOn w:val="1"/>
    <w:qFormat/>
    <w:uiPriority w:val="0"/>
    <w:pPr>
      <w:widowControl/>
      <w:adjustRightInd w:val="0"/>
      <w:spacing w:beforeLines="50" w:afterLines="50"/>
    </w:pPr>
    <w:rPr>
      <w:rFonts w:ascii="Arial" w:hAnsi="Arial" w:cs="Times New Roman"/>
      <w:b/>
      <w:color w:val="0070C0"/>
      <w:sz w:val="24"/>
      <w:szCs w:val="24"/>
    </w:rPr>
  </w:style>
  <w:style w:type="paragraph" w:customStyle="1" w:styleId="819">
    <w:name w:val="正文首行缩进1"/>
    <w:basedOn w:val="1"/>
    <w:qFormat/>
    <w:uiPriority w:val="0"/>
    <w:pPr>
      <w:widowControl/>
      <w:adjustRightInd w:val="0"/>
      <w:spacing w:beforeLines="50" w:afterLines="50"/>
      <w:ind w:firstLine="567"/>
    </w:pPr>
    <w:rPr>
      <w:rFonts w:ascii="Arial" w:hAnsi="Arial" w:cs="Times New Roman"/>
      <w:sz w:val="24"/>
      <w:szCs w:val="24"/>
    </w:rPr>
  </w:style>
  <w:style w:type="paragraph" w:customStyle="1" w:styleId="820">
    <w:name w:val="xl577"/>
    <w:basedOn w:val="1"/>
    <w:qFormat/>
    <w:uiPriority w:val="1"/>
    <w:pPr>
      <w:widowControl/>
      <w:pBdr>
        <w:top w:val="single" w:color="auto" w:sz="4" w:space="0"/>
        <w:left w:val="single" w:color="auto" w:sz="4" w:space="0"/>
        <w:bottom w:val="single" w:color="auto" w:sz="4" w:space="0"/>
        <w:right w:val="single" w:color="auto" w:sz="4" w:space="0"/>
      </w:pBdr>
      <w:shd w:val="clear" w:color="auto" w:fill="FFFFFF"/>
      <w:snapToGrid/>
      <w:spacing w:before="100" w:beforeAutospacing="1" w:after="100" w:afterAutospacing="1" w:line="240" w:lineRule="auto"/>
      <w:jc w:val="left"/>
    </w:pPr>
    <w:rPr>
      <w:rFonts w:hAnsi="宋体"/>
      <w:color w:val="FF0000"/>
      <w:sz w:val="20"/>
    </w:rPr>
  </w:style>
  <w:style w:type="paragraph" w:customStyle="1" w:styleId="821">
    <w:name w:val="xl578"/>
    <w:basedOn w:val="1"/>
    <w:qFormat/>
    <w:uiPriority w:val="1"/>
    <w:pPr>
      <w:widowControl/>
      <w:pBdr>
        <w:top w:val="single" w:color="auto" w:sz="4" w:space="0"/>
        <w:left w:val="single" w:color="auto" w:sz="4" w:space="0"/>
        <w:bottom w:val="single" w:color="auto" w:sz="4" w:space="0"/>
        <w:right w:val="single" w:color="auto" w:sz="4" w:space="0"/>
      </w:pBdr>
      <w:shd w:val="clear" w:color="auto" w:fill="FFFFFF"/>
      <w:snapToGrid/>
      <w:spacing w:before="100" w:beforeAutospacing="1" w:after="100" w:afterAutospacing="1" w:line="240" w:lineRule="auto"/>
      <w:jc w:val="center"/>
    </w:pPr>
    <w:rPr>
      <w:rFonts w:hAnsi="宋体"/>
      <w:color w:val="FF0000"/>
      <w:sz w:val="20"/>
    </w:rPr>
  </w:style>
  <w:style w:type="paragraph" w:customStyle="1" w:styleId="822">
    <w:name w:val="xl579"/>
    <w:basedOn w:val="1"/>
    <w:qFormat/>
    <w:uiPriority w:val="1"/>
    <w:pPr>
      <w:widowControl/>
      <w:pBdr>
        <w:top w:val="single" w:color="auto" w:sz="4" w:space="0"/>
        <w:left w:val="single" w:color="auto" w:sz="4" w:space="0"/>
        <w:bottom w:val="single" w:color="auto" w:sz="4" w:space="0"/>
        <w:right w:val="single" w:color="auto" w:sz="4" w:space="0"/>
      </w:pBdr>
      <w:shd w:val="clear" w:color="auto" w:fill="FFFFFF"/>
      <w:snapToGrid/>
      <w:spacing w:before="100" w:beforeAutospacing="1" w:after="100" w:afterAutospacing="1" w:line="240" w:lineRule="auto"/>
      <w:jc w:val="left"/>
    </w:pPr>
    <w:rPr>
      <w:rFonts w:hAnsi="宋体"/>
      <w:sz w:val="20"/>
    </w:rPr>
  </w:style>
  <w:style w:type="paragraph" w:customStyle="1" w:styleId="823">
    <w:name w:val="xl580"/>
    <w:basedOn w:val="1"/>
    <w:qFormat/>
    <w:uiPriority w:val="1"/>
    <w:pPr>
      <w:widowControl/>
      <w:pBdr>
        <w:top w:val="single" w:color="auto" w:sz="4" w:space="0"/>
        <w:left w:val="single" w:color="auto" w:sz="4" w:space="0"/>
        <w:bottom w:val="single" w:color="auto" w:sz="4" w:space="0"/>
        <w:right w:val="single" w:color="auto" w:sz="4" w:space="0"/>
      </w:pBdr>
      <w:shd w:val="clear" w:color="auto" w:fill="FFFFFF"/>
      <w:snapToGrid/>
      <w:spacing w:before="100" w:beforeAutospacing="1" w:after="100" w:afterAutospacing="1" w:line="240" w:lineRule="auto"/>
      <w:jc w:val="center"/>
    </w:pPr>
    <w:rPr>
      <w:rFonts w:hAnsi="宋体"/>
      <w:color w:val="FF0000"/>
      <w:sz w:val="20"/>
    </w:rPr>
  </w:style>
  <w:style w:type="paragraph" w:customStyle="1" w:styleId="824">
    <w:name w:val="xl581"/>
    <w:basedOn w:val="1"/>
    <w:qFormat/>
    <w:uiPriority w:val="1"/>
    <w:pPr>
      <w:widowControl/>
      <w:pBdr>
        <w:top w:val="single" w:color="auto" w:sz="4" w:space="0"/>
        <w:left w:val="single" w:color="auto" w:sz="4" w:space="0"/>
        <w:bottom w:val="single" w:color="auto" w:sz="4" w:space="0"/>
        <w:right w:val="single" w:color="auto" w:sz="4" w:space="0"/>
      </w:pBdr>
      <w:shd w:val="clear" w:color="auto" w:fill="FFFFFF"/>
      <w:snapToGrid/>
      <w:spacing w:before="100" w:beforeAutospacing="1" w:after="100" w:afterAutospacing="1" w:line="240" w:lineRule="auto"/>
      <w:jc w:val="left"/>
    </w:pPr>
    <w:rPr>
      <w:rFonts w:hAnsi="宋体"/>
      <w:color w:val="FF0000"/>
      <w:sz w:val="20"/>
    </w:rPr>
  </w:style>
  <w:style w:type="paragraph" w:customStyle="1" w:styleId="825">
    <w:name w:val="xl582"/>
    <w:basedOn w:val="1"/>
    <w:qFormat/>
    <w:uiPriority w:val="1"/>
    <w:pPr>
      <w:widowControl/>
      <w:pBdr>
        <w:top w:val="single" w:color="auto" w:sz="4" w:space="0"/>
        <w:left w:val="single" w:color="auto" w:sz="4" w:space="0"/>
        <w:bottom w:val="single" w:color="auto" w:sz="4" w:space="0"/>
        <w:right w:val="single" w:color="auto" w:sz="4" w:space="0"/>
      </w:pBdr>
      <w:shd w:val="clear" w:color="auto" w:fill="FFFFFF"/>
      <w:snapToGrid/>
      <w:spacing w:before="100" w:beforeAutospacing="1" w:after="100" w:afterAutospacing="1" w:line="240" w:lineRule="auto"/>
      <w:jc w:val="center"/>
    </w:pPr>
    <w:rPr>
      <w:rFonts w:ascii="Arial" w:hAnsi="Arial" w:cs="Times New Roman"/>
      <w:sz w:val="20"/>
    </w:rPr>
  </w:style>
  <w:style w:type="paragraph" w:customStyle="1" w:styleId="826">
    <w:name w:val="xl583"/>
    <w:basedOn w:val="1"/>
    <w:qFormat/>
    <w:uiPriority w:val="1"/>
    <w:pPr>
      <w:widowControl/>
      <w:pBdr>
        <w:top w:val="single" w:color="auto" w:sz="4" w:space="0"/>
        <w:left w:val="single" w:color="auto" w:sz="4" w:space="0"/>
        <w:bottom w:val="single" w:color="auto" w:sz="4" w:space="0"/>
        <w:right w:val="single" w:color="auto" w:sz="4" w:space="0"/>
      </w:pBdr>
      <w:shd w:val="clear" w:color="auto" w:fill="FFFFFF"/>
      <w:snapToGrid/>
      <w:spacing w:before="100" w:beforeAutospacing="1" w:after="100" w:afterAutospacing="1" w:line="240" w:lineRule="auto"/>
      <w:jc w:val="center"/>
    </w:pPr>
    <w:rPr>
      <w:rFonts w:hAnsi="宋体"/>
      <w:sz w:val="20"/>
    </w:rPr>
  </w:style>
  <w:style w:type="paragraph" w:customStyle="1" w:styleId="827">
    <w:name w:val="xl584"/>
    <w:basedOn w:val="1"/>
    <w:qFormat/>
    <w:uiPriority w:val="1"/>
    <w:pPr>
      <w:widowControl/>
      <w:pBdr>
        <w:top w:val="single" w:color="auto" w:sz="4" w:space="0"/>
        <w:left w:val="single" w:color="auto" w:sz="4" w:space="0"/>
        <w:bottom w:val="single" w:color="auto" w:sz="4" w:space="0"/>
        <w:right w:val="single" w:color="auto" w:sz="4" w:space="0"/>
      </w:pBdr>
      <w:shd w:val="clear" w:color="auto" w:fill="FFFFFF"/>
      <w:snapToGrid/>
      <w:spacing w:before="100" w:beforeAutospacing="1" w:after="100" w:afterAutospacing="1" w:line="240" w:lineRule="auto"/>
      <w:jc w:val="center"/>
    </w:pPr>
    <w:rPr>
      <w:rFonts w:hAnsi="宋体"/>
      <w:sz w:val="20"/>
    </w:rPr>
  </w:style>
  <w:style w:type="paragraph" w:customStyle="1" w:styleId="828">
    <w:name w:val="xl585"/>
    <w:basedOn w:val="1"/>
    <w:qFormat/>
    <w:uiPriority w:val="1"/>
    <w:pPr>
      <w:widowControl/>
      <w:pBdr>
        <w:top w:val="single" w:color="auto" w:sz="4" w:space="0"/>
        <w:left w:val="single" w:color="auto" w:sz="4" w:space="0"/>
        <w:bottom w:val="single" w:color="auto" w:sz="4" w:space="0"/>
        <w:right w:val="single" w:color="auto" w:sz="4" w:space="0"/>
      </w:pBdr>
      <w:shd w:val="clear" w:color="auto" w:fill="FFFFFF"/>
      <w:snapToGrid/>
      <w:spacing w:before="100" w:beforeAutospacing="1" w:after="100" w:afterAutospacing="1" w:line="240" w:lineRule="auto"/>
      <w:jc w:val="left"/>
    </w:pPr>
    <w:rPr>
      <w:rFonts w:hAnsi="宋体"/>
      <w:sz w:val="20"/>
    </w:rPr>
  </w:style>
  <w:style w:type="paragraph" w:customStyle="1" w:styleId="829">
    <w:name w:val="xl586"/>
    <w:basedOn w:val="1"/>
    <w:qFormat/>
    <w:uiPriority w:val="1"/>
    <w:pPr>
      <w:widowControl/>
      <w:pBdr>
        <w:top w:val="single" w:color="auto" w:sz="4" w:space="0"/>
        <w:left w:val="single" w:color="auto" w:sz="4" w:space="0"/>
        <w:bottom w:val="single" w:color="auto" w:sz="4" w:space="0"/>
        <w:right w:val="single" w:color="auto" w:sz="4" w:space="0"/>
      </w:pBdr>
      <w:shd w:val="clear" w:color="auto" w:fill="FFFFFF"/>
      <w:snapToGrid/>
      <w:spacing w:before="100" w:beforeAutospacing="1" w:after="100" w:afterAutospacing="1" w:line="240" w:lineRule="auto"/>
      <w:jc w:val="center"/>
    </w:pPr>
    <w:rPr>
      <w:rFonts w:hAnsi="宋体"/>
      <w:sz w:val="20"/>
    </w:rPr>
  </w:style>
  <w:style w:type="paragraph" w:customStyle="1" w:styleId="830">
    <w:name w:val="xl587"/>
    <w:basedOn w:val="1"/>
    <w:qFormat/>
    <w:uiPriority w:val="1"/>
    <w:pPr>
      <w:widowControl/>
      <w:pBdr>
        <w:top w:val="single" w:color="auto" w:sz="4" w:space="0"/>
        <w:left w:val="single" w:color="auto" w:sz="4" w:space="0"/>
        <w:bottom w:val="single" w:color="auto" w:sz="4" w:space="0"/>
        <w:right w:val="single" w:color="auto" w:sz="4" w:space="0"/>
      </w:pBdr>
      <w:shd w:val="clear" w:color="auto" w:fill="FFFFFF"/>
      <w:snapToGrid/>
      <w:spacing w:before="100" w:beforeAutospacing="1" w:after="100" w:afterAutospacing="1" w:line="240" w:lineRule="auto"/>
      <w:jc w:val="center"/>
    </w:pPr>
    <w:rPr>
      <w:rFonts w:hAnsi="宋体"/>
      <w:sz w:val="20"/>
    </w:rPr>
  </w:style>
  <w:style w:type="paragraph" w:customStyle="1" w:styleId="831">
    <w:name w:val="xl588"/>
    <w:basedOn w:val="1"/>
    <w:qFormat/>
    <w:uiPriority w:val="1"/>
    <w:pPr>
      <w:widowControl/>
      <w:pBdr>
        <w:top w:val="single" w:color="auto" w:sz="4" w:space="0"/>
        <w:left w:val="single" w:color="auto" w:sz="4" w:space="0"/>
        <w:bottom w:val="single" w:color="auto" w:sz="4" w:space="0"/>
        <w:right w:val="single" w:color="auto" w:sz="4" w:space="0"/>
      </w:pBdr>
      <w:shd w:val="clear" w:color="auto" w:fill="FFFFFF"/>
      <w:snapToGrid/>
      <w:spacing w:before="100" w:beforeAutospacing="1" w:after="100" w:afterAutospacing="1" w:line="240" w:lineRule="auto"/>
      <w:jc w:val="center"/>
    </w:pPr>
    <w:rPr>
      <w:rFonts w:hAnsi="宋体"/>
      <w:sz w:val="20"/>
    </w:rPr>
  </w:style>
  <w:style w:type="paragraph" w:customStyle="1" w:styleId="832">
    <w:name w:val="xl589"/>
    <w:basedOn w:val="1"/>
    <w:qFormat/>
    <w:uiPriority w:val="1"/>
    <w:pPr>
      <w:widowControl/>
      <w:pBdr>
        <w:top w:val="single" w:color="auto" w:sz="4" w:space="0"/>
        <w:left w:val="single" w:color="auto" w:sz="4" w:space="0"/>
        <w:bottom w:val="single" w:color="auto" w:sz="4" w:space="0"/>
        <w:right w:val="single" w:color="auto" w:sz="4" w:space="0"/>
      </w:pBdr>
      <w:shd w:val="clear" w:color="auto" w:fill="FFFFFF"/>
      <w:snapToGrid/>
      <w:spacing w:before="100" w:beforeAutospacing="1" w:after="100" w:afterAutospacing="1" w:line="240" w:lineRule="auto"/>
      <w:jc w:val="left"/>
    </w:pPr>
    <w:rPr>
      <w:rFonts w:hAnsi="宋体"/>
      <w:sz w:val="20"/>
    </w:rPr>
  </w:style>
  <w:style w:type="paragraph" w:customStyle="1" w:styleId="833">
    <w:name w:val="xl590"/>
    <w:basedOn w:val="1"/>
    <w:qFormat/>
    <w:uiPriority w:val="1"/>
    <w:pPr>
      <w:widowControl/>
      <w:pBdr>
        <w:top w:val="single" w:color="auto" w:sz="4" w:space="0"/>
        <w:left w:val="single" w:color="auto" w:sz="4" w:space="0"/>
        <w:bottom w:val="single" w:color="auto" w:sz="4" w:space="0"/>
        <w:right w:val="single" w:color="auto" w:sz="4" w:space="0"/>
      </w:pBdr>
      <w:shd w:val="clear" w:color="auto" w:fill="FFFFFF"/>
      <w:snapToGrid/>
      <w:spacing w:before="100" w:beforeAutospacing="1" w:after="100" w:afterAutospacing="1" w:line="240" w:lineRule="auto"/>
      <w:jc w:val="center"/>
    </w:pPr>
    <w:rPr>
      <w:rFonts w:hAnsi="宋体"/>
      <w:sz w:val="20"/>
    </w:rPr>
  </w:style>
  <w:style w:type="paragraph" w:customStyle="1" w:styleId="834">
    <w:name w:val="xl591"/>
    <w:basedOn w:val="1"/>
    <w:qFormat/>
    <w:uiPriority w:val="1"/>
    <w:pPr>
      <w:widowControl/>
      <w:pBdr>
        <w:top w:val="single" w:color="auto" w:sz="4" w:space="0"/>
        <w:left w:val="single" w:color="auto" w:sz="4" w:space="0"/>
        <w:bottom w:val="single" w:color="auto" w:sz="4" w:space="0"/>
        <w:right w:val="single" w:color="auto" w:sz="4" w:space="0"/>
      </w:pBdr>
      <w:shd w:val="clear" w:color="auto" w:fill="FFFFFF"/>
      <w:snapToGrid/>
      <w:spacing w:before="100" w:beforeAutospacing="1" w:after="100" w:afterAutospacing="1" w:line="240" w:lineRule="auto"/>
      <w:jc w:val="left"/>
    </w:pPr>
    <w:rPr>
      <w:rFonts w:hAnsi="宋体"/>
      <w:sz w:val="20"/>
    </w:rPr>
  </w:style>
  <w:style w:type="paragraph" w:customStyle="1" w:styleId="835">
    <w:name w:val="xl592"/>
    <w:basedOn w:val="1"/>
    <w:qFormat/>
    <w:uiPriority w:val="1"/>
    <w:pPr>
      <w:widowControl/>
      <w:pBdr>
        <w:top w:val="single" w:color="auto" w:sz="4" w:space="0"/>
        <w:left w:val="single" w:color="auto" w:sz="4" w:space="0"/>
        <w:bottom w:val="single" w:color="auto" w:sz="4" w:space="0"/>
        <w:right w:val="single" w:color="auto" w:sz="4" w:space="0"/>
      </w:pBdr>
      <w:shd w:val="clear" w:color="auto" w:fill="FFFFFF"/>
      <w:snapToGrid/>
      <w:spacing w:before="100" w:beforeAutospacing="1" w:after="100" w:afterAutospacing="1" w:line="240" w:lineRule="auto"/>
      <w:jc w:val="center"/>
    </w:pPr>
    <w:rPr>
      <w:rFonts w:hAnsi="宋体"/>
      <w:sz w:val="20"/>
    </w:rPr>
  </w:style>
  <w:style w:type="paragraph" w:customStyle="1" w:styleId="836">
    <w:name w:val="xl593"/>
    <w:basedOn w:val="1"/>
    <w:qFormat/>
    <w:uiPriority w:val="1"/>
    <w:pPr>
      <w:widowControl/>
      <w:pBdr>
        <w:top w:val="single" w:color="auto" w:sz="4" w:space="0"/>
        <w:left w:val="single" w:color="auto" w:sz="4" w:space="0"/>
        <w:bottom w:val="single" w:color="auto" w:sz="4" w:space="0"/>
        <w:right w:val="single" w:color="auto" w:sz="4" w:space="0"/>
      </w:pBdr>
      <w:shd w:val="clear" w:color="auto" w:fill="FFFFFF"/>
      <w:snapToGrid/>
      <w:spacing w:before="100" w:beforeAutospacing="1" w:after="100" w:afterAutospacing="1" w:line="240" w:lineRule="auto"/>
      <w:jc w:val="center"/>
    </w:pPr>
    <w:rPr>
      <w:rFonts w:hAnsi="宋体"/>
      <w:sz w:val="20"/>
    </w:rPr>
  </w:style>
  <w:style w:type="paragraph" w:customStyle="1" w:styleId="837">
    <w:name w:val="xl594"/>
    <w:basedOn w:val="1"/>
    <w:qFormat/>
    <w:uiPriority w:val="1"/>
    <w:pPr>
      <w:widowControl/>
      <w:pBdr>
        <w:top w:val="single" w:color="auto" w:sz="4" w:space="0"/>
        <w:left w:val="single" w:color="auto" w:sz="4" w:space="0"/>
        <w:right w:val="single" w:color="auto" w:sz="4" w:space="0"/>
      </w:pBdr>
      <w:shd w:val="clear" w:color="auto" w:fill="FFFFFF"/>
      <w:snapToGrid/>
      <w:spacing w:before="100" w:beforeAutospacing="1" w:after="100" w:afterAutospacing="1" w:line="240" w:lineRule="auto"/>
      <w:jc w:val="center"/>
    </w:pPr>
    <w:rPr>
      <w:rFonts w:hAnsi="宋体"/>
      <w:sz w:val="20"/>
    </w:rPr>
  </w:style>
  <w:style w:type="paragraph" w:customStyle="1" w:styleId="838">
    <w:name w:val="xl595"/>
    <w:basedOn w:val="1"/>
    <w:qFormat/>
    <w:uiPriority w:val="1"/>
    <w:pPr>
      <w:widowControl/>
      <w:pBdr>
        <w:left w:val="single" w:color="auto" w:sz="4" w:space="0"/>
        <w:right w:val="single" w:color="auto" w:sz="4" w:space="0"/>
      </w:pBdr>
      <w:shd w:val="clear" w:color="auto" w:fill="FFFFFF"/>
      <w:snapToGrid/>
      <w:spacing w:before="100" w:beforeAutospacing="1" w:after="100" w:afterAutospacing="1" w:line="240" w:lineRule="auto"/>
      <w:jc w:val="center"/>
    </w:pPr>
    <w:rPr>
      <w:rFonts w:hAnsi="宋体"/>
      <w:sz w:val="20"/>
    </w:rPr>
  </w:style>
  <w:style w:type="paragraph" w:customStyle="1" w:styleId="839">
    <w:name w:val="xl596"/>
    <w:basedOn w:val="1"/>
    <w:qFormat/>
    <w:uiPriority w:val="1"/>
    <w:pPr>
      <w:widowControl/>
      <w:pBdr>
        <w:left w:val="single" w:color="auto" w:sz="4" w:space="0"/>
        <w:bottom w:val="single" w:color="auto" w:sz="4" w:space="0"/>
        <w:right w:val="single" w:color="auto" w:sz="4" w:space="0"/>
      </w:pBdr>
      <w:shd w:val="clear" w:color="auto" w:fill="FFFFFF"/>
      <w:snapToGrid/>
      <w:spacing w:before="100" w:beforeAutospacing="1" w:after="100" w:afterAutospacing="1" w:line="240" w:lineRule="auto"/>
      <w:jc w:val="center"/>
    </w:pPr>
    <w:rPr>
      <w:rFonts w:hAnsi="宋体"/>
      <w:sz w:val="20"/>
    </w:rPr>
  </w:style>
  <w:style w:type="paragraph" w:customStyle="1" w:styleId="840">
    <w:name w:val="xl597"/>
    <w:basedOn w:val="1"/>
    <w:qFormat/>
    <w:uiPriority w:val="1"/>
    <w:pPr>
      <w:widowControl/>
      <w:pBdr>
        <w:top w:val="single" w:color="auto" w:sz="4" w:space="0"/>
        <w:left w:val="single" w:color="auto" w:sz="4" w:space="0"/>
        <w:bottom w:val="single" w:color="auto" w:sz="4" w:space="0"/>
        <w:right w:val="single" w:color="auto" w:sz="4" w:space="0"/>
      </w:pBdr>
      <w:shd w:val="clear" w:color="auto" w:fill="FFFFFF"/>
      <w:snapToGrid/>
      <w:spacing w:before="100" w:beforeAutospacing="1" w:after="100" w:afterAutospacing="1" w:line="240" w:lineRule="auto"/>
      <w:jc w:val="center"/>
    </w:pPr>
    <w:rPr>
      <w:rFonts w:hAnsi="宋体"/>
      <w:sz w:val="20"/>
    </w:rPr>
  </w:style>
  <w:style w:type="paragraph" w:customStyle="1" w:styleId="841">
    <w:name w:val="xl598"/>
    <w:basedOn w:val="1"/>
    <w:qFormat/>
    <w:uiPriority w:val="1"/>
    <w:pPr>
      <w:widowControl/>
      <w:pBdr>
        <w:top w:val="single" w:color="auto" w:sz="4" w:space="0"/>
        <w:left w:val="single" w:color="auto" w:sz="4" w:space="0"/>
        <w:bottom w:val="single" w:color="auto" w:sz="4" w:space="0"/>
        <w:right w:val="single" w:color="auto" w:sz="4" w:space="0"/>
      </w:pBdr>
      <w:shd w:val="clear" w:color="auto" w:fill="FFFFFF"/>
      <w:snapToGrid/>
      <w:spacing w:before="100" w:beforeAutospacing="1" w:after="100" w:afterAutospacing="1" w:line="240" w:lineRule="auto"/>
      <w:jc w:val="center"/>
    </w:pPr>
    <w:rPr>
      <w:rFonts w:ascii="Arial" w:hAnsi="Arial" w:cs="Times New Roman"/>
      <w:sz w:val="20"/>
    </w:rPr>
  </w:style>
  <w:style w:type="paragraph" w:customStyle="1" w:styleId="842">
    <w:name w:val="xl599"/>
    <w:basedOn w:val="1"/>
    <w:qFormat/>
    <w:uiPriority w:val="1"/>
    <w:pPr>
      <w:widowControl/>
      <w:pBdr>
        <w:top w:val="single" w:color="auto" w:sz="4" w:space="0"/>
        <w:left w:val="single" w:color="auto" w:sz="4" w:space="0"/>
        <w:right w:val="single" w:color="auto" w:sz="4" w:space="0"/>
      </w:pBdr>
      <w:shd w:val="clear" w:color="auto" w:fill="FFFFFF"/>
      <w:snapToGrid/>
      <w:spacing w:before="100" w:beforeAutospacing="1" w:after="100" w:afterAutospacing="1" w:line="240" w:lineRule="auto"/>
      <w:jc w:val="center"/>
    </w:pPr>
    <w:rPr>
      <w:rFonts w:hAnsi="宋体"/>
      <w:sz w:val="20"/>
    </w:rPr>
  </w:style>
  <w:style w:type="paragraph" w:customStyle="1" w:styleId="843">
    <w:name w:val="xl600"/>
    <w:basedOn w:val="1"/>
    <w:qFormat/>
    <w:uiPriority w:val="1"/>
    <w:pPr>
      <w:widowControl/>
      <w:pBdr>
        <w:left w:val="single" w:color="auto" w:sz="4" w:space="0"/>
        <w:right w:val="single" w:color="auto" w:sz="4" w:space="0"/>
      </w:pBdr>
      <w:shd w:val="clear" w:color="auto" w:fill="FFFFFF"/>
      <w:snapToGrid/>
      <w:spacing w:before="100" w:beforeAutospacing="1" w:after="100" w:afterAutospacing="1" w:line="240" w:lineRule="auto"/>
      <w:jc w:val="center"/>
    </w:pPr>
    <w:rPr>
      <w:rFonts w:hAnsi="宋体"/>
      <w:sz w:val="20"/>
    </w:rPr>
  </w:style>
  <w:style w:type="paragraph" w:customStyle="1" w:styleId="844">
    <w:name w:val="xl601"/>
    <w:basedOn w:val="1"/>
    <w:qFormat/>
    <w:uiPriority w:val="1"/>
    <w:pPr>
      <w:widowControl/>
      <w:pBdr>
        <w:left w:val="single" w:color="auto" w:sz="4" w:space="0"/>
        <w:bottom w:val="single" w:color="auto" w:sz="4" w:space="0"/>
        <w:right w:val="single" w:color="auto" w:sz="4" w:space="0"/>
      </w:pBdr>
      <w:shd w:val="clear" w:color="auto" w:fill="FFFFFF"/>
      <w:snapToGrid/>
      <w:spacing w:before="100" w:beforeAutospacing="1" w:after="100" w:afterAutospacing="1" w:line="240" w:lineRule="auto"/>
      <w:jc w:val="center"/>
    </w:pPr>
    <w:rPr>
      <w:rFonts w:hAnsi="宋体"/>
      <w:sz w:val="20"/>
    </w:rPr>
  </w:style>
  <w:style w:type="paragraph" w:customStyle="1" w:styleId="845">
    <w:name w:val="xl602"/>
    <w:basedOn w:val="1"/>
    <w:qFormat/>
    <w:uiPriority w:val="1"/>
    <w:pPr>
      <w:widowControl/>
      <w:pBdr>
        <w:top w:val="single" w:color="auto" w:sz="4" w:space="0"/>
        <w:left w:val="single" w:color="auto" w:sz="4" w:space="0"/>
        <w:bottom w:val="single" w:color="auto" w:sz="4" w:space="0"/>
        <w:right w:val="single" w:color="auto" w:sz="4" w:space="0"/>
      </w:pBdr>
      <w:shd w:val="clear" w:color="auto" w:fill="FFFFFF"/>
      <w:snapToGrid/>
      <w:spacing w:before="100" w:beforeAutospacing="1" w:after="100" w:afterAutospacing="1" w:line="240" w:lineRule="auto"/>
      <w:jc w:val="center"/>
    </w:pPr>
    <w:rPr>
      <w:rFonts w:hAnsi="宋体"/>
      <w:sz w:val="20"/>
    </w:rPr>
  </w:style>
  <w:style w:type="paragraph" w:customStyle="1" w:styleId="846">
    <w:name w:val="xl603"/>
    <w:basedOn w:val="1"/>
    <w:qFormat/>
    <w:uiPriority w:val="1"/>
    <w:pPr>
      <w:widowControl/>
      <w:pBdr>
        <w:top w:val="single" w:color="auto" w:sz="4" w:space="0"/>
        <w:left w:val="single" w:color="auto" w:sz="4" w:space="0"/>
        <w:bottom w:val="single" w:color="auto" w:sz="4" w:space="0"/>
        <w:right w:val="single" w:color="auto" w:sz="4" w:space="0"/>
      </w:pBdr>
      <w:shd w:val="clear" w:color="auto" w:fill="FFFFFF"/>
      <w:snapToGrid/>
      <w:spacing w:before="100" w:beforeAutospacing="1" w:after="100" w:afterAutospacing="1" w:line="240" w:lineRule="auto"/>
      <w:jc w:val="center"/>
    </w:pPr>
    <w:rPr>
      <w:rFonts w:ascii="Arial" w:hAnsi="Arial" w:cs="Times New Roman"/>
      <w:sz w:val="20"/>
    </w:rPr>
  </w:style>
  <w:style w:type="paragraph" w:customStyle="1" w:styleId="847">
    <w:name w:val="9769ABB7344E4DA8A80BF56CACFDA1DC"/>
    <w:qFormat/>
    <w:uiPriority w:val="1"/>
    <w:pPr>
      <w:spacing w:after="200" w:line="276" w:lineRule="auto"/>
    </w:pPr>
    <w:rPr>
      <w:rFonts w:asciiTheme="minorHAnsi" w:hAnsiTheme="minorHAnsi" w:eastAsiaTheme="minorEastAsia" w:cstheme="minorBidi"/>
      <w:sz w:val="22"/>
      <w:szCs w:val="22"/>
      <w:lang w:val="en-US" w:eastAsia="en-US" w:bidi="ar-SA"/>
    </w:rPr>
  </w:style>
  <w:style w:type="paragraph" w:customStyle="1" w:styleId="848">
    <w:name w:val="样式 标题 3标题 3-王鹏纪任山标题 31.1.1条标题 3 Char Char标题 3 Char标题 3 Ch..."/>
    <w:basedOn w:val="5"/>
    <w:qFormat/>
    <w:uiPriority w:val="0"/>
    <w:pPr>
      <w:keepNext w:val="0"/>
      <w:keepLines w:val="0"/>
      <w:numPr>
        <w:ilvl w:val="0"/>
        <w:numId w:val="0"/>
      </w:numPr>
      <w:tabs>
        <w:tab w:val="left" w:pos="720"/>
      </w:tabs>
      <w:spacing w:before="50" w:beforeLines="100" w:after="50" w:afterLines="50" w:line="240" w:lineRule="auto"/>
      <w:textAlignment w:val="baseline"/>
    </w:pPr>
    <w:rPr>
      <w:rFonts w:ascii="Arial" w:hAnsi="Arial" w:eastAsia="宋体" w:cs="宋体"/>
      <w:b w:val="0"/>
      <w:bCs w:val="0"/>
      <w:lang w:val="zh-CN"/>
    </w:rPr>
  </w:style>
  <w:style w:type="paragraph" w:customStyle="1" w:styleId="849">
    <w:name w:val="样式 标题 2标题 2-王鹏标题2标题 2 Char Char Char Char Char Char Char Char..."/>
    <w:basedOn w:val="4"/>
    <w:qFormat/>
    <w:uiPriority w:val="0"/>
    <w:pPr>
      <w:keepNext w:val="0"/>
      <w:keepLines w:val="0"/>
      <w:numPr>
        <w:numId w:val="0"/>
      </w:numPr>
      <w:spacing w:before="50" w:after="50" w:afterLines="50" w:line="240" w:lineRule="auto"/>
      <w:ind w:left="576" w:hanging="576"/>
      <w:jc w:val="left"/>
    </w:pPr>
    <w:rPr>
      <w:rFonts w:ascii="Arial" w:hAnsi="Arial" w:eastAsia="宋体" w:cs="宋体"/>
      <w:bCs w:val="0"/>
      <w:color w:val="auto"/>
      <w:sz w:val="28"/>
      <w:szCs w:val="20"/>
    </w:rPr>
  </w:style>
  <w:style w:type="paragraph" w:customStyle="1" w:styleId="850">
    <w:name w:val="CM_标题2"/>
    <w:basedOn w:val="1"/>
    <w:qFormat/>
    <w:uiPriority w:val="1"/>
    <w:pPr>
      <w:snapToGrid/>
      <w:spacing w:line="240" w:lineRule="auto"/>
      <w:jc w:val="left"/>
      <w:outlineLvl w:val="1"/>
    </w:pPr>
    <w:rPr>
      <w:rFonts w:ascii="Arial" w:hAnsi="Arial" w:cs="Times New Roman"/>
      <w:szCs w:val="24"/>
    </w:rPr>
  </w:style>
  <w:style w:type="paragraph" w:customStyle="1" w:styleId="851">
    <w:name w:val="CM_标题3"/>
    <w:next w:val="1"/>
    <w:qFormat/>
    <w:uiPriority w:val="1"/>
    <w:pPr>
      <w:widowControl w:val="0"/>
      <w:spacing w:line="360" w:lineRule="auto"/>
      <w:outlineLvl w:val="2"/>
    </w:pPr>
    <w:rPr>
      <w:rFonts w:ascii="Times New Roman" w:hAnsi="Times New Roman" w:eastAsia="宋体" w:cs="Times New Roman"/>
      <w:kern w:val="2"/>
      <w:sz w:val="28"/>
      <w:szCs w:val="24"/>
      <w:lang w:val="en-US" w:eastAsia="zh-CN" w:bidi="ar-SA"/>
    </w:rPr>
  </w:style>
  <w:style w:type="paragraph" w:customStyle="1" w:styleId="852">
    <w:name w:val="正文首行缩进3"/>
    <w:basedOn w:val="1"/>
    <w:qFormat/>
    <w:uiPriority w:val="0"/>
    <w:pPr>
      <w:widowControl/>
      <w:adjustRightInd w:val="0"/>
      <w:spacing w:beforeLines="50" w:line="240" w:lineRule="auto"/>
      <w:ind w:firstLine="567"/>
    </w:pPr>
    <w:rPr>
      <w:rFonts w:ascii="Arial" w:hAnsi="Arial" w:cs="Times New Roman"/>
      <w:sz w:val="13"/>
      <w:szCs w:val="24"/>
    </w:rPr>
  </w:style>
  <w:style w:type="character" w:customStyle="1" w:styleId="853">
    <w:name w:val="样式8 Char"/>
    <w:basedOn w:val="854"/>
    <w:link w:val="446"/>
    <w:qFormat/>
    <w:locked/>
    <w:uiPriority w:val="0"/>
    <w:rPr>
      <w:rFonts w:hint="default" w:ascii="宋体" w:hAnsi="宋体" w:eastAsia="宋体" w:cs="Times New Roman"/>
      <w:sz w:val="28"/>
      <w:szCs w:val="28"/>
    </w:rPr>
  </w:style>
  <w:style w:type="character" w:customStyle="1" w:styleId="854">
    <w:name w:val="页眉 Char1"/>
    <w:basedOn w:val="91"/>
    <w:qFormat/>
    <w:uiPriority w:val="99"/>
    <w:rPr>
      <w:rFonts w:hint="default" w:ascii="Arial" w:hAnsi="Arial" w:cs="Arial"/>
      <w:sz w:val="18"/>
      <w:szCs w:val="18"/>
    </w:rPr>
  </w:style>
  <w:style w:type="character" w:customStyle="1" w:styleId="855">
    <w:name w:val="样式9 Char"/>
    <w:basedOn w:val="856"/>
    <w:link w:val="857"/>
    <w:qFormat/>
    <w:locked/>
    <w:uiPriority w:val="0"/>
    <w:rPr>
      <w:rFonts w:hint="default" w:ascii="Arial" w:hAnsi="Arial" w:cs="Arial"/>
      <w:kern w:val="2"/>
      <w:sz w:val="18"/>
      <w:szCs w:val="18"/>
    </w:rPr>
  </w:style>
  <w:style w:type="character" w:customStyle="1" w:styleId="856">
    <w:name w:val="页脚 Char1"/>
    <w:basedOn w:val="91"/>
    <w:qFormat/>
    <w:uiPriority w:val="0"/>
    <w:rPr>
      <w:rFonts w:hint="default" w:ascii="Arial" w:hAnsi="Arial" w:cs="Arial"/>
      <w:kern w:val="2"/>
      <w:sz w:val="18"/>
      <w:szCs w:val="18"/>
    </w:rPr>
  </w:style>
  <w:style w:type="paragraph" w:customStyle="1" w:styleId="857">
    <w:name w:val="样式9"/>
    <w:basedOn w:val="51"/>
    <w:link w:val="855"/>
    <w:qFormat/>
    <w:uiPriority w:val="0"/>
    <w:pPr>
      <w:pBdr>
        <w:top w:val="none" w:color="auto" w:sz="0" w:space="0"/>
      </w:pBdr>
      <w:tabs>
        <w:tab w:val="center" w:pos="4153"/>
        <w:tab w:val="right" w:pos="8306"/>
      </w:tabs>
      <w:spacing w:line="240" w:lineRule="auto"/>
      <w:jc w:val="left"/>
    </w:pPr>
    <w:rPr>
      <w:rFonts w:ascii="Arial" w:hAnsi="Arial" w:cs="Arial" w:eastAsiaTheme="minorEastAsia"/>
    </w:rPr>
  </w:style>
  <w:style w:type="paragraph" w:customStyle="1" w:styleId="858">
    <w:name w:val="DCAF7A472D494B55933635A3A7D70E92"/>
    <w:qFormat/>
    <w:uiPriority w:val="1"/>
    <w:pPr>
      <w:spacing w:after="200" w:line="276" w:lineRule="auto"/>
    </w:pPr>
    <w:rPr>
      <w:rFonts w:asciiTheme="minorHAnsi" w:hAnsiTheme="minorHAnsi" w:eastAsiaTheme="minorEastAsia" w:cstheme="minorBidi"/>
      <w:sz w:val="22"/>
      <w:szCs w:val="22"/>
      <w:lang w:val="en-US" w:eastAsia="en-US" w:bidi="ar-SA"/>
    </w:rPr>
  </w:style>
  <w:style w:type="character" w:customStyle="1" w:styleId="859">
    <w:name w:val="样式11 Char"/>
    <w:basedOn w:val="854"/>
    <w:link w:val="860"/>
    <w:qFormat/>
    <w:locked/>
    <w:uiPriority w:val="0"/>
    <w:rPr>
      <w:rFonts w:hint="default" w:asciiTheme="majorHAnsi" w:hAnsiTheme="majorHAnsi" w:eastAsiaTheme="majorEastAsia" w:cstheme="majorBidi"/>
      <w:sz w:val="18"/>
      <w:szCs w:val="18"/>
    </w:rPr>
  </w:style>
  <w:style w:type="paragraph" w:customStyle="1" w:styleId="860">
    <w:name w:val="样式11"/>
    <w:basedOn w:val="53"/>
    <w:link w:val="859"/>
    <w:qFormat/>
    <w:uiPriority w:val="0"/>
    <w:pPr>
      <w:pBdr>
        <w:bottom w:val="none" w:color="auto" w:sz="0" w:space="0"/>
      </w:pBdr>
    </w:pPr>
    <w:rPr>
      <w:rFonts w:asciiTheme="majorHAnsi" w:hAnsiTheme="majorHAnsi" w:eastAsiaTheme="majorEastAsia" w:cstheme="majorBidi"/>
    </w:rPr>
  </w:style>
  <w:style w:type="character" w:customStyle="1" w:styleId="861">
    <w:name w:val="样式12 Char"/>
    <w:basedOn w:val="854"/>
    <w:link w:val="862"/>
    <w:qFormat/>
    <w:locked/>
    <w:uiPriority w:val="0"/>
    <w:rPr>
      <w:rFonts w:hint="default" w:ascii="Arial" w:hAnsi="Arial" w:cs="Arial"/>
      <w:sz w:val="18"/>
      <w:szCs w:val="18"/>
    </w:rPr>
  </w:style>
  <w:style w:type="paragraph" w:customStyle="1" w:styleId="862">
    <w:name w:val="样式12"/>
    <w:basedOn w:val="53"/>
    <w:link w:val="861"/>
    <w:qFormat/>
    <w:uiPriority w:val="0"/>
    <w:pPr>
      <w:pBdr>
        <w:bottom w:val="none" w:color="auto" w:sz="0" w:space="0"/>
      </w:pBdr>
    </w:pPr>
    <w:rPr>
      <w:rFonts w:ascii="Arial" w:hAnsi="Arial" w:cs="Arial" w:eastAsiaTheme="minorEastAsia"/>
      <w:szCs w:val="21"/>
    </w:rPr>
  </w:style>
  <w:style w:type="character" w:customStyle="1" w:styleId="863">
    <w:name w:val="样式13 Char"/>
    <w:basedOn w:val="854"/>
    <w:link w:val="864"/>
    <w:qFormat/>
    <w:locked/>
    <w:uiPriority w:val="0"/>
    <w:rPr>
      <w:rFonts w:hint="default" w:ascii="Arial" w:hAnsi="Arial" w:cs="Arial"/>
      <w:b/>
      <w:sz w:val="18"/>
      <w:szCs w:val="18"/>
    </w:rPr>
  </w:style>
  <w:style w:type="paragraph" w:customStyle="1" w:styleId="864">
    <w:name w:val="样式13"/>
    <w:basedOn w:val="53"/>
    <w:link w:val="863"/>
    <w:qFormat/>
    <w:uiPriority w:val="0"/>
    <w:pPr>
      <w:pBdr>
        <w:bottom w:val="none" w:color="auto" w:sz="0" w:space="0"/>
      </w:pBdr>
    </w:pPr>
    <w:rPr>
      <w:rFonts w:ascii="Arial" w:hAnsi="Arial" w:cs="Arial" w:eastAsiaTheme="minorEastAsia"/>
      <w:b/>
    </w:rPr>
  </w:style>
  <w:style w:type="paragraph" w:customStyle="1" w:styleId="865">
    <w:name w:val="样式 正文首行缩进 + 段前: 0.5 行 段后: 0.5 行1"/>
    <w:basedOn w:val="79"/>
    <w:qFormat/>
    <w:uiPriority w:val="0"/>
    <w:pPr>
      <w:widowControl/>
      <w:adjustRightInd w:val="0"/>
      <w:snapToGrid w:val="0"/>
      <w:spacing w:before="50" w:beforeLines="50" w:after="50" w:afterLines="50" w:line="360" w:lineRule="auto"/>
      <w:ind w:firstLine="567" w:firstLineChars="0"/>
    </w:pPr>
    <w:rPr>
      <w:rFonts w:ascii="Arial" w:hAnsi="Arial" w:cs="宋体"/>
      <w:sz w:val="28"/>
      <w:szCs w:val="20"/>
    </w:rPr>
  </w:style>
  <w:style w:type="paragraph" w:customStyle="1" w:styleId="866">
    <w:name w:val="样式 标题 2 + 段前: 0.5 行 段后: 0.5 行"/>
    <w:basedOn w:val="4"/>
    <w:qFormat/>
    <w:uiPriority w:val="0"/>
    <w:pPr>
      <w:keepNext w:val="0"/>
      <w:keepLines w:val="0"/>
      <w:numPr>
        <w:numId w:val="0"/>
      </w:numPr>
      <w:snapToGrid/>
      <w:spacing w:before="50" w:after="50" w:afterLines="50" w:line="240" w:lineRule="auto"/>
      <w:ind w:left="400" w:hanging="400"/>
      <w:jc w:val="left"/>
    </w:pPr>
    <w:rPr>
      <w:rFonts w:ascii="Arial" w:hAnsi="Arial" w:eastAsia="宋体" w:cs="宋体"/>
      <w:b/>
      <w:color w:val="auto"/>
      <w:sz w:val="28"/>
      <w:szCs w:val="20"/>
    </w:rPr>
  </w:style>
  <w:style w:type="paragraph" w:customStyle="1" w:styleId="867">
    <w:name w:val="正文 1"/>
    <w:basedOn w:val="1"/>
    <w:qFormat/>
    <w:uiPriority w:val="0"/>
    <w:pPr>
      <w:adjustRightInd w:val="0"/>
      <w:snapToGrid/>
      <w:spacing w:before="60" w:after="60" w:line="312" w:lineRule="auto"/>
      <w:ind w:firstLine="601"/>
      <w:jc w:val="left"/>
    </w:pPr>
    <w:rPr>
      <w:rFonts w:ascii="Arial" w:hAnsi="Arial" w:cs="Times New Roman"/>
    </w:rPr>
  </w:style>
  <w:style w:type="paragraph" w:customStyle="1" w:styleId="868">
    <w:name w:val="msonormal"/>
    <w:basedOn w:val="1"/>
    <w:qFormat/>
    <w:uiPriority w:val="0"/>
    <w:pPr>
      <w:widowControl/>
      <w:snapToGrid/>
      <w:spacing w:before="100" w:beforeAutospacing="1" w:after="100" w:afterAutospacing="1" w:line="240" w:lineRule="auto"/>
      <w:jc w:val="left"/>
    </w:pPr>
    <w:rPr>
      <w:rFonts w:hAnsi="宋体"/>
      <w:sz w:val="13"/>
      <w:szCs w:val="24"/>
    </w:rPr>
  </w:style>
  <w:style w:type="paragraph" w:customStyle="1" w:styleId="869">
    <w:name w:val="xl676"/>
    <w:basedOn w:val="1"/>
    <w:qFormat/>
    <w:uiPriority w:val="1"/>
    <w:pPr>
      <w:widowControl/>
      <w:pBdr>
        <w:top w:val="single" w:color="auto" w:sz="8" w:space="0"/>
        <w:left w:val="single" w:color="auto" w:sz="8" w:space="0"/>
      </w:pBdr>
      <w:snapToGrid/>
      <w:spacing w:before="100" w:beforeAutospacing="1" w:after="100" w:afterAutospacing="1" w:line="240" w:lineRule="auto"/>
      <w:jc w:val="left"/>
    </w:pPr>
    <w:rPr>
      <w:rFonts w:ascii="Arial" w:hAnsi="Arial" w:cs="Arial"/>
      <w:sz w:val="13"/>
      <w:szCs w:val="24"/>
    </w:rPr>
  </w:style>
  <w:style w:type="paragraph" w:customStyle="1" w:styleId="870">
    <w:name w:val="xl677"/>
    <w:basedOn w:val="1"/>
    <w:qFormat/>
    <w:uiPriority w:val="1"/>
    <w:pPr>
      <w:widowControl/>
      <w:pBdr>
        <w:top w:val="single" w:color="auto" w:sz="8" w:space="0"/>
      </w:pBdr>
      <w:snapToGrid/>
      <w:spacing w:before="100" w:beforeAutospacing="1" w:after="100" w:afterAutospacing="1" w:line="240" w:lineRule="auto"/>
      <w:jc w:val="left"/>
    </w:pPr>
    <w:rPr>
      <w:rFonts w:ascii="Arial" w:hAnsi="Arial" w:cs="Arial"/>
      <w:sz w:val="13"/>
      <w:szCs w:val="24"/>
    </w:rPr>
  </w:style>
  <w:style w:type="paragraph" w:customStyle="1" w:styleId="871">
    <w:name w:val="xl678"/>
    <w:basedOn w:val="1"/>
    <w:qFormat/>
    <w:uiPriority w:val="1"/>
    <w:pPr>
      <w:widowControl/>
      <w:pBdr>
        <w:top w:val="single" w:color="auto" w:sz="8" w:space="0"/>
        <w:right w:val="single" w:color="auto" w:sz="8" w:space="0"/>
      </w:pBdr>
      <w:snapToGrid/>
      <w:spacing w:before="100" w:beforeAutospacing="1" w:after="100" w:afterAutospacing="1" w:line="240" w:lineRule="auto"/>
      <w:jc w:val="left"/>
    </w:pPr>
    <w:rPr>
      <w:rFonts w:ascii="Arial" w:hAnsi="Arial" w:cs="Arial"/>
      <w:sz w:val="13"/>
      <w:szCs w:val="24"/>
    </w:rPr>
  </w:style>
  <w:style w:type="paragraph" w:customStyle="1" w:styleId="872">
    <w:name w:val="xl679"/>
    <w:basedOn w:val="1"/>
    <w:qFormat/>
    <w:uiPriority w:val="1"/>
    <w:pPr>
      <w:widowControl/>
      <w:pBdr>
        <w:left w:val="single" w:color="auto" w:sz="8" w:space="0"/>
      </w:pBdr>
      <w:snapToGrid/>
      <w:spacing w:before="100" w:beforeAutospacing="1" w:after="100" w:afterAutospacing="1" w:line="240" w:lineRule="auto"/>
      <w:jc w:val="left"/>
    </w:pPr>
    <w:rPr>
      <w:rFonts w:ascii="Arial" w:hAnsi="Arial" w:cs="Arial"/>
      <w:sz w:val="12"/>
      <w:szCs w:val="12"/>
    </w:rPr>
  </w:style>
  <w:style w:type="paragraph" w:customStyle="1" w:styleId="873">
    <w:name w:val="xl680"/>
    <w:basedOn w:val="1"/>
    <w:qFormat/>
    <w:uiPriority w:val="1"/>
    <w:pPr>
      <w:widowControl/>
      <w:snapToGrid/>
      <w:spacing w:before="100" w:beforeAutospacing="1" w:after="100" w:afterAutospacing="1" w:line="240" w:lineRule="auto"/>
      <w:jc w:val="left"/>
    </w:pPr>
    <w:rPr>
      <w:rFonts w:ascii="Arial" w:hAnsi="Arial" w:cs="Arial"/>
      <w:sz w:val="12"/>
      <w:szCs w:val="12"/>
    </w:rPr>
  </w:style>
  <w:style w:type="paragraph" w:customStyle="1" w:styleId="874">
    <w:name w:val="xl681"/>
    <w:basedOn w:val="1"/>
    <w:qFormat/>
    <w:uiPriority w:val="1"/>
    <w:pPr>
      <w:widowControl/>
      <w:pBdr>
        <w:right w:val="single" w:color="auto" w:sz="8" w:space="0"/>
      </w:pBdr>
      <w:snapToGrid/>
      <w:spacing w:before="100" w:beforeAutospacing="1" w:after="100" w:afterAutospacing="1" w:line="240" w:lineRule="auto"/>
      <w:jc w:val="left"/>
    </w:pPr>
    <w:rPr>
      <w:rFonts w:ascii="Arial" w:hAnsi="Arial" w:cs="Arial"/>
      <w:sz w:val="13"/>
      <w:szCs w:val="24"/>
    </w:rPr>
  </w:style>
  <w:style w:type="paragraph" w:customStyle="1" w:styleId="875">
    <w:name w:val="xl682"/>
    <w:basedOn w:val="1"/>
    <w:qFormat/>
    <w:uiPriority w:val="1"/>
    <w:pPr>
      <w:widowControl/>
      <w:pBdr>
        <w:left w:val="single" w:color="auto" w:sz="8" w:space="0"/>
      </w:pBdr>
      <w:snapToGrid/>
      <w:spacing w:before="100" w:beforeAutospacing="1" w:after="100" w:afterAutospacing="1" w:line="240" w:lineRule="auto"/>
      <w:jc w:val="left"/>
    </w:pPr>
    <w:rPr>
      <w:rFonts w:ascii="Arial" w:hAnsi="Arial" w:cs="Arial"/>
      <w:sz w:val="13"/>
      <w:szCs w:val="24"/>
    </w:rPr>
  </w:style>
  <w:style w:type="paragraph" w:customStyle="1" w:styleId="876">
    <w:name w:val="xl683"/>
    <w:basedOn w:val="1"/>
    <w:qFormat/>
    <w:uiPriority w:val="1"/>
    <w:pPr>
      <w:widowControl/>
      <w:snapToGrid/>
      <w:spacing w:before="100" w:beforeAutospacing="1" w:after="100" w:afterAutospacing="1" w:line="240" w:lineRule="auto"/>
      <w:jc w:val="left"/>
    </w:pPr>
    <w:rPr>
      <w:rFonts w:ascii="Arial" w:hAnsi="Arial" w:cs="Arial"/>
      <w:sz w:val="13"/>
      <w:szCs w:val="24"/>
    </w:rPr>
  </w:style>
  <w:style w:type="paragraph" w:customStyle="1" w:styleId="877">
    <w:name w:val="xl684"/>
    <w:basedOn w:val="1"/>
    <w:qFormat/>
    <w:uiPriority w:val="1"/>
    <w:pPr>
      <w:widowControl/>
      <w:pBdr>
        <w:left w:val="single" w:color="auto" w:sz="4" w:space="0"/>
        <w:right w:val="single" w:color="auto" w:sz="8" w:space="0"/>
      </w:pBdr>
      <w:snapToGrid/>
      <w:spacing w:before="100" w:beforeAutospacing="1" w:after="100" w:afterAutospacing="1" w:line="240" w:lineRule="auto"/>
      <w:jc w:val="center"/>
    </w:pPr>
    <w:rPr>
      <w:rFonts w:hAnsi="宋体"/>
      <w:sz w:val="18"/>
      <w:szCs w:val="18"/>
    </w:rPr>
  </w:style>
  <w:style w:type="paragraph" w:customStyle="1" w:styleId="878">
    <w:name w:val="xl685"/>
    <w:basedOn w:val="1"/>
    <w:qFormat/>
    <w:uiPriority w:val="1"/>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jc w:val="center"/>
    </w:pPr>
    <w:rPr>
      <w:rFonts w:hAnsi="宋体"/>
      <w:sz w:val="18"/>
      <w:szCs w:val="18"/>
    </w:rPr>
  </w:style>
  <w:style w:type="paragraph" w:customStyle="1" w:styleId="879">
    <w:name w:val="xl686"/>
    <w:basedOn w:val="1"/>
    <w:qFormat/>
    <w:uiPriority w:val="1"/>
    <w:pPr>
      <w:widowControl/>
      <w:pBdr>
        <w:left w:val="single" w:color="auto" w:sz="4" w:space="0"/>
        <w:bottom w:val="single" w:color="auto" w:sz="4" w:space="0"/>
        <w:right w:val="single" w:color="auto" w:sz="4" w:space="0"/>
      </w:pBdr>
      <w:snapToGrid/>
      <w:spacing w:before="100" w:beforeAutospacing="1" w:after="100" w:afterAutospacing="1" w:line="240" w:lineRule="auto"/>
      <w:jc w:val="center"/>
    </w:pPr>
    <w:rPr>
      <w:rFonts w:hAnsi="宋体"/>
      <w:sz w:val="13"/>
      <w:szCs w:val="24"/>
    </w:rPr>
  </w:style>
  <w:style w:type="paragraph" w:customStyle="1" w:styleId="880">
    <w:name w:val="xl687"/>
    <w:basedOn w:val="1"/>
    <w:qFormat/>
    <w:uiPriority w:val="1"/>
    <w:pPr>
      <w:widowControl/>
      <w:pBdr>
        <w:left w:val="single" w:color="auto" w:sz="4" w:space="0"/>
        <w:bottom w:val="single" w:color="auto" w:sz="4" w:space="0"/>
        <w:right w:val="single" w:color="auto" w:sz="4" w:space="0"/>
      </w:pBdr>
      <w:snapToGrid/>
      <w:spacing w:before="100" w:beforeAutospacing="1" w:after="100" w:afterAutospacing="1" w:line="240" w:lineRule="auto"/>
      <w:jc w:val="left"/>
    </w:pPr>
    <w:rPr>
      <w:rFonts w:hAnsi="宋体"/>
      <w:sz w:val="18"/>
      <w:szCs w:val="18"/>
    </w:rPr>
  </w:style>
  <w:style w:type="paragraph" w:customStyle="1" w:styleId="881">
    <w:name w:val="xl688"/>
    <w:basedOn w:val="1"/>
    <w:qFormat/>
    <w:uiPriority w:val="1"/>
    <w:pPr>
      <w:widowControl/>
      <w:pBdr>
        <w:left w:val="single" w:color="auto" w:sz="4" w:space="0"/>
        <w:bottom w:val="single" w:color="auto" w:sz="4" w:space="0"/>
        <w:right w:val="single" w:color="auto" w:sz="4" w:space="0"/>
      </w:pBdr>
      <w:snapToGrid/>
      <w:spacing w:before="100" w:beforeAutospacing="1" w:after="100" w:afterAutospacing="1" w:line="240" w:lineRule="auto"/>
      <w:jc w:val="left"/>
    </w:pPr>
    <w:rPr>
      <w:rFonts w:hAnsi="宋体"/>
      <w:sz w:val="18"/>
      <w:szCs w:val="18"/>
    </w:rPr>
  </w:style>
  <w:style w:type="paragraph" w:customStyle="1" w:styleId="882">
    <w:name w:val="xl689"/>
    <w:basedOn w:val="1"/>
    <w:qFormat/>
    <w:uiPriority w:val="1"/>
    <w:pPr>
      <w:widowControl/>
      <w:pBdr>
        <w:left w:val="single" w:color="auto" w:sz="8" w:space="0"/>
        <w:bottom w:val="single" w:color="auto" w:sz="4" w:space="0"/>
        <w:right w:val="single" w:color="auto" w:sz="4" w:space="0"/>
      </w:pBdr>
      <w:snapToGrid/>
      <w:spacing w:before="100" w:beforeAutospacing="1" w:after="100" w:afterAutospacing="1" w:line="240" w:lineRule="auto"/>
      <w:jc w:val="center"/>
    </w:pPr>
    <w:rPr>
      <w:rFonts w:hAnsi="宋体"/>
      <w:sz w:val="18"/>
      <w:szCs w:val="18"/>
    </w:rPr>
  </w:style>
  <w:style w:type="paragraph" w:customStyle="1" w:styleId="883">
    <w:name w:val="xl690"/>
    <w:basedOn w:val="1"/>
    <w:qFormat/>
    <w:uiPriority w:val="1"/>
    <w:pPr>
      <w:widowControl/>
      <w:pBdr>
        <w:left w:val="single" w:color="auto" w:sz="4" w:space="0"/>
        <w:bottom w:val="single" w:color="auto" w:sz="4" w:space="0"/>
        <w:right w:val="single" w:color="auto" w:sz="4" w:space="0"/>
      </w:pBdr>
      <w:snapToGrid/>
      <w:spacing w:before="100" w:beforeAutospacing="1" w:after="100" w:afterAutospacing="1" w:line="240" w:lineRule="auto"/>
      <w:jc w:val="left"/>
    </w:pPr>
    <w:rPr>
      <w:rFonts w:hAnsi="宋体"/>
      <w:sz w:val="18"/>
      <w:szCs w:val="18"/>
    </w:rPr>
  </w:style>
  <w:style w:type="paragraph" w:customStyle="1" w:styleId="884">
    <w:name w:val="xl691"/>
    <w:basedOn w:val="1"/>
    <w:qFormat/>
    <w:uiPriority w:val="1"/>
    <w:pPr>
      <w:widowControl/>
      <w:pBdr>
        <w:left w:val="single" w:color="auto" w:sz="4" w:space="0"/>
        <w:bottom w:val="single" w:color="auto" w:sz="4" w:space="0"/>
        <w:right w:val="single" w:color="auto" w:sz="4" w:space="0"/>
      </w:pBdr>
      <w:snapToGrid/>
      <w:spacing w:before="100" w:beforeAutospacing="1" w:after="100" w:afterAutospacing="1" w:line="240" w:lineRule="auto"/>
      <w:jc w:val="center"/>
    </w:pPr>
    <w:rPr>
      <w:rFonts w:hAnsi="宋体"/>
      <w:sz w:val="18"/>
      <w:szCs w:val="18"/>
    </w:rPr>
  </w:style>
  <w:style w:type="paragraph" w:customStyle="1" w:styleId="885">
    <w:name w:val="xl692"/>
    <w:basedOn w:val="1"/>
    <w:qFormat/>
    <w:uiPriority w:val="1"/>
    <w:pPr>
      <w:widowControl/>
      <w:pBdr>
        <w:left w:val="single" w:color="auto" w:sz="4" w:space="0"/>
        <w:bottom w:val="single" w:color="auto" w:sz="4" w:space="0"/>
        <w:right w:val="single" w:color="auto" w:sz="4" w:space="0"/>
      </w:pBdr>
      <w:snapToGrid/>
      <w:spacing w:before="100" w:beforeAutospacing="1" w:after="100" w:afterAutospacing="1" w:line="240" w:lineRule="auto"/>
      <w:jc w:val="left"/>
    </w:pPr>
    <w:rPr>
      <w:rFonts w:hAnsi="宋体"/>
      <w:sz w:val="13"/>
      <w:szCs w:val="24"/>
    </w:rPr>
  </w:style>
  <w:style w:type="paragraph" w:customStyle="1" w:styleId="886">
    <w:name w:val="xl693"/>
    <w:basedOn w:val="1"/>
    <w:qFormat/>
    <w:uiPriority w:val="1"/>
    <w:pPr>
      <w:widowControl/>
      <w:pBdr>
        <w:left w:val="single" w:color="auto" w:sz="4" w:space="0"/>
        <w:bottom w:val="single" w:color="auto" w:sz="4" w:space="0"/>
        <w:right w:val="single" w:color="auto" w:sz="4" w:space="0"/>
      </w:pBdr>
      <w:snapToGrid/>
      <w:spacing w:before="100" w:beforeAutospacing="1" w:after="100" w:afterAutospacing="1" w:line="240" w:lineRule="auto"/>
      <w:jc w:val="left"/>
    </w:pPr>
    <w:rPr>
      <w:rFonts w:hAnsi="宋体"/>
      <w:sz w:val="18"/>
      <w:szCs w:val="18"/>
    </w:rPr>
  </w:style>
  <w:style w:type="paragraph" w:customStyle="1" w:styleId="887">
    <w:name w:val="xl694"/>
    <w:basedOn w:val="1"/>
    <w:qFormat/>
    <w:uiPriority w:val="1"/>
    <w:pPr>
      <w:widowControl/>
      <w:pBdr>
        <w:left w:val="single" w:color="auto" w:sz="4" w:space="0"/>
        <w:bottom w:val="single" w:color="auto" w:sz="4" w:space="0"/>
        <w:right w:val="single" w:color="auto" w:sz="4" w:space="0"/>
      </w:pBdr>
      <w:snapToGrid/>
      <w:spacing w:before="100" w:beforeAutospacing="1" w:after="100" w:afterAutospacing="1" w:line="240" w:lineRule="auto"/>
      <w:jc w:val="center"/>
    </w:pPr>
    <w:rPr>
      <w:rFonts w:hAnsi="宋体"/>
      <w:sz w:val="13"/>
      <w:szCs w:val="24"/>
    </w:rPr>
  </w:style>
  <w:style w:type="paragraph" w:customStyle="1" w:styleId="888">
    <w:name w:val="xl695"/>
    <w:basedOn w:val="1"/>
    <w:qFormat/>
    <w:uiPriority w:val="1"/>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jc w:val="left"/>
    </w:pPr>
    <w:rPr>
      <w:rFonts w:hAnsi="宋体"/>
      <w:sz w:val="13"/>
      <w:szCs w:val="24"/>
    </w:rPr>
  </w:style>
  <w:style w:type="paragraph" w:customStyle="1" w:styleId="889">
    <w:name w:val="xl696"/>
    <w:basedOn w:val="1"/>
    <w:qFormat/>
    <w:uiPriority w:val="1"/>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jc w:val="left"/>
    </w:pPr>
    <w:rPr>
      <w:rFonts w:hAnsi="宋体"/>
      <w:sz w:val="18"/>
      <w:szCs w:val="18"/>
    </w:rPr>
  </w:style>
  <w:style w:type="paragraph" w:customStyle="1" w:styleId="890">
    <w:name w:val="xl697"/>
    <w:basedOn w:val="1"/>
    <w:qFormat/>
    <w:uiPriority w:val="1"/>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jc w:val="center"/>
    </w:pPr>
    <w:rPr>
      <w:rFonts w:hAnsi="宋体"/>
      <w:sz w:val="13"/>
      <w:szCs w:val="24"/>
    </w:rPr>
  </w:style>
  <w:style w:type="paragraph" w:customStyle="1" w:styleId="891">
    <w:name w:val="xl698"/>
    <w:basedOn w:val="1"/>
    <w:qFormat/>
    <w:uiPriority w:val="1"/>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jc w:val="left"/>
    </w:pPr>
    <w:rPr>
      <w:rFonts w:hAnsi="宋体"/>
      <w:sz w:val="13"/>
      <w:szCs w:val="24"/>
    </w:rPr>
  </w:style>
  <w:style w:type="paragraph" w:customStyle="1" w:styleId="892">
    <w:name w:val="xl699"/>
    <w:basedOn w:val="1"/>
    <w:qFormat/>
    <w:uiPriority w:val="1"/>
    <w:pPr>
      <w:widowControl/>
      <w:pBdr>
        <w:left w:val="single" w:color="auto" w:sz="8" w:space="0"/>
        <w:bottom w:val="single" w:color="auto" w:sz="4" w:space="0"/>
        <w:right w:val="single" w:color="auto" w:sz="4" w:space="0"/>
      </w:pBdr>
      <w:snapToGrid/>
      <w:spacing w:before="100" w:beforeAutospacing="1" w:after="100" w:afterAutospacing="1" w:line="240" w:lineRule="auto"/>
      <w:jc w:val="left"/>
    </w:pPr>
    <w:rPr>
      <w:rFonts w:hAnsi="宋体"/>
      <w:sz w:val="18"/>
      <w:szCs w:val="18"/>
    </w:rPr>
  </w:style>
  <w:style w:type="paragraph" w:customStyle="1" w:styleId="893">
    <w:name w:val="xl700"/>
    <w:basedOn w:val="1"/>
    <w:qFormat/>
    <w:uiPriority w:val="1"/>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jc w:val="left"/>
    </w:pPr>
    <w:rPr>
      <w:rFonts w:hAnsi="宋体"/>
      <w:sz w:val="18"/>
      <w:szCs w:val="18"/>
    </w:rPr>
  </w:style>
  <w:style w:type="paragraph" w:customStyle="1" w:styleId="894">
    <w:name w:val="xl701"/>
    <w:basedOn w:val="1"/>
    <w:qFormat/>
    <w:uiPriority w:val="1"/>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jc w:val="left"/>
    </w:pPr>
    <w:rPr>
      <w:rFonts w:hAnsi="宋体"/>
      <w:sz w:val="18"/>
      <w:szCs w:val="18"/>
    </w:rPr>
  </w:style>
  <w:style w:type="paragraph" w:customStyle="1" w:styleId="895">
    <w:name w:val="xl702"/>
    <w:basedOn w:val="1"/>
    <w:qFormat/>
    <w:uiPriority w:val="1"/>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jc w:val="left"/>
    </w:pPr>
    <w:rPr>
      <w:rFonts w:hAnsi="宋体"/>
      <w:sz w:val="18"/>
      <w:szCs w:val="18"/>
    </w:rPr>
  </w:style>
  <w:style w:type="paragraph" w:customStyle="1" w:styleId="896">
    <w:name w:val="xl703"/>
    <w:basedOn w:val="1"/>
    <w:qFormat/>
    <w:uiPriority w:val="1"/>
    <w:pPr>
      <w:widowControl/>
      <w:pBdr>
        <w:left w:val="single" w:color="auto" w:sz="4" w:space="0"/>
        <w:bottom w:val="single" w:color="auto" w:sz="4" w:space="0"/>
        <w:right w:val="single" w:color="auto" w:sz="4" w:space="0"/>
      </w:pBdr>
      <w:snapToGrid/>
      <w:spacing w:before="100" w:beforeAutospacing="1" w:after="100" w:afterAutospacing="1" w:line="240" w:lineRule="auto"/>
      <w:jc w:val="left"/>
    </w:pPr>
    <w:rPr>
      <w:rFonts w:hAnsi="宋体"/>
      <w:sz w:val="18"/>
      <w:szCs w:val="18"/>
    </w:rPr>
  </w:style>
  <w:style w:type="paragraph" w:customStyle="1" w:styleId="897">
    <w:name w:val="xl704"/>
    <w:basedOn w:val="1"/>
    <w:qFormat/>
    <w:uiPriority w:val="1"/>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jc w:val="left"/>
    </w:pPr>
    <w:rPr>
      <w:rFonts w:hAnsi="宋体"/>
      <w:sz w:val="13"/>
      <w:szCs w:val="24"/>
    </w:rPr>
  </w:style>
  <w:style w:type="paragraph" w:customStyle="1" w:styleId="898">
    <w:name w:val="xl705"/>
    <w:basedOn w:val="1"/>
    <w:qFormat/>
    <w:uiPriority w:val="1"/>
    <w:pPr>
      <w:widowControl/>
      <w:pBdr>
        <w:left w:val="single" w:color="auto" w:sz="4" w:space="0"/>
        <w:bottom w:val="single" w:color="auto" w:sz="4" w:space="0"/>
        <w:right w:val="single" w:color="auto" w:sz="4" w:space="0"/>
      </w:pBdr>
      <w:snapToGrid/>
      <w:spacing w:before="100" w:beforeAutospacing="1" w:after="100" w:afterAutospacing="1" w:line="240" w:lineRule="auto"/>
      <w:jc w:val="left"/>
    </w:pPr>
    <w:rPr>
      <w:rFonts w:hAnsi="宋体"/>
      <w:color w:val="FF0000"/>
      <w:sz w:val="18"/>
      <w:szCs w:val="18"/>
    </w:rPr>
  </w:style>
  <w:style w:type="paragraph" w:customStyle="1" w:styleId="899">
    <w:name w:val="xl706"/>
    <w:basedOn w:val="1"/>
    <w:qFormat/>
    <w:uiPriority w:val="1"/>
    <w:pPr>
      <w:widowControl/>
      <w:pBdr>
        <w:left w:val="single" w:color="auto" w:sz="8" w:space="0"/>
        <w:bottom w:val="single" w:color="auto" w:sz="8" w:space="0"/>
        <w:right w:val="single" w:color="auto" w:sz="4" w:space="0"/>
      </w:pBdr>
      <w:snapToGrid/>
      <w:spacing w:before="100" w:beforeAutospacing="1" w:after="100" w:afterAutospacing="1" w:line="240" w:lineRule="auto"/>
      <w:jc w:val="left"/>
    </w:pPr>
    <w:rPr>
      <w:rFonts w:hAnsi="宋体"/>
      <w:sz w:val="18"/>
      <w:szCs w:val="18"/>
    </w:rPr>
  </w:style>
  <w:style w:type="paragraph" w:customStyle="1" w:styleId="900">
    <w:name w:val="xl707"/>
    <w:basedOn w:val="1"/>
    <w:qFormat/>
    <w:uiPriority w:val="1"/>
    <w:pPr>
      <w:widowControl/>
      <w:pBdr>
        <w:left w:val="single" w:color="auto" w:sz="4" w:space="0"/>
        <w:bottom w:val="single" w:color="auto" w:sz="8" w:space="0"/>
        <w:right w:val="single" w:color="auto" w:sz="4" w:space="0"/>
      </w:pBdr>
      <w:snapToGrid/>
      <w:spacing w:before="100" w:beforeAutospacing="1" w:after="100" w:afterAutospacing="1" w:line="240" w:lineRule="auto"/>
      <w:jc w:val="left"/>
    </w:pPr>
    <w:rPr>
      <w:rFonts w:hAnsi="宋体"/>
      <w:sz w:val="18"/>
      <w:szCs w:val="18"/>
    </w:rPr>
  </w:style>
  <w:style w:type="paragraph" w:customStyle="1" w:styleId="901">
    <w:name w:val="xl708"/>
    <w:basedOn w:val="1"/>
    <w:qFormat/>
    <w:uiPriority w:val="1"/>
    <w:pPr>
      <w:widowControl/>
      <w:pBdr>
        <w:bottom w:val="single" w:color="auto" w:sz="8" w:space="0"/>
        <w:right w:val="single" w:color="auto" w:sz="8" w:space="0"/>
      </w:pBdr>
      <w:snapToGrid/>
      <w:spacing w:before="100" w:beforeAutospacing="1" w:after="100" w:afterAutospacing="1" w:line="240" w:lineRule="auto"/>
      <w:jc w:val="left"/>
    </w:pPr>
    <w:rPr>
      <w:rFonts w:ascii="Arial" w:hAnsi="Arial" w:cs="Arial"/>
      <w:sz w:val="13"/>
      <w:szCs w:val="24"/>
    </w:rPr>
  </w:style>
  <w:style w:type="paragraph" w:customStyle="1" w:styleId="902">
    <w:name w:val="xl709"/>
    <w:basedOn w:val="1"/>
    <w:qFormat/>
    <w:uiPriority w:val="1"/>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jc w:val="left"/>
    </w:pPr>
    <w:rPr>
      <w:rFonts w:hAnsi="宋体"/>
      <w:sz w:val="18"/>
      <w:szCs w:val="18"/>
    </w:rPr>
  </w:style>
  <w:style w:type="paragraph" w:customStyle="1" w:styleId="903">
    <w:name w:val="xl710"/>
    <w:basedOn w:val="1"/>
    <w:qFormat/>
    <w:uiPriority w:val="1"/>
    <w:pPr>
      <w:widowControl/>
      <w:snapToGrid/>
      <w:spacing w:before="100" w:beforeAutospacing="1" w:after="100" w:afterAutospacing="1" w:line="240" w:lineRule="auto"/>
      <w:jc w:val="left"/>
    </w:pPr>
    <w:rPr>
      <w:rFonts w:ascii="Arial" w:hAnsi="Arial" w:cs="Arial"/>
      <w:sz w:val="13"/>
      <w:szCs w:val="24"/>
    </w:rPr>
  </w:style>
  <w:style w:type="paragraph" w:customStyle="1" w:styleId="904">
    <w:name w:val="xl711"/>
    <w:basedOn w:val="1"/>
    <w:qFormat/>
    <w:uiPriority w:val="1"/>
    <w:pPr>
      <w:widowControl/>
      <w:pBdr>
        <w:left w:val="single" w:color="auto" w:sz="4" w:space="0"/>
        <w:right w:val="single" w:color="auto" w:sz="4" w:space="0"/>
      </w:pBdr>
      <w:snapToGrid/>
      <w:spacing w:before="100" w:beforeAutospacing="1" w:after="100" w:afterAutospacing="1" w:line="240" w:lineRule="auto"/>
      <w:jc w:val="left"/>
    </w:pPr>
    <w:rPr>
      <w:rFonts w:hAnsi="宋体"/>
      <w:sz w:val="18"/>
      <w:szCs w:val="18"/>
    </w:rPr>
  </w:style>
  <w:style w:type="paragraph" w:customStyle="1" w:styleId="905">
    <w:name w:val="xl712"/>
    <w:basedOn w:val="1"/>
    <w:qFormat/>
    <w:uiPriority w:val="1"/>
    <w:pPr>
      <w:widowControl/>
      <w:pBdr>
        <w:left w:val="single" w:color="auto" w:sz="4" w:space="0"/>
        <w:bottom w:val="single" w:color="auto" w:sz="4" w:space="0"/>
      </w:pBdr>
      <w:snapToGrid/>
      <w:spacing w:before="100" w:beforeAutospacing="1" w:after="100" w:afterAutospacing="1" w:line="240" w:lineRule="auto"/>
      <w:jc w:val="center"/>
    </w:pPr>
    <w:rPr>
      <w:rFonts w:hAnsi="宋体"/>
      <w:sz w:val="18"/>
      <w:szCs w:val="18"/>
    </w:rPr>
  </w:style>
  <w:style w:type="paragraph" w:customStyle="1" w:styleId="906">
    <w:name w:val="xl713"/>
    <w:basedOn w:val="1"/>
    <w:qFormat/>
    <w:uiPriority w:val="1"/>
    <w:pPr>
      <w:widowControl/>
      <w:pBdr>
        <w:bottom w:val="single" w:color="auto" w:sz="4" w:space="0"/>
      </w:pBdr>
      <w:snapToGrid/>
      <w:spacing w:before="100" w:beforeAutospacing="1" w:after="100" w:afterAutospacing="1" w:line="240" w:lineRule="auto"/>
      <w:jc w:val="center"/>
    </w:pPr>
    <w:rPr>
      <w:rFonts w:hAnsi="宋体"/>
      <w:sz w:val="18"/>
      <w:szCs w:val="18"/>
    </w:rPr>
  </w:style>
  <w:style w:type="paragraph" w:customStyle="1" w:styleId="907">
    <w:name w:val="xl714"/>
    <w:basedOn w:val="1"/>
    <w:qFormat/>
    <w:uiPriority w:val="1"/>
    <w:pPr>
      <w:widowControl/>
      <w:pBdr>
        <w:bottom w:val="single" w:color="auto" w:sz="4" w:space="0"/>
        <w:right w:val="single" w:color="auto" w:sz="4" w:space="0"/>
      </w:pBdr>
      <w:snapToGrid/>
      <w:spacing w:before="100" w:beforeAutospacing="1" w:after="100" w:afterAutospacing="1" w:line="240" w:lineRule="auto"/>
      <w:jc w:val="center"/>
    </w:pPr>
    <w:rPr>
      <w:rFonts w:hAnsi="宋体"/>
      <w:sz w:val="18"/>
      <w:szCs w:val="18"/>
    </w:rPr>
  </w:style>
  <w:style w:type="paragraph" w:customStyle="1" w:styleId="908">
    <w:name w:val="xl715"/>
    <w:basedOn w:val="1"/>
    <w:qFormat/>
    <w:uiPriority w:val="1"/>
    <w:pPr>
      <w:widowControl/>
      <w:pBdr>
        <w:left w:val="single" w:color="auto" w:sz="4" w:space="0"/>
        <w:right w:val="single" w:color="auto" w:sz="4" w:space="0"/>
      </w:pBdr>
      <w:snapToGrid/>
      <w:spacing w:before="100" w:beforeAutospacing="1" w:after="100" w:afterAutospacing="1" w:line="240" w:lineRule="auto"/>
      <w:jc w:val="center"/>
    </w:pPr>
    <w:rPr>
      <w:rFonts w:hAnsi="宋体"/>
      <w:sz w:val="18"/>
      <w:szCs w:val="18"/>
    </w:rPr>
  </w:style>
  <w:style w:type="paragraph" w:customStyle="1" w:styleId="909">
    <w:name w:val="xl716"/>
    <w:basedOn w:val="1"/>
    <w:qFormat/>
    <w:uiPriority w:val="1"/>
    <w:pPr>
      <w:widowControl/>
      <w:pBdr>
        <w:left w:val="single" w:color="auto" w:sz="4" w:space="0"/>
        <w:bottom w:val="single" w:color="auto" w:sz="4" w:space="0"/>
        <w:right w:val="single" w:color="auto" w:sz="4" w:space="0"/>
      </w:pBdr>
      <w:snapToGrid/>
      <w:spacing w:before="100" w:beforeAutospacing="1" w:after="100" w:afterAutospacing="1" w:line="240" w:lineRule="auto"/>
      <w:jc w:val="left"/>
    </w:pPr>
    <w:rPr>
      <w:rFonts w:hAnsi="宋体"/>
      <w:sz w:val="13"/>
      <w:szCs w:val="24"/>
    </w:rPr>
  </w:style>
  <w:style w:type="paragraph" w:customStyle="1" w:styleId="910">
    <w:name w:val="xl717"/>
    <w:basedOn w:val="1"/>
    <w:qFormat/>
    <w:uiPriority w:val="1"/>
    <w:pPr>
      <w:widowControl/>
      <w:pBdr>
        <w:left w:val="single" w:color="auto" w:sz="4" w:space="0"/>
        <w:bottom w:val="single" w:color="auto" w:sz="4" w:space="0"/>
      </w:pBdr>
      <w:snapToGrid/>
      <w:spacing w:before="100" w:beforeAutospacing="1" w:after="100" w:afterAutospacing="1" w:line="240" w:lineRule="auto"/>
      <w:jc w:val="center"/>
    </w:pPr>
    <w:rPr>
      <w:rFonts w:hAnsi="宋体"/>
      <w:sz w:val="18"/>
      <w:szCs w:val="18"/>
    </w:rPr>
  </w:style>
  <w:style w:type="paragraph" w:customStyle="1" w:styleId="911">
    <w:name w:val="xl718"/>
    <w:basedOn w:val="1"/>
    <w:qFormat/>
    <w:uiPriority w:val="1"/>
    <w:pPr>
      <w:widowControl/>
      <w:pBdr>
        <w:bottom w:val="single" w:color="auto" w:sz="4" w:space="0"/>
        <w:right w:val="single" w:color="auto" w:sz="4" w:space="0"/>
      </w:pBdr>
      <w:snapToGrid/>
      <w:spacing w:before="100" w:beforeAutospacing="1" w:after="100" w:afterAutospacing="1" w:line="240" w:lineRule="auto"/>
      <w:jc w:val="center"/>
    </w:pPr>
    <w:rPr>
      <w:rFonts w:hAnsi="宋体"/>
      <w:sz w:val="18"/>
      <w:szCs w:val="18"/>
    </w:rPr>
  </w:style>
  <w:style w:type="paragraph" w:customStyle="1" w:styleId="912">
    <w:name w:val="xl719"/>
    <w:basedOn w:val="1"/>
    <w:qFormat/>
    <w:uiPriority w:val="1"/>
    <w:pPr>
      <w:widowControl/>
      <w:pBdr>
        <w:left w:val="single" w:color="auto" w:sz="4" w:space="0"/>
        <w:bottom w:val="single" w:color="auto" w:sz="4" w:space="0"/>
        <w:right w:val="single" w:color="auto" w:sz="4" w:space="0"/>
      </w:pBdr>
      <w:snapToGrid/>
      <w:spacing w:before="100" w:beforeAutospacing="1" w:after="100" w:afterAutospacing="1" w:line="240" w:lineRule="auto"/>
      <w:jc w:val="center"/>
    </w:pPr>
    <w:rPr>
      <w:rFonts w:hAnsi="宋体"/>
      <w:sz w:val="18"/>
      <w:szCs w:val="18"/>
    </w:rPr>
  </w:style>
  <w:style w:type="paragraph" w:customStyle="1" w:styleId="913">
    <w:name w:val="xl720"/>
    <w:basedOn w:val="1"/>
    <w:qFormat/>
    <w:uiPriority w:val="1"/>
    <w:pPr>
      <w:widowControl/>
      <w:pBdr>
        <w:top w:val="single" w:color="auto" w:sz="4" w:space="0"/>
        <w:left w:val="single" w:color="auto" w:sz="4" w:space="0"/>
        <w:right w:val="single" w:color="auto" w:sz="4" w:space="0"/>
      </w:pBdr>
      <w:snapToGrid/>
      <w:spacing w:before="100" w:beforeAutospacing="1" w:after="100" w:afterAutospacing="1" w:line="240" w:lineRule="auto"/>
      <w:jc w:val="left"/>
    </w:pPr>
    <w:rPr>
      <w:rFonts w:hAnsi="宋体"/>
      <w:sz w:val="18"/>
      <w:szCs w:val="18"/>
    </w:rPr>
  </w:style>
  <w:style w:type="paragraph" w:customStyle="1" w:styleId="914">
    <w:name w:val="xl721"/>
    <w:basedOn w:val="1"/>
    <w:qFormat/>
    <w:uiPriority w:val="1"/>
    <w:pPr>
      <w:widowControl/>
      <w:pBdr>
        <w:left w:val="single" w:color="auto" w:sz="8" w:space="0"/>
        <w:right w:val="single" w:color="auto" w:sz="4" w:space="0"/>
      </w:pBdr>
      <w:snapToGrid/>
      <w:spacing w:before="100" w:beforeAutospacing="1" w:after="100" w:afterAutospacing="1" w:line="240" w:lineRule="auto"/>
      <w:jc w:val="center"/>
    </w:pPr>
    <w:rPr>
      <w:rFonts w:hAnsi="宋体"/>
      <w:sz w:val="18"/>
      <w:szCs w:val="18"/>
    </w:rPr>
  </w:style>
  <w:style w:type="paragraph" w:customStyle="1" w:styleId="915">
    <w:name w:val="xl722"/>
    <w:basedOn w:val="1"/>
    <w:qFormat/>
    <w:uiPriority w:val="1"/>
    <w:pPr>
      <w:widowControl/>
      <w:pBdr>
        <w:left w:val="single" w:color="auto" w:sz="8" w:space="0"/>
        <w:bottom w:val="single" w:color="auto" w:sz="4" w:space="0"/>
        <w:right w:val="single" w:color="auto" w:sz="4" w:space="0"/>
      </w:pBdr>
      <w:snapToGrid/>
      <w:spacing w:before="100" w:beforeAutospacing="1" w:after="100" w:afterAutospacing="1" w:line="240" w:lineRule="auto"/>
      <w:jc w:val="left"/>
    </w:pPr>
    <w:rPr>
      <w:rFonts w:hAnsi="宋体"/>
      <w:sz w:val="13"/>
      <w:szCs w:val="24"/>
    </w:rPr>
  </w:style>
  <w:style w:type="character" w:styleId="916">
    <w:name w:val="Placeholder Text"/>
    <w:basedOn w:val="91"/>
    <w:qFormat/>
    <w:uiPriority w:val="99"/>
    <w:rPr>
      <w:color w:val="808080"/>
    </w:rPr>
  </w:style>
  <w:style w:type="character" w:customStyle="1" w:styleId="917">
    <w:name w:val="不明显强调1"/>
    <w:basedOn w:val="91"/>
    <w:qFormat/>
    <w:uiPriority w:val="19"/>
    <w:rPr>
      <w:i/>
      <w:iCs/>
      <w:color w:val="808080"/>
    </w:rPr>
  </w:style>
  <w:style w:type="character" w:customStyle="1" w:styleId="918">
    <w:name w:val="明显强调1"/>
    <w:basedOn w:val="91"/>
    <w:qFormat/>
    <w:uiPriority w:val="21"/>
    <w:rPr>
      <w:b/>
      <w:bCs/>
      <w:i/>
      <w:iCs/>
      <w:color w:val="4F81BD"/>
    </w:rPr>
  </w:style>
  <w:style w:type="character" w:customStyle="1" w:styleId="919">
    <w:name w:val="不明显参考1"/>
    <w:basedOn w:val="91"/>
    <w:qFormat/>
    <w:uiPriority w:val="31"/>
    <w:rPr>
      <w:smallCaps/>
      <w:color w:val="C0504D"/>
      <w:u w:val="single"/>
    </w:rPr>
  </w:style>
  <w:style w:type="character" w:customStyle="1" w:styleId="920">
    <w:name w:val="明显参考1"/>
    <w:basedOn w:val="91"/>
    <w:qFormat/>
    <w:uiPriority w:val="32"/>
    <w:rPr>
      <w:b/>
      <w:bCs/>
      <w:smallCaps/>
      <w:color w:val="C0504D"/>
      <w:spacing w:val="5"/>
      <w:u w:val="single"/>
    </w:rPr>
  </w:style>
  <w:style w:type="character" w:customStyle="1" w:styleId="921">
    <w:name w:val="书籍标题1"/>
    <w:basedOn w:val="91"/>
    <w:qFormat/>
    <w:uiPriority w:val="33"/>
    <w:rPr>
      <w:b/>
      <w:bCs/>
      <w:smallCaps/>
      <w:spacing w:val="5"/>
    </w:rPr>
  </w:style>
  <w:style w:type="character" w:customStyle="1" w:styleId="922">
    <w:name w:val="标题 6 Char1"/>
    <w:basedOn w:val="91"/>
    <w:qFormat/>
    <w:uiPriority w:val="0"/>
    <w:rPr>
      <w:rFonts w:hint="default" w:ascii="Arial" w:hAnsi="Arial" w:cstheme="majorBidi"/>
      <w:bCs/>
      <w:sz w:val="24"/>
      <w:szCs w:val="28"/>
    </w:rPr>
  </w:style>
  <w:style w:type="character" w:customStyle="1" w:styleId="923">
    <w:name w:val="标题 8 Char1"/>
    <w:basedOn w:val="91"/>
    <w:qFormat/>
    <w:uiPriority w:val="0"/>
    <w:rPr>
      <w:rFonts w:hint="eastAsia" w:asciiTheme="majorHAnsi" w:hAnsiTheme="majorHAnsi" w:eastAsiaTheme="majorEastAsia" w:cstheme="majorBidi"/>
      <w:kern w:val="2"/>
      <w:sz w:val="24"/>
      <w:szCs w:val="24"/>
    </w:rPr>
  </w:style>
  <w:style w:type="character" w:customStyle="1" w:styleId="924">
    <w:name w:val="标题 9 Char1"/>
    <w:basedOn w:val="91"/>
    <w:qFormat/>
    <w:uiPriority w:val="0"/>
    <w:rPr>
      <w:rFonts w:hint="eastAsia" w:asciiTheme="majorHAnsi" w:hAnsiTheme="majorHAnsi" w:eastAsiaTheme="majorEastAsia" w:cstheme="majorBidi"/>
      <w:kern w:val="2"/>
      <w:sz w:val="21"/>
      <w:szCs w:val="21"/>
    </w:rPr>
  </w:style>
  <w:style w:type="character" w:customStyle="1" w:styleId="925">
    <w:name w:val="文档结构图 Char1"/>
    <w:basedOn w:val="91"/>
    <w:qFormat/>
    <w:uiPriority w:val="0"/>
    <w:rPr>
      <w:rFonts w:hint="default" w:ascii="Arial" w:hAnsi="Arial" w:cs="Arial"/>
      <w:kern w:val="2"/>
      <w:sz w:val="21"/>
      <w:szCs w:val="24"/>
      <w:shd w:val="clear" w:color="auto" w:fill="000080"/>
    </w:rPr>
  </w:style>
  <w:style w:type="character" w:customStyle="1" w:styleId="926">
    <w:name w:val="明显引用 Char1"/>
    <w:basedOn w:val="91"/>
    <w:qFormat/>
    <w:uiPriority w:val="30"/>
    <w:rPr>
      <w:rFonts w:hint="default" w:ascii="Arial" w:hAnsi="Arial" w:cs="Arial"/>
      <w:b/>
      <w:bCs/>
      <w:i/>
      <w:iCs/>
      <w:color w:val="4F81BD"/>
      <w:kern w:val="2"/>
      <w:sz w:val="21"/>
      <w:szCs w:val="24"/>
    </w:rPr>
  </w:style>
  <w:style w:type="character" w:customStyle="1" w:styleId="927">
    <w:name w:val="无间隔 Char1"/>
    <w:basedOn w:val="91"/>
    <w:qFormat/>
    <w:uiPriority w:val="1"/>
    <w:rPr>
      <w:rFonts w:hint="default" w:ascii="Calibri" w:hAnsi="Calibri"/>
      <w:sz w:val="22"/>
      <w:szCs w:val="22"/>
    </w:rPr>
  </w:style>
  <w:style w:type="character" w:customStyle="1" w:styleId="928">
    <w:name w:val="批注框文本 Char1"/>
    <w:basedOn w:val="91"/>
    <w:qFormat/>
    <w:uiPriority w:val="0"/>
    <w:rPr>
      <w:rFonts w:hint="default" w:ascii="Arial" w:hAnsi="Arial" w:cs="Arial"/>
      <w:kern w:val="2"/>
      <w:sz w:val="18"/>
      <w:szCs w:val="18"/>
    </w:rPr>
  </w:style>
  <w:style w:type="character" w:customStyle="1" w:styleId="929">
    <w:name w:val="Char Char16"/>
    <w:basedOn w:val="91"/>
    <w:qFormat/>
    <w:uiPriority w:val="1"/>
    <w:rPr>
      <w:rFonts w:hint="default" w:ascii="Arial" w:hAnsi="Arial" w:eastAsia="宋体" w:cs="Times New Roman"/>
      <w:b/>
      <w:sz w:val="24"/>
      <w:szCs w:val="28"/>
    </w:rPr>
  </w:style>
  <w:style w:type="character" w:customStyle="1" w:styleId="930">
    <w:name w:val="Char Char13"/>
    <w:basedOn w:val="91"/>
    <w:qFormat/>
    <w:uiPriority w:val="1"/>
    <w:rPr>
      <w:rFonts w:hint="default" w:ascii="Arial" w:hAnsi="Arial" w:eastAsia="宋体" w:cs="Times New Roman"/>
      <w:sz w:val="24"/>
      <w:szCs w:val="24"/>
    </w:rPr>
  </w:style>
  <w:style w:type="character" w:customStyle="1" w:styleId="931">
    <w:name w:val="表格文字 Char1"/>
    <w:qFormat/>
    <w:uiPriority w:val="0"/>
    <w:rPr>
      <w:rFonts w:hint="default" w:ascii="Arial" w:hAnsi="Arial" w:eastAsia="宋体" w:cs="Times New Roman"/>
      <w:szCs w:val="24"/>
    </w:rPr>
  </w:style>
  <w:style w:type="character" w:customStyle="1" w:styleId="932">
    <w:name w:val="Char Char17"/>
    <w:basedOn w:val="91"/>
    <w:qFormat/>
    <w:uiPriority w:val="1"/>
    <w:rPr>
      <w:rFonts w:hint="default" w:ascii="Arial" w:hAnsi="Arial" w:eastAsia="宋体" w:cs="Times New Roman"/>
      <w:b/>
      <w:kern w:val="44"/>
      <w:sz w:val="28"/>
      <w:szCs w:val="32"/>
    </w:rPr>
  </w:style>
  <w:style w:type="character" w:customStyle="1" w:styleId="933">
    <w:name w:val="未处理的提及1"/>
    <w:basedOn w:val="91"/>
    <w:semiHidden/>
    <w:qFormat/>
    <w:uiPriority w:val="99"/>
    <w:rPr>
      <w:color w:val="605E5C"/>
      <w:shd w:val="clear" w:color="auto" w:fill="E1DFDD"/>
    </w:rPr>
  </w:style>
  <w:style w:type="character" w:customStyle="1" w:styleId="934">
    <w:name w:val="未处理的提及2"/>
    <w:basedOn w:val="91"/>
    <w:semiHidden/>
    <w:qFormat/>
    <w:uiPriority w:val="99"/>
    <w:rPr>
      <w:color w:val="605E5C"/>
      <w:shd w:val="clear" w:color="auto" w:fill="E1DFDD"/>
    </w:rPr>
  </w:style>
  <w:style w:type="table" w:customStyle="1" w:styleId="935">
    <w:name w:val="表格（大字体）"/>
    <w:basedOn w:val="80"/>
    <w:qFormat/>
    <w:uiPriority w:val="99"/>
    <w:pPr>
      <w:jc w:val="center"/>
    </w:pPr>
    <w:rPr>
      <w:rFonts w:ascii="微软雅黑"/>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tblStylePr w:type="firstRow">
      <w:pPr>
        <w:keepNext/>
        <w:keepLines/>
        <w:pageBreakBefore w:val="0"/>
        <w:widowControl/>
        <w:suppressLineNumbers w:val="0"/>
        <w:suppressAutoHyphens w:val="0"/>
        <w:wordWrap/>
        <w:jc w:val="center"/>
      </w:pPr>
      <w:rPr>
        <w:rFonts w:eastAsiaTheme="minorEastAsia"/>
        <w:b/>
        <w:sz w:val="21"/>
      </w:rPr>
      <w:tblPr/>
      <w:trPr>
        <w:cantSplit/>
        <w:tblHeader/>
      </w:trPr>
      <w:tcPr>
        <w:tcBorders>
          <w:top w:val="single" w:color="auto" w:sz="12" w:space="0"/>
          <w:left w:val="single" w:color="auto" w:sz="12" w:space="0"/>
          <w:bottom w:val="single" w:color="auto" w:sz="12" w:space="0"/>
          <w:right w:val="single" w:color="auto" w:sz="12" w:space="0"/>
        </w:tcBorders>
      </w:tcPr>
    </w:tblStylePr>
    <w:tblStylePr w:type="lastRow">
      <w:pPr>
        <w:jc w:val="center"/>
      </w:pPr>
      <w:rPr>
        <w:rFonts w:eastAsiaTheme="minorEastAsia"/>
        <w:b/>
        <w:sz w:val="21"/>
      </w:rPr>
      <w:tcPr>
        <w:tcBorders>
          <w:top w:val="single" w:color="auto" w:sz="12" w:space="0"/>
          <w:left w:val="single" w:color="auto" w:sz="12" w:space="0"/>
          <w:bottom w:val="single" w:color="auto" w:sz="12" w:space="0"/>
          <w:right w:val="single" w:color="auto" w:sz="12" w:space="0"/>
        </w:tcBorders>
      </w:tcPr>
    </w:tblStylePr>
    <w:tblStylePr w:type="firstCol">
      <w:pPr>
        <w:jc w:val="center"/>
      </w:pPr>
      <w:rPr>
        <w:b/>
      </w:rPr>
    </w:tblStylePr>
    <w:tblStylePr w:type="lastCol">
      <w:rPr>
        <w:b/>
      </w:rPr>
    </w:tblStylePr>
  </w:style>
  <w:style w:type="table" w:customStyle="1" w:styleId="936">
    <w:name w:val="网格表 1 浅色 - 着色 51"/>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937">
    <w:name w:val="网格表 4 - 着色 21"/>
    <w:basedOn w:val="80"/>
    <w:qFormat/>
    <w:uiPriority w:val="49"/>
    <w:pPr>
      <w:jc w:val="center"/>
    </w:pPr>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cPr>
      <w:vAlign w:val="center"/>
    </w:tcPr>
    <w:tblStylePr w:type="firstRow">
      <w:rPr>
        <w:b/>
        <w:bCs/>
        <w:color w:val="FFFFFF" w:themeColor="background1"/>
        <w14:textFill>
          <w14:solidFill>
            <w14:schemeClr w14:val="bg1"/>
          </w14:solidFill>
        </w14:textFill>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938">
    <w:name w:val="浅色列表 - 强调文字颜色 1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939">
    <w:name w:val="浅色列表 - 强调文字颜色 12"/>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940">
    <w:name w:val="中等深浅底纹 1 - 强调文字颜色 12"/>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941">
    <w:name w:val="浅色列表 - 强调文字颜色 13"/>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942">
    <w:name w:val="中等深浅底纹 1 - 强调文字颜色 13"/>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943">
    <w:name w:val="浅色列表 - 强调文字颜色 14"/>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944">
    <w:name w:val="中等深浅底纹 1 - 强调文字颜色 14"/>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945">
    <w:name w:val="浅色列表 - 强调文字颜色 15"/>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946">
    <w:name w:val="中等深浅底纹 1 - 强调文字颜色 15"/>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947">
    <w:name w:val="浅色列表 - 强调文字颜色 16"/>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948">
    <w:name w:val="中等深浅底纹 1 - 强调文字颜色 16"/>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949">
    <w:name w:val="浅色列表 - 强调文字颜色 17"/>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950">
    <w:name w:val="中等深浅底纹 1 - 强调文字颜色 17"/>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951">
    <w:name w:val="浅色列表 - 强调文字颜色 18"/>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952">
    <w:name w:val="中等深浅底纹 1 - 强调文字颜色 18"/>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953">
    <w:name w:val="网格表 1 浅色 - 着色 52"/>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954">
    <w:name w:val="网格表 4 - 着色 22"/>
    <w:basedOn w:val="80"/>
    <w:qFormat/>
    <w:uiPriority w:val="49"/>
    <w:pPr>
      <w:jc w:val="center"/>
    </w:pPr>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cPr>
      <w:vAlign w:val="center"/>
    </w:tcPr>
    <w:tblStylePr w:type="firstRow">
      <w:rPr>
        <w:b/>
        <w:bCs/>
        <w:color w:val="FFFFFF" w:themeColor="background1"/>
        <w14:textFill>
          <w14:solidFill>
            <w14:schemeClr w14:val="bg1"/>
          </w14:solidFill>
        </w14:textFill>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character" w:customStyle="1" w:styleId="955">
    <w:name w:val="未处理的提及3"/>
    <w:basedOn w:val="91"/>
    <w:semiHidden/>
    <w:unhideWhenUsed/>
    <w:qFormat/>
    <w:uiPriority w:val="99"/>
    <w:rPr>
      <w:color w:val="605E5C"/>
      <w:shd w:val="clear" w:color="auto" w:fill="E1DFDD"/>
    </w:rPr>
  </w:style>
  <w:style w:type="paragraph" w:customStyle="1" w:styleId="956">
    <w:name w:val="修订1"/>
    <w:hidden/>
    <w:semiHidden/>
    <w:qFormat/>
    <w:uiPriority w:val="99"/>
    <w:rPr>
      <w:rFonts w:ascii="Times New Roman" w:hAnsi="Times New Roman" w:eastAsia="宋体" w:cstheme="minorBidi"/>
      <w:kern w:val="2"/>
      <w:sz w:val="24"/>
      <w:szCs w:val="22"/>
      <w:lang w:val="en-US" w:eastAsia="zh-CN" w:bidi="ar-SA"/>
    </w:rPr>
  </w:style>
  <w:style w:type="paragraph" w:customStyle="1" w:styleId="957">
    <w:name w:val="Char Char4 Char Char1 Char Char Char Char Char Char Char Char Char Char Char Char Char Char"/>
    <w:basedOn w:val="1"/>
    <w:semiHidden/>
    <w:qFormat/>
    <w:uiPriority w:val="1"/>
    <w:pPr>
      <w:snapToGrid/>
      <w:spacing w:line="240" w:lineRule="auto"/>
    </w:pPr>
    <w:rPr>
      <w:rFonts w:ascii="Arial" w:hAnsi="Arial" w:eastAsia="仿宋_GB2312" w:cs="Times New Roman"/>
      <w:szCs w:val="24"/>
    </w:rPr>
  </w:style>
  <w:style w:type="paragraph" w:customStyle="1" w:styleId="958">
    <w:name w:val="Char Char4 Char Char1 Char Char Char Char Char Char Char Char Char Char Char Char Char Char1"/>
    <w:basedOn w:val="1"/>
    <w:semiHidden/>
    <w:qFormat/>
    <w:uiPriority w:val="1"/>
    <w:pPr>
      <w:snapToGrid/>
      <w:spacing w:line="240" w:lineRule="auto"/>
    </w:pPr>
    <w:rPr>
      <w:rFonts w:ascii="Arial" w:hAnsi="Arial" w:eastAsia="仿宋_GB2312" w:cs="Times New Roman"/>
      <w:szCs w:val="24"/>
    </w:rPr>
  </w:style>
  <w:style w:type="paragraph" w:customStyle="1" w:styleId="959">
    <w:name w:val="无间隔1"/>
    <w:qFormat/>
    <w:uiPriority w:val="1"/>
    <w:rPr>
      <w:rFonts w:ascii="Calibri" w:hAnsi="Calibri" w:eastAsia="宋体" w:cs="Times New Roman"/>
      <w:sz w:val="22"/>
      <w:szCs w:val="22"/>
      <w:lang w:val="en-US" w:eastAsia="zh-CN" w:bidi="ar-SA"/>
    </w:rPr>
  </w:style>
  <w:style w:type="paragraph" w:customStyle="1" w:styleId="960">
    <w:name w:val="引用1"/>
    <w:basedOn w:val="1"/>
    <w:next w:val="1"/>
    <w:qFormat/>
    <w:uiPriority w:val="29"/>
    <w:pPr>
      <w:snapToGrid/>
      <w:spacing w:line="240" w:lineRule="auto"/>
    </w:pPr>
    <w:rPr>
      <w:rFonts w:ascii="Arial" w:hAnsi="Arial" w:cs="Times New Roman"/>
      <w:i/>
      <w:iCs/>
      <w:color w:val="000000"/>
      <w:sz w:val="13"/>
      <w:szCs w:val="24"/>
    </w:rPr>
  </w:style>
  <w:style w:type="paragraph" w:customStyle="1" w:styleId="961">
    <w:name w:val="明显引用1"/>
    <w:basedOn w:val="1"/>
    <w:next w:val="1"/>
    <w:qFormat/>
    <w:uiPriority w:val="30"/>
    <w:pPr>
      <w:pBdr>
        <w:bottom w:val="single" w:color="4F81BD" w:sz="4" w:space="4"/>
      </w:pBdr>
      <w:snapToGrid/>
      <w:spacing w:before="200" w:after="280" w:line="240" w:lineRule="auto"/>
      <w:ind w:left="936" w:right="936"/>
    </w:pPr>
    <w:rPr>
      <w:rFonts w:ascii="Arial" w:hAnsi="Arial" w:cs="Times New Roman"/>
      <w:b/>
      <w:bCs/>
      <w:i/>
      <w:iCs/>
      <w:color w:val="4F81BD"/>
      <w:sz w:val="13"/>
      <w:szCs w:val="24"/>
    </w:rPr>
  </w:style>
  <w:style w:type="paragraph" w:customStyle="1" w:styleId="962">
    <w:name w:val="TOC 标题11"/>
    <w:basedOn w:val="3"/>
    <w:next w:val="1"/>
    <w:unhideWhenUsed/>
    <w:qFormat/>
    <w:uiPriority w:val="39"/>
    <w:pPr>
      <w:keepLines w:val="0"/>
      <w:pageBreakBefore/>
      <w:widowControl/>
      <w:adjustRightInd w:val="0"/>
      <w:snapToGrid/>
      <w:spacing w:before="120" w:after="120" w:line="276" w:lineRule="auto"/>
      <w:ind w:left="1134" w:hanging="1134"/>
      <w:jc w:val="left"/>
      <w:textAlignment w:val="baseline"/>
      <w:outlineLvl w:val="9"/>
    </w:pPr>
    <w:rPr>
      <w:rFonts w:ascii="Cambria" w:hAnsi="Cambria" w:eastAsia="宋体" w:cs="黑体"/>
      <w:b w:val="0"/>
      <w:bCs w:val="0"/>
      <w:kern w:val="0"/>
      <w:sz w:val="24"/>
      <w:szCs w:val="28"/>
    </w:rPr>
  </w:style>
  <w:style w:type="paragraph" w:customStyle="1" w:styleId="963">
    <w:name w:val="In Table"/>
    <w:basedOn w:val="1"/>
    <w:qFormat/>
    <w:uiPriority w:val="1"/>
    <w:pPr>
      <w:tabs>
        <w:tab w:val="left" w:pos="3960"/>
        <w:tab w:val="left" w:pos="5280"/>
      </w:tabs>
      <w:snapToGrid/>
      <w:spacing w:beforeLines="40" w:afterLines="40" w:line="0" w:lineRule="atLeast"/>
      <w:jc w:val="center"/>
    </w:pPr>
    <w:rPr>
      <w:rFonts w:ascii="Arial" w:hAnsi="Arial" w:cs="Arial"/>
      <w:sz w:val="13"/>
    </w:rPr>
  </w:style>
  <w:style w:type="paragraph" w:customStyle="1" w:styleId="964">
    <w:name w:val="标题5（小）"/>
    <w:basedOn w:val="7"/>
    <w:qFormat/>
    <w:uiPriority w:val="0"/>
    <w:pPr>
      <w:keepNext w:val="0"/>
      <w:keepLines w:val="0"/>
      <w:widowControl/>
      <w:numPr>
        <w:numId w:val="0"/>
      </w:numPr>
      <w:adjustRightInd w:val="0"/>
      <w:spacing w:before="50" w:beforeLines="50" w:after="50" w:afterLines="50" w:line="240" w:lineRule="auto"/>
      <w:ind w:left="567" w:hanging="567"/>
      <w:jc w:val="left"/>
      <w:textAlignment w:val="baseline"/>
    </w:pPr>
    <w:rPr>
      <w:rFonts w:ascii="Arial" w:hAnsi="Arial" w:eastAsia="宋体" w:cs="Times New Roman"/>
      <w:sz w:val="21"/>
      <w:szCs w:val="28"/>
    </w:rPr>
  </w:style>
  <w:style w:type="paragraph" w:customStyle="1" w:styleId="965">
    <w:name w:val="样式 正文首行缩进正文首行缩进 Char Char正文首行缩进 Char1 + 段前: 0.5 行"/>
    <w:basedOn w:val="79"/>
    <w:qFormat/>
    <w:uiPriority w:val="0"/>
    <w:pPr>
      <w:widowControl/>
      <w:adjustRightInd w:val="0"/>
      <w:snapToGrid w:val="0"/>
      <w:spacing w:before="50" w:beforeLines="50" w:after="50" w:afterLines="50"/>
      <w:ind w:firstLine="567" w:firstLineChars="0"/>
    </w:pPr>
    <w:rPr>
      <w:rFonts w:ascii="Arial" w:hAnsi="Arial" w:cs="宋体"/>
      <w:sz w:val="28"/>
    </w:rPr>
  </w:style>
  <w:style w:type="paragraph" w:customStyle="1" w:styleId="966">
    <w:name w:val="样式 表格文字（小） +"/>
    <w:basedOn w:val="600"/>
    <w:qFormat/>
    <w:uiPriority w:val="0"/>
    <w:rPr>
      <w:sz w:val="21"/>
    </w:rPr>
  </w:style>
  <w:style w:type="paragraph" w:customStyle="1" w:styleId="967">
    <w:name w:val="修订11"/>
    <w:hidden/>
    <w:semiHidden/>
    <w:qFormat/>
    <w:uiPriority w:val="99"/>
    <w:rPr>
      <w:rFonts w:ascii="Arial" w:hAnsi="Arial" w:eastAsia="宋体" w:cs="Times New Roman"/>
      <w:kern w:val="2"/>
      <w:sz w:val="13"/>
      <w:szCs w:val="24"/>
      <w:lang w:val="en-US" w:eastAsia="zh-CN" w:bidi="ar-SA"/>
    </w:rPr>
  </w:style>
  <w:style w:type="character" w:customStyle="1" w:styleId="968">
    <w:name w:val="不明显强调11"/>
    <w:basedOn w:val="91"/>
    <w:qFormat/>
    <w:uiPriority w:val="19"/>
    <w:rPr>
      <w:i/>
      <w:iCs/>
      <w:color w:val="808080"/>
    </w:rPr>
  </w:style>
  <w:style w:type="character" w:customStyle="1" w:styleId="969">
    <w:name w:val="明显强调11"/>
    <w:basedOn w:val="91"/>
    <w:qFormat/>
    <w:uiPriority w:val="21"/>
    <w:rPr>
      <w:b/>
      <w:bCs/>
      <w:i/>
      <w:iCs/>
      <w:color w:val="4F81BD"/>
    </w:rPr>
  </w:style>
  <w:style w:type="character" w:customStyle="1" w:styleId="970">
    <w:name w:val="不明显参考11"/>
    <w:basedOn w:val="91"/>
    <w:qFormat/>
    <w:uiPriority w:val="31"/>
    <w:rPr>
      <w:smallCaps/>
      <w:color w:val="C0504D"/>
      <w:u w:val="single"/>
    </w:rPr>
  </w:style>
  <w:style w:type="character" w:customStyle="1" w:styleId="971">
    <w:name w:val="明显参考11"/>
    <w:basedOn w:val="91"/>
    <w:qFormat/>
    <w:uiPriority w:val="32"/>
    <w:rPr>
      <w:b/>
      <w:bCs/>
      <w:smallCaps/>
      <w:color w:val="C0504D"/>
      <w:spacing w:val="5"/>
      <w:u w:val="single"/>
    </w:rPr>
  </w:style>
  <w:style w:type="character" w:customStyle="1" w:styleId="972">
    <w:name w:val="书籍标题11"/>
    <w:basedOn w:val="91"/>
    <w:qFormat/>
    <w:uiPriority w:val="33"/>
    <w:rPr>
      <w:b/>
      <w:bCs/>
      <w:smallCaps/>
      <w:spacing w:val="5"/>
    </w:rPr>
  </w:style>
  <w:style w:type="character" w:customStyle="1" w:styleId="973">
    <w:name w:val="apple-style-span"/>
    <w:basedOn w:val="91"/>
    <w:qFormat/>
    <w:uiPriority w:val="1"/>
  </w:style>
  <w:style w:type="character" w:customStyle="1" w:styleId="974">
    <w:name w:val="上标"/>
    <w:qFormat/>
    <w:uiPriority w:val="0"/>
    <w:rPr>
      <w:vertAlign w:val="superscript"/>
    </w:rPr>
  </w:style>
  <w:style w:type="character" w:customStyle="1" w:styleId="975">
    <w:name w:val="占位符文本1"/>
    <w:semiHidden/>
    <w:qFormat/>
    <w:uiPriority w:val="99"/>
    <w:rPr>
      <w:color w:val="808080"/>
    </w:rPr>
  </w:style>
  <w:style w:type="paragraph" w:customStyle="1" w:styleId="976">
    <w:name w:val="表项"/>
    <w:basedOn w:val="1"/>
    <w:qFormat/>
    <w:uiPriority w:val="0"/>
    <w:pPr>
      <w:adjustRightInd w:val="0"/>
      <w:snapToGrid/>
      <w:spacing w:before="60" w:after="60" w:line="288" w:lineRule="auto"/>
      <w:jc w:val="center"/>
      <w:textAlignment w:val="baseline"/>
    </w:pPr>
    <w:rPr>
      <w:rFonts w:ascii="Arial" w:hAnsi="Arial" w:eastAsia="楷体" w:cs="Times New Roman"/>
      <w:kern w:val="44"/>
      <w:sz w:val="18"/>
      <w:lang w:val="en-GB"/>
    </w:rPr>
  </w:style>
  <w:style w:type="paragraph" w:customStyle="1" w:styleId="977">
    <w:name w:val="不缩进"/>
    <w:basedOn w:val="1"/>
    <w:qFormat/>
    <w:uiPriority w:val="0"/>
    <w:pPr>
      <w:spacing w:line="240" w:lineRule="auto"/>
      <w:jc w:val="center"/>
      <w:textAlignment w:val="top"/>
    </w:pPr>
    <w:rPr>
      <w:rFonts w:ascii="Arial" w:hAnsi="Arial" w:eastAsia="楷体_GB2312" w:cs="Times New Roman"/>
    </w:rPr>
  </w:style>
  <w:style w:type="character" w:customStyle="1" w:styleId="978">
    <w:name w:val="引用 Char2"/>
    <w:basedOn w:val="91"/>
    <w:qFormat/>
    <w:uiPriority w:val="29"/>
    <w:rPr>
      <w:rFonts w:ascii="Arial" w:hAnsi="Arial"/>
      <w:i/>
      <w:iCs/>
      <w:color w:val="000000"/>
      <w:kern w:val="2"/>
      <w:sz w:val="21"/>
      <w:szCs w:val="24"/>
    </w:rPr>
  </w:style>
  <w:style w:type="character" w:customStyle="1" w:styleId="979">
    <w:name w:val="明显引用 Char2"/>
    <w:basedOn w:val="91"/>
    <w:qFormat/>
    <w:uiPriority w:val="30"/>
    <w:rPr>
      <w:rFonts w:ascii="Arial" w:hAnsi="Arial"/>
      <w:b/>
      <w:bCs/>
      <w:i/>
      <w:iCs/>
      <w:color w:val="4F81BD"/>
      <w:kern w:val="2"/>
      <w:sz w:val="21"/>
      <w:szCs w:val="24"/>
    </w:rPr>
  </w:style>
  <w:style w:type="character" w:customStyle="1" w:styleId="980">
    <w:name w:val="无间隔 Char2"/>
    <w:basedOn w:val="91"/>
    <w:qFormat/>
    <w:uiPriority w:val="1"/>
    <w:rPr>
      <w:rFonts w:ascii="Calibri" w:hAnsi="Calibri"/>
      <w:sz w:val="22"/>
      <w:szCs w:val="22"/>
    </w:rPr>
  </w:style>
  <w:style w:type="table" w:customStyle="1" w:styleId="981">
    <w:name w:val="网格表 1 浅色 - 着色 53"/>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982">
    <w:name w:val="网格表 4 - 着色 23"/>
    <w:basedOn w:val="80"/>
    <w:qFormat/>
    <w:uiPriority w:val="49"/>
    <w:pPr>
      <w:jc w:val="center"/>
    </w:pPr>
    <w:tblPr>
      <w:jc w:val="cente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rPr>
      <w:jc w:val="center"/>
    </w:trPr>
    <w:tcPr>
      <w:vAlign w:val="center"/>
    </w:tcPr>
    <w:tblStylePr w:type="firstRow">
      <w:rPr>
        <w:b/>
        <w:bCs/>
        <w:color w:val="FFFFFF" w:themeColor="background1"/>
        <w14:textFill>
          <w14:solidFill>
            <w14:schemeClr w14:val="bg1"/>
          </w14:solidFill>
        </w14:textFill>
      </w:rPr>
      <w:tblPr/>
      <w:trPr>
        <w:cantSplit/>
        <w:tblHeader/>
      </w:t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character" w:customStyle="1" w:styleId="983">
    <w:name w:val="未处理的提及31"/>
    <w:basedOn w:val="91"/>
    <w:semiHidden/>
    <w:unhideWhenUsed/>
    <w:qFormat/>
    <w:uiPriority w:val="99"/>
    <w:rPr>
      <w:color w:val="605E5C"/>
      <w:shd w:val="clear" w:color="auto" w:fill="E1DFDD"/>
    </w:rPr>
  </w:style>
  <w:style w:type="character" w:customStyle="1" w:styleId="984">
    <w:name w:val="页眉 Char2"/>
    <w:basedOn w:val="91"/>
    <w:qFormat/>
    <w:uiPriority w:val="99"/>
    <w:rPr>
      <w:rFonts w:ascii="Arial" w:hAnsi="Arial"/>
      <w:sz w:val="18"/>
      <w:szCs w:val="18"/>
    </w:rPr>
  </w:style>
  <w:style w:type="character" w:customStyle="1" w:styleId="985">
    <w:name w:val="页脚 Char2"/>
    <w:basedOn w:val="91"/>
    <w:qFormat/>
    <w:uiPriority w:val="0"/>
    <w:rPr>
      <w:rFonts w:ascii="Arial" w:hAnsi="Arial"/>
      <w:kern w:val="2"/>
      <w:sz w:val="18"/>
      <w:szCs w:val="18"/>
    </w:rPr>
  </w:style>
  <w:style w:type="character" w:customStyle="1" w:styleId="986">
    <w:name w:val="文档结构图 Char2"/>
    <w:basedOn w:val="91"/>
    <w:qFormat/>
    <w:uiPriority w:val="0"/>
    <w:rPr>
      <w:rFonts w:ascii="Arial" w:hAnsi="Arial"/>
      <w:kern w:val="2"/>
      <w:sz w:val="21"/>
      <w:szCs w:val="24"/>
      <w:shd w:val="clear" w:color="auto" w:fill="000080"/>
    </w:rPr>
  </w:style>
  <w:style w:type="character" w:customStyle="1" w:styleId="987">
    <w:name w:val="副标题 Char2"/>
    <w:basedOn w:val="91"/>
    <w:qFormat/>
    <w:uiPriority w:val="0"/>
    <w:rPr>
      <w:rFonts w:ascii="Cambria" w:hAnsi="Cambria"/>
      <w:b/>
      <w:bCs/>
      <w:kern w:val="28"/>
      <w:sz w:val="32"/>
      <w:szCs w:val="32"/>
    </w:rPr>
  </w:style>
  <w:style w:type="character" w:customStyle="1" w:styleId="988">
    <w:name w:val="引用 Char3"/>
    <w:basedOn w:val="91"/>
    <w:qFormat/>
    <w:uiPriority w:val="29"/>
    <w:rPr>
      <w:rFonts w:ascii="Arial" w:hAnsi="Arial"/>
      <w:i/>
      <w:iCs/>
      <w:color w:val="000000"/>
      <w:kern w:val="2"/>
      <w:sz w:val="21"/>
      <w:szCs w:val="24"/>
    </w:rPr>
  </w:style>
  <w:style w:type="character" w:customStyle="1" w:styleId="989">
    <w:name w:val="明显引用 Char3"/>
    <w:basedOn w:val="91"/>
    <w:qFormat/>
    <w:uiPriority w:val="30"/>
    <w:rPr>
      <w:rFonts w:ascii="Arial" w:hAnsi="Arial"/>
      <w:b/>
      <w:bCs/>
      <w:i/>
      <w:iCs/>
      <w:color w:val="4F81BD"/>
      <w:kern w:val="2"/>
      <w:sz w:val="21"/>
      <w:szCs w:val="24"/>
    </w:rPr>
  </w:style>
  <w:style w:type="character" w:customStyle="1" w:styleId="990">
    <w:name w:val="标题 4 Char2"/>
    <w:qFormat/>
    <w:uiPriority w:val="0"/>
    <w:rPr>
      <w:rFonts w:ascii="Arial" w:hAnsi="Arial"/>
      <w:sz w:val="24"/>
      <w:szCs w:val="28"/>
    </w:rPr>
  </w:style>
  <w:style w:type="character" w:customStyle="1" w:styleId="991">
    <w:name w:val="标题 5 Char2"/>
    <w:qFormat/>
    <w:uiPriority w:val="0"/>
    <w:rPr>
      <w:rFonts w:ascii="Arial" w:hAnsi="Arial"/>
      <w:sz w:val="24"/>
      <w:szCs w:val="28"/>
    </w:rPr>
  </w:style>
  <w:style w:type="character" w:customStyle="1" w:styleId="992">
    <w:name w:val="无间隔 Char3"/>
    <w:basedOn w:val="91"/>
    <w:qFormat/>
    <w:uiPriority w:val="1"/>
    <w:rPr>
      <w:rFonts w:ascii="Calibri" w:hAnsi="Calibri"/>
      <w:sz w:val="22"/>
      <w:szCs w:val="22"/>
    </w:rPr>
  </w:style>
  <w:style w:type="character" w:customStyle="1" w:styleId="993">
    <w:name w:val="正文文本 Char2"/>
    <w:basedOn w:val="91"/>
    <w:qFormat/>
    <w:uiPriority w:val="0"/>
    <w:rPr>
      <w:rFonts w:ascii="Arial" w:hAnsi="Arial"/>
      <w:kern w:val="2"/>
      <w:sz w:val="21"/>
      <w:szCs w:val="24"/>
    </w:rPr>
  </w:style>
  <w:style w:type="character" w:customStyle="1" w:styleId="994">
    <w:name w:val="正文首行缩进 Char3"/>
    <w:basedOn w:val="993"/>
    <w:qFormat/>
    <w:uiPriority w:val="0"/>
    <w:rPr>
      <w:rFonts w:ascii="Arial" w:hAnsi="Arial"/>
      <w:kern w:val="2"/>
      <w:sz w:val="24"/>
      <w:szCs w:val="24"/>
    </w:rPr>
  </w:style>
  <w:style w:type="character" w:customStyle="1" w:styleId="995">
    <w:name w:val="正文文本缩进 Char2"/>
    <w:basedOn w:val="91"/>
    <w:qFormat/>
    <w:uiPriority w:val="0"/>
    <w:rPr>
      <w:rFonts w:ascii="Arial" w:hAnsi="Arial"/>
      <w:kern w:val="2"/>
      <w:sz w:val="21"/>
      <w:szCs w:val="24"/>
    </w:rPr>
  </w:style>
  <w:style w:type="character" w:customStyle="1" w:styleId="996">
    <w:name w:val="标题 6 Char2"/>
    <w:basedOn w:val="91"/>
    <w:qFormat/>
    <w:uiPriority w:val="0"/>
    <w:rPr>
      <w:rFonts w:ascii="Arial" w:hAnsi="Arial" w:cstheme="majorBidi"/>
      <w:bCs/>
      <w:sz w:val="24"/>
      <w:szCs w:val="28"/>
    </w:rPr>
  </w:style>
  <w:style w:type="character" w:customStyle="1" w:styleId="997">
    <w:name w:val="标题 7 Char2"/>
    <w:basedOn w:val="91"/>
    <w:qFormat/>
    <w:uiPriority w:val="0"/>
    <w:rPr>
      <w:rFonts w:ascii="Arial" w:hAnsi="Arial"/>
      <w:b/>
      <w:bCs/>
      <w:kern w:val="2"/>
      <w:sz w:val="24"/>
      <w:szCs w:val="24"/>
    </w:rPr>
  </w:style>
  <w:style w:type="character" w:customStyle="1" w:styleId="998">
    <w:name w:val="标题 8 Char2"/>
    <w:basedOn w:val="91"/>
    <w:qFormat/>
    <w:uiPriority w:val="0"/>
    <w:rPr>
      <w:rFonts w:asciiTheme="majorHAnsi" w:hAnsiTheme="majorHAnsi" w:eastAsiaTheme="majorEastAsia" w:cstheme="majorBidi"/>
      <w:kern w:val="2"/>
      <w:sz w:val="24"/>
      <w:szCs w:val="24"/>
    </w:rPr>
  </w:style>
  <w:style w:type="character" w:customStyle="1" w:styleId="999">
    <w:name w:val="标题 9 Char2"/>
    <w:basedOn w:val="91"/>
    <w:qFormat/>
    <w:uiPriority w:val="0"/>
    <w:rPr>
      <w:rFonts w:asciiTheme="majorHAnsi" w:hAnsiTheme="majorHAnsi" w:eastAsiaTheme="majorEastAsia" w:cstheme="majorBidi"/>
      <w:kern w:val="2"/>
      <w:sz w:val="21"/>
      <w:szCs w:val="21"/>
    </w:rPr>
  </w:style>
  <w:style w:type="character" w:customStyle="1" w:styleId="1000">
    <w:name w:val="批注框文本 Char2"/>
    <w:basedOn w:val="91"/>
    <w:qFormat/>
    <w:uiPriority w:val="0"/>
    <w:rPr>
      <w:rFonts w:ascii="Arial" w:hAnsi="Arial"/>
      <w:kern w:val="2"/>
      <w:sz w:val="18"/>
      <w:szCs w:val="18"/>
    </w:rPr>
  </w:style>
  <w:style w:type="table" w:customStyle="1" w:styleId="1001">
    <w:name w:val="网格表 1 浅色 - 着色 54"/>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002">
    <w:name w:val="网格表 4 - 着色 24"/>
    <w:basedOn w:val="80"/>
    <w:qFormat/>
    <w:uiPriority w:val="49"/>
    <w:pPr>
      <w:jc w:val="center"/>
    </w:pPr>
    <w:tblPr>
      <w:jc w:val="cente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rPr>
      <w:jc w:val="center"/>
    </w:trPr>
    <w:tcPr>
      <w:vAlign w:val="center"/>
    </w:tcPr>
    <w:tblStylePr w:type="firstRow">
      <w:rPr>
        <w:b/>
        <w:bCs/>
        <w:color w:val="FFFFFF" w:themeColor="background1"/>
        <w14:textFill>
          <w14:solidFill>
            <w14:schemeClr w14:val="bg1"/>
          </w14:solidFill>
        </w14:textFill>
      </w:rPr>
      <w:tblPr/>
      <w:trPr>
        <w:cantSplit/>
        <w:tblHeader/>
      </w:t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paragraph" w:customStyle="1" w:styleId="1003">
    <w:name w:val="xl109"/>
    <w:basedOn w:val="1"/>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jc w:val="center"/>
    </w:pPr>
    <w:rPr>
      <w:rFonts w:hAnsi="宋体"/>
      <w:sz w:val="20"/>
    </w:rPr>
  </w:style>
  <w:style w:type="paragraph" w:customStyle="1" w:styleId="1004">
    <w:name w:val="xl110"/>
    <w:basedOn w:val="1"/>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jc w:val="left"/>
    </w:pPr>
    <w:rPr>
      <w:rFonts w:hAnsi="宋体"/>
      <w:sz w:val="20"/>
    </w:rPr>
  </w:style>
  <w:style w:type="paragraph" w:customStyle="1" w:styleId="1005">
    <w:name w:val="xl111"/>
    <w:basedOn w:val="1"/>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jc w:val="right"/>
    </w:pPr>
    <w:rPr>
      <w:rFonts w:ascii="Arial" w:hAnsi="Arial" w:cs="Times New Roman"/>
      <w:b/>
      <w:bCs/>
      <w:sz w:val="20"/>
    </w:rPr>
  </w:style>
  <w:style w:type="paragraph" w:customStyle="1" w:styleId="1006">
    <w:name w:val="xl112"/>
    <w:basedOn w:val="1"/>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jc w:val="right"/>
    </w:pPr>
    <w:rPr>
      <w:rFonts w:ascii="Arial" w:hAnsi="Arial" w:cs="Times New Roman"/>
      <w:sz w:val="20"/>
    </w:rPr>
  </w:style>
  <w:style w:type="paragraph" w:customStyle="1" w:styleId="1007">
    <w:name w:val="xl113"/>
    <w:basedOn w:val="1"/>
    <w:qFormat/>
    <w:uiPriority w:val="0"/>
    <w:pPr>
      <w:widowControl/>
      <w:pBdr>
        <w:left w:val="single" w:color="auto" w:sz="4" w:space="0"/>
        <w:bottom w:val="single" w:color="auto" w:sz="4" w:space="0"/>
        <w:right w:val="single" w:color="auto" w:sz="4" w:space="0"/>
      </w:pBdr>
      <w:snapToGrid/>
      <w:spacing w:before="100" w:beforeAutospacing="1" w:after="100" w:afterAutospacing="1" w:line="240" w:lineRule="auto"/>
      <w:jc w:val="left"/>
    </w:pPr>
    <w:rPr>
      <w:rFonts w:hAnsi="宋体"/>
      <w:sz w:val="20"/>
    </w:rPr>
  </w:style>
  <w:style w:type="paragraph" w:customStyle="1" w:styleId="1008">
    <w:name w:val="xl114"/>
    <w:basedOn w:val="1"/>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jc w:val="right"/>
    </w:pPr>
    <w:rPr>
      <w:rFonts w:ascii="Arial" w:hAnsi="Arial" w:cs="Times New Roman"/>
      <w:sz w:val="20"/>
    </w:rPr>
  </w:style>
  <w:style w:type="paragraph" w:customStyle="1" w:styleId="1009">
    <w:name w:val="xl115"/>
    <w:basedOn w:val="1"/>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jc w:val="right"/>
    </w:pPr>
    <w:rPr>
      <w:rFonts w:ascii="Arial" w:hAnsi="Arial" w:cs="Times New Roman"/>
      <w:sz w:val="20"/>
    </w:rPr>
  </w:style>
  <w:style w:type="paragraph" w:customStyle="1" w:styleId="1010">
    <w:name w:val="xl116"/>
    <w:basedOn w:val="1"/>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jc w:val="left"/>
    </w:pPr>
    <w:rPr>
      <w:rFonts w:hAnsi="宋体"/>
      <w:sz w:val="20"/>
    </w:rPr>
  </w:style>
  <w:style w:type="paragraph" w:customStyle="1" w:styleId="1011">
    <w:name w:val="xl117"/>
    <w:basedOn w:val="1"/>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jc w:val="center"/>
    </w:pPr>
    <w:rPr>
      <w:rFonts w:ascii="Arial" w:hAnsi="Arial" w:cs="Times New Roman"/>
      <w:sz w:val="20"/>
    </w:rPr>
  </w:style>
  <w:style w:type="paragraph" w:customStyle="1" w:styleId="1012">
    <w:name w:val="xl118"/>
    <w:basedOn w:val="1"/>
    <w:qFormat/>
    <w:uiPriority w:val="0"/>
    <w:pPr>
      <w:widowControl/>
      <w:snapToGrid/>
      <w:spacing w:before="100" w:beforeAutospacing="1" w:after="100" w:afterAutospacing="1" w:line="240" w:lineRule="auto"/>
      <w:jc w:val="right"/>
    </w:pPr>
    <w:rPr>
      <w:rFonts w:ascii="Arial" w:hAnsi="Arial" w:cs="Times New Roman"/>
      <w:sz w:val="20"/>
    </w:rPr>
  </w:style>
  <w:style w:type="paragraph" w:customStyle="1" w:styleId="1013">
    <w:name w:val="xl119"/>
    <w:basedOn w:val="1"/>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jc w:val="center"/>
    </w:pPr>
    <w:rPr>
      <w:rFonts w:ascii="Arial" w:hAnsi="Arial" w:cs="Times New Roman"/>
      <w:sz w:val="20"/>
    </w:rPr>
  </w:style>
  <w:style w:type="paragraph" w:customStyle="1" w:styleId="1014">
    <w:name w:val="xl120"/>
    <w:basedOn w:val="1"/>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jc w:val="center"/>
    </w:pPr>
    <w:rPr>
      <w:rFonts w:ascii="Arial" w:hAnsi="Arial" w:cs="Times New Roman"/>
      <w:sz w:val="20"/>
    </w:rPr>
  </w:style>
  <w:style w:type="paragraph" w:customStyle="1" w:styleId="1015">
    <w:name w:val="xl121"/>
    <w:basedOn w:val="1"/>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jc w:val="right"/>
    </w:pPr>
    <w:rPr>
      <w:rFonts w:ascii="Arial" w:hAnsi="Arial" w:cs="Times New Roman"/>
      <w:sz w:val="20"/>
    </w:rPr>
  </w:style>
  <w:style w:type="paragraph" w:customStyle="1" w:styleId="1016">
    <w:name w:val="xl122"/>
    <w:basedOn w:val="1"/>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jc w:val="left"/>
    </w:pPr>
    <w:rPr>
      <w:rFonts w:hAnsi="宋体"/>
      <w:sz w:val="20"/>
    </w:rPr>
  </w:style>
  <w:style w:type="paragraph" w:customStyle="1" w:styleId="1017">
    <w:name w:val="xl123"/>
    <w:basedOn w:val="1"/>
    <w:qFormat/>
    <w:uiPriority w:val="0"/>
    <w:pPr>
      <w:widowControl/>
      <w:snapToGrid/>
      <w:spacing w:before="100" w:beforeAutospacing="1" w:after="100" w:afterAutospacing="1" w:line="240" w:lineRule="auto"/>
      <w:jc w:val="center"/>
    </w:pPr>
    <w:rPr>
      <w:rFonts w:ascii="Arial" w:hAnsi="Arial" w:cs="Times New Roman"/>
      <w:sz w:val="13"/>
      <w:szCs w:val="24"/>
    </w:rPr>
  </w:style>
  <w:style w:type="paragraph" w:customStyle="1" w:styleId="1018">
    <w:name w:val="xl124"/>
    <w:basedOn w:val="1"/>
    <w:qFormat/>
    <w:uiPriority w:val="0"/>
    <w:pPr>
      <w:widowControl/>
      <w:snapToGrid/>
      <w:spacing w:before="100" w:beforeAutospacing="1" w:after="100" w:afterAutospacing="1" w:line="240" w:lineRule="auto"/>
      <w:jc w:val="left"/>
    </w:pPr>
    <w:rPr>
      <w:rFonts w:ascii="Arial" w:hAnsi="Arial" w:cs="Times New Roman"/>
      <w:sz w:val="13"/>
      <w:szCs w:val="24"/>
    </w:rPr>
  </w:style>
  <w:style w:type="paragraph" w:customStyle="1" w:styleId="1019">
    <w:name w:val="xl125"/>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napToGrid/>
      <w:spacing w:before="100" w:beforeAutospacing="1" w:after="100" w:afterAutospacing="1" w:line="240" w:lineRule="auto"/>
      <w:jc w:val="center"/>
    </w:pPr>
    <w:rPr>
      <w:rFonts w:ascii="Arial" w:hAnsi="Arial" w:cs="Times New Roman"/>
      <w:sz w:val="20"/>
    </w:rPr>
  </w:style>
  <w:style w:type="paragraph" w:customStyle="1" w:styleId="1020">
    <w:name w:val="xl126"/>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napToGrid/>
      <w:spacing w:before="100" w:beforeAutospacing="1" w:after="100" w:afterAutospacing="1" w:line="240" w:lineRule="auto"/>
      <w:jc w:val="left"/>
    </w:pPr>
    <w:rPr>
      <w:rFonts w:hAnsi="宋体"/>
      <w:sz w:val="20"/>
    </w:rPr>
  </w:style>
  <w:style w:type="paragraph" w:customStyle="1" w:styleId="1021">
    <w:name w:val="xl127"/>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napToGrid/>
      <w:spacing w:before="100" w:beforeAutospacing="1" w:after="100" w:afterAutospacing="1" w:line="240" w:lineRule="auto"/>
      <w:jc w:val="right"/>
    </w:pPr>
    <w:rPr>
      <w:rFonts w:ascii="Arial" w:hAnsi="Arial" w:cs="Times New Roman"/>
      <w:sz w:val="20"/>
    </w:rPr>
  </w:style>
  <w:style w:type="paragraph" w:customStyle="1" w:styleId="1022">
    <w:name w:val="xl128"/>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00"/>
      <w:snapToGrid/>
      <w:spacing w:before="100" w:beforeAutospacing="1" w:after="100" w:afterAutospacing="1" w:line="240" w:lineRule="auto"/>
      <w:jc w:val="right"/>
    </w:pPr>
    <w:rPr>
      <w:rFonts w:ascii="Arial" w:hAnsi="Arial" w:cs="Times New Roman"/>
      <w:b/>
      <w:bCs/>
      <w:sz w:val="20"/>
    </w:rPr>
  </w:style>
  <w:style w:type="paragraph" w:customStyle="1" w:styleId="1023">
    <w:name w:val="xl129"/>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napToGrid/>
      <w:spacing w:before="100" w:beforeAutospacing="1" w:after="100" w:afterAutospacing="1" w:line="240" w:lineRule="auto"/>
      <w:jc w:val="center"/>
    </w:pPr>
    <w:rPr>
      <w:rFonts w:ascii="Arial" w:hAnsi="Arial" w:cs="Times New Roman"/>
      <w:sz w:val="20"/>
    </w:rPr>
  </w:style>
  <w:style w:type="paragraph" w:customStyle="1" w:styleId="1024">
    <w:name w:val="xl130"/>
    <w:basedOn w:val="1"/>
    <w:qFormat/>
    <w:uiPriority w:val="0"/>
    <w:pPr>
      <w:widowControl/>
      <w:pBdr>
        <w:left w:val="single" w:color="auto" w:sz="4" w:space="0"/>
        <w:right w:val="single" w:color="auto" w:sz="4" w:space="0"/>
      </w:pBdr>
      <w:snapToGrid/>
      <w:spacing w:before="100" w:beforeAutospacing="1" w:after="100" w:afterAutospacing="1" w:line="240" w:lineRule="auto"/>
      <w:jc w:val="center"/>
    </w:pPr>
    <w:rPr>
      <w:rFonts w:ascii="Arial" w:hAnsi="Arial" w:cs="Times New Roman"/>
      <w:sz w:val="20"/>
    </w:rPr>
  </w:style>
  <w:style w:type="paragraph" w:customStyle="1" w:styleId="1025">
    <w:name w:val="xl131"/>
    <w:basedOn w:val="1"/>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jc w:val="center"/>
    </w:pPr>
    <w:rPr>
      <w:rFonts w:hAnsi="宋体"/>
      <w:sz w:val="20"/>
    </w:rPr>
  </w:style>
  <w:style w:type="paragraph" w:customStyle="1" w:styleId="1026">
    <w:name w:val="xl132"/>
    <w:basedOn w:val="1"/>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jc w:val="center"/>
    </w:pPr>
    <w:rPr>
      <w:rFonts w:ascii="Arial" w:hAnsi="Arial" w:cs="Times New Roman"/>
      <w:sz w:val="20"/>
    </w:rPr>
  </w:style>
  <w:style w:type="paragraph" w:customStyle="1" w:styleId="1027">
    <w:name w:val="xl133"/>
    <w:basedOn w:val="1"/>
    <w:qFormat/>
    <w:uiPriority w:val="0"/>
    <w:pPr>
      <w:widowControl/>
      <w:pBdr>
        <w:top w:val="single" w:color="auto" w:sz="4" w:space="0"/>
        <w:left w:val="single" w:color="auto" w:sz="4" w:space="0"/>
        <w:bottom w:val="single" w:color="auto" w:sz="4" w:space="0"/>
      </w:pBdr>
      <w:snapToGrid/>
      <w:spacing w:before="100" w:beforeAutospacing="1" w:after="100" w:afterAutospacing="1" w:line="240" w:lineRule="auto"/>
      <w:jc w:val="center"/>
    </w:pPr>
    <w:rPr>
      <w:rFonts w:hAnsi="宋体"/>
      <w:sz w:val="20"/>
    </w:rPr>
  </w:style>
  <w:style w:type="paragraph" w:customStyle="1" w:styleId="1028">
    <w:name w:val="xl134"/>
    <w:basedOn w:val="1"/>
    <w:qFormat/>
    <w:uiPriority w:val="0"/>
    <w:pPr>
      <w:widowControl/>
      <w:pBdr>
        <w:top w:val="single" w:color="auto" w:sz="4" w:space="0"/>
        <w:bottom w:val="single" w:color="auto" w:sz="4" w:space="0"/>
      </w:pBdr>
      <w:snapToGrid/>
      <w:spacing w:before="100" w:beforeAutospacing="1" w:after="100" w:afterAutospacing="1" w:line="240" w:lineRule="auto"/>
      <w:jc w:val="center"/>
    </w:pPr>
    <w:rPr>
      <w:rFonts w:ascii="Arial" w:hAnsi="Arial" w:cs="Times New Roman"/>
      <w:sz w:val="20"/>
    </w:rPr>
  </w:style>
  <w:style w:type="paragraph" w:customStyle="1" w:styleId="1029">
    <w:name w:val="xl135"/>
    <w:basedOn w:val="1"/>
    <w:qFormat/>
    <w:uiPriority w:val="0"/>
    <w:pPr>
      <w:widowControl/>
      <w:pBdr>
        <w:top w:val="single" w:color="auto" w:sz="4" w:space="0"/>
        <w:bottom w:val="single" w:color="auto" w:sz="4" w:space="0"/>
        <w:right w:val="single" w:color="auto" w:sz="4" w:space="0"/>
      </w:pBdr>
      <w:snapToGrid/>
      <w:spacing w:before="100" w:beforeAutospacing="1" w:after="100" w:afterAutospacing="1" w:line="240" w:lineRule="auto"/>
      <w:jc w:val="center"/>
    </w:pPr>
    <w:rPr>
      <w:rFonts w:ascii="Arial" w:hAnsi="Arial" w:cs="Times New Roman"/>
      <w:sz w:val="20"/>
    </w:rPr>
  </w:style>
  <w:style w:type="paragraph" w:customStyle="1" w:styleId="1030">
    <w:name w:val="涪陵正文"/>
    <w:basedOn w:val="30"/>
    <w:qFormat/>
    <w:uiPriority w:val="0"/>
    <w:pPr>
      <w:adjustRightInd w:val="0"/>
      <w:snapToGrid w:val="0"/>
      <w:spacing w:after="0" w:line="420" w:lineRule="auto"/>
      <w:ind w:firstLine="425"/>
    </w:pPr>
    <w:rPr>
      <w:rFonts w:ascii="宋体" w:hAnsi="宋体" w:cs="Times New Roman"/>
      <w:spacing w:val="2"/>
      <w:kern w:val="24"/>
      <w:sz w:val="13"/>
    </w:rPr>
  </w:style>
  <w:style w:type="paragraph" w:customStyle="1" w:styleId="1031">
    <w:name w:val="项目名称"/>
    <w:basedOn w:val="1"/>
    <w:next w:val="1"/>
    <w:qFormat/>
    <w:uiPriority w:val="0"/>
    <w:pPr>
      <w:snapToGrid/>
      <w:spacing w:line="800" w:lineRule="atLeast"/>
      <w:jc w:val="center"/>
      <w:outlineLvl w:val="0"/>
    </w:pPr>
    <w:rPr>
      <w:rFonts w:ascii="黑体" w:hAnsi="Arial" w:eastAsia="黑体" w:cs="Times New Roman"/>
      <w:sz w:val="52"/>
      <w:szCs w:val="52"/>
    </w:rPr>
  </w:style>
  <w:style w:type="paragraph" w:customStyle="1" w:styleId="1032">
    <w:name w:val="文件名称"/>
    <w:basedOn w:val="1"/>
    <w:next w:val="1"/>
    <w:qFormat/>
    <w:uiPriority w:val="0"/>
    <w:pPr>
      <w:snapToGrid/>
      <w:spacing w:beforeLines="100" w:line="240" w:lineRule="auto"/>
      <w:jc w:val="center"/>
    </w:pPr>
    <w:rPr>
      <w:rFonts w:ascii="黑体" w:hAnsi="Arial" w:eastAsia="黑体" w:cs="Times New Roman"/>
      <w:sz w:val="84"/>
      <w:szCs w:val="84"/>
    </w:rPr>
  </w:style>
  <w:style w:type="character" w:customStyle="1" w:styleId="1033">
    <w:name w:val="cn_0021"/>
    <w:qFormat/>
    <w:uiPriority w:val="1"/>
    <w:rPr>
      <w:rFonts w:hint="default"/>
      <w:sz w:val="18"/>
      <w:szCs w:val="18"/>
    </w:rPr>
  </w:style>
  <w:style w:type="paragraph" w:customStyle="1" w:styleId="1034">
    <w:name w:val="中文报告书样式"/>
    <w:basedOn w:val="1"/>
    <w:qFormat/>
    <w:uiPriority w:val="0"/>
    <w:pPr>
      <w:adjustRightInd w:val="0"/>
      <w:snapToGrid/>
      <w:spacing w:line="240" w:lineRule="auto"/>
      <w:ind w:firstLine="482"/>
      <w:textAlignment w:val="baseline"/>
    </w:pPr>
    <w:rPr>
      <w:rFonts w:ascii="Arial" w:hAnsi="Arial" w:cs="Times New Roman"/>
      <w:kern w:val="24"/>
      <w:sz w:val="13"/>
    </w:rPr>
  </w:style>
  <w:style w:type="paragraph" w:customStyle="1" w:styleId="1035">
    <w:name w:val="1."/>
    <w:basedOn w:val="1"/>
    <w:qFormat/>
    <w:uiPriority w:val="1"/>
    <w:pPr>
      <w:numPr>
        <w:ilvl w:val="5"/>
        <w:numId w:val="8"/>
      </w:numPr>
      <w:tabs>
        <w:tab w:val="left" w:pos="1455"/>
        <w:tab w:val="clear" w:pos="2287"/>
      </w:tabs>
      <w:snapToGrid/>
      <w:spacing w:line="264" w:lineRule="auto"/>
      <w:ind w:left="1455" w:hanging="1455"/>
    </w:pPr>
    <w:rPr>
      <w:rFonts w:ascii="Arial" w:hAnsi="Arial" w:cs="Times New Roman"/>
      <w:sz w:val="13"/>
      <w:szCs w:val="24"/>
    </w:rPr>
  </w:style>
  <w:style w:type="character" w:customStyle="1" w:styleId="1036">
    <w:name w:val="txtcontent11"/>
    <w:qFormat/>
    <w:uiPriority w:val="1"/>
    <w:rPr>
      <w:rFonts w:hint="default" w:ascii="ˎ̥" w:hAnsi="ˎ̥"/>
      <w:color w:val="000000"/>
      <w:sz w:val="21"/>
      <w:szCs w:val="21"/>
    </w:rPr>
  </w:style>
  <w:style w:type="character" w:customStyle="1" w:styleId="1037">
    <w:name w:val="apple-converted-space"/>
    <w:basedOn w:val="91"/>
    <w:qFormat/>
    <w:uiPriority w:val="1"/>
  </w:style>
  <w:style w:type="character" w:customStyle="1" w:styleId="1038">
    <w:name w:val="表格 Char"/>
    <w:link w:val="312"/>
    <w:qFormat/>
    <w:uiPriority w:val="0"/>
    <w:rPr>
      <w:rFonts w:ascii="Times New Roman" w:hAnsi="Times New Roman" w:eastAsia="宋体" w:cs="Times New Roman"/>
      <w:szCs w:val="20"/>
    </w:rPr>
  </w:style>
  <w:style w:type="character" w:customStyle="1" w:styleId="1039">
    <w:name w:val="样式2 Char"/>
    <w:link w:val="587"/>
    <w:qFormat/>
    <w:uiPriority w:val="0"/>
    <w:rPr>
      <w:rFonts w:ascii="宋体" w:hAnsi="宋体" w:eastAsia="宋体" w:cs="Times New Roman"/>
      <w:color w:val="000000"/>
      <w:kern w:val="0"/>
      <w:sz w:val="28"/>
      <w:szCs w:val="28"/>
    </w:rPr>
  </w:style>
  <w:style w:type="paragraph" w:customStyle="1" w:styleId="1040">
    <w:name w:val="表頭"/>
    <w:basedOn w:val="787"/>
    <w:qFormat/>
    <w:uiPriority w:val="0"/>
    <w:pPr>
      <w:widowControl w:val="0"/>
      <w:numPr>
        <w:numId w:val="2"/>
      </w:numPr>
      <w:tabs>
        <w:tab w:val="left" w:pos="790"/>
      </w:tabs>
      <w:spacing w:afterLines="15" w:line="300" w:lineRule="exact"/>
      <w:ind w:right="0"/>
      <w:jc w:val="center"/>
    </w:pPr>
    <w:rPr>
      <w:rFonts w:eastAsia="華康中黑體" w:cs="Arial"/>
      <w:spacing w:val="4"/>
      <w:kern w:val="2"/>
    </w:rPr>
  </w:style>
  <w:style w:type="paragraph" w:customStyle="1" w:styleId="1041">
    <w:name w:val="階層2"/>
    <w:basedOn w:val="1"/>
    <w:qFormat/>
    <w:uiPriority w:val="0"/>
    <w:pPr>
      <w:widowControl/>
      <w:numPr>
        <w:ilvl w:val="1"/>
        <w:numId w:val="9"/>
      </w:numPr>
      <w:tabs>
        <w:tab w:val="left" w:pos="1080"/>
      </w:tabs>
      <w:adjustRightInd w:val="0"/>
      <w:spacing w:beforeLines="25" w:afterLines="25" w:line="400" w:lineRule="exact"/>
      <w:ind w:firstLine="0"/>
      <w:jc w:val="left"/>
      <w:outlineLvl w:val="1"/>
    </w:pPr>
    <w:rPr>
      <w:rFonts w:ascii="Arial" w:hAnsi="Arial" w:eastAsia="DFKai-SB" w:cs="Times New Roman"/>
      <w:lang w:eastAsia="zh-TW"/>
    </w:rPr>
  </w:style>
  <w:style w:type="paragraph" w:customStyle="1" w:styleId="1042">
    <w:name w:val="Char Char Char Char Char Char Char2"/>
    <w:basedOn w:val="1"/>
    <w:qFormat/>
    <w:uiPriority w:val="1"/>
    <w:pPr>
      <w:snapToGrid/>
      <w:spacing w:line="240" w:lineRule="auto"/>
    </w:pPr>
    <w:rPr>
      <w:rFonts w:hAnsi="宋体"/>
      <w:sz w:val="13"/>
      <w:szCs w:val="24"/>
    </w:rPr>
  </w:style>
  <w:style w:type="paragraph" w:customStyle="1" w:styleId="1043">
    <w:name w:val="Char4"/>
    <w:basedOn w:val="1"/>
    <w:qFormat/>
    <w:uiPriority w:val="1"/>
    <w:pPr>
      <w:snapToGrid/>
      <w:spacing w:line="240" w:lineRule="auto"/>
    </w:pPr>
    <w:rPr>
      <w:rFonts w:hAnsi="宋体"/>
      <w:sz w:val="13"/>
      <w:szCs w:val="24"/>
    </w:rPr>
  </w:style>
  <w:style w:type="paragraph" w:customStyle="1" w:styleId="1044">
    <w:name w:val="1 Char"/>
    <w:basedOn w:val="1"/>
    <w:qFormat/>
    <w:uiPriority w:val="1"/>
    <w:pPr>
      <w:snapToGrid/>
      <w:spacing w:line="240" w:lineRule="auto"/>
    </w:pPr>
    <w:rPr>
      <w:rFonts w:ascii="Arial" w:hAnsi="Arial" w:cs="Times New Roman"/>
      <w:sz w:val="13"/>
      <w:szCs w:val="24"/>
    </w:rPr>
  </w:style>
  <w:style w:type="character" w:customStyle="1" w:styleId="1045">
    <w:name w:val="style31"/>
    <w:qFormat/>
    <w:uiPriority w:val="1"/>
    <w:rPr>
      <w:b/>
      <w:bCs/>
      <w:color w:val="3795D2"/>
      <w:sz w:val="18"/>
      <w:szCs w:val="18"/>
    </w:rPr>
  </w:style>
  <w:style w:type="paragraph" w:customStyle="1" w:styleId="1046">
    <w:name w:val="16"/>
    <w:basedOn w:val="1"/>
    <w:qFormat/>
    <w:uiPriority w:val="1"/>
    <w:pPr>
      <w:widowControl/>
      <w:snapToGrid/>
      <w:spacing w:before="100" w:beforeAutospacing="1" w:after="100" w:afterAutospacing="1" w:line="240" w:lineRule="auto"/>
      <w:jc w:val="left"/>
    </w:pPr>
    <w:rPr>
      <w:rFonts w:hAnsi="宋体"/>
      <w:sz w:val="13"/>
      <w:szCs w:val="24"/>
    </w:rPr>
  </w:style>
  <w:style w:type="character" w:customStyle="1" w:styleId="1047">
    <w:name w:val="bor"/>
    <w:qFormat/>
    <w:uiPriority w:val="1"/>
  </w:style>
  <w:style w:type="paragraph" w:customStyle="1" w:styleId="1048">
    <w:name w:val="样式 黑体 五号 居中"/>
    <w:basedOn w:val="1"/>
    <w:qFormat/>
    <w:uiPriority w:val="0"/>
    <w:pPr>
      <w:snapToGrid/>
      <w:spacing w:line="240" w:lineRule="auto"/>
      <w:jc w:val="center"/>
    </w:pPr>
    <w:rPr>
      <w:rFonts w:ascii="黑体" w:hAnsi="Arial" w:eastAsia="黑体"/>
      <w:sz w:val="13"/>
    </w:rPr>
  </w:style>
  <w:style w:type="paragraph" w:customStyle="1" w:styleId="1049">
    <w:name w:val="样式 标题 3 + 宋体 小四 黑色"/>
    <w:basedOn w:val="5"/>
    <w:qFormat/>
    <w:uiPriority w:val="0"/>
    <w:pPr>
      <w:keepNext w:val="0"/>
      <w:keepLines w:val="0"/>
      <w:numPr>
        <w:ilvl w:val="0"/>
        <w:numId w:val="0"/>
      </w:numPr>
      <w:tabs>
        <w:tab w:val="left" w:pos="0"/>
      </w:tabs>
      <w:adjustRightInd w:val="0"/>
      <w:spacing w:before="50" w:beforeLines="50" w:after="50" w:afterLines="50" w:line="240" w:lineRule="auto"/>
      <w:textAlignment w:val="baseline"/>
    </w:pPr>
    <w:rPr>
      <w:rFonts w:hAnsi="宋体" w:eastAsia="宋体"/>
      <w:color w:val="000000"/>
      <w:spacing w:val="-4"/>
      <w:szCs w:val="28"/>
    </w:rPr>
  </w:style>
  <w:style w:type="paragraph" w:customStyle="1" w:styleId="1050">
    <w:name w:val="样式 标题 4 + 小四"/>
    <w:basedOn w:val="6"/>
    <w:qFormat/>
    <w:uiPriority w:val="0"/>
    <w:pPr>
      <w:keepNext w:val="0"/>
      <w:numPr>
        <w:numId w:val="10"/>
      </w:numPr>
      <w:adjustRightInd w:val="0"/>
      <w:spacing w:before="50" w:beforeLines="50" w:after="50" w:afterLines="50"/>
      <w:jc w:val="left"/>
      <w:textAlignment w:val="baseline"/>
    </w:pPr>
    <w:rPr>
      <w:rFonts w:hAnsi="宋体" w:eastAsia="宋体" w:cs="Times New Roman"/>
      <w:b w:val="0"/>
      <w:color w:val="000000"/>
      <w:szCs w:val="21"/>
    </w:rPr>
  </w:style>
  <w:style w:type="paragraph" w:customStyle="1" w:styleId="1051">
    <w:name w:val="unnamed1"/>
    <w:basedOn w:val="1"/>
    <w:qFormat/>
    <w:uiPriority w:val="1"/>
    <w:pPr>
      <w:widowControl/>
      <w:snapToGrid/>
      <w:spacing w:before="100" w:beforeAutospacing="1" w:after="100" w:afterAutospacing="1" w:line="240" w:lineRule="auto"/>
      <w:jc w:val="left"/>
    </w:pPr>
    <w:rPr>
      <w:rFonts w:hAnsi="宋体" w:cs="Times New Roman"/>
      <w:sz w:val="13"/>
      <w:szCs w:val="24"/>
    </w:rPr>
  </w:style>
  <w:style w:type="paragraph" w:customStyle="1" w:styleId="1052">
    <w:name w:val="小节标题"/>
    <w:basedOn w:val="1"/>
    <w:qFormat/>
    <w:uiPriority w:val="0"/>
    <w:pPr>
      <w:widowControl/>
      <w:snapToGrid/>
      <w:spacing w:before="175" w:after="102" w:line="351" w:lineRule="atLeast"/>
      <w:textAlignment w:val="baseline"/>
    </w:pPr>
    <w:rPr>
      <w:rFonts w:ascii="Arial" w:hAnsi="Arial" w:eastAsia="黑体" w:cs="Times New Roman"/>
      <w:color w:val="000000"/>
      <w:sz w:val="13"/>
      <w:u w:color="000000"/>
    </w:rPr>
  </w:style>
  <w:style w:type="character" w:customStyle="1" w:styleId="1053">
    <w:name w:val="zhenwen141"/>
    <w:qFormat/>
    <w:uiPriority w:val="1"/>
    <w:rPr>
      <w:rFonts w:hint="default" w:ascii="ˎ̥" w:hAnsi="ˎ̥"/>
      <w:sz w:val="22"/>
      <w:szCs w:val="22"/>
    </w:rPr>
  </w:style>
  <w:style w:type="paragraph" w:customStyle="1" w:styleId="1054">
    <w:name w:val="正文 + 首行缩进:  2 字符"/>
    <w:basedOn w:val="1"/>
    <w:qFormat/>
    <w:uiPriority w:val="0"/>
    <w:pPr>
      <w:snapToGrid/>
      <w:spacing w:line="240" w:lineRule="auto"/>
    </w:pPr>
    <w:rPr>
      <w:rFonts w:ascii="Arial" w:hAnsi="Arial" w:cs="Times New Roman"/>
      <w:szCs w:val="24"/>
    </w:rPr>
  </w:style>
  <w:style w:type="paragraph" w:customStyle="1" w:styleId="1055">
    <w:name w:val="wtext"/>
    <w:basedOn w:val="1"/>
    <w:qFormat/>
    <w:uiPriority w:val="1"/>
    <w:pPr>
      <w:widowControl/>
      <w:snapToGrid/>
      <w:spacing w:before="100" w:beforeAutospacing="1" w:after="100" w:afterAutospacing="1" w:line="240" w:lineRule="auto"/>
      <w:jc w:val="left"/>
    </w:pPr>
    <w:rPr>
      <w:rFonts w:hAnsi="宋体"/>
      <w:sz w:val="13"/>
      <w:szCs w:val="24"/>
    </w:rPr>
  </w:style>
  <w:style w:type="character" w:customStyle="1" w:styleId="1056">
    <w:name w:val="hottext"/>
    <w:qFormat/>
    <w:uiPriority w:val="1"/>
  </w:style>
  <w:style w:type="paragraph" w:customStyle="1" w:styleId="1057">
    <w:name w:val="样式 标题 1 + 小四 黑色"/>
    <w:basedOn w:val="3"/>
    <w:qFormat/>
    <w:uiPriority w:val="0"/>
    <w:pPr>
      <w:keepLines w:val="0"/>
      <w:pageBreakBefore/>
      <w:adjustRightInd w:val="0"/>
      <w:spacing w:before="120" w:after="120"/>
      <w:ind w:left="1215" w:hanging="720"/>
      <w:jc w:val="left"/>
      <w:textAlignment w:val="baseline"/>
    </w:pPr>
    <w:rPr>
      <w:rFonts w:ascii="黑体" w:hAnsi="宋体" w:eastAsia="宋体" w:cs="Times New Roman"/>
      <w:b w:val="0"/>
      <w:szCs w:val="32"/>
    </w:rPr>
  </w:style>
  <w:style w:type="paragraph" w:customStyle="1" w:styleId="1058">
    <w:name w:val="样式 1"/>
    <w:basedOn w:val="3"/>
    <w:qFormat/>
    <w:uiPriority w:val="0"/>
    <w:pPr>
      <w:keepLines w:val="0"/>
      <w:pageBreakBefore/>
      <w:numPr>
        <w:ilvl w:val="0"/>
        <w:numId w:val="10"/>
      </w:numPr>
      <w:adjustRightInd w:val="0"/>
      <w:spacing w:before="120" w:after="120"/>
      <w:jc w:val="left"/>
      <w:textAlignment w:val="baseline"/>
    </w:pPr>
    <w:rPr>
      <w:rFonts w:hAnsi="宋体" w:eastAsia="宋体"/>
      <w:color w:val="993300"/>
      <w:szCs w:val="20"/>
    </w:rPr>
  </w:style>
  <w:style w:type="paragraph" w:customStyle="1" w:styleId="1059">
    <w:name w:val="dbluetext"/>
    <w:basedOn w:val="1"/>
    <w:qFormat/>
    <w:uiPriority w:val="1"/>
    <w:pPr>
      <w:widowControl/>
      <w:snapToGrid/>
      <w:spacing w:before="100" w:beforeAutospacing="1" w:after="100" w:afterAutospacing="1" w:line="240" w:lineRule="auto"/>
      <w:jc w:val="left"/>
    </w:pPr>
    <w:rPr>
      <w:rFonts w:ascii="Arial" w:hAnsi="Arial" w:cs="Arial"/>
      <w:color w:val="003FB2"/>
      <w:szCs w:val="28"/>
    </w:rPr>
  </w:style>
  <w:style w:type="paragraph" w:customStyle="1" w:styleId="1060">
    <w:name w:val="样式 标题 2标题 2 Char标题21.1 + (西文) 宋体 加粗"/>
    <w:basedOn w:val="4"/>
    <w:qFormat/>
    <w:uiPriority w:val="0"/>
    <w:pPr>
      <w:keepNext w:val="0"/>
      <w:keepLines w:val="0"/>
      <w:numPr>
        <w:numId w:val="10"/>
      </w:numPr>
      <w:adjustRightInd w:val="0"/>
      <w:spacing w:before="50" w:after="50" w:afterLines="50" w:line="420" w:lineRule="auto"/>
      <w:jc w:val="left"/>
      <w:textAlignment w:val="baseline"/>
    </w:pPr>
    <w:rPr>
      <w:rFonts w:ascii="宋体" w:hAnsi="宋体" w:eastAsia="宋体"/>
      <w:b/>
      <w:bCs w:val="0"/>
      <w:color w:val="auto"/>
      <w:sz w:val="28"/>
      <w:szCs w:val="24"/>
    </w:rPr>
  </w:style>
  <w:style w:type="paragraph" w:customStyle="1" w:styleId="1061">
    <w:name w:val="cn_002"/>
    <w:basedOn w:val="1"/>
    <w:qFormat/>
    <w:uiPriority w:val="1"/>
    <w:pPr>
      <w:widowControl/>
      <w:snapToGrid/>
      <w:spacing w:before="100" w:beforeAutospacing="1" w:after="100" w:afterAutospacing="1" w:line="300" w:lineRule="atLeast"/>
      <w:jc w:val="left"/>
    </w:pPr>
    <w:rPr>
      <w:rFonts w:ascii="Arial" w:hAnsi="Arial" w:eastAsia="Arial Unicode MS" w:cs="Arial Unicode MS"/>
      <w:sz w:val="18"/>
      <w:szCs w:val="18"/>
    </w:rPr>
  </w:style>
  <w:style w:type="character" w:customStyle="1" w:styleId="1062">
    <w:name w:val="cn_002 style3"/>
    <w:qFormat/>
    <w:uiPriority w:val="1"/>
  </w:style>
  <w:style w:type="character" w:customStyle="1" w:styleId="1063">
    <w:name w:val="链接"/>
    <w:qFormat/>
    <w:uiPriority w:val="0"/>
    <w:rPr>
      <w:rFonts w:ascii="Times New Roman" w:eastAsia="宋体"/>
      <w:color w:val="0000FF"/>
      <w:sz w:val="21"/>
      <w:u w:val="single" w:color="0000FF"/>
      <w:vertAlign w:val="baseline"/>
      <w:lang w:val="en-US" w:eastAsia="zh-CN"/>
    </w:rPr>
  </w:style>
  <w:style w:type="paragraph" w:customStyle="1" w:styleId="1064">
    <w:name w:val="目录2"/>
    <w:basedOn w:val="1"/>
    <w:qFormat/>
    <w:uiPriority w:val="0"/>
    <w:pPr>
      <w:widowControl/>
      <w:tabs>
        <w:tab w:val="left" w:leader="dot" w:pos="7370"/>
      </w:tabs>
      <w:snapToGrid/>
      <w:spacing w:line="317" w:lineRule="atLeast"/>
      <w:ind w:firstLine="209"/>
      <w:textAlignment w:val="baseline"/>
    </w:pPr>
    <w:rPr>
      <w:rFonts w:ascii="Arial" w:hAnsi="Arial" w:cs="Times New Roman"/>
      <w:color w:val="000000"/>
      <w:sz w:val="13"/>
      <w:u w:color="000000"/>
    </w:rPr>
  </w:style>
  <w:style w:type="paragraph" w:customStyle="1" w:styleId="1065">
    <w:name w:val="目录3"/>
    <w:basedOn w:val="1"/>
    <w:qFormat/>
    <w:uiPriority w:val="0"/>
    <w:pPr>
      <w:widowControl/>
      <w:tabs>
        <w:tab w:val="left" w:leader="dot" w:pos="7370"/>
      </w:tabs>
      <w:snapToGrid/>
      <w:spacing w:line="317" w:lineRule="atLeast"/>
      <w:ind w:firstLine="419"/>
      <w:textAlignment w:val="baseline"/>
    </w:pPr>
    <w:rPr>
      <w:rFonts w:ascii="Arial" w:hAnsi="Arial" w:cs="Times New Roman"/>
      <w:color w:val="000000"/>
      <w:sz w:val="13"/>
      <w:u w:color="000000"/>
    </w:rPr>
  </w:style>
  <w:style w:type="paragraph" w:customStyle="1" w:styleId="1066">
    <w:name w:val="目录4"/>
    <w:basedOn w:val="1"/>
    <w:qFormat/>
    <w:uiPriority w:val="0"/>
    <w:pPr>
      <w:widowControl/>
      <w:tabs>
        <w:tab w:val="left" w:leader="dot" w:pos="7370"/>
      </w:tabs>
      <w:snapToGrid/>
      <w:spacing w:line="317" w:lineRule="atLeast"/>
      <w:ind w:firstLine="629"/>
      <w:textAlignment w:val="baseline"/>
    </w:pPr>
    <w:rPr>
      <w:rFonts w:ascii="Arial" w:hAnsi="Arial" w:cs="Times New Roman"/>
      <w:color w:val="000000"/>
      <w:sz w:val="13"/>
      <w:u w:color="000000"/>
    </w:rPr>
  </w:style>
  <w:style w:type="paragraph" w:customStyle="1" w:styleId="1067">
    <w:name w:val="目录1"/>
    <w:basedOn w:val="1"/>
    <w:qFormat/>
    <w:uiPriority w:val="0"/>
    <w:pPr>
      <w:widowControl/>
      <w:tabs>
        <w:tab w:val="left" w:leader="dot" w:pos="8503"/>
      </w:tabs>
      <w:snapToGrid/>
      <w:spacing w:after="136" w:line="289" w:lineRule="atLeast"/>
      <w:jc w:val="left"/>
      <w:textAlignment w:val="baseline"/>
    </w:pPr>
    <w:rPr>
      <w:rFonts w:ascii="Arial" w:hAnsi="Arial" w:eastAsia="黑体" w:cs="Times New Roman"/>
      <w:color w:val="000000"/>
      <w:u w:color="000000"/>
    </w:rPr>
  </w:style>
  <w:style w:type="paragraph" w:customStyle="1" w:styleId="1068">
    <w:name w:val="目录标题"/>
    <w:basedOn w:val="1"/>
    <w:qFormat/>
    <w:uiPriority w:val="0"/>
    <w:pPr>
      <w:widowControl/>
      <w:snapToGrid/>
      <w:spacing w:before="566" w:after="544" w:line="566" w:lineRule="atLeast"/>
      <w:ind w:firstLine="419"/>
      <w:jc w:val="center"/>
      <w:textAlignment w:val="baseline"/>
    </w:pPr>
    <w:rPr>
      <w:rFonts w:ascii="Arial" w:hAnsi="Arial" w:eastAsia="黑体" w:cs="Times New Roman"/>
      <w:color w:val="000000"/>
      <w:spacing w:val="566"/>
      <w:sz w:val="54"/>
      <w:u w:color="000000"/>
    </w:rPr>
  </w:style>
  <w:style w:type="paragraph" w:customStyle="1" w:styleId="1069">
    <w:name w:val="文章总标题"/>
    <w:basedOn w:val="1"/>
    <w:qFormat/>
    <w:uiPriority w:val="0"/>
    <w:pPr>
      <w:widowControl/>
      <w:snapToGrid/>
      <w:spacing w:before="566" w:after="544" w:line="566" w:lineRule="atLeast"/>
      <w:jc w:val="center"/>
      <w:textAlignment w:val="baseline"/>
    </w:pPr>
    <w:rPr>
      <w:rFonts w:ascii="Arial" w:hAnsi="Arial" w:eastAsia="黑体" w:cs="Times New Roman"/>
      <w:color w:val="000000"/>
      <w:sz w:val="54"/>
      <w:u w:color="000000"/>
    </w:rPr>
  </w:style>
  <w:style w:type="paragraph" w:customStyle="1" w:styleId="1070">
    <w:name w:val="文章附标题"/>
    <w:basedOn w:val="1"/>
    <w:qFormat/>
    <w:uiPriority w:val="0"/>
    <w:pPr>
      <w:widowControl/>
      <w:snapToGrid/>
      <w:spacing w:before="187" w:after="175" w:line="374" w:lineRule="atLeast"/>
      <w:jc w:val="center"/>
      <w:textAlignment w:val="baseline"/>
    </w:pPr>
    <w:rPr>
      <w:rFonts w:ascii="Arial" w:hAnsi="Arial" w:cs="Times New Roman"/>
      <w:color w:val="000000"/>
      <w:sz w:val="36"/>
      <w:u w:color="000000"/>
    </w:rPr>
  </w:style>
  <w:style w:type="paragraph" w:customStyle="1" w:styleId="1071">
    <w:name w:val="节标题"/>
    <w:basedOn w:val="1"/>
    <w:qFormat/>
    <w:uiPriority w:val="0"/>
    <w:pPr>
      <w:widowControl/>
      <w:snapToGrid/>
      <w:spacing w:line="289" w:lineRule="atLeast"/>
      <w:jc w:val="center"/>
      <w:textAlignment w:val="baseline"/>
    </w:pPr>
    <w:rPr>
      <w:rFonts w:ascii="Arial" w:hAnsi="Arial" w:cs="Times New Roman"/>
      <w:color w:val="000000"/>
      <w:u w:color="000000"/>
    </w:rPr>
  </w:style>
  <w:style w:type="character" w:customStyle="1" w:styleId="1072">
    <w:name w:val="c1"/>
    <w:qFormat/>
    <w:uiPriority w:val="1"/>
    <w:rPr>
      <w:sz w:val="21"/>
      <w:szCs w:val="21"/>
    </w:rPr>
  </w:style>
  <w:style w:type="character" w:customStyle="1" w:styleId="1073">
    <w:name w:val="style231"/>
    <w:qFormat/>
    <w:uiPriority w:val="1"/>
    <w:rPr>
      <w:sz w:val="24"/>
      <w:szCs w:val="24"/>
    </w:rPr>
  </w:style>
  <w:style w:type="character" w:customStyle="1" w:styleId="1074">
    <w:name w:val="style241"/>
    <w:qFormat/>
    <w:uiPriority w:val="1"/>
    <w:rPr>
      <w:sz w:val="18"/>
      <w:szCs w:val="18"/>
    </w:rPr>
  </w:style>
  <w:style w:type="character" w:customStyle="1" w:styleId="1075">
    <w:name w:val="style251"/>
    <w:qFormat/>
    <w:uiPriority w:val="1"/>
    <w:rPr>
      <w:sz w:val="27"/>
      <w:szCs w:val="27"/>
    </w:rPr>
  </w:style>
  <w:style w:type="paragraph" w:customStyle="1" w:styleId="1076">
    <w:name w:val="B1内文图表标题"/>
    <w:basedOn w:val="1"/>
    <w:qFormat/>
    <w:uiPriority w:val="1"/>
    <w:pPr>
      <w:snapToGrid/>
      <w:spacing w:line="240" w:lineRule="auto"/>
    </w:pPr>
    <w:rPr>
      <w:rFonts w:ascii="Arial" w:hAnsi="Arial" w:eastAsia="楷体_GB2312" w:cs="Times New Roman"/>
      <w:b/>
      <w:bCs/>
      <w:sz w:val="18"/>
      <w:szCs w:val="21"/>
    </w:rPr>
  </w:style>
  <w:style w:type="paragraph" w:customStyle="1" w:styleId="1077">
    <w:name w:val="B4内文图表脚注"/>
    <w:basedOn w:val="1"/>
    <w:qFormat/>
    <w:uiPriority w:val="1"/>
    <w:pPr>
      <w:snapToGrid/>
      <w:spacing w:line="240" w:lineRule="auto"/>
    </w:pPr>
    <w:rPr>
      <w:rFonts w:ascii="Arial" w:hAnsi="Arial" w:eastAsia="楷体_GB2312" w:cs="Times New Roman"/>
      <w:color w:val="000000"/>
      <w:sz w:val="15"/>
      <w:szCs w:val="24"/>
    </w:rPr>
  </w:style>
  <w:style w:type="character" w:customStyle="1" w:styleId="1078">
    <w:name w:val="14"/>
    <w:qFormat/>
    <w:uiPriority w:val="1"/>
  </w:style>
  <w:style w:type="paragraph" w:customStyle="1" w:styleId="1079">
    <w:name w:val="Char Char Char Char Char Char3"/>
    <w:basedOn w:val="1"/>
    <w:qFormat/>
    <w:uiPriority w:val="1"/>
    <w:pPr>
      <w:snapToGrid/>
      <w:spacing w:line="240" w:lineRule="auto"/>
    </w:pPr>
    <w:rPr>
      <w:rFonts w:ascii="Arial" w:hAnsi="Arial" w:cs="Times New Roman"/>
      <w:sz w:val="13"/>
      <w:szCs w:val="24"/>
    </w:rPr>
  </w:style>
  <w:style w:type="paragraph" w:customStyle="1" w:styleId="1080">
    <w:name w:val="内容样式1"/>
    <w:basedOn w:val="1"/>
    <w:qFormat/>
    <w:uiPriority w:val="0"/>
    <w:pPr>
      <w:snapToGrid/>
      <w:spacing w:line="240" w:lineRule="auto"/>
      <w:ind w:firstLine="560"/>
    </w:pPr>
    <w:rPr>
      <w:rFonts w:hAnsi="宋体" w:cs="Times New Roman"/>
      <w:szCs w:val="24"/>
    </w:rPr>
  </w:style>
  <w:style w:type="paragraph" w:customStyle="1" w:styleId="1081">
    <w:name w:val="样式 内容样式1 + 居中"/>
    <w:basedOn w:val="1080"/>
    <w:qFormat/>
    <w:uiPriority w:val="0"/>
    <w:pPr>
      <w:jc w:val="center"/>
    </w:pPr>
    <w:rPr>
      <w:rFonts w:cs="宋体"/>
      <w:szCs w:val="20"/>
    </w:rPr>
  </w:style>
  <w:style w:type="paragraph" w:customStyle="1" w:styleId="1082">
    <w:name w:val="Char Char Char Char Char Char1 Char"/>
    <w:basedOn w:val="1"/>
    <w:qFormat/>
    <w:uiPriority w:val="1"/>
    <w:pPr>
      <w:snapToGrid/>
      <w:spacing w:line="240" w:lineRule="auto"/>
    </w:pPr>
    <w:rPr>
      <w:rFonts w:ascii="Arial" w:hAnsi="Arial" w:cs="Times New Roman"/>
      <w:sz w:val="13"/>
      <w:szCs w:val="24"/>
    </w:rPr>
  </w:style>
  <w:style w:type="paragraph" w:customStyle="1" w:styleId="1083">
    <w:name w:val="默认段落字体 Para Char Char Char Char Char Char Char Char Char Char"/>
    <w:basedOn w:val="5"/>
    <w:qFormat/>
    <w:uiPriority w:val="0"/>
    <w:pPr>
      <w:keepNext w:val="0"/>
      <w:keepLines w:val="0"/>
      <w:numPr>
        <w:ilvl w:val="0"/>
        <w:numId w:val="0"/>
      </w:numPr>
      <w:tabs>
        <w:tab w:val="left" w:pos="360"/>
        <w:tab w:val="left" w:pos="900"/>
      </w:tabs>
      <w:spacing w:before="50" w:beforeLines="50" w:after="50" w:afterLines="50" w:line="240" w:lineRule="auto"/>
      <w:ind w:left="542" w:leftChars="-12"/>
      <w:textAlignment w:val="baseline"/>
    </w:pPr>
    <w:rPr>
      <w:rFonts w:ascii="Arial" w:hAnsi="Arial"/>
      <w:snapToGrid w:val="0"/>
      <w:szCs w:val="28"/>
    </w:rPr>
  </w:style>
  <w:style w:type="paragraph" w:customStyle="1" w:styleId="1084">
    <w:name w:val="亲启"/>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85">
    <w:name w:val="封面小一宋体居中"/>
    <w:basedOn w:val="1"/>
    <w:qFormat/>
    <w:uiPriority w:val="0"/>
    <w:pPr>
      <w:snapToGrid/>
      <w:spacing w:line="240" w:lineRule="auto"/>
      <w:jc w:val="center"/>
    </w:pPr>
    <w:rPr>
      <w:rFonts w:ascii="Arial" w:hAnsi="Arial" w:cs="Times New Roman"/>
      <w:sz w:val="48"/>
      <w:szCs w:val="24"/>
    </w:rPr>
  </w:style>
  <w:style w:type="paragraph" w:customStyle="1" w:styleId="1086">
    <w:name w:val="样式 内容样式1 + Times New Roman"/>
    <w:basedOn w:val="1080"/>
    <w:qFormat/>
    <w:uiPriority w:val="0"/>
    <w:rPr>
      <w:rFonts w:ascii="Times New Roman" w:hAnsi="Times New Roman"/>
    </w:rPr>
  </w:style>
  <w:style w:type="paragraph" w:customStyle="1" w:styleId="1087">
    <w:name w:val="表格（5号）"/>
    <w:basedOn w:val="1"/>
    <w:qFormat/>
    <w:uiPriority w:val="0"/>
    <w:pPr>
      <w:snapToGrid/>
      <w:spacing w:line="360" w:lineRule="exact"/>
      <w:ind w:left="-113" w:right="-113"/>
      <w:jc w:val="center"/>
    </w:pPr>
    <w:rPr>
      <w:rFonts w:hAnsi="宋体"/>
      <w:color w:val="000000"/>
      <w:sz w:val="18"/>
      <w:szCs w:val="18"/>
    </w:rPr>
  </w:style>
  <w:style w:type="paragraph" w:customStyle="1" w:styleId="1088">
    <w:name w:val="Char Char Char Char Char Char Char Char Char Char"/>
    <w:basedOn w:val="1"/>
    <w:qFormat/>
    <w:uiPriority w:val="1"/>
    <w:pPr>
      <w:snapToGrid/>
      <w:spacing w:line="240" w:lineRule="auto"/>
    </w:pPr>
    <w:rPr>
      <w:rFonts w:ascii="Arial" w:hAnsi="Arial" w:cs="Times New Roman"/>
      <w:sz w:val="13"/>
      <w:szCs w:val="24"/>
    </w:rPr>
  </w:style>
  <w:style w:type="table" w:customStyle="1" w:styleId="1089">
    <w:name w:val="网格表 1 浅色1"/>
    <w:basedOn w:val="80"/>
    <w:qFormat/>
    <w:uiPriority w:val="46"/>
    <w:rPr>
      <w:szCs w:val="22"/>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1090">
    <w:name w:val="标题2 Char"/>
    <w:qFormat/>
    <w:uiPriority w:val="0"/>
    <w:rPr>
      <w:rFonts w:ascii="华文细黑" w:hAnsi="宋体" w:eastAsia="华文细黑"/>
      <w:bCs/>
      <w:snapToGrid w:val="0"/>
      <w:sz w:val="24"/>
      <w:szCs w:val="32"/>
      <w:lang w:val="en-US" w:eastAsia="zh-CN" w:bidi="ar-SA"/>
    </w:rPr>
  </w:style>
  <w:style w:type="character" w:customStyle="1" w:styleId="1091">
    <w:name w:val="Char Char4"/>
    <w:qFormat/>
    <w:uiPriority w:val="1"/>
    <w:rPr>
      <w:rFonts w:ascii="宋体" w:hAnsi="宋体" w:eastAsia="宋体"/>
      <w:snapToGrid w:val="0"/>
      <w:color w:val="000000"/>
      <w:sz w:val="24"/>
      <w:szCs w:val="24"/>
      <w:lang w:val="en-US" w:eastAsia="zh-CN" w:bidi="ar-SA"/>
    </w:rPr>
  </w:style>
  <w:style w:type="paragraph" w:customStyle="1" w:styleId="1092">
    <w:name w:val="样式6"/>
    <w:basedOn w:val="5"/>
    <w:qFormat/>
    <w:uiPriority w:val="0"/>
    <w:pPr>
      <w:keepNext w:val="0"/>
      <w:keepLines w:val="0"/>
      <w:numPr>
        <w:ilvl w:val="0"/>
        <w:numId w:val="0"/>
      </w:numPr>
      <w:spacing w:before="50" w:beforeLines="50" w:after="50" w:afterLines="50" w:line="240" w:lineRule="auto"/>
      <w:textAlignment w:val="baseline"/>
    </w:pPr>
    <w:rPr>
      <w:rFonts w:ascii="Arial" w:hAnsi="Arial" w:eastAsia="宋体" w:cs="宋体"/>
      <w:bCs w:val="0"/>
      <w:snapToGrid w:val="0"/>
      <w:color w:val="000000"/>
      <w:szCs w:val="28"/>
    </w:rPr>
  </w:style>
  <w:style w:type="paragraph" w:customStyle="1" w:styleId="1093">
    <w:name w:val="样式7"/>
    <w:basedOn w:val="6"/>
    <w:qFormat/>
    <w:uiPriority w:val="0"/>
    <w:pPr>
      <w:keepNext w:val="0"/>
      <w:numPr>
        <w:numId w:val="0"/>
      </w:numPr>
      <w:spacing w:before="50" w:beforeLines="50" w:after="50" w:afterLines="50" w:line="300" w:lineRule="auto"/>
      <w:ind w:left="1134" w:hanging="1134"/>
      <w:jc w:val="left"/>
      <w:textAlignment w:val="baseline"/>
    </w:pPr>
    <w:rPr>
      <w:rFonts w:hAnsi="宋体" w:eastAsia="宋体" w:cs="Times New Roman"/>
      <w:snapToGrid w:val="0"/>
      <w:color w:val="000000"/>
      <w:szCs w:val="28"/>
    </w:rPr>
  </w:style>
  <w:style w:type="paragraph" w:customStyle="1" w:styleId="1094">
    <w:name w:val="Char Char Char Char Char Char2"/>
    <w:basedOn w:val="1"/>
    <w:qFormat/>
    <w:uiPriority w:val="1"/>
    <w:pPr>
      <w:snapToGrid/>
      <w:spacing w:line="240" w:lineRule="auto"/>
    </w:pPr>
    <w:rPr>
      <w:rFonts w:ascii="Arial" w:hAnsi="Arial" w:cs="Times New Roman"/>
      <w:sz w:val="13"/>
      <w:szCs w:val="24"/>
    </w:rPr>
  </w:style>
  <w:style w:type="paragraph" w:customStyle="1" w:styleId="1095">
    <w:name w:val="Char41"/>
    <w:basedOn w:val="1"/>
    <w:qFormat/>
    <w:uiPriority w:val="1"/>
    <w:pPr>
      <w:snapToGrid/>
      <w:spacing w:line="240" w:lineRule="auto"/>
    </w:pPr>
    <w:rPr>
      <w:rFonts w:hAnsi="宋体"/>
      <w:sz w:val="13"/>
      <w:szCs w:val="24"/>
    </w:rPr>
  </w:style>
  <w:style w:type="paragraph" w:customStyle="1" w:styleId="1096">
    <w:name w:val="Char Char Char Char Char Char11"/>
    <w:basedOn w:val="1"/>
    <w:qFormat/>
    <w:uiPriority w:val="1"/>
    <w:pPr>
      <w:snapToGrid/>
      <w:spacing w:line="240" w:lineRule="auto"/>
    </w:pPr>
    <w:rPr>
      <w:rFonts w:ascii="Arial" w:hAnsi="Arial" w:cs="Times New Roman"/>
      <w:sz w:val="13"/>
      <w:szCs w:val="24"/>
    </w:rPr>
  </w:style>
  <w:style w:type="paragraph" w:customStyle="1" w:styleId="1097">
    <w:name w:val="Char Char Char Char Char Char1 Char1"/>
    <w:basedOn w:val="1"/>
    <w:qFormat/>
    <w:uiPriority w:val="1"/>
    <w:pPr>
      <w:snapToGrid/>
      <w:spacing w:line="240" w:lineRule="auto"/>
    </w:pPr>
    <w:rPr>
      <w:rFonts w:ascii="Arial" w:hAnsi="Arial" w:cs="Times New Roman"/>
      <w:sz w:val="13"/>
      <w:szCs w:val="24"/>
    </w:rPr>
  </w:style>
  <w:style w:type="paragraph" w:customStyle="1" w:styleId="1098">
    <w:name w:val="Char Char Char3"/>
    <w:basedOn w:val="1"/>
    <w:qFormat/>
    <w:uiPriority w:val="1"/>
    <w:pPr>
      <w:snapToGrid/>
      <w:spacing w:line="240" w:lineRule="auto"/>
    </w:pPr>
    <w:rPr>
      <w:rFonts w:ascii="Arial" w:hAnsi="Arial" w:cs="Times New Roman"/>
      <w:sz w:val="13"/>
      <w:szCs w:val="24"/>
    </w:rPr>
  </w:style>
  <w:style w:type="table" w:customStyle="1" w:styleId="1099">
    <w:name w:val="网格表 1 浅色2"/>
    <w:basedOn w:val="80"/>
    <w:qFormat/>
    <w:uiPriority w:val="46"/>
    <w:rPr>
      <w:szCs w:val="22"/>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paragraph" w:customStyle="1" w:styleId="1100">
    <w:name w:val="TOC 标题2"/>
    <w:basedOn w:val="3"/>
    <w:next w:val="1"/>
    <w:unhideWhenUsed/>
    <w:qFormat/>
    <w:uiPriority w:val="39"/>
    <w:pPr>
      <w:keepLines w:val="0"/>
      <w:pageBreakBefore/>
      <w:widowControl/>
      <w:adjustRightInd w:val="0"/>
      <w:snapToGrid/>
      <w:spacing w:before="240" w:after="120" w:line="259" w:lineRule="auto"/>
      <w:ind w:left="1134" w:hanging="1134"/>
      <w:jc w:val="left"/>
      <w:textAlignment w:val="baseline"/>
      <w:outlineLvl w:val="9"/>
    </w:pPr>
    <w:rPr>
      <w:rFonts w:asciiTheme="majorHAnsi" w:hAnsiTheme="majorHAnsi" w:eastAsiaTheme="majorEastAsia" w:cstheme="majorBidi"/>
      <w:color w:val="376092" w:themeColor="accent1" w:themeShade="BF"/>
      <w:kern w:val="0"/>
      <w:szCs w:val="32"/>
    </w:rPr>
  </w:style>
  <w:style w:type="paragraph" w:customStyle="1" w:styleId="1101">
    <w:name w:val="TOC 标题3"/>
    <w:basedOn w:val="3"/>
    <w:next w:val="1"/>
    <w:unhideWhenUsed/>
    <w:qFormat/>
    <w:uiPriority w:val="39"/>
    <w:pPr>
      <w:keepLines w:val="0"/>
      <w:pageBreakBefore/>
      <w:widowControl/>
      <w:adjustRightInd w:val="0"/>
      <w:snapToGrid/>
      <w:spacing w:before="480" w:after="120" w:line="276" w:lineRule="auto"/>
      <w:ind w:left="1134" w:hanging="1134"/>
      <w:jc w:val="left"/>
      <w:textAlignment w:val="baseline"/>
      <w:outlineLvl w:val="9"/>
    </w:pPr>
    <w:rPr>
      <w:rFonts w:asciiTheme="majorHAnsi" w:hAnsiTheme="majorHAnsi" w:eastAsiaTheme="majorEastAsia" w:cstheme="majorBidi"/>
      <w:b w:val="0"/>
      <w:bCs w:val="0"/>
      <w:color w:val="376092" w:themeColor="accent1" w:themeShade="BF"/>
      <w:kern w:val="0"/>
      <w:sz w:val="30"/>
      <w:szCs w:val="28"/>
    </w:rPr>
  </w:style>
  <w:style w:type="character" w:customStyle="1" w:styleId="1102">
    <w:name w:val="不明显强调2"/>
    <w:basedOn w:val="91"/>
    <w:qFormat/>
    <w:uiPriority w:val="19"/>
    <w:rPr>
      <w:i/>
      <w:iCs/>
      <w:color w:val="808080"/>
    </w:rPr>
  </w:style>
  <w:style w:type="character" w:customStyle="1" w:styleId="1103">
    <w:name w:val="明显强调2"/>
    <w:basedOn w:val="91"/>
    <w:qFormat/>
    <w:uiPriority w:val="21"/>
    <w:rPr>
      <w:b/>
      <w:bCs/>
      <w:i/>
      <w:iCs/>
      <w:color w:val="4F81BD"/>
    </w:rPr>
  </w:style>
  <w:style w:type="character" w:customStyle="1" w:styleId="1104">
    <w:name w:val="不明显参考2"/>
    <w:basedOn w:val="91"/>
    <w:qFormat/>
    <w:uiPriority w:val="31"/>
    <w:rPr>
      <w:smallCaps/>
      <w:color w:val="C0504D"/>
      <w:u w:val="single"/>
    </w:rPr>
  </w:style>
  <w:style w:type="character" w:customStyle="1" w:styleId="1105">
    <w:name w:val="明显参考2"/>
    <w:basedOn w:val="91"/>
    <w:qFormat/>
    <w:uiPriority w:val="32"/>
    <w:rPr>
      <w:b/>
      <w:bCs/>
      <w:smallCaps/>
      <w:color w:val="C0504D"/>
      <w:spacing w:val="5"/>
      <w:u w:val="single"/>
    </w:rPr>
  </w:style>
  <w:style w:type="character" w:customStyle="1" w:styleId="1106">
    <w:name w:val="书籍标题2"/>
    <w:basedOn w:val="91"/>
    <w:qFormat/>
    <w:uiPriority w:val="33"/>
    <w:rPr>
      <w:b/>
      <w:bCs/>
      <w:smallCaps/>
      <w:spacing w:val="5"/>
    </w:rPr>
  </w:style>
  <w:style w:type="character" w:customStyle="1" w:styleId="1107">
    <w:name w:val="未处理的提及4"/>
    <w:basedOn w:val="91"/>
    <w:semiHidden/>
    <w:unhideWhenUsed/>
    <w:qFormat/>
    <w:uiPriority w:val="99"/>
    <w:rPr>
      <w:color w:val="605E5C"/>
      <w:shd w:val="clear" w:color="auto" w:fill="E1DFDD"/>
    </w:rPr>
  </w:style>
  <w:style w:type="paragraph" w:customStyle="1" w:styleId="1108">
    <w:name w:val="修订2"/>
    <w:hidden/>
    <w:semiHidden/>
    <w:qFormat/>
    <w:uiPriority w:val="99"/>
    <w:rPr>
      <w:rFonts w:ascii="Times New Roman" w:hAnsi="Times New Roman" w:eastAsia="宋体" w:cstheme="minorBidi"/>
      <w:kern w:val="2"/>
      <w:sz w:val="24"/>
      <w:szCs w:val="22"/>
      <w:lang w:val="en-US" w:eastAsia="zh-CN" w:bidi="ar-SA"/>
    </w:rPr>
  </w:style>
  <w:style w:type="table" w:customStyle="1" w:styleId="1109">
    <w:name w:val="网格型1"/>
    <w:basedOn w:val="80"/>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0">
    <w:name w:val="网格型2"/>
    <w:basedOn w:val="80"/>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1">
    <w:name w:val="网格型3"/>
    <w:basedOn w:val="80"/>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12">
    <w:name w:val="修订3"/>
    <w:hidden/>
    <w:semiHidden/>
    <w:qFormat/>
    <w:uiPriority w:val="99"/>
    <w:rPr>
      <w:rFonts w:ascii="Times New Roman" w:hAnsi="Times New Roman" w:eastAsia="宋体" w:cstheme="minorBidi"/>
      <w:kern w:val="2"/>
      <w:sz w:val="24"/>
      <w:szCs w:val="22"/>
      <w:lang w:val="en-US" w:eastAsia="zh-CN" w:bidi="ar-SA"/>
    </w:rPr>
  </w:style>
  <w:style w:type="table" w:customStyle="1" w:styleId="1113">
    <w:name w:val="网格型4"/>
    <w:basedOn w:val="8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4">
    <w:name w:val="表格主题1"/>
    <w:basedOn w:val="80"/>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5">
    <w:name w:val="彩色型 11"/>
    <w:basedOn w:val="80"/>
    <w:unhideWhenUsed/>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1116">
    <w:name w:val="彩色型 21"/>
    <w:basedOn w:val="80"/>
    <w:unhideWhenUsed/>
    <w:qFormat/>
    <w:uiPriority w:val="0"/>
    <w:pPr>
      <w:widowControl w:val="0"/>
      <w:jc w:val="both"/>
    </w:pPr>
    <w:tblPr>
      <w:tblBorders>
        <w:bottom w:val="single" w:color="000000" w:sz="12" w:space="0"/>
      </w:tblBorders>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1117">
    <w:name w:val="古典型 11"/>
    <w:basedOn w:val="80"/>
    <w:unhideWhenUsed/>
    <w:qFormat/>
    <w:uiPriority w:val="0"/>
    <w:pPr>
      <w:widowControl w:val="0"/>
      <w:jc w:val="both"/>
    </w:pPr>
    <w:tblPr>
      <w:tblBorders>
        <w:top w:val="single" w:color="000000" w:sz="12" w:space="0"/>
        <w:bottom w:val="single" w:color="000000" w:sz="12" w:space="0"/>
      </w:tblBorders>
    </w:tbl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1118">
    <w:name w:val="网格型 51"/>
    <w:basedOn w:val="80"/>
    <w:unhideWhenUsed/>
    <w:qFormat/>
    <w:uiPriority w:val="0"/>
    <w:pPr>
      <w:widowControl w:val="0"/>
      <w:jc w:val="center"/>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vAlign w:val="center"/>
    </w:tcPr>
    <w:tblStylePr w:type="firstRow">
      <w:pPr>
        <w:wordWrap/>
      </w:pPr>
      <w:rPr>
        <w:rFonts w:hint="default" w:ascii="仿宋_GB2312" w:hAnsi="仿宋_GB2312" w:eastAsia="宋体"/>
        <w:b/>
        <w:i w:val="0"/>
        <w:caps w:val="0"/>
        <w:smallCaps w:val="0"/>
        <w:strike w:val="0"/>
        <w:dstrike w:val="0"/>
        <w:vanish w:val="0"/>
        <w:sz w:val="21"/>
        <w:szCs w:val="21"/>
        <w:u w:val="none"/>
      </w:rPr>
      <w:tcPr>
        <w:tcBorders>
          <w:bottom w:val="single" w:color="000000" w:sz="12" w:space="0"/>
        </w:tcBorders>
        <w:vAlign w:val="bottom"/>
      </w:tcPr>
    </w:tblStylePr>
    <w:tblStylePr w:type="lastRow">
      <w:rPr>
        <w:rFonts w:hint="default" w:ascii="Times New Roman" w:hAnsi="Times New Roman" w:eastAsia="宋体" w:cs="Times New Roman"/>
        <w:b w:val="0"/>
        <w:bCs/>
        <w:sz w:val="21"/>
        <w:szCs w:val="21"/>
      </w:rPr>
      <w:tcPr>
        <w:tcBorders>
          <w:tl2br w:val="nil"/>
          <w:tr2bl w:val="nil"/>
        </w:tcBorders>
      </w:tcPr>
    </w:tblStylePr>
    <w:tblStylePr w:type="firstCol">
      <w:rPr>
        <w:rFonts w:hint="default" w:ascii="Times New Roman" w:hAnsi="Times New Roman" w:eastAsia="宋体" w:cs="Times New Roman"/>
        <w:sz w:val="21"/>
        <w:szCs w:val="21"/>
      </w:rPr>
    </w:tblStylePr>
    <w:tblStylePr w:type="lastCol">
      <w:rPr>
        <w:rFonts w:hint="default" w:ascii="Times New Roman" w:hAnsi="Times New Roman" w:eastAsia="宋体" w:cs="Times New Roman"/>
        <w:b/>
        <w:bCs/>
        <w:sz w:val="21"/>
        <w:szCs w:val="21"/>
      </w:rPr>
      <w:tcPr>
        <w:tcBorders>
          <w:tl2br w:val="nil"/>
          <w:tr2bl w:val="nil"/>
        </w:tcBorders>
      </w:tcPr>
    </w:tblStylePr>
    <w:tblStylePr w:type="nwCell">
      <w:pPr>
        <w:wordWrap/>
        <w:jc w:val="center"/>
      </w:pPr>
      <w:rPr>
        <w:rFonts w:hint="default" w:ascii="Times New Roman" w:hAnsi="Times New Roman" w:eastAsia="宋体" w:cs="Times New Roman"/>
        <w:sz w:val="21"/>
        <w:szCs w:val="21"/>
      </w:rPr>
      <w:tcPr>
        <w:tcBorders>
          <w:tl2br w:val="single" w:color="000000" w:sz="6" w:space="0"/>
        </w:tcBorders>
      </w:tcPr>
    </w:tblStylePr>
  </w:style>
  <w:style w:type="table" w:customStyle="1" w:styleId="1119">
    <w:name w:val="浅色底纹 - 着色 51"/>
    <w:basedOn w:val="80"/>
    <w:qFormat/>
    <w:uiPriority w:val="60"/>
    <w:rPr>
      <w:color w:val="31859C" w:themeColor="accent5" w:themeShade="BF"/>
    </w:rPr>
    <w:tblPr>
      <w:tblBorders>
        <w:top w:val="single" w:color="4BACC6" w:themeColor="accent5" w:sz="8" w:space="0"/>
        <w:bottom w:val="single" w:color="4BACC6" w:themeColor="accent5" w:sz="8" w:space="0"/>
      </w:tblBorders>
    </w:tblPr>
    <w:tblStylePr w:type="firstRow">
      <w:pPr>
        <w:spacing w:beforeLines="0" w:beforeAutospacing="0" w:afterLines="0" w:afterAutospacing="0" w:line="240" w:lineRule="auto"/>
      </w:pPr>
      <w:rPr>
        <w:b/>
        <w:bCs/>
      </w:r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2EAF0" w:themeFill="accent5" w:themeFillTint="3F"/>
      </w:tcPr>
    </w:tblStylePr>
    <w:tblStylePr w:type="band1Horz">
      <w:tcPr>
        <w:tcBorders>
          <w:left w:val="nil"/>
          <w:right w:val="nil"/>
          <w:insideH w:val="nil"/>
          <w:insideV w:val="nil"/>
        </w:tcBorders>
        <w:shd w:val="clear" w:color="auto" w:fill="D2EAF0" w:themeFill="accent5" w:themeFillTint="3F"/>
      </w:tcPr>
    </w:tblStylePr>
  </w:style>
  <w:style w:type="table" w:customStyle="1" w:styleId="1120">
    <w:name w:val="浅色网格 - 着色 51"/>
    <w:basedOn w:val="80"/>
    <w:qFormat/>
    <w:uiPriority w:val="62"/>
    <w:pPr>
      <w:jc w:val="center"/>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vAlign w:val="center"/>
    </w:tcPr>
    <w:tblStylePr w:type="firstRow">
      <w:pPr>
        <w:spacing w:beforeLines="0" w:beforeAutospacing="0" w:afterLines="0" w:afterAutospacing="0" w:line="240" w:lineRule="auto"/>
        <w:jc w:val="center"/>
      </w:pPr>
      <w:rPr>
        <w:rFonts w:hint="eastAsia"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Lines="0" w:beforeAutospacing="0" w:afterLines="0" w:afterAutospacing="0" w:line="240" w:lineRule="auto"/>
      </w:pPr>
      <w:rPr>
        <w:rFonts w:hint="eastAsia" w:asciiTheme="majorHAnsi" w:hAnsiTheme="majorHAnsi" w:eastAsiaTheme="majorEastAsia" w:cstheme="majorBidi"/>
        <w:b/>
        <w:bCs/>
      </w:r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hint="eastAsia" w:asciiTheme="majorHAnsi" w:hAnsiTheme="majorHAnsi" w:eastAsiaTheme="majorEastAsia" w:cstheme="majorBidi"/>
        <w:b/>
        <w:bCs/>
      </w:rPr>
    </w:tblStylePr>
    <w:tblStylePr w:type="lastCol">
      <w:rPr>
        <w:rFonts w:hint="eastAsia"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customStyle="1" w:styleId="1121">
    <w:name w:val="中等深浅网格 1 - 着色 11"/>
    <w:basedOn w:val="80"/>
    <w:qFormat/>
    <w:uiPriority w:val="67"/>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vAlign w:val="center"/>
    </w:tcPr>
    <w:tblStylePr w:type="firstRow">
      <w:rPr>
        <w:b/>
        <w:bCs/>
      </w:rPr>
    </w:tblStylePr>
    <w:tblStylePr w:type="lastRow">
      <w:rPr>
        <w:b/>
        <w:bCs/>
      </w:rPr>
      <w:tcPr>
        <w:tcBorders>
          <w:top w:val="single" w:color="7BA0CD" w:themeColor="accent1" w:themeTint="BF" w:sz="18" w:space="0"/>
        </w:tcBorders>
      </w:tcPr>
    </w:tblStylePr>
    <w:tblStylePr w:type="firstCol">
      <w:rPr>
        <w:b/>
        <w:bCs/>
      </w:rPr>
    </w:tblStylePr>
    <w:tblStylePr w:type="lastCol">
      <w:rPr>
        <w:b/>
        <w:bCs/>
      </w:rPr>
    </w:tblStylePr>
    <w:tblStylePr w:type="band1Vert">
      <w:tcPr>
        <w:shd w:val="clear" w:color="auto" w:fill="A7C0DE" w:themeFill="accent1" w:themeFillTint="7F"/>
      </w:tcPr>
    </w:tblStylePr>
    <w:tblStylePr w:type="band1Horz">
      <w:tcPr>
        <w:shd w:val="clear" w:color="auto" w:fill="A7C0DE" w:themeFill="accent1" w:themeFillTint="7F"/>
      </w:tcPr>
    </w:tblStylePr>
  </w:style>
  <w:style w:type="table" w:customStyle="1" w:styleId="1122">
    <w:name w:val="表格（大字体）1"/>
    <w:basedOn w:val="80"/>
    <w:qFormat/>
    <w:uiPriority w:val="99"/>
    <w:pPr>
      <w:jc w:val="center"/>
    </w:pPr>
    <w:rPr>
      <w:rFonts w:ascii="微软雅黑"/>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pPr>
        <w:keepLines/>
        <w:widowControl/>
        <w:suppressLineNumbers w:val="0"/>
        <w:suppressAutoHyphens w:val="0"/>
        <w:wordWrap/>
        <w:jc w:val="center"/>
      </w:pPr>
      <w:rPr>
        <w:rFonts w:hint="eastAsia" w:ascii="Bahnschrift Light" w:hAnsi="Bahnschrift Light" w:eastAsiaTheme="minorEastAsia"/>
        <w:b/>
        <w:sz w:val="21"/>
        <w:szCs w:val="21"/>
      </w:rPr>
      <w:tcPr>
        <w:tcBorders>
          <w:top w:val="single" w:color="auto" w:sz="12" w:space="0"/>
          <w:left w:val="single" w:color="auto" w:sz="12" w:space="0"/>
          <w:bottom w:val="single" w:color="auto" w:sz="12" w:space="0"/>
          <w:right w:val="single" w:color="auto" w:sz="12" w:space="0"/>
        </w:tcBorders>
      </w:tcPr>
    </w:tblStylePr>
    <w:tblStylePr w:type="lastRow">
      <w:pPr>
        <w:jc w:val="center"/>
      </w:pPr>
      <w:rPr>
        <w:rFonts w:hint="eastAsia" w:ascii="Bahnschrift Light" w:hAnsi="Bahnschrift Light" w:eastAsiaTheme="minorEastAsia"/>
        <w:b/>
        <w:sz w:val="21"/>
        <w:szCs w:val="21"/>
      </w:rPr>
      <w:tcPr>
        <w:tcBorders>
          <w:top w:val="single" w:color="auto" w:sz="12" w:space="0"/>
          <w:left w:val="single" w:color="auto" w:sz="12" w:space="0"/>
          <w:bottom w:val="single" w:color="auto" w:sz="12" w:space="0"/>
          <w:right w:val="single" w:color="auto" w:sz="12" w:space="0"/>
        </w:tcBorders>
      </w:tcPr>
    </w:tblStylePr>
    <w:tblStylePr w:type="firstCol">
      <w:pPr>
        <w:jc w:val="center"/>
      </w:pPr>
      <w:rPr>
        <w:b/>
      </w:rPr>
    </w:tblStylePr>
    <w:tblStylePr w:type="lastCol">
      <w:rPr>
        <w:b/>
      </w:rPr>
    </w:tblStylePr>
  </w:style>
  <w:style w:type="table" w:customStyle="1" w:styleId="1123">
    <w:name w:val="网格表 1 浅色 - 着色 511"/>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124">
    <w:name w:val="网格表 4 - 着色 211"/>
    <w:basedOn w:val="80"/>
    <w:qFormat/>
    <w:uiPriority w:val="49"/>
    <w:pPr>
      <w:jc w:val="center"/>
    </w:pPr>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cPr>
      <w:vAlign w:val="center"/>
    </w:tcPr>
    <w:tblStylePr w:type="firstRow">
      <w:rPr>
        <w:b/>
        <w:bCs/>
        <w:color w:val="FFFFFF" w:themeColor="background1"/>
        <w14:textFill>
          <w14:solidFill>
            <w14:schemeClr w14:val="bg1"/>
          </w14:solidFill>
        </w14:textFill>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125">
    <w:name w:val="浅色列表 - 强调文字颜色 11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126">
    <w:name w:val="浅色列表 - 强调文字颜色 12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127">
    <w:name w:val="中等深浅底纹 1 - 强调文字颜色 12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128">
    <w:name w:val="浅色列表 - 强调文字颜色 13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129">
    <w:name w:val="中等深浅底纹 1 - 强调文字颜色 13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130">
    <w:name w:val="浅色列表 - 强调文字颜色 14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131">
    <w:name w:val="中等深浅底纹 1 - 强调文字颜色 14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132">
    <w:name w:val="浅色列表 - 强调文字颜色 15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133">
    <w:name w:val="中等深浅底纹 1 - 强调文字颜色 15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134">
    <w:name w:val="浅色列表 - 强调文字颜色 16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135">
    <w:name w:val="中等深浅底纹 1 - 强调文字颜色 16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136">
    <w:name w:val="浅色列表 - 强调文字颜色 17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137">
    <w:name w:val="中等深浅底纹 1 - 强调文字颜色 17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138">
    <w:name w:val="浅色列表 - 强调文字颜色 18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139">
    <w:name w:val="中等深浅底纹 1 - 强调文字颜色 18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140">
    <w:name w:val="网格表 1 浅色 - 着色 521"/>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141">
    <w:name w:val="网格表 4 - 着色 221"/>
    <w:basedOn w:val="80"/>
    <w:qFormat/>
    <w:uiPriority w:val="49"/>
    <w:pPr>
      <w:jc w:val="center"/>
    </w:pPr>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cPr>
      <w:vAlign w:val="center"/>
    </w:tcPr>
    <w:tblStylePr w:type="firstRow">
      <w:rPr>
        <w:b/>
        <w:bCs/>
        <w:color w:val="FFFFFF" w:themeColor="background1"/>
        <w14:textFill>
          <w14:solidFill>
            <w14:schemeClr w14:val="bg1"/>
          </w14:solidFill>
        </w14:textFill>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142">
    <w:name w:val="网格表 1 浅色 - 着色 531"/>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143">
    <w:name w:val="网格表 4 - 着色 231"/>
    <w:basedOn w:val="80"/>
    <w:qFormat/>
    <w:uiPriority w:val="49"/>
    <w:pPr>
      <w:jc w:val="center"/>
    </w:pPr>
    <w:tblPr>
      <w:jc w:val="cente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rPr>
      <w:jc w:val="center"/>
    </w:trPr>
    <w:tcPr>
      <w:vAlign w:val="center"/>
    </w:tcPr>
    <w:tblStylePr w:type="firstRow">
      <w:rPr>
        <w:b/>
        <w:bCs/>
        <w:color w:val="FFFFFF" w:themeColor="background1"/>
        <w14:textFill>
          <w14:solidFill>
            <w14:schemeClr w14:val="bg1"/>
          </w14:solidFill>
        </w14:textFill>
      </w:rPr>
      <w:tblPr/>
      <w:trPr>
        <w:cantSplit/>
        <w:tblHeader/>
      </w:t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144">
    <w:name w:val="网格表 1 浅色 - 着色 541"/>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145">
    <w:name w:val="网格表 4 - 着色 241"/>
    <w:basedOn w:val="80"/>
    <w:qFormat/>
    <w:uiPriority w:val="49"/>
    <w:pPr>
      <w:jc w:val="center"/>
    </w:pPr>
    <w:tblPr>
      <w:jc w:val="cente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rPr>
      <w:jc w:val="center"/>
    </w:trPr>
    <w:tcPr>
      <w:vAlign w:val="center"/>
    </w:tcPr>
    <w:tblStylePr w:type="firstRow">
      <w:rPr>
        <w:b/>
        <w:bCs/>
        <w:color w:val="FFFFFF" w:themeColor="background1"/>
        <w14:textFill>
          <w14:solidFill>
            <w14:schemeClr w14:val="bg1"/>
          </w14:solidFill>
        </w14:textFill>
      </w:rPr>
      <w:tblPr/>
      <w:trPr>
        <w:cantSplit/>
        <w:tblHeader/>
      </w:t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146">
    <w:name w:val="网格表 1 浅色11"/>
    <w:basedOn w:val="80"/>
    <w:qFormat/>
    <w:uiPriority w:val="46"/>
    <w:rPr>
      <w:szCs w:val="22"/>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1147">
    <w:name w:val="网格表 1 浅色21"/>
    <w:basedOn w:val="80"/>
    <w:qFormat/>
    <w:uiPriority w:val="46"/>
    <w:rPr>
      <w:szCs w:val="22"/>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1148">
    <w:name w:val="网格型11"/>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9">
    <w:name w:val="网格型21"/>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0">
    <w:name w:val="网格型31"/>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51">
    <w:name w:val="不明显强调3"/>
    <w:basedOn w:val="91"/>
    <w:qFormat/>
    <w:uiPriority w:val="19"/>
    <w:rPr>
      <w:i/>
      <w:iCs/>
      <w:color w:val="808080"/>
    </w:rPr>
  </w:style>
  <w:style w:type="character" w:customStyle="1" w:styleId="1152">
    <w:name w:val="明显强调3"/>
    <w:basedOn w:val="91"/>
    <w:qFormat/>
    <w:uiPriority w:val="21"/>
    <w:rPr>
      <w:b/>
      <w:bCs/>
      <w:i/>
      <w:iCs/>
      <w:color w:val="4F81BD"/>
    </w:rPr>
  </w:style>
  <w:style w:type="character" w:customStyle="1" w:styleId="1153">
    <w:name w:val="不明显参考3"/>
    <w:basedOn w:val="91"/>
    <w:qFormat/>
    <w:uiPriority w:val="31"/>
    <w:rPr>
      <w:smallCaps/>
      <w:color w:val="C0504D"/>
      <w:u w:val="single"/>
    </w:rPr>
  </w:style>
  <w:style w:type="character" w:customStyle="1" w:styleId="1154">
    <w:name w:val="明显参考3"/>
    <w:basedOn w:val="91"/>
    <w:qFormat/>
    <w:uiPriority w:val="32"/>
    <w:rPr>
      <w:b/>
      <w:bCs/>
      <w:smallCaps/>
      <w:color w:val="C0504D"/>
      <w:spacing w:val="5"/>
      <w:u w:val="single"/>
    </w:rPr>
  </w:style>
  <w:style w:type="character" w:customStyle="1" w:styleId="1155">
    <w:name w:val="书籍标题3"/>
    <w:basedOn w:val="91"/>
    <w:qFormat/>
    <w:uiPriority w:val="33"/>
    <w:rPr>
      <w:b/>
      <w:bCs/>
      <w:smallCaps/>
      <w:spacing w:val="5"/>
    </w:rPr>
  </w:style>
  <w:style w:type="paragraph" w:customStyle="1" w:styleId="1156">
    <w:name w:val="TOC 标题4"/>
    <w:basedOn w:val="3"/>
    <w:next w:val="1"/>
    <w:unhideWhenUsed/>
    <w:qFormat/>
    <w:uiPriority w:val="39"/>
    <w:pPr>
      <w:pageBreakBefore/>
      <w:widowControl/>
      <w:snapToGrid/>
      <w:spacing w:before="120" w:line="276" w:lineRule="auto"/>
      <w:jc w:val="left"/>
      <w:outlineLvl w:val="9"/>
    </w:pPr>
    <w:rPr>
      <w:rFonts w:asciiTheme="majorHAnsi" w:hAnsiTheme="majorHAnsi" w:eastAsiaTheme="majorEastAsia" w:cstheme="majorBidi"/>
      <w:kern w:val="0"/>
      <w:sz w:val="24"/>
      <w:szCs w:val="28"/>
    </w:rPr>
  </w:style>
  <w:style w:type="paragraph" w:customStyle="1" w:styleId="1157">
    <w:name w:val="图标题"/>
    <w:basedOn w:val="569"/>
    <w:qFormat/>
    <w:uiPriority w:val="0"/>
    <w:pPr>
      <w:keepNext w:val="0"/>
      <w:overflowPunct/>
      <w:adjustRightInd/>
      <w:snapToGrid/>
      <w:spacing w:before="50" w:beforeLines="50" w:after="0" w:line="240" w:lineRule="auto"/>
    </w:pPr>
    <w:rPr>
      <w:rFonts w:eastAsia="宋体"/>
      <w:b/>
      <w:sz w:val="18"/>
      <w:szCs w:val="24"/>
    </w:rPr>
  </w:style>
  <w:style w:type="character" w:customStyle="1" w:styleId="1158">
    <w:name w:val="未处理的提及5"/>
    <w:basedOn w:val="91"/>
    <w:semiHidden/>
    <w:unhideWhenUsed/>
    <w:qFormat/>
    <w:uiPriority w:val="99"/>
    <w:rPr>
      <w:color w:val="605E5C"/>
      <w:shd w:val="clear" w:color="auto" w:fill="E1DFDD"/>
    </w:rPr>
  </w:style>
  <w:style w:type="paragraph" w:customStyle="1" w:styleId="1159">
    <w:name w:val="font12"/>
    <w:basedOn w:val="1"/>
    <w:qFormat/>
    <w:uiPriority w:val="0"/>
    <w:pPr>
      <w:widowControl/>
      <w:snapToGrid/>
      <w:spacing w:before="100" w:beforeAutospacing="1" w:after="100" w:afterAutospacing="1" w:line="240" w:lineRule="auto"/>
      <w:jc w:val="left"/>
    </w:pPr>
    <w:rPr>
      <w:rFonts w:hAnsi="宋体"/>
      <w:b/>
      <w:bCs/>
      <w:color w:val="C00000"/>
      <w:sz w:val="24"/>
      <w:szCs w:val="24"/>
    </w:rPr>
  </w:style>
  <w:style w:type="paragraph" w:customStyle="1" w:styleId="1160">
    <w:name w:val="font13"/>
    <w:basedOn w:val="1"/>
    <w:qFormat/>
    <w:uiPriority w:val="0"/>
    <w:pPr>
      <w:widowControl/>
      <w:snapToGrid/>
      <w:spacing w:before="100" w:beforeAutospacing="1" w:after="100" w:afterAutospacing="1" w:line="240" w:lineRule="auto"/>
      <w:jc w:val="left"/>
    </w:pPr>
    <w:rPr>
      <w:rFonts w:hAnsi="宋体"/>
      <w:b/>
      <w:bCs/>
      <w:color w:val="0066FF"/>
      <w:sz w:val="24"/>
      <w:szCs w:val="24"/>
    </w:rPr>
  </w:style>
  <w:style w:type="paragraph" w:customStyle="1" w:styleId="1161">
    <w:name w:val="font14"/>
    <w:basedOn w:val="1"/>
    <w:qFormat/>
    <w:uiPriority w:val="0"/>
    <w:pPr>
      <w:widowControl/>
      <w:snapToGrid/>
      <w:spacing w:before="100" w:beforeAutospacing="1" w:after="100" w:afterAutospacing="1" w:line="240" w:lineRule="auto"/>
      <w:jc w:val="left"/>
    </w:pPr>
    <w:rPr>
      <w:rFonts w:ascii="微软雅黑" w:hAnsi="微软雅黑" w:eastAsia="微软雅黑"/>
      <w:sz w:val="24"/>
      <w:szCs w:val="24"/>
    </w:rPr>
  </w:style>
  <w:style w:type="paragraph" w:customStyle="1" w:styleId="1162">
    <w:name w:val="font15"/>
    <w:basedOn w:val="1"/>
    <w:qFormat/>
    <w:uiPriority w:val="0"/>
    <w:pPr>
      <w:widowControl/>
      <w:snapToGrid/>
      <w:spacing w:before="100" w:beforeAutospacing="1" w:after="100" w:afterAutospacing="1" w:line="240" w:lineRule="auto"/>
      <w:jc w:val="left"/>
    </w:pPr>
    <w:rPr>
      <w:rFonts w:hAnsi="宋体"/>
      <w:b/>
      <w:bCs/>
      <w:color w:val="FF0066"/>
      <w:sz w:val="24"/>
      <w:szCs w:val="24"/>
    </w:rPr>
  </w:style>
  <w:style w:type="table" w:customStyle="1" w:styleId="1163">
    <w:name w:val="网格型5"/>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4">
    <w:name w:val="表格主题2"/>
    <w:basedOn w:val="80"/>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5">
    <w:name w:val="彩色型 12"/>
    <w:basedOn w:val="80"/>
    <w:unhideWhenUsed/>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1166">
    <w:name w:val="彩色型 22"/>
    <w:basedOn w:val="80"/>
    <w:unhideWhenUsed/>
    <w:qFormat/>
    <w:uiPriority w:val="0"/>
    <w:pPr>
      <w:widowControl w:val="0"/>
      <w:jc w:val="both"/>
    </w:pPr>
    <w:tblPr>
      <w:tblBorders>
        <w:bottom w:val="single" w:color="000000" w:sz="12" w:space="0"/>
      </w:tblBorders>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1167">
    <w:name w:val="古典型 12"/>
    <w:basedOn w:val="80"/>
    <w:unhideWhenUsed/>
    <w:qFormat/>
    <w:uiPriority w:val="0"/>
    <w:pPr>
      <w:widowControl w:val="0"/>
      <w:jc w:val="both"/>
    </w:pPr>
    <w:tblPr>
      <w:tblBorders>
        <w:top w:val="single" w:color="000000" w:sz="12" w:space="0"/>
        <w:bottom w:val="single" w:color="000000" w:sz="12" w:space="0"/>
      </w:tblBorders>
    </w:tbl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1168">
    <w:name w:val="网格型 52"/>
    <w:basedOn w:val="80"/>
    <w:qFormat/>
    <w:uiPriority w:val="0"/>
    <w:pPr>
      <w:widowControl w:val="0"/>
      <w:jc w:val="center"/>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rPr>
      <w:cantSplit/>
    </w:trPr>
    <w:tcPr>
      <w:shd w:val="clear" w:color="auto" w:fill="auto"/>
      <w:vAlign w:val="center"/>
    </w:tcPr>
    <w:tblStylePr w:type="firstRow">
      <w:pPr>
        <w:keepNext/>
        <w:wordWrap/>
      </w:pPr>
      <w:rPr>
        <w:rFonts w:ascii="仿宋_GB2312" w:hAnsi="仿宋_GB2312" w:eastAsia="宋体"/>
        <w:b/>
        <w:i w:val="0"/>
        <w:caps w:val="0"/>
        <w:smallCaps w:val="0"/>
        <w:strike w:val="0"/>
        <w:dstrike w:val="0"/>
        <w:vanish w:val="0"/>
        <w:sz w:val="21"/>
        <w:vertAlign w:val="baseline"/>
      </w:rPr>
      <w:tblPr/>
      <w:trPr>
        <w:tblHeader/>
      </w:trPr>
      <w:tcPr>
        <w:tcBorders>
          <w:bottom w:val="single" w:color="000000" w:sz="12" w:space="0"/>
        </w:tcBorders>
      </w:tcPr>
    </w:tblStylePr>
    <w:tblStylePr w:type="lastRow">
      <w:rPr>
        <w:rFonts w:eastAsia="宋体"/>
        <w:b w:val="0"/>
        <w:bCs/>
        <w:sz w:val="21"/>
      </w:rPr>
      <w:tcPr>
        <w:tcBorders>
          <w:tl2br w:val="nil"/>
          <w:tr2bl w:val="nil"/>
        </w:tcBorders>
      </w:tcPr>
    </w:tblStylePr>
    <w:tblStylePr w:type="firstCol">
      <w:rPr>
        <w:rFonts w:eastAsia="宋体"/>
        <w:sz w:val="21"/>
      </w:rPr>
    </w:tblStylePr>
    <w:tblStylePr w:type="lastCol">
      <w:rPr>
        <w:rFonts w:eastAsia="宋体"/>
        <w:b/>
        <w:bCs/>
        <w:sz w:val="21"/>
      </w:rPr>
      <w:tcPr>
        <w:tcBorders>
          <w:tl2br w:val="nil"/>
          <w:tr2bl w:val="nil"/>
        </w:tcBorders>
      </w:tcPr>
    </w:tblStylePr>
    <w:tblStylePr w:type="nwCell">
      <w:pPr>
        <w:wordWrap/>
        <w:jc w:val="center"/>
      </w:pPr>
      <w:rPr>
        <w:rFonts w:eastAsia="宋体"/>
        <w:sz w:val="21"/>
      </w:rPr>
      <w:tcPr>
        <w:tcBorders>
          <w:tl2br w:val="single" w:color="000000" w:sz="6" w:space="0"/>
        </w:tcBorders>
      </w:tcPr>
    </w:tblStylePr>
  </w:style>
  <w:style w:type="table" w:customStyle="1" w:styleId="1169">
    <w:name w:val="浅色底纹 - 着色 52"/>
    <w:basedOn w:val="80"/>
    <w:qFormat/>
    <w:uiPriority w:val="60"/>
    <w:rPr>
      <w:color w:val="31859C" w:themeColor="accent5" w:themeShade="BF"/>
    </w:rPr>
    <w:tblPr>
      <w:tblBorders>
        <w:top w:val="single" w:color="4BACC6" w:themeColor="accent5" w:sz="8" w:space="0"/>
        <w:bottom w:val="single" w:color="4BACC6" w:themeColor="accent5" w:sz="8" w:space="0"/>
      </w:tblBorders>
    </w:tblPr>
    <w:tblStylePr w:type="firstRow">
      <w:pPr>
        <w:spacing w:beforeLines="0" w:beforeAutospacing="0" w:afterLines="0" w:afterAutospacing="0" w:line="240" w:lineRule="auto"/>
      </w:pPr>
      <w:rPr>
        <w:b/>
        <w:bCs/>
      </w:r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2EAF0" w:themeFill="accent5" w:themeFillTint="3F"/>
      </w:tcPr>
    </w:tblStylePr>
    <w:tblStylePr w:type="band1Horz">
      <w:tcPr>
        <w:tcBorders>
          <w:left w:val="nil"/>
          <w:right w:val="nil"/>
          <w:insideH w:val="nil"/>
          <w:insideV w:val="nil"/>
        </w:tcBorders>
        <w:shd w:val="clear" w:color="auto" w:fill="D2EAF0" w:themeFill="accent5" w:themeFillTint="3F"/>
      </w:tcPr>
    </w:tblStylePr>
  </w:style>
  <w:style w:type="table" w:customStyle="1" w:styleId="1170">
    <w:name w:val="浅色列表 - 着色 12"/>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171">
    <w:name w:val="浅色网格 - 着色 52"/>
    <w:basedOn w:val="80"/>
    <w:qFormat/>
    <w:uiPriority w:val="62"/>
    <w:pPr>
      <w:jc w:val="center"/>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vAlign w:val="center"/>
    </w:tcPr>
    <w:tblStylePr w:type="firstRow">
      <w:pPr>
        <w:spacing w:beforeLines="0" w:beforeAutospacing="0" w:afterLines="0" w:afterAutospacing="0" w:line="240" w:lineRule="auto"/>
        <w:jc w:val="center"/>
      </w:pPr>
      <w:rPr>
        <w:rFonts w:hint="eastAsia"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Lines="0" w:beforeAutospacing="0" w:afterLines="0" w:afterAutospacing="0" w:line="240" w:lineRule="auto"/>
      </w:pPr>
      <w:rPr>
        <w:rFonts w:hint="eastAsia" w:asciiTheme="majorHAnsi" w:hAnsiTheme="majorHAnsi" w:eastAsiaTheme="majorEastAsia" w:cstheme="majorBidi"/>
        <w:b/>
        <w:bCs/>
      </w:r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hint="eastAsia" w:asciiTheme="majorHAnsi" w:hAnsiTheme="majorHAnsi" w:eastAsiaTheme="majorEastAsia" w:cstheme="majorBidi"/>
        <w:b/>
        <w:bCs/>
      </w:rPr>
    </w:tblStylePr>
    <w:tblStylePr w:type="lastCol">
      <w:rPr>
        <w:rFonts w:hint="eastAsia"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customStyle="1" w:styleId="1172">
    <w:name w:val="中等深浅底纹 1 - 着色 12"/>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173">
    <w:name w:val="中等深浅网格 1 - 着色 12"/>
    <w:basedOn w:val="80"/>
    <w:qFormat/>
    <w:uiPriority w:val="67"/>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vAlign w:val="center"/>
    </w:tcPr>
    <w:tblStylePr w:type="firstRow">
      <w:rPr>
        <w:b/>
        <w:bCs/>
      </w:rPr>
    </w:tblStylePr>
    <w:tblStylePr w:type="lastRow">
      <w:rPr>
        <w:b/>
        <w:bCs/>
      </w:rPr>
      <w:tcPr>
        <w:tcBorders>
          <w:top w:val="single" w:color="7BA0CD" w:themeColor="accent1" w:themeTint="BF" w:sz="18" w:space="0"/>
        </w:tcBorders>
      </w:tcPr>
    </w:tblStylePr>
    <w:tblStylePr w:type="firstCol">
      <w:rPr>
        <w:b/>
        <w:bCs/>
      </w:rPr>
    </w:tblStylePr>
    <w:tblStylePr w:type="lastCol">
      <w:rPr>
        <w:b/>
        <w:bCs/>
      </w:rPr>
    </w:tblStylePr>
    <w:tblStylePr w:type="band1Vert">
      <w:tcPr>
        <w:shd w:val="clear" w:color="auto" w:fill="A7C0DE" w:themeFill="accent1" w:themeFillTint="7F"/>
      </w:tcPr>
    </w:tblStylePr>
    <w:tblStylePr w:type="band1Horz">
      <w:tcPr>
        <w:shd w:val="clear" w:color="auto" w:fill="A7C0DE" w:themeFill="accent1" w:themeFillTint="7F"/>
      </w:tcPr>
    </w:tblStylePr>
  </w:style>
  <w:style w:type="table" w:customStyle="1" w:styleId="1174">
    <w:name w:val="表格（大字体）2"/>
    <w:basedOn w:val="80"/>
    <w:qFormat/>
    <w:uiPriority w:val="99"/>
    <w:pPr>
      <w:jc w:val="center"/>
    </w:pPr>
    <w:rPr>
      <w:rFonts w:ascii="微软雅黑"/>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tblStylePr w:type="firstRow">
      <w:pPr>
        <w:keepNext/>
        <w:keepLines/>
        <w:pageBreakBefore w:val="0"/>
        <w:widowControl/>
        <w:suppressLineNumbers w:val="0"/>
        <w:suppressAutoHyphens w:val="0"/>
        <w:wordWrap/>
        <w:jc w:val="center"/>
      </w:pPr>
      <w:rPr>
        <w:rFonts w:eastAsiaTheme="minorEastAsia"/>
        <w:b/>
        <w:sz w:val="21"/>
      </w:rPr>
      <w:tblPr/>
      <w:trPr>
        <w:cantSplit/>
        <w:tblHeader/>
      </w:trPr>
      <w:tcPr>
        <w:tcBorders>
          <w:top w:val="single" w:color="auto" w:sz="12" w:space="0"/>
          <w:left w:val="single" w:color="auto" w:sz="12" w:space="0"/>
          <w:bottom w:val="single" w:color="auto" w:sz="12" w:space="0"/>
          <w:right w:val="single" w:color="auto" w:sz="12" w:space="0"/>
        </w:tcBorders>
      </w:tcPr>
    </w:tblStylePr>
    <w:tblStylePr w:type="lastRow">
      <w:pPr>
        <w:jc w:val="center"/>
      </w:pPr>
      <w:rPr>
        <w:rFonts w:eastAsiaTheme="minorEastAsia"/>
        <w:b/>
        <w:sz w:val="21"/>
      </w:rPr>
      <w:tcPr>
        <w:tcBorders>
          <w:top w:val="single" w:color="auto" w:sz="12" w:space="0"/>
          <w:left w:val="single" w:color="auto" w:sz="12" w:space="0"/>
          <w:bottom w:val="single" w:color="auto" w:sz="12" w:space="0"/>
          <w:right w:val="single" w:color="auto" w:sz="12" w:space="0"/>
        </w:tcBorders>
      </w:tcPr>
    </w:tblStylePr>
    <w:tblStylePr w:type="firstCol">
      <w:pPr>
        <w:jc w:val="center"/>
      </w:pPr>
      <w:rPr>
        <w:b/>
      </w:rPr>
    </w:tblStylePr>
    <w:tblStylePr w:type="lastCol">
      <w:rPr>
        <w:b/>
      </w:rPr>
    </w:tblStylePr>
  </w:style>
  <w:style w:type="table" w:customStyle="1" w:styleId="1175">
    <w:name w:val="网格表 1 浅色 - 着色 512"/>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176">
    <w:name w:val="网格表 4 - 着色 212"/>
    <w:basedOn w:val="80"/>
    <w:qFormat/>
    <w:uiPriority w:val="49"/>
    <w:pPr>
      <w:jc w:val="center"/>
    </w:pPr>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cPr>
      <w:vAlign w:val="center"/>
    </w:tcPr>
    <w:tblStylePr w:type="firstRow">
      <w:rPr>
        <w:b/>
        <w:bCs/>
        <w:color w:val="FFFFFF" w:themeColor="background1"/>
        <w14:textFill>
          <w14:solidFill>
            <w14:schemeClr w14:val="bg1"/>
          </w14:solidFill>
        </w14:textFill>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177">
    <w:name w:val="浅色列表 - 强调文字颜色 112"/>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178">
    <w:name w:val="浅色列表 - 强调文字颜色 122"/>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179">
    <w:name w:val="中等深浅底纹 1 - 强调文字颜色 122"/>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180">
    <w:name w:val="浅色列表 - 强调文字颜色 132"/>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181">
    <w:name w:val="中等深浅底纹 1 - 强调文字颜色 132"/>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182">
    <w:name w:val="浅色列表 - 强调文字颜色 142"/>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183">
    <w:name w:val="中等深浅底纹 1 - 强调文字颜色 142"/>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184">
    <w:name w:val="浅色列表 - 强调文字颜色 152"/>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185">
    <w:name w:val="中等深浅底纹 1 - 强调文字颜色 152"/>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186">
    <w:name w:val="浅色列表 - 强调文字颜色 162"/>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187">
    <w:name w:val="中等深浅底纹 1 - 强调文字颜色 162"/>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188">
    <w:name w:val="浅色列表 - 强调文字颜色 172"/>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189">
    <w:name w:val="中等深浅底纹 1 - 强调文字颜色 172"/>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190">
    <w:name w:val="浅色列表 - 强调文字颜色 182"/>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191">
    <w:name w:val="中等深浅底纹 1 - 强调文字颜色 182"/>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192">
    <w:name w:val="网格表 1 浅色 - 着色 522"/>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193">
    <w:name w:val="网格表 4 - 着色 222"/>
    <w:basedOn w:val="80"/>
    <w:qFormat/>
    <w:uiPriority w:val="49"/>
    <w:pPr>
      <w:jc w:val="center"/>
    </w:pPr>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cPr>
      <w:vAlign w:val="center"/>
    </w:tcPr>
    <w:tblStylePr w:type="firstRow">
      <w:rPr>
        <w:b/>
        <w:bCs/>
        <w:color w:val="FFFFFF" w:themeColor="background1"/>
        <w14:textFill>
          <w14:solidFill>
            <w14:schemeClr w14:val="bg1"/>
          </w14:solidFill>
        </w14:textFill>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194">
    <w:name w:val="网格表 1 浅色 - 着色 532"/>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195">
    <w:name w:val="网格表 4 - 着色 232"/>
    <w:basedOn w:val="80"/>
    <w:qFormat/>
    <w:uiPriority w:val="49"/>
    <w:pPr>
      <w:jc w:val="center"/>
    </w:pPr>
    <w:tblPr>
      <w:jc w:val="cente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rPr>
      <w:jc w:val="center"/>
    </w:trPr>
    <w:tcPr>
      <w:vAlign w:val="center"/>
    </w:tcPr>
    <w:tblStylePr w:type="firstRow">
      <w:rPr>
        <w:b/>
        <w:bCs/>
        <w:color w:val="FFFFFF" w:themeColor="background1"/>
        <w14:textFill>
          <w14:solidFill>
            <w14:schemeClr w14:val="bg1"/>
          </w14:solidFill>
        </w14:textFill>
      </w:rPr>
      <w:tblPr/>
      <w:trPr>
        <w:cantSplit/>
        <w:tblHeader/>
      </w:t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196">
    <w:name w:val="网格表 1 浅色 - 着色 542"/>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197">
    <w:name w:val="网格表 4 - 着色 242"/>
    <w:basedOn w:val="80"/>
    <w:qFormat/>
    <w:uiPriority w:val="49"/>
    <w:pPr>
      <w:jc w:val="center"/>
    </w:pPr>
    <w:tblPr>
      <w:jc w:val="cente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rPr>
      <w:jc w:val="center"/>
    </w:trPr>
    <w:tcPr>
      <w:vAlign w:val="center"/>
    </w:tcPr>
    <w:tblStylePr w:type="firstRow">
      <w:rPr>
        <w:b/>
        <w:bCs/>
        <w:color w:val="FFFFFF" w:themeColor="background1"/>
        <w14:textFill>
          <w14:solidFill>
            <w14:schemeClr w14:val="bg1"/>
          </w14:solidFill>
        </w14:textFill>
      </w:rPr>
      <w:tblPr/>
      <w:trPr>
        <w:cantSplit/>
        <w:tblHeader/>
      </w:t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198">
    <w:name w:val="网格表 1 浅色12"/>
    <w:basedOn w:val="80"/>
    <w:qFormat/>
    <w:uiPriority w:val="46"/>
    <w:rPr>
      <w:szCs w:val="22"/>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1199">
    <w:name w:val="网格表 1 浅色22"/>
    <w:basedOn w:val="80"/>
    <w:qFormat/>
    <w:uiPriority w:val="46"/>
    <w:rPr>
      <w:szCs w:val="22"/>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1200">
    <w:name w:val="网格型12"/>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1">
    <w:name w:val="网格型22"/>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2">
    <w:name w:val="网格型32"/>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3">
    <w:name w:val="网格型41"/>
    <w:basedOn w:val="8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4">
    <w:name w:val="表格主题11"/>
    <w:basedOn w:val="80"/>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5">
    <w:name w:val="彩色型 111"/>
    <w:basedOn w:val="80"/>
    <w:unhideWhenUsed/>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1206">
    <w:name w:val="彩色型 211"/>
    <w:basedOn w:val="80"/>
    <w:unhideWhenUsed/>
    <w:qFormat/>
    <w:uiPriority w:val="0"/>
    <w:pPr>
      <w:widowControl w:val="0"/>
      <w:jc w:val="both"/>
    </w:pPr>
    <w:tblPr>
      <w:tblBorders>
        <w:bottom w:val="single" w:color="000000" w:sz="12" w:space="0"/>
      </w:tblBorders>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1207">
    <w:name w:val="古典型 111"/>
    <w:basedOn w:val="80"/>
    <w:unhideWhenUsed/>
    <w:qFormat/>
    <w:uiPriority w:val="0"/>
    <w:pPr>
      <w:widowControl w:val="0"/>
      <w:jc w:val="both"/>
    </w:pPr>
    <w:tblPr>
      <w:tblBorders>
        <w:top w:val="single" w:color="000000" w:sz="12" w:space="0"/>
        <w:bottom w:val="single" w:color="000000" w:sz="12" w:space="0"/>
      </w:tblBorders>
    </w:tbl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1208">
    <w:name w:val="网格型 511"/>
    <w:basedOn w:val="80"/>
    <w:unhideWhenUsed/>
    <w:qFormat/>
    <w:uiPriority w:val="0"/>
    <w:pPr>
      <w:widowControl w:val="0"/>
      <w:jc w:val="center"/>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vAlign w:val="center"/>
    </w:tcPr>
    <w:tblStylePr w:type="firstRow">
      <w:pPr>
        <w:wordWrap/>
      </w:pPr>
      <w:rPr>
        <w:rFonts w:hint="default" w:ascii="Bahnschrift SemiBold" w:hAnsi="Bahnschrift SemiBold" w:eastAsia="宋体"/>
        <w:b/>
        <w:i w:val="0"/>
        <w:caps w:val="0"/>
        <w:smallCaps w:val="0"/>
        <w:strike w:val="0"/>
        <w:dstrike w:val="0"/>
        <w:vanish w:val="0"/>
        <w:sz w:val="21"/>
        <w:szCs w:val="21"/>
        <w:u w:val="none"/>
      </w:rPr>
      <w:tcPr>
        <w:tcBorders>
          <w:bottom w:val="single" w:color="000000" w:sz="12" w:space="0"/>
        </w:tcBorders>
        <w:vAlign w:val="bottom"/>
      </w:tcPr>
    </w:tblStylePr>
    <w:tblStylePr w:type="lastRow">
      <w:rPr>
        <w:rFonts w:hint="default" w:ascii="Times New Roman" w:hAnsi="Times New Roman" w:eastAsia="宋体" w:cs="Times New Roman"/>
        <w:b w:val="0"/>
        <w:bCs/>
        <w:sz w:val="21"/>
        <w:szCs w:val="21"/>
      </w:rPr>
      <w:tcPr>
        <w:tcBorders>
          <w:tl2br w:val="nil"/>
          <w:tr2bl w:val="nil"/>
        </w:tcBorders>
      </w:tcPr>
    </w:tblStylePr>
    <w:tblStylePr w:type="firstCol">
      <w:rPr>
        <w:rFonts w:hint="default" w:ascii="Times New Roman" w:hAnsi="Times New Roman" w:eastAsia="宋体" w:cs="Times New Roman"/>
        <w:sz w:val="21"/>
        <w:szCs w:val="21"/>
      </w:rPr>
    </w:tblStylePr>
    <w:tblStylePr w:type="lastCol">
      <w:rPr>
        <w:rFonts w:hint="default" w:ascii="Times New Roman" w:hAnsi="Times New Roman" w:eastAsia="宋体" w:cs="Times New Roman"/>
        <w:b/>
        <w:bCs/>
        <w:sz w:val="21"/>
        <w:szCs w:val="21"/>
      </w:rPr>
      <w:tcPr>
        <w:tcBorders>
          <w:tl2br w:val="nil"/>
          <w:tr2bl w:val="nil"/>
        </w:tcBorders>
      </w:tcPr>
    </w:tblStylePr>
    <w:tblStylePr w:type="nwCell">
      <w:pPr>
        <w:wordWrap/>
        <w:jc w:val="center"/>
      </w:pPr>
      <w:rPr>
        <w:rFonts w:hint="default" w:ascii="Times New Roman" w:hAnsi="Times New Roman" w:eastAsia="宋体" w:cs="Times New Roman"/>
        <w:sz w:val="21"/>
        <w:szCs w:val="21"/>
      </w:rPr>
      <w:tcPr>
        <w:tcBorders>
          <w:tl2br w:val="single" w:color="000000" w:sz="6" w:space="0"/>
        </w:tcBorders>
      </w:tcPr>
    </w:tblStylePr>
  </w:style>
  <w:style w:type="table" w:customStyle="1" w:styleId="1209">
    <w:name w:val="浅色底纹 - 着色 511"/>
    <w:basedOn w:val="80"/>
    <w:qFormat/>
    <w:uiPriority w:val="60"/>
    <w:rPr>
      <w:color w:val="31859C" w:themeColor="accent5" w:themeShade="BF"/>
    </w:rPr>
    <w:tblPr>
      <w:tblBorders>
        <w:top w:val="single" w:color="4BACC6" w:themeColor="accent5" w:sz="8" w:space="0"/>
        <w:bottom w:val="single" w:color="4BACC6" w:themeColor="accent5" w:sz="8" w:space="0"/>
      </w:tblBorders>
    </w:tblPr>
    <w:tblStylePr w:type="firstRow">
      <w:pPr>
        <w:spacing w:beforeLines="0" w:beforeAutospacing="0" w:afterLines="0" w:afterAutospacing="0" w:line="240" w:lineRule="auto"/>
      </w:pPr>
      <w:rPr>
        <w:b/>
        <w:bCs/>
      </w:r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2EAF0" w:themeFill="accent5" w:themeFillTint="3F"/>
      </w:tcPr>
    </w:tblStylePr>
    <w:tblStylePr w:type="band1Horz">
      <w:tcPr>
        <w:tcBorders>
          <w:left w:val="nil"/>
          <w:right w:val="nil"/>
          <w:insideH w:val="nil"/>
          <w:insideV w:val="nil"/>
        </w:tcBorders>
        <w:shd w:val="clear" w:color="auto" w:fill="D2EAF0" w:themeFill="accent5" w:themeFillTint="3F"/>
      </w:tcPr>
    </w:tblStylePr>
  </w:style>
  <w:style w:type="table" w:customStyle="1" w:styleId="1210">
    <w:name w:val="浅色列表 - 着色 11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211">
    <w:name w:val="浅色网格 - 着色 511"/>
    <w:basedOn w:val="80"/>
    <w:qFormat/>
    <w:uiPriority w:val="62"/>
    <w:pPr>
      <w:jc w:val="center"/>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vAlign w:val="center"/>
    </w:tcPr>
    <w:tblStylePr w:type="firstRow">
      <w:pPr>
        <w:spacing w:beforeLines="0" w:beforeAutospacing="0" w:afterLines="0" w:afterAutospacing="0" w:line="240" w:lineRule="auto"/>
        <w:jc w:val="center"/>
      </w:pPr>
      <w:rPr>
        <w:rFonts w:hint="eastAsia"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Lines="0" w:beforeAutospacing="0" w:afterLines="0" w:afterAutospacing="0" w:line="240" w:lineRule="auto"/>
      </w:pPr>
      <w:rPr>
        <w:rFonts w:hint="eastAsia" w:asciiTheme="majorHAnsi" w:hAnsiTheme="majorHAnsi" w:eastAsiaTheme="majorEastAsia" w:cstheme="majorBidi"/>
        <w:b/>
        <w:bCs/>
      </w:r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hint="eastAsia" w:asciiTheme="majorHAnsi" w:hAnsiTheme="majorHAnsi" w:eastAsiaTheme="majorEastAsia" w:cstheme="majorBidi"/>
        <w:b/>
        <w:bCs/>
      </w:rPr>
    </w:tblStylePr>
    <w:tblStylePr w:type="lastCol">
      <w:rPr>
        <w:rFonts w:hint="eastAsia"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customStyle="1" w:styleId="1212">
    <w:name w:val="中等深浅底纹 1 - 着色 11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213">
    <w:name w:val="中等深浅网格 1 - 着色 111"/>
    <w:basedOn w:val="80"/>
    <w:qFormat/>
    <w:uiPriority w:val="67"/>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vAlign w:val="center"/>
    </w:tcPr>
    <w:tblStylePr w:type="firstRow">
      <w:rPr>
        <w:b/>
        <w:bCs/>
      </w:rPr>
    </w:tblStylePr>
    <w:tblStylePr w:type="lastRow">
      <w:rPr>
        <w:b/>
        <w:bCs/>
      </w:rPr>
      <w:tcPr>
        <w:tcBorders>
          <w:top w:val="single" w:color="7BA0CD" w:themeColor="accent1" w:themeTint="BF" w:sz="18" w:space="0"/>
        </w:tcBorders>
      </w:tcPr>
    </w:tblStylePr>
    <w:tblStylePr w:type="firstCol">
      <w:rPr>
        <w:b/>
        <w:bCs/>
      </w:rPr>
    </w:tblStylePr>
    <w:tblStylePr w:type="lastCol">
      <w:rPr>
        <w:b/>
        <w:bCs/>
      </w:rPr>
    </w:tblStylePr>
    <w:tblStylePr w:type="band1Vert">
      <w:tcPr>
        <w:shd w:val="clear" w:color="auto" w:fill="A7C0DE" w:themeFill="accent1" w:themeFillTint="7F"/>
      </w:tcPr>
    </w:tblStylePr>
    <w:tblStylePr w:type="band1Horz">
      <w:tcPr>
        <w:shd w:val="clear" w:color="auto" w:fill="A7C0DE" w:themeFill="accent1" w:themeFillTint="7F"/>
      </w:tcPr>
    </w:tblStylePr>
  </w:style>
  <w:style w:type="table" w:customStyle="1" w:styleId="1214">
    <w:name w:val="表格（大字体）11"/>
    <w:basedOn w:val="80"/>
    <w:qFormat/>
    <w:uiPriority w:val="99"/>
    <w:pPr>
      <w:jc w:val="center"/>
    </w:pPr>
    <w:rPr>
      <w:rFonts w:ascii="微软雅黑"/>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pPr>
        <w:keepLines/>
        <w:widowControl/>
        <w:suppressLineNumbers w:val="0"/>
        <w:suppressAutoHyphens w:val="0"/>
        <w:wordWrap/>
        <w:jc w:val="center"/>
      </w:pPr>
      <w:rPr>
        <w:rFonts w:hint="eastAsia" w:ascii="Bahnschrift Light" w:hAnsi="Bahnschrift Light" w:eastAsiaTheme="minorEastAsia"/>
        <w:b/>
        <w:sz w:val="21"/>
        <w:szCs w:val="21"/>
      </w:rPr>
      <w:tcPr>
        <w:tcBorders>
          <w:top w:val="single" w:color="auto" w:sz="12" w:space="0"/>
          <w:left w:val="single" w:color="auto" w:sz="12" w:space="0"/>
          <w:bottom w:val="single" w:color="auto" w:sz="12" w:space="0"/>
          <w:right w:val="single" w:color="auto" w:sz="12" w:space="0"/>
        </w:tcBorders>
      </w:tcPr>
    </w:tblStylePr>
    <w:tblStylePr w:type="lastRow">
      <w:pPr>
        <w:jc w:val="center"/>
      </w:pPr>
      <w:rPr>
        <w:rFonts w:hint="eastAsia" w:ascii="Bahnschrift Light" w:hAnsi="Bahnschrift Light" w:eastAsiaTheme="minorEastAsia"/>
        <w:b/>
        <w:sz w:val="21"/>
        <w:szCs w:val="21"/>
      </w:rPr>
      <w:tcPr>
        <w:tcBorders>
          <w:top w:val="single" w:color="auto" w:sz="12" w:space="0"/>
          <w:left w:val="single" w:color="auto" w:sz="12" w:space="0"/>
          <w:bottom w:val="single" w:color="auto" w:sz="12" w:space="0"/>
          <w:right w:val="single" w:color="auto" w:sz="12" w:space="0"/>
        </w:tcBorders>
      </w:tcPr>
    </w:tblStylePr>
    <w:tblStylePr w:type="firstCol">
      <w:pPr>
        <w:jc w:val="center"/>
      </w:pPr>
      <w:rPr>
        <w:b/>
      </w:rPr>
    </w:tblStylePr>
    <w:tblStylePr w:type="lastCol">
      <w:rPr>
        <w:b/>
      </w:rPr>
    </w:tblStylePr>
  </w:style>
  <w:style w:type="table" w:customStyle="1" w:styleId="1215">
    <w:name w:val="网格表 1 浅色 - 着色 5111"/>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216">
    <w:name w:val="网格表 4 - 着色 2111"/>
    <w:basedOn w:val="80"/>
    <w:qFormat/>
    <w:uiPriority w:val="49"/>
    <w:pPr>
      <w:jc w:val="center"/>
    </w:pPr>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cPr>
      <w:vAlign w:val="center"/>
    </w:tcPr>
    <w:tblStylePr w:type="firstRow">
      <w:rPr>
        <w:b/>
        <w:bCs/>
        <w:color w:val="FFFFFF" w:themeColor="background1"/>
        <w14:textFill>
          <w14:solidFill>
            <w14:schemeClr w14:val="bg1"/>
          </w14:solidFill>
        </w14:textFill>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217">
    <w:name w:val="浅色列表 - 强调文字颜色 111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218">
    <w:name w:val="浅色列表 - 强调文字颜色 121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219">
    <w:name w:val="中等深浅底纹 1 - 强调文字颜色 121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220">
    <w:name w:val="浅色列表 - 强调文字颜色 131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221">
    <w:name w:val="中等深浅底纹 1 - 强调文字颜色 131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222">
    <w:name w:val="浅色列表 - 强调文字颜色 141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223">
    <w:name w:val="中等深浅底纹 1 - 强调文字颜色 141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224">
    <w:name w:val="浅色列表 - 强调文字颜色 151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225">
    <w:name w:val="中等深浅底纹 1 - 强调文字颜色 151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226">
    <w:name w:val="浅色列表 - 强调文字颜色 161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227">
    <w:name w:val="中等深浅底纹 1 - 强调文字颜色 161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228">
    <w:name w:val="浅色列表 - 强调文字颜色 171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229">
    <w:name w:val="中等深浅底纹 1 - 强调文字颜色 171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230">
    <w:name w:val="浅色列表 - 强调文字颜色 181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231">
    <w:name w:val="中等深浅底纹 1 - 强调文字颜色 181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232">
    <w:name w:val="网格表 1 浅色 - 着色 5211"/>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233">
    <w:name w:val="网格表 4 - 着色 2211"/>
    <w:basedOn w:val="80"/>
    <w:qFormat/>
    <w:uiPriority w:val="49"/>
    <w:pPr>
      <w:jc w:val="center"/>
    </w:pPr>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cPr>
      <w:vAlign w:val="center"/>
    </w:tcPr>
    <w:tblStylePr w:type="firstRow">
      <w:rPr>
        <w:b/>
        <w:bCs/>
        <w:color w:val="FFFFFF" w:themeColor="background1"/>
        <w14:textFill>
          <w14:solidFill>
            <w14:schemeClr w14:val="bg1"/>
          </w14:solidFill>
        </w14:textFill>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234">
    <w:name w:val="网格表 1 浅色 - 着色 5311"/>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235">
    <w:name w:val="网格表 4 - 着色 2311"/>
    <w:basedOn w:val="80"/>
    <w:qFormat/>
    <w:uiPriority w:val="49"/>
    <w:pPr>
      <w:jc w:val="center"/>
    </w:pPr>
    <w:tblPr>
      <w:jc w:val="cente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rPr>
      <w:jc w:val="center"/>
    </w:trPr>
    <w:tcPr>
      <w:vAlign w:val="center"/>
    </w:tcPr>
    <w:tblStylePr w:type="firstRow">
      <w:rPr>
        <w:b/>
        <w:bCs/>
        <w:color w:val="FFFFFF" w:themeColor="background1"/>
        <w14:textFill>
          <w14:solidFill>
            <w14:schemeClr w14:val="bg1"/>
          </w14:solidFill>
        </w14:textFill>
      </w:rPr>
      <w:tblPr/>
      <w:trPr>
        <w:cantSplit/>
        <w:tblHeader/>
      </w:t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236">
    <w:name w:val="网格表 1 浅色 - 着色 5411"/>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237">
    <w:name w:val="网格表 4 - 着色 2411"/>
    <w:basedOn w:val="80"/>
    <w:qFormat/>
    <w:uiPriority w:val="49"/>
    <w:pPr>
      <w:jc w:val="center"/>
    </w:pPr>
    <w:tblPr>
      <w:jc w:val="cente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rPr>
      <w:jc w:val="center"/>
    </w:trPr>
    <w:tcPr>
      <w:vAlign w:val="center"/>
    </w:tcPr>
    <w:tblStylePr w:type="firstRow">
      <w:rPr>
        <w:b/>
        <w:bCs/>
        <w:color w:val="FFFFFF" w:themeColor="background1"/>
        <w14:textFill>
          <w14:solidFill>
            <w14:schemeClr w14:val="bg1"/>
          </w14:solidFill>
        </w14:textFill>
      </w:rPr>
      <w:tblPr/>
      <w:trPr>
        <w:cantSplit/>
        <w:tblHeader/>
      </w:t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238">
    <w:name w:val="网格表 1 浅色111"/>
    <w:basedOn w:val="80"/>
    <w:qFormat/>
    <w:uiPriority w:val="46"/>
    <w:rPr>
      <w:szCs w:val="22"/>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1239">
    <w:name w:val="网格表 1 浅色211"/>
    <w:basedOn w:val="80"/>
    <w:qFormat/>
    <w:uiPriority w:val="46"/>
    <w:rPr>
      <w:szCs w:val="22"/>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1240">
    <w:name w:val="网格型111"/>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1">
    <w:name w:val="网格型211"/>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2">
    <w:name w:val="网格型311"/>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43">
    <w:name w:val="未处理的提及51"/>
    <w:basedOn w:val="91"/>
    <w:semiHidden/>
    <w:unhideWhenUsed/>
    <w:qFormat/>
    <w:uiPriority w:val="99"/>
    <w:rPr>
      <w:color w:val="605E5C"/>
      <w:shd w:val="clear" w:color="auto" w:fill="E1DFDD"/>
    </w:rPr>
  </w:style>
  <w:style w:type="table" w:customStyle="1" w:styleId="1244">
    <w:name w:val="网格型 5111"/>
    <w:basedOn w:val="80"/>
    <w:unhideWhenUsed/>
    <w:qFormat/>
    <w:uiPriority w:val="0"/>
    <w:pPr>
      <w:widowControl w:val="0"/>
      <w:jc w:val="center"/>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vAlign w:val="center"/>
    </w:tcPr>
    <w:tblStylePr w:type="firstRow">
      <w:pPr>
        <w:wordWrap/>
      </w:pPr>
      <w:rPr>
        <w:rFonts w:hint="default" w:ascii="仿宋_GB2312" w:hAnsi="仿宋_GB2312" w:eastAsia="宋体"/>
        <w:b/>
        <w:i w:val="0"/>
        <w:caps w:val="0"/>
        <w:smallCaps w:val="0"/>
        <w:strike w:val="0"/>
        <w:dstrike w:val="0"/>
        <w:vanish w:val="0"/>
        <w:sz w:val="21"/>
        <w:szCs w:val="21"/>
        <w:u w:val="none"/>
      </w:rPr>
      <w:tcPr>
        <w:tcBorders>
          <w:bottom w:val="single" w:color="000000" w:sz="12" w:space="0"/>
        </w:tcBorders>
        <w:vAlign w:val="bottom"/>
      </w:tcPr>
    </w:tblStylePr>
    <w:tblStylePr w:type="lastRow">
      <w:rPr>
        <w:rFonts w:hint="default" w:ascii="Times New Roman" w:hAnsi="Times New Roman" w:eastAsia="宋体" w:cs="Times New Roman"/>
        <w:b w:val="0"/>
        <w:bCs/>
        <w:sz w:val="21"/>
        <w:szCs w:val="21"/>
      </w:rPr>
      <w:tcPr>
        <w:tcBorders>
          <w:tl2br w:val="nil"/>
          <w:tr2bl w:val="nil"/>
        </w:tcBorders>
      </w:tcPr>
    </w:tblStylePr>
    <w:tblStylePr w:type="firstCol">
      <w:rPr>
        <w:rFonts w:hint="default" w:ascii="Times New Roman" w:hAnsi="Times New Roman" w:eastAsia="宋体" w:cs="Times New Roman"/>
        <w:sz w:val="21"/>
        <w:szCs w:val="21"/>
      </w:rPr>
    </w:tblStylePr>
    <w:tblStylePr w:type="lastCol">
      <w:rPr>
        <w:rFonts w:hint="default" w:ascii="Times New Roman" w:hAnsi="Times New Roman" w:eastAsia="宋体" w:cs="Times New Roman"/>
        <w:b/>
        <w:bCs/>
        <w:sz w:val="21"/>
        <w:szCs w:val="21"/>
      </w:rPr>
      <w:tcPr>
        <w:tcBorders>
          <w:tl2br w:val="nil"/>
          <w:tr2bl w:val="nil"/>
        </w:tcBorders>
      </w:tcPr>
    </w:tblStylePr>
    <w:tblStylePr w:type="nwCell">
      <w:pPr>
        <w:wordWrap/>
        <w:jc w:val="center"/>
      </w:pPr>
      <w:rPr>
        <w:rFonts w:hint="default" w:ascii="Times New Roman" w:hAnsi="Times New Roman" w:eastAsia="宋体" w:cs="Times New Roman"/>
        <w:sz w:val="21"/>
        <w:szCs w:val="21"/>
      </w:rPr>
      <w:tcPr>
        <w:tcBorders>
          <w:tl2br w:val="single" w:color="000000" w:sz="6" w:space="0"/>
        </w:tcBorders>
      </w:tcPr>
    </w:tblStylePr>
  </w:style>
  <w:style w:type="table" w:customStyle="1" w:styleId="1245">
    <w:name w:val="网格型6"/>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6">
    <w:name w:val="表格主题3"/>
    <w:basedOn w:val="80"/>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7">
    <w:name w:val="彩色型 13"/>
    <w:basedOn w:val="80"/>
    <w:unhideWhenUsed/>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1248">
    <w:name w:val="彩色型 23"/>
    <w:basedOn w:val="80"/>
    <w:unhideWhenUsed/>
    <w:qFormat/>
    <w:uiPriority w:val="0"/>
    <w:pPr>
      <w:widowControl w:val="0"/>
      <w:jc w:val="both"/>
    </w:pPr>
    <w:tblPr>
      <w:tblBorders>
        <w:bottom w:val="single" w:color="000000" w:sz="12" w:space="0"/>
      </w:tblBorders>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1249">
    <w:name w:val="古典型 13"/>
    <w:basedOn w:val="80"/>
    <w:unhideWhenUsed/>
    <w:qFormat/>
    <w:uiPriority w:val="0"/>
    <w:pPr>
      <w:widowControl w:val="0"/>
      <w:jc w:val="both"/>
    </w:pPr>
    <w:tblPr>
      <w:tblBorders>
        <w:top w:val="single" w:color="000000" w:sz="12" w:space="0"/>
        <w:bottom w:val="single" w:color="000000" w:sz="12" w:space="0"/>
      </w:tblBorders>
    </w:tbl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1250">
    <w:name w:val="网格型 53"/>
    <w:basedOn w:val="80"/>
    <w:qFormat/>
    <w:uiPriority w:val="0"/>
    <w:pPr>
      <w:widowControl w:val="0"/>
      <w:jc w:val="center"/>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rPr>
      <w:cantSplit/>
    </w:trPr>
    <w:tcPr>
      <w:shd w:val="clear" w:color="auto" w:fill="auto"/>
      <w:vAlign w:val="center"/>
    </w:tcPr>
    <w:tblStylePr w:type="firstRow">
      <w:pPr>
        <w:keepNext/>
        <w:wordWrap/>
      </w:pPr>
      <w:rPr>
        <w:rFonts w:ascii="仿宋_GB2312" w:hAnsi="仿宋_GB2312" w:eastAsia="宋体"/>
        <w:b/>
        <w:i w:val="0"/>
        <w:caps w:val="0"/>
        <w:smallCaps w:val="0"/>
        <w:strike w:val="0"/>
        <w:dstrike w:val="0"/>
        <w:vanish w:val="0"/>
        <w:sz w:val="21"/>
        <w:vertAlign w:val="baseline"/>
      </w:rPr>
      <w:tblPr/>
      <w:trPr>
        <w:tblHeader/>
      </w:trPr>
      <w:tcPr>
        <w:tcBorders>
          <w:bottom w:val="single" w:color="000000" w:sz="12" w:space="0"/>
        </w:tcBorders>
      </w:tcPr>
    </w:tblStylePr>
    <w:tblStylePr w:type="lastRow">
      <w:rPr>
        <w:rFonts w:eastAsia="宋体"/>
        <w:b w:val="0"/>
        <w:bCs/>
        <w:sz w:val="21"/>
      </w:rPr>
      <w:tcPr>
        <w:tcBorders>
          <w:tl2br w:val="nil"/>
          <w:tr2bl w:val="nil"/>
        </w:tcBorders>
      </w:tcPr>
    </w:tblStylePr>
    <w:tblStylePr w:type="firstCol">
      <w:rPr>
        <w:rFonts w:eastAsia="宋体"/>
        <w:sz w:val="21"/>
      </w:rPr>
    </w:tblStylePr>
    <w:tblStylePr w:type="lastCol">
      <w:rPr>
        <w:rFonts w:eastAsia="宋体"/>
        <w:b/>
        <w:bCs/>
        <w:sz w:val="21"/>
      </w:rPr>
      <w:tcPr>
        <w:tcBorders>
          <w:tl2br w:val="nil"/>
          <w:tr2bl w:val="nil"/>
        </w:tcBorders>
      </w:tcPr>
    </w:tblStylePr>
    <w:tblStylePr w:type="nwCell">
      <w:pPr>
        <w:wordWrap/>
        <w:jc w:val="center"/>
      </w:pPr>
      <w:rPr>
        <w:rFonts w:eastAsia="宋体"/>
        <w:sz w:val="21"/>
      </w:rPr>
      <w:tcPr>
        <w:tcBorders>
          <w:tl2br w:val="single" w:color="000000" w:sz="6" w:space="0"/>
        </w:tcBorders>
      </w:tcPr>
    </w:tblStylePr>
  </w:style>
  <w:style w:type="table" w:customStyle="1" w:styleId="1251">
    <w:name w:val="浅色底纹 - 着色 53"/>
    <w:basedOn w:val="80"/>
    <w:qFormat/>
    <w:uiPriority w:val="60"/>
    <w:rPr>
      <w:color w:val="31859C" w:themeColor="accent5" w:themeShade="BF"/>
    </w:rPr>
    <w:tblPr>
      <w:tblBorders>
        <w:top w:val="single" w:color="4BACC6" w:themeColor="accent5" w:sz="8" w:space="0"/>
        <w:bottom w:val="single" w:color="4BACC6" w:themeColor="accent5" w:sz="8" w:space="0"/>
      </w:tblBorders>
    </w:tblPr>
    <w:tblStylePr w:type="firstRow">
      <w:pPr>
        <w:spacing w:beforeLines="0" w:beforeAutospacing="0" w:afterLines="0" w:afterAutospacing="0" w:line="240" w:lineRule="auto"/>
      </w:pPr>
      <w:rPr>
        <w:b/>
        <w:bCs/>
      </w:r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2EAF0" w:themeFill="accent5" w:themeFillTint="3F"/>
      </w:tcPr>
    </w:tblStylePr>
    <w:tblStylePr w:type="band1Horz">
      <w:tcPr>
        <w:tcBorders>
          <w:left w:val="nil"/>
          <w:right w:val="nil"/>
          <w:insideH w:val="nil"/>
          <w:insideV w:val="nil"/>
        </w:tcBorders>
        <w:shd w:val="clear" w:color="auto" w:fill="D2EAF0" w:themeFill="accent5" w:themeFillTint="3F"/>
      </w:tcPr>
    </w:tblStylePr>
  </w:style>
  <w:style w:type="table" w:customStyle="1" w:styleId="1252">
    <w:name w:val="浅色列表 - 着色 13"/>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253">
    <w:name w:val="浅色网格 - 着色 53"/>
    <w:basedOn w:val="80"/>
    <w:qFormat/>
    <w:uiPriority w:val="62"/>
    <w:pPr>
      <w:jc w:val="center"/>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vAlign w:val="center"/>
    </w:tcPr>
    <w:tblStylePr w:type="firstRow">
      <w:pPr>
        <w:spacing w:beforeLines="0" w:beforeAutospacing="0" w:afterLines="0" w:afterAutospacing="0" w:line="240" w:lineRule="auto"/>
        <w:jc w:val="center"/>
      </w:pPr>
      <w:rPr>
        <w:rFonts w:hint="eastAsia"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Lines="0" w:beforeAutospacing="0" w:afterLines="0" w:afterAutospacing="0" w:line="240" w:lineRule="auto"/>
      </w:pPr>
      <w:rPr>
        <w:rFonts w:hint="eastAsia" w:asciiTheme="majorHAnsi" w:hAnsiTheme="majorHAnsi" w:eastAsiaTheme="majorEastAsia" w:cstheme="majorBidi"/>
        <w:b/>
        <w:bCs/>
      </w:r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hint="eastAsia" w:asciiTheme="majorHAnsi" w:hAnsiTheme="majorHAnsi" w:eastAsiaTheme="majorEastAsia" w:cstheme="majorBidi"/>
        <w:b/>
        <w:bCs/>
      </w:rPr>
    </w:tblStylePr>
    <w:tblStylePr w:type="lastCol">
      <w:rPr>
        <w:rFonts w:hint="eastAsia"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customStyle="1" w:styleId="1254">
    <w:name w:val="中等深浅底纹 1 - 着色 13"/>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255">
    <w:name w:val="中等深浅网格 1 - 着色 13"/>
    <w:basedOn w:val="80"/>
    <w:qFormat/>
    <w:uiPriority w:val="67"/>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vAlign w:val="center"/>
    </w:tcPr>
    <w:tblStylePr w:type="firstRow">
      <w:rPr>
        <w:b/>
        <w:bCs/>
      </w:rPr>
    </w:tblStylePr>
    <w:tblStylePr w:type="lastRow">
      <w:rPr>
        <w:b/>
        <w:bCs/>
      </w:rPr>
      <w:tcPr>
        <w:tcBorders>
          <w:top w:val="single" w:color="7BA0CD" w:themeColor="accent1" w:themeTint="BF" w:sz="18" w:space="0"/>
        </w:tcBorders>
      </w:tcPr>
    </w:tblStylePr>
    <w:tblStylePr w:type="firstCol">
      <w:rPr>
        <w:b/>
        <w:bCs/>
      </w:rPr>
    </w:tblStylePr>
    <w:tblStylePr w:type="lastCol">
      <w:rPr>
        <w:b/>
        <w:bCs/>
      </w:rPr>
    </w:tblStylePr>
    <w:tblStylePr w:type="band1Vert">
      <w:tcPr>
        <w:shd w:val="clear" w:color="auto" w:fill="A7C0DE" w:themeFill="accent1" w:themeFillTint="7F"/>
      </w:tcPr>
    </w:tblStylePr>
    <w:tblStylePr w:type="band1Horz">
      <w:tcPr>
        <w:shd w:val="clear" w:color="auto" w:fill="A7C0DE" w:themeFill="accent1" w:themeFillTint="7F"/>
      </w:tcPr>
    </w:tblStylePr>
  </w:style>
  <w:style w:type="table" w:customStyle="1" w:styleId="1256">
    <w:name w:val="表格（大字体）3"/>
    <w:basedOn w:val="80"/>
    <w:qFormat/>
    <w:uiPriority w:val="99"/>
    <w:pPr>
      <w:jc w:val="center"/>
    </w:pPr>
    <w:rPr>
      <w:rFonts w:ascii="微软雅黑"/>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tblStylePr w:type="firstRow">
      <w:pPr>
        <w:keepNext/>
        <w:keepLines/>
        <w:pageBreakBefore w:val="0"/>
        <w:widowControl/>
        <w:suppressLineNumbers w:val="0"/>
        <w:suppressAutoHyphens w:val="0"/>
        <w:wordWrap/>
        <w:jc w:val="center"/>
      </w:pPr>
      <w:rPr>
        <w:rFonts w:eastAsiaTheme="minorEastAsia"/>
        <w:b/>
        <w:sz w:val="21"/>
      </w:rPr>
      <w:tblPr/>
      <w:trPr>
        <w:cantSplit/>
        <w:tblHeader/>
      </w:trPr>
      <w:tcPr>
        <w:tcBorders>
          <w:top w:val="single" w:color="auto" w:sz="12" w:space="0"/>
          <w:left w:val="single" w:color="auto" w:sz="12" w:space="0"/>
          <w:bottom w:val="single" w:color="auto" w:sz="12" w:space="0"/>
          <w:right w:val="single" w:color="auto" w:sz="12" w:space="0"/>
        </w:tcBorders>
      </w:tcPr>
    </w:tblStylePr>
    <w:tblStylePr w:type="lastRow">
      <w:pPr>
        <w:jc w:val="center"/>
      </w:pPr>
      <w:rPr>
        <w:rFonts w:eastAsiaTheme="minorEastAsia"/>
        <w:b/>
        <w:sz w:val="21"/>
      </w:rPr>
      <w:tcPr>
        <w:tcBorders>
          <w:top w:val="single" w:color="auto" w:sz="12" w:space="0"/>
          <w:left w:val="single" w:color="auto" w:sz="12" w:space="0"/>
          <w:bottom w:val="single" w:color="auto" w:sz="12" w:space="0"/>
          <w:right w:val="single" w:color="auto" w:sz="12" w:space="0"/>
        </w:tcBorders>
      </w:tcPr>
    </w:tblStylePr>
    <w:tblStylePr w:type="firstCol">
      <w:pPr>
        <w:jc w:val="center"/>
      </w:pPr>
      <w:rPr>
        <w:b/>
      </w:rPr>
    </w:tblStylePr>
    <w:tblStylePr w:type="lastCol">
      <w:rPr>
        <w:b/>
      </w:rPr>
    </w:tblStylePr>
  </w:style>
  <w:style w:type="table" w:customStyle="1" w:styleId="1257">
    <w:name w:val="网格表 1 浅色 - 着色 513"/>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258">
    <w:name w:val="网格表 4 - 着色 213"/>
    <w:basedOn w:val="80"/>
    <w:qFormat/>
    <w:uiPriority w:val="49"/>
    <w:pPr>
      <w:jc w:val="center"/>
    </w:pPr>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cPr>
      <w:vAlign w:val="center"/>
    </w:tcPr>
    <w:tblStylePr w:type="firstRow">
      <w:rPr>
        <w:b/>
        <w:bCs/>
        <w:color w:val="FFFFFF" w:themeColor="background1"/>
        <w14:textFill>
          <w14:solidFill>
            <w14:schemeClr w14:val="bg1"/>
          </w14:solidFill>
        </w14:textFill>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259">
    <w:name w:val="浅色列表 - 强调文字颜色 113"/>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260">
    <w:name w:val="浅色列表 - 强调文字颜色 123"/>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261">
    <w:name w:val="中等深浅底纹 1 - 强调文字颜色 123"/>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262">
    <w:name w:val="浅色列表 - 强调文字颜色 133"/>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263">
    <w:name w:val="中等深浅底纹 1 - 强调文字颜色 133"/>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264">
    <w:name w:val="浅色列表 - 强调文字颜色 143"/>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265">
    <w:name w:val="中等深浅底纹 1 - 强调文字颜色 143"/>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266">
    <w:name w:val="浅色列表 - 强调文字颜色 153"/>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267">
    <w:name w:val="中等深浅底纹 1 - 强调文字颜色 153"/>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268">
    <w:name w:val="浅色列表 - 强调文字颜色 163"/>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269">
    <w:name w:val="中等深浅底纹 1 - 强调文字颜色 163"/>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270">
    <w:name w:val="浅色列表 - 强调文字颜色 173"/>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271">
    <w:name w:val="中等深浅底纹 1 - 强调文字颜色 173"/>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272">
    <w:name w:val="浅色列表 - 强调文字颜色 183"/>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273">
    <w:name w:val="中等深浅底纹 1 - 强调文字颜色 183"/>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274">
    <w:name w:val="网格表 1 浅色 - 着色 523"/>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275">
    <w:name w:val="网格表 4 - 着色 223"/>
    <w:basedOn w:val="80"/>
    <w:qFormat/>
    <w:uiPriority w:val="49"/>
    <w:pPr>
      <w:jc w:val="center"/>
    </w:pPr>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cPr>
      <w:vAlign w:val="center"/>
    </w:tcPr>
    <w:tblStylePr w:type="firstRow">
      <w:rPr>
        <w:b/>
        <w:bCs/>
        <w:color w:val="FFFFFF" w:themeColor="background1"/>
        <w14:textFill>
          <w14:solidFill>
            <w14:schemeClr w14:val="bg1"/>
          </w14:solidFill>
        </w14:textFill>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276">
    <w:name w:val="网格表 1 浅色 - 着色 533"/>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277">
    <w:name w:val="网格表 4 - 着色 233"/>
    <w:basedOn w:val="80"/>
    <w:qFormat/>
    <w:uiPriority w:val="49"/>
    <w:pPr>
      <w:jc w:val="center"/>
    </w:pPr>
    <w:tblPr>
      <w:jc w:val="cente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rPr>
      <w:jc w:val="center"/>
    </w:trPr>
    <w:tcPr>
      <w:vAlign w:val="center"/>
    </w:tcPr>
    <w:tblStylePr w:type="firstRow">
      <w:rPr>
        <w:b/>
        <w:bCs/>
        <w:color w:val="FFFFFF" w:themeColor="background1"/>
        <w14:textFill>
          <w14:solidFill>
            <w14:schemeClr w14:val="bg1"/>
          </w14:solidFill>
        </w14:textFill>
      </w:rPr>
      <w:tblPr/>
      <w:trPr>
        <w:cantSplit/>
        <w:tblHeader/>
      </w:t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278">
    <w:name w:val="网格表 1 浅色 - 着色 543"/>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279">
    <w:name w:val="网格表 4 - 着色 243"/>
    <w:basedOn w:val="80"/>
    <w:qFormat/>
    <w:uiPriority w:val="49"/>
    <w:pPr>
      <w:jc w:val="center"/>
    </w:pPr>
    <w:tblPr>
      <w:jc w:val="cente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rPr>
      <w:jc w:val="center"/>
    </w:trPr>
    <w:tcPr>
      <w:vAlign w:val="center"/>
    </w:tcPr>
    <w:tblStylePr w:type="firstRow">
      <w:rPr>
        <w:b/>
        <w:bCs/>
        <w:color w:val="FFFFFF" w:themeColor="background1"/>
        <w14:textFill>
          <w14:solidFill>
            <w14:schemeClr w14:val="bg1"/>
          </w14:solidFill>
        </w14:textFill>
      </w:rPr>
      <w:tblPr/>
      <w:trPr>
        <w:cantSplit/>
        <w:tblHeader/>
      </w:t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280">
    <w:name w:val="网格表 1 浅色13"/>
    <w:basedOn w:val="80"/>
    <w:qFormat/>
    <w:uiPriority w:val="46"/>
    <w:rPr>
      <w:szCs w:val="22"/>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1281">
    <w:name w:val="网格表 1 浅色23"/>
    <w:basedOn w:val="80"/>
    <w:qFormat/>
    <w:uiPriority w:val="46"/>
    <w:rPr>
      <w:szCs w:val="22"/>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1282">
    <w:name w:val="网格型13"/>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3">
    <w:name w:val="网格型23"/>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4">
    <w:name w:val="网格型33"/>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5">
    <w:name w:val="网格型42"/>
    <w:basedOn w:val="8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6">
    <w:name w:val="表格主题12"/>
    <w:basedOn w:val="80"/>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7">
    <w:name w:val="彩色型 112"/>
    <w:basedOn w:val="80"/>
    <w:unhideWhenUsed/>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1288">
    <w:name w:val="彩色型 212"/>
    <w:basedOn w:val="80"/>
    <w:unhideWhenUsed/>
    <w:qFormat/>
    <w:uiPriority w:val="0"/>
    <w:pPr>
      <w:widowControl w:val="0"/>
      <w:jc w:val="both"/>
    </w:pPr>
    <w:tblPr>
      <w:tblBorders>
        <w:bottom w:val="single" w:color="000000" w:sz="12" w:space="0"/>
      </w:tblBorders>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1289">
    <w:name w:val="古典型 112"/>
    <w:basedOn w:val="80"/>
    <w:unhideWhenUsed/>
    <w:qFormat/>
    <w:uiPriority w:val="0"/>
    <w:pPr>
      <w:widowControl w:val="0"/>
      <w:jc w:val="both"/>
    </w:pPr>
    <w:tblPr>
      <w:tblBorders>
        <w:top w:val="single" w:color="000000" w:sz="12" w:space="0"/>
        <w:bottom w:val="single" w:color="000000" w:sz="12" w:space="0"/>
      </w:tblBorders>
    </w:tbl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1290">
    <w:name w:val="网格型 512"/>
    <w:basedOn w:val="80"/>
    <w:unhideWhenUsed/>
    <w:qFormat/>
    <w:uiPriority w:val="0"/>
    <w:pPr>
      <w:widowControl w:val="0"/>
      <w:jc w:val="center"/>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vAlign w:val="center"/>
    </w:tcPr>
    <w:tblStylePr w:type="firstRow">
      <w:pPr>
        <w:wordWrap/>
      </w:pPr>
      <w:rPr>
        <w:rFonts w:hint="default" w:ascii="仿宋_GB2312" w:hAnsi="仿宋_GB2312" w:eastAsia="宋体"/>
        <w:b/>
        <w:i w:val="0"/>
        <w:caps w:val="0"/>
        <w:smallCaps w:val="0"/>
        <w:strike w:val="0"/>
        <w:dstrike w:val="0"/>
        <w:vanish w:val="0"/>
        <w:sz w:val="21"/>
        <w:szCs w:val="21"/>
        <w:u w:val="none"/>
      </w:rPr>
      <w:tcPr>
        <w:tcBorders>
          <w:bottom w:val="single" w:color="000000" w:sz="12" w:space="0"/>
        </w:tcBorders>
        <w:vAlign w:val="bottom"/>
      </w:tcPr>
    </w:tblStylePr>
    <w:tblStylePr w:type="lastRow">
      <w:rPr>
        <w:rFonts w:hint="default" w:ascii="Times New Roman" w:hAnsi="Times New Roman" w:eastAsia="宋体" w:cs="Times New Roman"/>
        <w:b w:val="0"/>
        <w:bCs/>
        <w:sz w:val="21"/>
        <w:szCs w:val="21"/>
      </w:rPr>
      <w:tcPr>
        <w:tcBorders>
          <w:tl2br w:val="nil"/>
          <w:tr2bl w:val="nil"/>
        </w:tcBorders>
      </w:tcPr>
    </w:tblStylePr>
    <w:tblStylePr w:type="firstCol">
      <w:rPr>
        <w:rFonts w:hint="default" w:ascii="Times New Roman" w:hAnsi="Times New Roman" w:eastAsia="宋体" w:cs="Times New Roman"/>
        <w:sz w:val="21"/>
        <w:szCs w:val="21"/>
      </w:rPr>
    </w:tblStylePr>
    <w:tblStylePr w:type="lastCol">
      <w:rPr>
        <w:rFonts w:hint="default" w:ascii="Times New Roman" w:hAnsi="Times New Roman" w:eastAsia="宋体" w:cs="Times New Roman"/>
        <w:b/>
        <w:bCs/>
        <w:sz w:val="21"/>
        <w:szCs w:val="21"/>
      </w:rPr>
      <w:tcPr>
        <w:tcBorders>
          <w:tl2br w:val="nil"/>
          <w:tr2bl w:val="nil"/>
        </w:tcBorders>
      </w:tcPr>
    </w:tblStylePr>
    <w:tblStylePr w:type="nwCell">
      <w:pPr>
        <w:wordWrap/>
        <w:jc w:val="center"/>
      </w:pPr>
      <w:rPr>
        <w:rFonts w:hint="default" w:ascii="Times New Roman" w:hAnsi="Times New Roman" w:eastAsia="宋体" w:cs="Times New Roman"/>
        <w:sz w:val="21"/>
        <w:szCs w:val="21"/>
      </w:rPr>
      <w:tcPr>
        <w:tcBorders>
          <w:tl2br w:val="single" w:color="000000" w:sz="6" w:space="0"/>
        </w:tcBorders>
      </w:tcPr>
    </w:tblStylePr>
  </w:style>
  <w:style w:type="table" w:customStyle="1" w:styleId="1291">
    <w:name w:val="浅色底纹 - 着色 512"/>
    <w:basedOn w:val="80"/>
    <w:qFormat/>
    <w:uiPriority w:val="60"/>
    <w:rPr>
      <w:color w:val="31859C" w:themeColor="accent5" w:themeShade="BF"/>
    </w:rPr>
    <w:tblPr>
      <w:tblBorders>
        <w:top w:val="single" w:color="4BACC6" w:themeColor="accent5" w:sz="8" w:space="0"/>
        <w:bottom w:val="single" w:color="4BACC6" w:themeColor="accent5" w:sz="8" w:space="0"/>
      </w:tblBorders>
    </w:tblPr>
    <w:tblStylePr w:type="firstRow">
      <w:pPr>
        <w:spacing w:beforeLines="0" w:beforeAutospacing="0" w:afterLines="0" w:afterAutospacing="0" w:line="240" w:lineRule="auto"/>
      </w:pPr>
      <w:rPr>
        <w:b/>
        <w:bCs/>
      </w:r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2EAF0" w:themeFill="accent5" w:themeFillTint="3F"/>
      </w:tcPr>
    </w:tblStylePr>
    <w:tblStylePr w:type="band1Horz">
      <w:tcPr>
        <w:tcBorders>
          <w:left w:val="nil"/>
          <w:right w:val="nil"/>
          <w:insideH w:val="nil"/>
          <w:insideV w:val="nil"/>
        </w:tcBorders>
        <w:shd w:val="clear" w:color="auto" w:fill="D2EAF0" w:themeFill="accent5" w:themeFillTint="3F"/>
      </w:tcPr>
    </w:tblStylePr>
  </w:style>
  <w:style w:type="table" w:customStyle="1" w:styleId="1292">
    <w:name w:val="浅色列表 - 着色 112"/>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293">
    <w:name w:val="浅色网格 - 着色 512"/>
    <w:basedOn w:val="80"/>
    <w:qFormat/>
    <w:uiPriority w:val="62"/>
    <w:pPr>
      <w:jc w:val="center"/>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vAlign w:val="center"/>
    </w:tcPr>
    <w:tblStylePr w:type="firstRow">
      <w:pPr>
        <w:spacing w:beforeLines="0" w:beforeAutospacing="0" w:afterLines="0" w:afterAutospacing="0" w:line="240" w:lineRule="auto"/>
        <w:jc w:val="center"/>
      </w:pPr>
      <w:rPr>
        <w:rFonts w:hint="eastAsia"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Lines="0" w:beforeAutospacing="0" w:afterLines="0" w:afterAutospacing="0" w:line="240" w:lineRule="auto"/>
      </w:pPr>
      <w:rPr>
        <w:rFonts w:hint="eastAsia" w:asciiTheme="majorHAnsi" w:hAnsiTheme="majorHAnsi" w:eastAsiaTheme="majorEastAsia" w:cstheme="majorBidi"/>
        <w:b/>
        <w:bCs/>
      </w:r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hint="eastAsia" w:asciiTheme="majorHAnsi" w:hAnsiTheme="majorHAnsi" w:eastAsiaTheme="majorEastAsia" w:cstheme="majorBidi"/>
        <w:b/>
        <w:bCs/>
      </w:rPr>
    </w:tblStylePr>
    <w:tblStylePr w:type="lastCol">
      <w:rPr>
        <w:rFonts w:hint="eastAsia"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customStyle="1" w:styleId="1294">
    <w:name w:val="中等深浅底纹 1 - 着色 112"/>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295">
    <w:name w:val="中等深浅网格 1 - 着色 112"/>
    <w:basedOn w:val="80"/>
    <w:qFormat/>
    <w:uiPriority w:val="67"/>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vAlign w:val="center"/>
    </w:tcPr>
    <w:tblStylePr w:type="firstRow">
      <w:rPr>
        <w:b/>
        <w:bCs/>
      </w:rPr>
    </w:tblStylePr>
    <w:tblStylePr w:type="lastRow">
      <w:rPr>
        <w:b/>
        <w:bCs/>
      </w:rPr>
      <w:tcPr>
        <w:tcBorders>
          <w:top w:val="single" w:color="7BA0CD" w:themeColor="accent1" w:themeTint="BF" w:sz="18" w:space="0"/>
        </w:tcBorders>
      </w:tcPr>
    </w:tblStylePr>
    <w:tblStylePr w:type="firstCol">
      <w:rPr>
        <w:b/>
        <w:bCs/>
      </w:rPr>
    </w:tblStylePr>
    <w:tblStylePr w:type="lastCol">
      <w:rPr>
        <w:b/>
        <w:bCs/>
      </w:rPr>
    </w:tblStylePr>
    <w:tblStylePr w:type="band1Vert">
      <w:tcPr>
        <w:shd w:val="clear" w:color="auto" w:fill="A7C0DE" w:themeFill="accent1" w:themeFillTint="7F"/>
      </w:tcPr>
    </w:tblStylePr>
    <w:tblStylePr w:type="band1Horz">
      <w:tcPr>
        <w:shd w:val="clear" w:color="auto" w:fill="A7C0DE" w:themeFill="accent1" w:themeFillTint="7F"/>
      </w:tcPr>
    </w:tblStylePr>
  </w:style>
  <w:style w:type="table" w:customStyle="1" w:styleId="1296">
    <w:name w:val="表格（大字体）12"/>
    <w:basedOn w:val="80"/>
    <w:qFormat/>
    <w:uiPriority w:val="99"/>
    <w:pPr>
      <w:jc w:val="center"/>
    </w:pPr>
    <w:rPr>
      <w:rFonts w:ascii="微软雅黑"/>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pPr>
        <w:keepLines/>
        <w:widowControl/>
        <w:suppressLineNumbers w:val="0"/>
        <w:suppressAutoHyphens w:val="0"/>
        <w:wordWrap/>
        <w:jc w:val="center"/>
      </w:pPr>
      <w:rPr>
        <w:rFonts w:hint="eastAsia" w:ascii="Bahnschrift Light" w:hAnsi="Bahnschrift Light" w:eastAsiaTheme="minorEastAsia"/>
        <w:b/>
        <w:sz w:val="21"/>
        <w:szCs w:val="21"/>
      </w:rPr>
      <w:tcPr>
        <w:tcBorders>
          <w:top w:val="single" w:color="auto" w:sz="12" w:space="0"/>
          <w:left w:val="single" w:color="auto" w:sz="12" w:space="0"/>
          <w:bottom w:val="single" w:color="auto" w:sz="12" w:space="0"/>
          <w:right w:val="single" w:color="auto" w:sz="12" w:space="0"/>
        </w:tcBorders>
      </w:tcPr>
    </w:tblStylePr>
    <w:tblStylePr w:type="lastRow">
      <w:pPr>
        <w:jc w:val="center"/>
      </w:pPr>
      <w:rPr>
        <w:rFonts w:hint="eastAsia" w:ascii="Bahnschrift Light" w:hAnsi="Bahnschrift Light" w:eastAsiaTheme="minorEastAsia"/>
        <w:b/>
        <w:sz w:val="21"/>
        <w:szCs w:val="21"/>
      </w:rPr>
      <w:tcPr>
        <w:tcBorders>
          <w:top w:val="single" w:color="auto" w:sz="12" w:space="0"/>
          <w:left w:val="single" w:color="auto" w:sz="12" w:space="0"/>
          <w:bottom w:val="single" w:color="auto" w:sz="12" w:space="0"/>
          <w:right w:val="single" w:color="auto" w:sz="12" w:space="0"/>
        </w:tcBorders>
      </w:tcPr>
    </w:tblStylePr>
    <w:tblStylePr w:type="firstCol">
      <w:pPr>
        <w:jc w:val="center"/>
      </w:pPr>
      <w:rPr>
        <w:b/>
      </w:rPr>
    </w:tblStylePr>
    <w:tblStylePr w:type="lastCol">
      <w:rPr>
        <w:b/>
      </w:rPr>
    </w:tblStylePr>
  </w:style>
  <w:style w:type="table" w:customStyle="1" w:styleId="1297">
    <w:name w:val="网格表 1 浅色 - 着色 5112"/>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298">
    <w:name w:val="网格表 4 - 着色 2112"/>
    <w:basedOn w:val="80"/>
    <w:qFormat/>
    <w:uiPriority w:val="49"/>
    <w:pPr>
      <w:jc w:val="center"/>
    </w:pPr>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cPr>
      <w:vAlign w:val="center"/>
    </w:tcPr>
    <w:tblStylePr w:type="firstRow">
      <w:rPr>
        <w:b/>
        <w:bCs/>
        <w:color w:val="FFFFFF" w:themeColor="background1"/>
        <w14:textFill>
          <w14:solidFill>
            <w14:schemeClr w14:val="bg1"/>
          </w14:solidFill>
        </w14:textFill>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299">
    <w:name w:val="浅色列表 - 强调文字颜色 1112"/>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300">
    <w:name w:val="浅色列表 - 强调文字颜色 1212"/>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301">
    <w:name w:val="中等深浅底纹 1 - 强调文字颜色 1212"/>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302">
    <w:name w:val="浅色列表 - 强调文字颜色 1312"/>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303">
    <w:name w:val="中等深浅底纹 1 - 强调文字颜色 1312"/>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304">
    <w:name w:val="浅色列表 - 强调文字颜色 1412"/>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305">
    <w:name w:val="中等深浅底纹 1 - 强调文字颜色 1412"/>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306">
    <w:name w:val="浅色列表 - 强调文字颜色 1512"/>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307">
    <w:name w:val="中等深浅底纹 1 - 强调文字颜色 1512"/>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308">
    <w:name w:val="浅色列表 - 强调文字颜色 1612"/>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309">
    <w:name w:val="中等深浅底纹 1 - 强调文字颜色 1612"/>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310">
    <w:name w:val="浅色列表 - 强调文字颜色 1712"/>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311">
    <w:name w:val="中等深浅底纹 1 - 强调文字颜色 1712"/>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312">
    <w:name w:val="浅色列表 - 强调文字颜色 1812"/>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313">
    <w:name w:val="中等深浅底纹 1 - 强调文字颜色 1812"/>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314">
    <w:name w:val="网格表 1 浅色 - 着色 5212"/>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315">
    <w:name w:val="网格表 4 - 着色 2212"/>
    <w:basedOn w:val="80"/>
    <w:qFormat/>
    <w:uiPriority w:val="49"/>
    <w:pPr>
      <w:jc w:val="center"/>
    </w:pPr>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cPr>
      <w:vAlign w:val="center"/>
    </w:tcPr>
    <w:tblStylePr w:type="firstRow">
      <w:rPr>
        <w:b/>
        <w:bCs/>
        <w:color w:val="FFFFFF" w:themeColor="background1"/>
        <w14:textFill>
          <w14:solidFill>
            <w14:schemeClr w14:val="bg1"/>
          </w14:solidFill>
        </w14:textFill>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316">
    <w:name w:val="网格表 1 浅色 - 着色 5312"/>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317">
    <w:name w:val="网格表 4 - 着色 2312"/>
    <w:basedOn w:val="80"/>
    <w:qFormat/>
    <w:uiPriority w:val="49"/>
    <w:pPr>
      <w:jc w:val="center"/>
    </w:pPr>
    <w:tblPr>
      <w:jc w:val="cente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rPr>
      <w:jc w:val="center"/>
    </w:trPr>
    <w:tcPr>
      <w:vAlign w:val="center"/>
    </w:tcPr>
    <w:tblStylePr w:type="firstRow">
      <w:rPr>
        <w:b/>
        <w:bCs/>
        <w:color w:val="FFFFFF" w:themeColor="background1"/>
        <w14:textFill>
          <w14:solidFill>
            <w14:schemeClr w14:val="bg1"/>
          </w14:solidFill>
        </w14:textFill>
      </w:rPr>
      <w:tblPr/>
      <w:trPr>
        <w:cantSplit/>
        <w:tblHeader/>
      </w:t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318">
    <w:name w:val="网格表 1 浅色 - 着色 5412"/>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319">
    <w:name w:val="网格表 4 - 着色 2412"/>
    <w:basedOn w:val="80"/>
    <w:qFormat/>
    <w:uiPriority w:val="49"/>
    <w:pPr>
      <w:jc w:val="center"/>
    </w:pPr>
    <w:tblPr>
      <w:jc w:val="cente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rPr>
      <w:jc w:val="center"/>
    </w:trPr>
    <w:tcPr>
      <w:vAlign w:val="center"/>
    </w:tcPr>
    <w:tblStylePr w:type="firstRow">
      <w:rPr>
        <w:b/>
        <w:bCs/>
        <w:color w:val="FFFFFF" w:themeColor="background1"/>
        <w14:textFill>
          <w14:solidFill>
            <w14:schemeClr w14:val="bg1"/>
          </w14:solidFill>
        </w14:textFill>
      </w:rPr>
      <w:tblPr/>
      <w:trPr>
        <w:cantSplit/>
        <w:tblHeader/>
      </w:t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320">
    <w:name w:val="网格表 1 浅色112"/>
    <w:basedOn w:val="80"/>
    <w:qFormat/>
    <w:uiPriority w:val="46"/>
    <w:rPr>
      <w:szCs w:val="22"/>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1321">
    <w:name w:val="网格表 1 浅色212"/>
    <w:basedOn w:val="80"/>
    <w:qFormat/>
    <w:uiPriority w:val="46"/>
    <w:rPr>
      <w:szCs w:val="22"/>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1322">
    <w:name w:val="网格型112"/>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3">
    <w:name w:val="网格型212"/>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4">
    <w:name w:val="网格型312"/>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25">
    <w:name w:val="未处理的提及6"/>
    <w:basedOn w:val="91"/>
    <w:semiHidden/>
    <w:unhideWhenUsed/>
    <w:qFormat/>
    <w:uiPriority w:val="99"/>
    <w:rPr>
      <w:color w:val="605E5C"/>
      <w:shd w:val="clear" w:color="auto" w:fill="E1DFDD"/>
    </w:rPr>
  </w:style>
  <w:style w:type="table" w:customStyle="1" w:styleId="1326">
    <w:name w:val="网格表 1 浅色 - 着色 55"/>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327">
    <w:name w:val="网格表 4 - 着色 25"/>
    <w:basedOn w:val="80"/>
    <w:qFormat/>
    <w:uiPriority w:val="49"/>
    <w:pPr>
      <w:jc w:val="center"/>
    </w:pPr>
    <w:rPr>
      <w:szCs w:val="22"/>
    </w:rPr>
    <w:tblPr>
      <w:jc w:val="cente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rPr>
      <w:jc w:val="center"/>
    </w:trPr>
    <w:tcPr>
      <w:vAlign w:val="center"/>
    </w:tcPr>
    <w:tblStylePr w:type="firstRow">
      <w:rPr>
        <w:b/>
        <w:bCs/>
        <w:color w:val="FFFFFF" w:themeColor="background1"/>
        <w14:textFill>
          <w14:solidFill>
            <w14:schemeClr w14:val="bg1"/>
          </w14:solidFill>
        </w14:textFill>
      </w:rPr>
      <w:tblPr/>
      <w:trPr>
        <w:cantSplit/>
        <w:tblHeader/>
      </w:t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328">
    <w:name w:val="网格表 4 - 着色 51"/>
    <w:basedOn w:val="80"/>
    <w:qFormat/>
    <w:uiPriority w:val="49"/>
    <w:pPr>
      <w:jc w:val="center"/>
    </w:pPr>
    <w:rPr>
      <w:rFonts w:ascii="Calibri" w:hAnsi="Calibri"/>
      <w:szCs w:val="22"/>
    </w:rPr>
    <w:tblPr>
      <w:jc w:val="cente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rPr>
      <w:jc w:val="center"/>
    </w:trPr>
    <w:tcPr>
      <w:vAlign w:val="center"/>
    </w:tcPr>
    <w:tblStylePr w:type="firstRow">
      <w:rPr>
        <w:b/>
        <w:bCs/>
        <w:color w:val="FFFFFF" w:themeColor="background1"/>
        <w14:textFill>
          <w14:solidFill>
            <w14:schemeClr w14:val="bg1"/>
          </w14:solidFill>
        </w14:textFill>
      </w:rPr>
      <w:tblPr/>
      <w:trPr>
        <w:cantSplit/>
        <w:tblHeader/>
      </w:trPr>
      <w:tcPr>
        <w:tcBorders>
          <w:top w:val="single" w:color="4BACC6" w:themeColor="accent5" w:sz="4" w:space="0"/>
          <w:left w:val="single" w:color="4BACC6" w:themeColor="accent5" w:sz="4" w:space="0"/>
          <w:bottom w:val="single" w:color="4BACC6" w:themeColor="accent5" w:sz="4" w:space="0"/>
          <w:right w:val="single" w:color="4BACC6" w:themeColor="accent5" w:sz="4" w:space="0"/>
          <w:insideH w:val="nil"/>
          <w:insideV w:val="nil"/>
        </w:tcBorders>
        <w:shd w:val="clear" w:color="auto" w:fill="4BACC6" w:themeFill="accent5"/>
      </w:tcPr>
    </w:tblStylePr>
    <w:tblStylePr w:type="lastRow">
      <w:rPr>
        <w:b/>
        <w:bCs/>
      </w:rPr>
      <w:tcPr>
        <w:tcBorders>
          <w:top w:val="double" w:color="4BACC6" w:themeColor="accent5"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paragraph" w:customStyle="1" w:styleId="1329">
    <w:name w:val="样式14"/>
    <w:basedOn w:val="789"/>
    <w:qFormat/>
    <w:uiPriority w:val="0"/>
    <w:pPr>
      <w:spacing w:before="120"/>
    </w:pPr>
    <w:rPr>
      <w:rFonts w:eastAsia="宋体" w:cs="Times New Roman"/>
    </w:rPr>
  </w:style>
  <w:style w:type="character" w:customStyle="1" w:styleId="1330">
    <w:name w:val="未处理的提及7"/>
    <w:basedOn w:val="91"/>
    <w:semiHidden/>
    <w:unhideWhenUsed/>
    <w:qFormat/>
    <w:uiPriority w:val="99"/>
    <w:rPr>
      <w:color w:val="605E5C"/>
      <w:shd w:val="clear" w:color="auto" w:fill="E1DFDD"/>
    </w:rPr>
  </w:style>
  <w:style w:type="character" w:customStyle="1" w:styleId="1331">
    <w:name w:val="页眉 Char3"/>
    <w:basedOn w:val="91"/>
    <w:qFormat/>
    <w:uiPriority w:val="99"/>
    <w:rPr>
      <w:rFonts w:ascii="Arial" w:hAnsi="Arial" w:eastAsia="宋体" w:cs="Times New Roman"/>
      <w:sz w:val="18"/>
      <w:szCs w:val="18"/>
    </w:rPr>
  </w:style>
  <w:style w:type="character" w:customStyle="1" w:styleId="1332">
    <w:name w:val="页脚 Char3"/>
    <w:basedOn w:val="91"/>
    <w:qFormat/>
    <w:uiPriority w:val="0"/>
    <w:rPr>
      <w:rFonts w:ascii="Arial" w:hAnsi="Arial" w:eastAsia="宋体" w:cs="Times New Roman"/>
      <w:kern w:val="2"/>
      <w:sz w:val="18"/>
      <w:szCs w:val="18"/>
    </w:rPr>
  </w:style>
  <w:style w:type="character" w:customStyle="1" w:styleId="1333">
    <w:name w:val="文档结构图 Char3"/>
    <w:basedOn w:val="91"/>
    <w:qFormat/>
    <w:uiPriority w:val="0"/>
    <w:rPr>
      <w:rFonts w:ascii="Arial" w:hAnsi="Arial" w:eastAsia="宋体" w:cs="Times New Roman"/>
      <w:kern w:val="2"/>
      <w:sz w:val="21"/>
      <w:szCs w:val="24"/>
      <w:shd w:val="clear" w:color="auto" w:fill="000080"/>
    </w:rPr>
  </w:style>
  <w:style w:type="character" w:customStyle="1" w:styleId="1334">
    <w:name w:val="副标题 Char3"/>
    <w:basedOn w:val="91"/>
    <w:qFormat/>
    <w:uiPriority w:val="0"/>
    <w:rPr>
      <w:rFonts w:ascii="Cambria" w:hAnsi="Cambria" w:eastAsia="宋体" w:cs="Times New Roman"/>
      <w:b/>
      <w:bCs/>
      <w:kern w:val="28"/>
      <w:sz w:val="32"/>
      <w:szCs w:val="32"/>
    </w:rPr>
  </w:style>
  <w:style w:type="character" w:customStyle="1" w:styleId="1335">
    <w:name w:val="引用 Char4"/>
    <w:basedOn w:val="91"/>
    <w:qFormat/>
    <w:uiPriority w:val="29"/>
    <w:rPr>
      <w:rFonts w:ascii="Arial" w:hAnsi="Arial" w:eastAsia="宋体" w:cs="Times New Roman"/>
      <w:i/>
      <w:iCs/>
      <w:color w:val="000000"/>
      <w:kern w:val="2"/>
      <w:sz w:val="21"/>
      <w:szCs w:val="24"/>
    </w:rPr>
  </w:style>
  <w:style w:type="character" w:customStyle="1" w:styleId="1336">
    <w:name w:val="明显引用 Char4"/>
    <w:basedOn w:val="91"/>
    <w:qFormat/>
    <w:uiPriority w:val="30"/>
    <w:rPr>
      <w:rFonts w:ascii="Arial" w:hAnsi="Arial" w:eastAsia="宋体" w:cs="Times New Roman"/>
      <w:b/>
      <w:bCs/>
      <w:i/>
      <w:iCs/>
      <w:color w:val="4F81BD"/>
      <w:kern w:val="2"/>
      <w:sz w:val="21"/>
      <w:szCs w:val="24"/>
    </w:rPr>
  </w:style>
  <w:style w:type="character" w:customStyle="1" w:styleId="1337">
    <w:name w:val="标题 1 Char3"/>
    <w:basedOn w:val="91"/>
    <w:qFormat/>
    <w:uiPriority w:val="0"/>
    <w:rPr>
      <w:rFonts w:ascii="Arial" w:hAnsi="Arial" w:eastAsia="宋体" w:cs="Times New Roman"/>
      <w:b/>
      <w:kern w:val="44"/>
      <w:sz w:val="28"/>
      <w:szCs w:val="32"/>
    </w:rPr>
  </w:style>
  <w:style w:type="character" w:customStyle="1" w:styleId="1338">
    <w:name w:val="标题 2 Char3"/>
    <w:basedOn w:val="91"/>
    <w:qFormat/>
    <w:uiPriority w:val="0"/>
    <w:rPr>
      <w:rFonts w:ascii="Arial" w:hAnsi="Arial"/>
      <w:b/>
      <w:sz w:val="28"/>
      <w:szCs w:val="28"/>
    </w:rPr>
  </w:style>
  <w:style w:type="character" w:customStyle="1" w:styleId="1339">
    <w:name w:val="标题 3 Char3"/>
    <w:basedOn w:val="91"/>
    <w:qFormat/>
    <w:uiPriority w:val="0"/>
    <w:rPr>
      <w:rFonts w:ascii="Arial" w:hAnsi="Arial" w:eastAsia="宋体" w:cs="Times New Roman"/>
      <w:b/>
      <w:kern w:val="2"/>
      <w:sz w:val="28"/>
      <w:szCs w:val="24"/>
    </w:rPr>
  </w:style>
  <w:style w:type="character" w:customStyle="1" w:styleId="1340">
    <w:name w:val="标题 4 Char3"/>
    <w:basedOn w:val="91"/>
    <w:qFormat/>
    <w:uiPriority w:val="0"/>
    <w:rPr>
      <w:rFonts w:ascii="Arial" w:hAnsi="Arial" w:eastAsia="宋体" w:cs="Times New Roman"/>
      <w:kern w:val="2"/>
      <w:sz w:val="28"/>
      <w:szCs w:val="24"/>
    </w:rPr>
  </w:style>
  <w:style w:type="character" w:customStyle="1" w:styleId="1341">
    <w:name w:val="标题 5 Char3"/>
    <w:basedOn w:val="91"/>
    <w:qFormat/>
    <w:uiPriority w:val="0"/>
    <w:rPr>
      <w:rFonts w:ascii="Arial" w:hAnsi="Arial" w:eastAsia="宋体" w:cs="Times New Roman"/>
      <w:kern w:val="2"/>
      <w:sz w:val="28"/>
      <w:szCs w:val="24"/>
    </w:rPr>
  </w:style>
  <w:style w:type="character" w:customStyle="1" w:styleId="1342">
    <w:name w:val="无间隔 Char4"/>
    <w:basedOn w:val="91"/>
    <w:qFormat/>
    <w:uiPriority w:val="1"/>
    <w:rPr>
      <w:rFonts w:ascii="Calibri" w:hAnsi="Calibri" w:eastAsia="宋体" w:cs="Times New Roman"/>
      <w:sz w:val="22"/>
      <w:szCs w:val="22"/>
    </w:rPr>
  </w:style>
  <w:style w:type="character" w:customStyle="1" w:styleId="1343">
    <w:name w:val="正文文本 Char3"/>
    <w:basedOn w:val="91"/>
    <w:qFormat/>
    <w:uiPriority w:val="0"/>
    <w:rPr>
      <w:rFonts w:ascii="Arial" w:hAnsi="Arial" w:eastAsia="宋体" w:cs="Times New Roman"/>
      <w:kern w:val="2"/>
      <w:sz w:val="21"/>
      <w:szCs w:val="24"/>
    </w:rPr>
  </w:style>
  <w:style w:type="character" w:customStyle="1" w:styleId="1344">
    <w:name w:val="正文文本缩进 Char3"/>
    <w:basedOn w:val="91"/>
    <w:qFormat/>
    <w:uiPriority w:val="0"/>
    <w:rPr>
      <w:rFonts w:ascii="Arial" w:hAnsi="Arial" w:eastAsia="宋体" w:cs="Times New Roman"/>
      <w:kern w:val="2"/>
      <w:sz w:val="21"/>
      <w:szCs w:val="24"/>
    </w:rPr>
  </w:style>
  <w:style w:type="character" w:customStyle="1" w:styleId="1345">
    <w:name w:val="标题 6 Char3"/>
    <w:basedOn w:val="91"/>
    <w:qFormat/>
    <w:uiPriority w:val="0"/>
    <w:rPr>
      <w:rFonts w:asciiTheme="majorHAnsi" w:hAnsiTheme="majorHAnsi" w:eastAsiaTheme="majorEastAsia" w:cstheme="majorBidi"/>
      <w:b/>
      <w:bCs/>
      <w:kern w:val="2"/>
      <w:sz w:val="24"/>
      <w:szCs w:val="24"/>
    </w:rPr>
  </w:style>
  <w:style w:type="character" w:customStyle="1" w:styleId="1346">
    <w:name w:val="标题 7 Char3"/>
    <w:basedOn w:val="91"/>
    <w:qFormat/>
    <w:uiPriority w:val="0"/>
    <w:rPr>
      <w:rFonts w:ascii="Arial" w:hAnsi="Arial" w:eastAsia="宋体" w:cs="Times New Roman"/>
      <w:b/>
      <w:bCs/>
      <w:kern w:val="2"/>
      <w:sz w:val="24"/>
      <w:szCs w:val="24"/>
    </w:rPr>
  </w:style>
  <w:style w:type="character" w:customStyle="1" w:styleId="1347">
    <w:name w:val="标题 8 Char3"/>
    <w:basedOn w:val="91"/>
    <w:qFormat/>
    <w:uiPriority w:val="0"/>
    <w:rPr>
      <w:rFonts w:asciiTheme="majorHAnsi" w:hAnsiTheme="majorHAnsi" w:eastAsiaTheme="majorEastAsia" w:cstheme="majorBidi"/>
      <w:kern w:val="2"/>
      <w:sz w:val="24"/>
      <w:szCs w:val="24"/>
    </w:rPr>
  </w:style>
  <w:style w:type="character" w:customStyle="1" w:styleId="1348">
    <w:name w:val="标题 9 Char3"/>
    <w:basedOn w:val="91"/>
    <w:qFormat/>
    <w:uiPriority w:val="0"/>
    <w:rPr>
      <w:rFonts w:asciiTheme="majorHAnsi" w:hAnsiTheme="majorHAnsi" w:eastAsiaTheme="majorEastAsia" w:cstheme="majorBidi"/>
      <w:kern w:val="2"/>
      <w:sz w:val="21"/>
      <w:szCs w:val="21"/>
    </w:rPr>
  </w:style>
  <w:style w:type="character" w:customStyle="1" w:styleId="1349">
    <w:name w:val="批注框文本 Char3"/>
    <w:basedOn w:val="91"/>
    <w:qFormat/>
    <w:uiPriority w:val="0"/>
    <w:rPr>
      <w:rFonts w:ascii="Arial" w:hAnsi="Arial" w:eastAsia="宋体" w:cs="Times New Roman"/>
      <w:kern w:val="2"/>
      <w:sz w:val="18"/>
      <w:szCs w:val="18"/>
    </w:rPr>
  </w:style>
  <w:style w:type="paragraph" w:customStyle="1" w:styleId="1350">
    <w:name w:val="样式 标题 4 + 段前: 0.5 行 段后: 0.5 行2"/>
    <w:basedOn w:val="6"/>
    <w:qFormat/>
    <w:uiPriority w:val="0"/>
    <w:pPr>
      <w:keepNext w:val="0"/>
      <w:widowControl/>
      <w:numPr>
        <w:ilvl w:val="0"/>
        <w:numId w:val="0"/>
      </w:numPr>
      <w:spacing w:before="50" w:beforeLines="50" w:after="50" w:afterLines="50"/>
      <w:jc w:val="left"/>
      <w:textAlignment w:val="baseline"/>
    </w:pPr>
    <w:rPr>
      <w:rFonts w:ascii="Arial" w:hAnsi="Arial" w:eastAsia="宋体"/>
      <w:b w:val="0"/>
      <w:bCs w:val="0"/>
    </w:rPr>
  </w:style>
  <w:style w:type="paragraph" w:customStyle="1" w:styleId="1351">
    <w:name w:val="样式 标题 3 + 段前: 0.5 行 段后: 0.5 行"/>
    <w:basedOn w:val="5"/>
    <w:qFormat/>
    <w:uiPriority w:val="0"/>
    <w:pPr>
      <w:keepNext w:val="0"/>
      <w:keepLines w:val="0"/>
      <w:numPr>
        <w:numId w:val="0"/>
      </w:numPr>
      <w:spacing w:before="50" w:beforeLines="50" w:after="50" w:afterLines="50" w:line="240" w:lineRule="auto"/>
      <w:ind w:left="200" w:hanging="200" w:hangingChars="200"/>
      <w:textAlignment w:val="baseline"/>
    </w:pPr>
    <w:rPr>
      <w:rFonts w:ascii="Arial" w:hAnsi="Arial" w:eastAsia="宋体" w:cs="宋体"/>
    </w:rPr>
  </w:style>
  <w:style w:type="character" w:customStyle="1" w:styleId="1352">
    <w:name w:val="未处理的提及8"/>
    <w:basedOn w:val="91"/>
    <w:semiHidden/>
    <w:unhideWhenUsed/>
    <w:qFormat/>
    <w:uiPriority w:val="99"/>
    <w:rPr>
      <w:color w:val="605E5C"/>
      <w:shd w:val="clear" w:color="auto" w:fill="E1DFDD"/>
    </w:rPr>
  </w:style>
  <w:style w:type="table" w:customStyle="1" w:styleId="1353">
    <w:name w:val="网格型7"/>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4">
    <w:name w:val="表格主题4"/>
    <w:basedOn w:val="80"/>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5">
    <w:name w:val="彩色型 14"/>
    <w:basedOn w:val="80"/>
    <w:unhideWhenUsed/>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1356">
    <w:name w:val="彩色型 24"/>
    <w:basedOn w:val="80"/>
    <w:unhideWhenUsed/>
    <w:qFormat/>
    <w:uiPriority w:val="0"/>
    <w:pPr>
      <w:widowControl w:val="0"/>
      <w:jc w:val="both"/>
    </w:pPr>
    <w:tblPr>
      <w:tblBorders>
        <w:bottom w:val="single" w:color="000000" w:sz="12" w:space="0"/>
      </w:tblBorders>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1357">
    <w:name w:val="古典型 14"/>
    <w:basedOn w:val="80"/>
    <w:unhideWhenUsed/>
    <w:qFormat/>
    <w:uiPriority w:val="0"/>
    <w:pPr>
      <w:widowControl w:val="0"/>
      <w:jc w:val="both"/>
    </w:pPr>
    <w:tblPr>
      <w:tblBorders>
        <w:top w:val="single" w:color="000000" w:sz="12" w:space="0"/>
        <w:bottom w:val="single" w:color="000000" w:sz="12" w:space="0"/>
      </w:tblBorders>
    </w:tbl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1358">
    <w:name w:val="网格型 54"/>
    <w:basedOn w:val="80"/>
    <w:qFormat/>
    <w:uiPriority w:val="0"/>
    <w:pPr>
      <w:widowControl w:val="0"/>
      <w:jc w:val="center"/>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rPr>
      <w:cantSplit/>
    </w:trPr>
    <w:tcPr>
      <w:shd w:val="clear" w:color="auto" w:fill="auto"/>
      <w:vAlign w:val="center"/>
    </w:tcPr>
    <w:tblStylePr w:type="firstRow">
      <w:pPr>
        <w:keepNext/>
        <w:wordWrap/>
      </w:pPr>
      <w:rPr>
        <w:rFonts w:ascii="仿宋_GB2312" w:hAnsi="仿宋_GB2312" w:eastAsia="宋体"/>
        <w:b/>
        <w:i w:val="0"/>
        <w:caps w:val="0"/>
        <w:smallCaps w:val="0"/>
        <w:strike w:val="0"/>
        <w:dstrike w:val="0"/>
        <w:vanish w:val="0"/>
        <w:sz w:val="21"/>
        <w:vertAlign w:val="baseline"/>
      </w:rPr>
      <w:tblPr/>
      <w:trPr>
        <w:tblHeader/>
      </w:trPr>
      <w:tcPr>
        <w:tcBorders>
          <w:bottom w:val="single" w:color="000000" w:sz="12" w:space="0"/>
        </w:tcBorders>
      </w:tcPr>
    </w:tblStylePr>
    <w:tblStylePr w:type="lastRow">
      <w:rPr>
        <w:rFonts w:eastAsia="宋体"/>
        <w:b w:val="0"/>
        <w:bCs/>
        <w:sz w:val="21"/>
      </w:rPr>
      <w:tcPr>
        <w:tcBorders>
          <w:tl2br w:val="nil"/>
          <w:tr2bl w:val="nil"/>
        </w:tcBorders>
      </w:tcPr>
    </w:tblStylePr>
    <w:tblStylePr w:type="firstCol">
      <w:rPr>
        <w:rFonts w:eastAsia="宋体"/>
        <w:sz w:val="21"/>
      </w:rPr>
    </w:tblStylePr>
    <w:tblStylePr w:type="lastCol">
      <w:rPr>
        <w:rFonts w:eastAsia="宋体"/>
        <w:b/>
        <w:bCs/>
        <w:sz w:val="21"/>
      </w:rPr>
      <w:tcPr>
        <w:tcBorders>
          <w:tl2br w:val="nil"/>
          <w:tr2bl w:val="nil"/>
        </w:tcBorders>
      </w:tcPr>
    </w:tblStylePr>
    <w:tblStylePr w:type="nwCell">
      <w:pPr>
        <w:wordWrap/>
        <w:jc w:val="center"/>
      </w:pPr>
      <w:rPr>
        <w:rFonts w:eastAsia="宋体"/>
        <w:sz w:val="21"/>
      </w:rPr>
      <w:tcPr>
        <w:tcBorders>
          <w:tl2br w:val="single" w:color="000000" w:sz="6" w:space="0"/>
        </w:tcBorders>
      </w:tcPr>
    </w:tblStylePr>
  </w:style>
  <w:style w:type="table" w:customStyle="1" w:styleId="1359">
    <w:name w:val="浅色底纹 - 着色 54"/>
    <w:basedOn w:val="80"/>
    <w:qFormat/>
    <w:uiPriority w:val="60"/>
    <w:rPr>
      <w:color w:val="31859C" w:themeColor="accent5" w:themeShade="BF"/>
    </w:rPr>
    <w:tblPr>
      <w:tblBorders>
        <w:top w:val="single" w:color="4BACC6" w:themeColor="accent5" w:sz="8" w:space="0"/>
        <w:bottom w:val="single" w:color="4BACC6" w:themeColor="accent5" w:sz="8" w:space="0"/>
      </w:tblBorders>
    </w:tblPr>
    <w:tblStylePr w:type="firstRow">
      <w:pPr>
        <w:spacing w:beforeLines="0" w:beforeAutospacing="0" w:afterLines="0" w:afterAutospacing="0" w:line="240" w:lineRule="auto"/>
      </w:pPr>
      <w:rPr>
        <w:b/>
        <w:bCs/>
      </w:r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2EAF0" w:themeFill="accent5" w:themeFillTint="3F"/>
      </w:tcPr>
    </w:tblStylePr>
    <w:tblStylePr w:type="band1Horz">
      <w:tcPr>
        <w:tcBorders>
          <w:left w:val="nil"/>
          <w:right w:val="nil"/>
          <w:insideH w:val="nil"/>
          <w:insideV w:val="nil"/>
        </w:tcBorders>
        <w:shd w:val="clear" w:color="auto" w:fill="D2EAF0" w:themeFill="accent5" w:themeFillTint="3F"/>
      </w:tcPr>
    </w:tblStylePr>
  </w:style>
  <w:style w:type="table" w:customStyle="1" w:styleId="1360">
    <w:name w:val="浅色列表 - 着色 14"/>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0" w:after="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0" w:after="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361">
    <w:name w:val="浅色网格 - 强调文字颜色 5（一般表格采用）1"/>
    <w:basedOn w:val="80"/>
    <w:qFormat/>
    <w:uiPriority w:val="62"/>
    <w:pPr>
      <w:jc w:val="center"/>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vAlign w:val="center"/>
    </w:tcPr>
    <w:tblStylePr w:type="firstRow">
      <w:pPr>
        <w:spacing w:before="0" w:after="0" w:line="240" w:lineRule="auto"/>
        <w:jc w:val="center"/>
      </w:pPr>
      <w:rPr>
        <w:rFonts w:asciiTheme="majorHAnsi" w:hAnsiTheme="majorHAnsi" w:eastAsiaTheme="majorEastAsia" w:cstheme="majorBidi"/>
        <w:b/>
        <w:bCs/>
      </w:rPr>
      <w:tblPr/>
      <w:trPr>
        <w:cantSplit/>
        <w:tblHeader/>
      </w:tr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customStyle="1" w:styleId="1362">
    <w:name w:val="蓝底表格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0" w:after="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363">
    <w:name w:val="中等深浅网格 1 - 着色 14"/>
    <w:basedOn w:val="80"/>
    <w:qFormat/>
    <w:uiPriority w:val="67"/>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vAlign w:val="center"/>
    </w:tcPr>
    <w:tblStylePr w:type="firstRow">
      <w:rPr>
        <w:b/>
        <w:bCs/>
      </w:rPr>
    </w:tblStylePr>
    <w:tblStylePr w:type="lastRow">
      <w:rPr>
        <w:b/>
        <w:bCs/>
      </w:rPr>
      <w:tcPr>
        <w:tcBorders>
          <w:top w:val="single" w:color="7BA0CD" w:themeColor="accent1" w:themeTint="BF" w:sz="18" w:space="0"/>
        </w:tcBorders>
      </w:tcPr>
    </w:tblStylePr>
    <w:tblStylePr w:type="firstCol">
      <w:rPr>
        <w:b/>
        <w:bCs/>
      </w:rPr>
    </w:tblStylePr>
    <w:tblStylePr w:type="lastCol">
      <w:rPr>
        <w:b/>
        <w:bCs/>
      </w:rPr>
    </w:tblStylePr>
    <w:tblStylePr w:type="band1Vert">
      <w:tcPr>
        <w:shd w:val="clear" w:color="auto" w:fill="A7C0DE" w:themeFill="accent1" w:themeFillTint="7F"/>
      </w:tcPr>
    </w:tblStylePr>
    <w:tblStylePr w:type="band1Horz">
      <w:tcPr>
        <w:shd w:val="clear" w:color="auto" w:fill="A7C0DE" w:themeFill="accent1" w:themeFillTint="7F"/>
      </w:tcPr>
    </w:tblStylePr>
  </w:style>
  <w:style w:type="table" w:customStyle="1" w:styleId="1364">
    <w:name w:val="网格表 1 浅色 - 着色 514"/>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365">
    <w:name w:val="网格表 4 - 着色 214"/>
    <w:basedOn w:val="80"/>
    <w:qFormat/>
    <w:uiPriority w:val="49"/>
    <w:pPr>
      <w:jc w:val="center"/>
    </w:pPr>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cPr>
      <w:vAlign w:val="center"/>
    </w:tcPr>
    <w:tblStylePr w:type="firstRow">
      <w:rPr>
        <w:b/>
        <w:bCs/>
        <w:color w:val="FFFFFF" w:themeColor="background1"/>
        <w14:textFill>
          <w14:solidFill>
            <w14:schemeClr w14:val="bg1"/>
          </w14:solidFill>
        </w14:textFill>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366">
    <w:name w:val="浅色列表 - 强调文字颜色 114"/>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367">
    <w:name w:val="浅色列表 - 强调文字颜色 124"/>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368">
    <w:name w:val="中等深浅底纹 1 - 强调文字颜色 124"/>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369">
    <w:name w:val="浅色列表 - 强调文字颜色 134"/>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370">
    <w:name w:val="中等深浅底纹 1 - 强调文字颜色 134"/>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371">
    <w:name w:val="浅色列表 - 强调文字颜色 144"/>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372">
    <w:name w:val="中等深浅底纹 1 - 强调文字颜色 144"/>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373">
    <w:name w:val="浅色列表 - 强调文字颜色 154"/>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374">
    <w:name w:val="中等深浅底纹 1 - 强调文字颜色 154"/>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375">
    <w:name w:val="浅色列表 - 强调文字颜色 164"/>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376">
    <w:name w:val="中等深浅底纹 1 - 强调文字颜色 164"/>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377">
    <w:name w:val="浅色列表 - 强调文字颜色 174"/>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378">
    <w:name w:val="中等深浅底纹 1 - 强调文字颜色 174"/>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379">
    <w:name w:val="浅色列表 - 强调文字颜色 184"/>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380">
    <w:name w:val="中等深浅底纹 1 - 强调文字颜色 184"/>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381">
    <w:name w:val="网格表 1 浅色 - 着色 524"/>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382">
    <w:name w:val="网格表 4 - 着色 224"/>
    <w:basedOn w:val="80"/>
    <w:qFormat/>
    <w:uiPriority w:val="49"/>
    <w:pPr>
      <w:jc w:val="center"/>
    </w:pPr>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cPr>
      <w:vAlign w:val="center"/>
    </w:tcPr>
    <w:tblStylePr w:type="firstRow">
      <w:rPr>
        <w:b/>
        <w:bCs/>
        <w:color w:val="FFFFFF" w:themeColor="background1"/>
        <w14:textFill>
          <w14:solidFill>
            <w14:schemeClr w14:val="bg1"/>
          </w14:solidFill>
        </w14:textFill>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383">
    <w:name w:val="网格表 1 浅色 - 着色 534"/>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384">
    <w:name w:val="网格表 4 - 着色 234"/>
    <w:basedOn w:val="80"/>
    <w:qFormat/>
    <w:uiPriority w:val="49"/>
    <w:pPr>
      <w:jc w:val="center"/>
    </w:pPr>
    <w:tblPr>
      <w:jc w:val="cente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rPr>
      <w:jc w:val="center"/>
    </w:trPr>
    <w:tcPr>
      <w:vAlign w:val="center"/>
    </w:tcPr>
    <w:tblStylePr w:type="firstRow">
      <w:rPr>
        <w:b/>
        <w:bCs/>
        <w:color w:val="FFFFFF" w:themeColor="background1"/>
        <w14:textFill>
          <w14:solidFill>
            <w14:schemeClr w14:val="bg1"/>
          </w14:solidFill>
        </w14:textFill>
      </w:rPr>
      <w:tblPr/>
      <w:trPr>
        <w:cantSplit/>
        <w:tblHeader/>
      </w:t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385">
    <w:name w:val="网格表 1 浅色 - 着色 544"/>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386">
    <w:name w:val="网格表 4 - 着色 244"/>
    <w:basedOn w:val="80"/>
    <w:qFormat/>
    <w:uiPriority w:val="49"/>
    <w:pPr>
      <w:jc w:val="center"/>
    </w:pPr>
    <w:tblPr>
      <w:jc w:val="cente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rPr>
      <w:jc w:val="center"/>
    </w:trPr>
    <w:tcPr>
      <w:vAlign w:val="center"/>
    </w:tcPr>
    <w:tblStylePr w:type="firstRow">
      <w:rPr>
        <w:b/>
        <w:bCs/>
        <w:color w:val="FFFFFF" w:themeColor="background1"/>
        <w14:textFill>
          <w14:solidFill>
            <w14:schemeClr w14:val="bg1"/>
          </w14:solidFill>
        </w14:textFill>
      </w:rPr>
      <w:tblPr/>
      <w:trPr>
        <w:cantSplit/>
        <w:tblHeader/>
      </w:t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387">
    <w:name w:val="网格表 1 浅色14"/>
    <w:basedOn w:val="80"/>
    <w:qFormat/>
    <w:uiPriority w:val="46"/>
    <w:rPr>
      <w:szCs w:val="22"/>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1388">
    <w:name w:val="网格表 1 浅色24"/>
    <w:basedOn w:val="80"/>
    <w:qFormat/>
    <w:uiPriority w:val="46"/>
    <w:rPr>
      <w:szCs w:val="22"/>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1389">
    <w:name w:val="网格型14"/>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0">
    <w:name w:val="网格型24"/>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1">
    <w:name w:val="网格型34"/>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2">
    <w:name w:val="网格型43"/>
    <w:basedOn w:val="8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3">
    <w:name w:val="表格主题13"/>
    <w:basedOn w:val="80"/>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4">
    <w:name w:val="彩色型 113"/>
    <w:basedOn w:val="80"/>
    <w:unhideWhenUsed/>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1395">
    <w:name w:val="彩色型 213"/>
    <w:basedOn w:val="80"/>
    <w:unhideWhenUsed/>
    <w:qFormat/>
    <w:uiPriority w:val="0"/>
    <w:pPr>
      <w:widowControl w:val="0"/>
      <w:jc w:val="both"/>
    </w:pPr>
    <w:tblPr>
      <w:tblBorders>
        <w:bottom w:val="single" w:color="000000" w:sz="12" w:space="0"/>
      </w:tblBorders>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1396">
    <w:name w:val="古典型 113"/>
    <w:basedOn w:val="80"/>
    <w:unhideWhenUsed/>
    <w:qFormat/>
    <w:uiPriority w:val="0"/>
    <w:pPr>
      <w:widowControl w:val="0"/>
      <w:jc w:val="both"/>
    </w:pPr>
    <w:tblPr>
      <w:tblBorders>
        <w:top w:val="single" w:color="000000" w:sz="12" w:space="0"/>
        <w:bottom w:val="single" w:color="000000" w:sz="12" w:space="0"/>
      </w:tblBorders>
    </w:tbl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1397">
    <w:name w:val="网格型 513"/>
    <w:basedOn w:val="80"/>
    <w:unhideWhenUsed/>
    <w:qFormat/>
    <w:uiPriority w:val="0"/>
    <w:pPr>
      <w:widowControl w:val="0"/>
      <w:jc w:val="center"/>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vAlign w:val="center"/>
    </w:tcPr>
    <w:tblStylePr w:type="firstRow">
      <w:pPr>
        <w:wordWrap/>
      </w:pPr>
      <w:rPr>
        <w:rFonts w:hint="default" w:ascii="仿宋_GB2312" w:hAnsi="仿宋_GB2312" w:eastAsia="宋体"/>
        <w:b/>
        <w:i w:val="0"/>
        <w:caps w:val="0"/>
        <w:smallCaps w:val="0"/>
        <w:strike w:val="0"/>
        <w:dstrike w:val="0"/>
        <w:vanish w:val="0"/>
        <w:sz w:val="21"/>
        <w:szCs w:val="21"/>
        <w:u w:val="none"/>
      </w:rPr>
      <w:tcPr>
        <w:tcBorders>
          <w:bottom w:val="single" w:color="000000" w:sz="12" w:space="0"/>
        </w:tcBorders>
        <w:vAlign w:val="bottom"/>
      </w:tcPr>
    </w:tblStylePr>
    <w:tblStylePr w:type="lastRow">
      <w:rPr>
        <w:rFonts w:hint="default" w:ascii="Times New Roman" w:hAnsi="Times New Roman" w:eastAsia="宋体" w:cs="Times New Roman"/>
        <w:b w:val="0"/>
        <w:bCs/>
        <w:sz w:val="21"/>
        <w:szCs w:val="21"/>
      </w:rPr>
      <w:tcPr>
        <w:tcBorders>
          <w:tl2br w:val="nil"/>
          <w:tr2bl w:val="nil"/>
        </w:tcBorders>
      </w:tcPr>
    </w:tblStylePr>
    <w:tblStylePr w:type="firstCol">
      <w:rPr>
        <w:rFonts w:hint="default" w:ascii="Times New Roman" w:hAnsi="Times New Roman" w:eastAsia="宋体" w:cs="Times New Roman"/>
        <w:sz w:val="21"/>
        <w:szCs w:val="21"/>
      </w:rPr>
    </w:tblStylePr>
    <w:tblStylePr w:type="lastCol">
      <w:rPr>
        <w:rFonts w:hint="default" w:ascii="Times New Roman" w:hAnsi="Times New Roman" w:eastAsia="宋体" w:cs="Times New Roman"/>
        <w:b/>
        <w:bCs/>
        <w:sz w:val="21"/>
        <w:szCs w:val="21"/>
      </w:rPr>
      <w:tcPr>
        <w:tcBorders>
          <w:tl2br w:val="nil"/>
          <w:tr2bl w:val="nil"/>
        </w:tcBorders>
      </w:tcPr>
    </w:tblStylePr>
    <w:tblStylePr w:type="nwCell">
      <w:pPr>
        <w:wordWrap/>
        <w:jc w:val="center"/>
      </w:pPr>
      <w:rPr>
        <w:rFonts w:hint="default" w:ascii="Times New Roman" w:hAnsi="Times New Roman" w:eastAsia="宋体" w:cs="Times New Roman"/>
        <w:sz w:val="21"/>
        <w:szCs w:val="21"/>
      </w:rPr>
      <w:tcPr>
        <w:tcBorders>
          <w:tl2br w:val="single" w:color="000000" w:sz="6" w:space="0"/>
        </w:tcBorders>
      </w:tcPr>
    </w:tblStylePr>
  </w:style>
  <w:style w:type="table" w:customStyle="1" w:styleId="1398">
    <w:name w:val="浅色底纹 - 着色 513"/>
    <w:basedOn w:val="80"/>
    <w:qFormat/>
    <w:uiPriority w:val="60"/>
    <w:rPr>
      <w:color w:val="31859C" w:themeColor="accent5" w:themeShade="BF"/>
    </w:rPr>
    <w:tblPr>
      <w:tblBorders>
        <w:top w:val="single" w:color="4BACC6" w:themeColor="accent5" w:sz="8" w:space="0"/>
        <w:bottom w:val="single" w:color="4BACC6" w:themeColor="accent5" w:sz="8" w:space="0"/>
      </w:tblBorders>
    </w:tblPr>
    <w:tblStylePr w:type="firstRow">
      <w:pPr>
        <w:spacing w:beforeLines="0" w:beforeAutospacing="0" w:afterLines="0" w:afterAutospacing="0" w:line="240" w:lineRule="auto"/>
      </w:pPr>
      <w:rPr>
        <w:b/>
        <w:bCs/>
      </w:r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2EAF0" w:themeFill="accent5" w:themeFillTint="3F"/>
      </w:tcPr>
    </w:tblStylePr>
    <w:tblStylePr w:type="band1Horz">
      <w:tcPr>
        <w:tcBorders>
          <w:left w:val="nil"/>
          <w:right w:val="nil"/>
          <w:insideH w:val="nil"/>
          <w:insideV w:val="nil"/>
        </w:tcBorders>
        <w:shd w:val="clear" w:color="auto" w:fill="D2EAF0" w:themeFill="accent5" w:themeFillTint="3F"/>
      </w:tcPr>
    </w:tblStylePr>
  </w:style>
  <w:style w:type="table" w:customStyle="1" w:styleId="1399">
    <w:name w:val="浅色列表 - 着色 113"/>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400">
    <w:name w:val="浅色网格 - 着色 513"/>
    <w:basedOn w:val="80"/>
    <w:qFormat/>
    <w:uiPriority w:val="62"/>
    <w:pPr>
      <w:jc w:val="center"/>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vAlign w:val="center"/>
    </w:tcPr>
    <w:tblStylePr w:type="firstRow">
      <w:pPr>
        <w:spacing w:beforeLines="0" w:beforeAutospacing="0" w:afterLines="0" w:afterAutospacing="0" w:line="240" w:lineRule="auto"/>
        <w:jc w:val="center"/>
      </w:pPr>
      <w:rPr>
        <w:rFonts w:hint="eastAsia"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Lines="0" w:beforeAutospacing="0" w:afterLines="0" w:afterAutospacing="0" w:line="240" w:lineRule="auto"/>
      </w:pPr>
      <w:rPr>
        <w:rFonts w:hint="eastAsia" w:asciiTheme="majorHAnsi" w:hAnsiTheme="majorHAnsi" w:eastAsiaTheme="majorEastAsia" w:cstheme="majorBidi"/>
        <w:b/>
        <w:bCs/>
      </w:r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hint="eastAsia" w:asciiTheme="majorHAnsi" w:hAnsiTheme="majorHAnsi" w:eastAsiaTheme="majorEastAsia" w:cstheme="majorBidi"/>
        <w:b/>
        <w:bCs/>
      </w:rPr>
    </w:tblStylePr>
    <w:tblStylePr w:type="lastCol">
      <w:rPr>
        <w:rFonts w:hint="eastAsia"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customStyle="1" w:styleId="1401">
    <w:name w:val="中等深浅底纹 1 - 着色 113"/>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402">
    <w:name w:val="中等深浅网格 1 - 着色 113"/>
    <w:basedOn w:val="80"/>
    <w:qFormat/>
    <w:uiPriority w:val="67"/>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vAlign w:val="center"/>
    </w:tcPr>
    <w:tblStylePr w:type="firstRow">
      <w:rPr>
        <w:b/>
        <w:bCs/>
      </w:rPr>
    </w:tblStylePr>
    <w:tblStylePr w:type="lastRow">
      <w:rPr>
        <w:b/>
        <w:bCs/>
      </w:rPr>
      <w:tcPr>
        <w:tcBorders>
          <w:top w:val="single" w:color="7BA0CD" w:themeColor="accent1" w:themeTint="BF" w:sz="18" w:space="0"/>
        </w:tcBorders>
      </w:tcPr>
    </w:tblStylePr>
    <w:tblStylePr w:type="firstCol">
      <w:rPr>
        <w:b/>
        <w:bCs/>
      </w:rPr>
    </w:tblStylePr>
    <w:tblStylePr w:type="lastCol">
      <w:rPr>
        <w:b/>
        <w:bCs/>
      </w:rPr>
    </w:tblStylePr>
    <w:tblStylePr w:type="band1Vert">
      <w:tcPr>
        <w:shd w:val="clear" w:color="auto" w:fill="A7C0DE" w:themeFill="accent1" w:themeFillTint="7F"/>
      </w:tcPr>
    </w:tblStylePr>
    <w:tblStylePr w:type="band1Horz">
      <w:tcPr>
        <w:shd w:val="clear" w:color="auto" w:fill="A7C0DE" w:themeFill="accent1" w:themeFillTint="7F"/>
      </w:tcPr>
    </w:tblStylePr>
  </w:style>
  <w:style w:type="table" w:customStyle="1" w:styleId="1403">
    <w:name w:val="表格（大字体）13"/>
    <w:basedOn w:val="80"/>
    <w:qFormat/>
    <w:uiPriority w:val="99"/>
    <w:pPr>
      <w:jc w:val="center"/>
    </w:pPr>
    <w:rPr>
      <w:rFonts w:ascii="微软雅黑"/>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pPr>
        <w:keepLines/>
        <w:widowControl/>
        <w:suppressLineNumbers w:val="0"/>
        <w:suppressAutoHyphens w:val="0"/>
        <w:wordWrap/>
        <w:jc w:val="center"/>
      </w:pPr>
      <w:rPr>
        <w:rFonts w:hint="eastAsia" w:ascii="Bahnschrift Light" w:hAnsi="Bahnschrift Light" w:eastAsiaTheme="minorEastAsia"/>
        <w:b/>
        <w:sz w:val="21"/>
        <w:szCs w:val="21"/>
      </w:rPr>
      <w:tcPr>
        <w:tcBorders>
          <w:top w:val="single" w:color="auto" w:sz="12" w:space="0"/>
          <w:left w:val="single" w:color="auto" w:sz="12" w:space="0"/>
          <w:bottom w:val="single" w:color="auto" w:sz="12" w:space="0"/>
          <w:right w:val="single" w:color="auto" w:sz="12" w:space="0"/>
        </w:tcBorders>
      </w:tcPr>
    </w:tblStylePr>
    <w:tblStylePr w:type="lastRow">
      <w:pPr>
        <w:jc w:val="center"/>
      </w:pPr>
      <w:rPr>
        <w:rFonts w:hint="eastAsia" w:ascii="Bahnschrift Light" w:hAnsi="Bahnschrift Light" w:eastAsiaTheme="minorEastAsia"/>
        <w:b/>
        <w:sz w:val="21"/>
        <w:szCs w:val="21"/>
      </w:rPr>
      <w:tcPr>
        <w:tcBorders>
          <w:top w:val="single" w:color="auto" w:sz="12" w:space="0"/>
          <w:left w:val="single" w:color="auto" w:sz="12" w:space="0"/>
          <w:bottom w:val="single" w:color="auto" w:sz="12" w:space="0"/>
          <w:right w:val="single" w:color="auto" w:sz="12" w:space="0"/>
        </w:tcBorders>
      </w:tcPr>
    </w:tblStylePr>
    <w:tblStylePr w:type="firstCol">
      <w:pPr>
        <w:jc w:val="center"/>
      </w:pPr>
      <w:rPr>
        <w:b/>
      </w:rPr>
    </w:tblStylePr>
    <w:tblStylePr w:type="lastCol">
      <w:rPr>
        <w:b/>
      </w:rPr>
    </w:tblStylePr>
  </w:style>
  <w:style w:type="table" w:customStyle="1" w:styleId="1404">
    <w:name w:val="网格表 1 浅色 - 着色 5113"/>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405">
    <w:name w:val="网格表 4 - 着色 2113"/>
    <w:basedOn w:val="80"/>
    <w:qFormat/>
    <w:uiPriority w:val="49"/>
    <w:pPr>
      <w:jc w:val="center"/>
    </w:pPr>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cPr>
      <w:vAlign w:val="center"/>
    </w:tcPr>
    <w:tblStylePr w:type="firstRow">
      <w:rPr>
        <w:b/>
        <w:bCs/>
        <w:color w:val="FFFFFF" w:themeColor="background1"/>
        <w14:textFill>
          <w14:solidFill>
            <w14:schemeClr w14:val="bg1"/>
          </w14:solidFill>
        </w14:textFill>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406">
    <w:name w:val="浅色列表 - 强调文字颜色 1113"/>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407">
    <w:name w:val="浅色列表 - 强调文字颜色 1213"/>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408">
    <w:name w:val="中等深浅底纹 1 - 强调文字颜色 1213"/>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409">
    <w:name w:val="浅色列表 - 强调文字颜色 1313"/>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410">
    <w:name w:val="中等深浅底纹 1 - 强调文字颜色 1313"/>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411">
    <w:name w:val="浅色列表 - 强调文字颜色 1413"/>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412">
    <w:name w:val="中等深浅底纹 1 - 强调文字颜色 1413"/>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413">
    <w:name w:val="浅色列表 - 强调文字颜色 1513"/>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414">
    <w:name w:val="中等深浅底纹 1 - 强调文字颜色 1513"/>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415">
    <w:name w:val="浅色列表 - 强调文字颜色 1613"/>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416">
    <w:name w:val="中等深浅底纹 1 - 强调文字颜色 1613"/>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417">
    <w:name w:val="浅色列表 - 强调文字颜色 1713"/>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418">
    <w:name w:val="中等深浅底纹 1 - 强调文字颜色 1713"/>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419">
    <w:name w:val="浅色列表 - 强调文字颜色 1813"/>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420">
    <w:name w:val="中等深浅底纹 1 - 强调文字颜色 1813"/>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421">
    <w:name w:val="网格表 1 浅色 - 着色 5213"/>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422">
    <w:name w:val="网格表 4 - 着色 2213"/>
    <w:basedOn w:val="80"/>
    <w:qFormat/>
    <w:uiPriority w:val="49"/>
    <w:pPr>
      <w:jc w:val="center"/>
    </w:pPr>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cPr>
      <w:vAlign w:val="center"/>
    </w:tcPr>
    <w:tblStylePr w:type="firstRow">
      <w:rPr>
        <w:b/>
        <w:bCs/>
        <w:color w:val="FFFFFF" w:themeColor="background1"/>
        <w14:textFill>
          <w14:solidFill>
            <w14:schemeClr w14:val="bg1"/>
          </w14:solidFill>
        </w14:textFill>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423">
    <w:name w:val="网格表 1 浅色 - 着色 5313"/>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424">
    <w:name w:val="网格表 4 - 着色 2313"/>
    <w:basedOn w:val="80"/>
    <w:qFormat/>
    <w:uiPriority w:val="49"/>
    <w:pPr>
      <w:jc w:val="center"/>
    </w:pPr>
    <w:tblPr>
      <w:jc w:val="cente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rPr>
      <w:jc w:val="center"/>
    </w:trPr>
    <w:tcPr>
      <w:vAlign w:val="center"/>
    </w:tcPr>
    <w:tblStylePr w:type="firstRow">
      <w:rPr>
        <w:b/>
        <w:bCs/>
        <w:color w:val="FFFFFF" w:themeColor="background1"/>
        <w14:textFill>
          <w14:solidFill>
            <w14:schemeClr w14:val="bg1"/>
          </w14:solidFill>
        </w14:textFill>
      </w:rPr>
      <w:tblPr/>
      <w:trPr>
        <w:cantSplit/>
        <w:tblHeader/>
      </w:t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425">
    <w:name w:val="网格表 1 浅色 - 着色 5413"/>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426">
    <w:name w:val="网格表 4 - 着色 2413"/>
    <w:basedOn w:val="80"/>
    <w:qFormat/>
    <w:uiPriority w:val="49"/>
    <w:pPr>
      <w:jc w:val="center"/>
    </w:pPr>
    <w:tblPr>
      <w:jc w:val="cente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rPr>
      <w:jc w:val="center"/>
    </w:trPr>
    <w:tcPr>
      <w:vAlign w:val="center"/>
    </w:tcPr>
    <w:tblStylePr w:type="firstRow">
      <w:rPr>
        <w:b/>
        <w:bCs/>
        <w:color w:val="FFFFFF" w:themeColor="background1"/>
        <w14:textFill>
          <w14:solidFill>
            <w14:schemeClr w14:val="bg1"/>
          </w14:solidFill>
        </w14:textFill>
      </w:rPr>
      <w:tblPr/>
      <w:trPr>
        <w:cantSplit/>
        <w:tblHeader/>
      </w:t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427">
    <w:name w:val="网格表 1 浅色113"/>
    <w:basedOn w:val="80"/>
    <w:qFormat/>
    <w:uiPriority w:val="46"/>
    <w:rPr>
      <w:szCs w:val="22"/>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1428">
    <w:name w:val="网格表 1 浅色213"/>
    <w:basedOn w:val="80"/>
    <w:qFormat/>
    <w:uiPriority w:val="46"/>
    <w:rPr>
      <w:szCs w:val="22"/>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1429">
    <w:name w:val="网格型113"/>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0">
    <w:name w:val="网格型213"/>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1">
    <w:name w:val="网格型313"/>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2">
    <w:name w:val="网格型51"/>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3">
    <w:name w:val="表格主题21"/>
    <w:basedOn w:val="80"/>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4">
    <w:name w:val="彩色型 121"/>
    <w:basedOn w:val="80"/>
    <w:unhideWhenUsed/>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1435">
    <w:name w:val="彩色型 221"/>
    <w:basedOn w:val="80"/>
    <w:unhideWhenUsed/>
    <w:qFormat/>
    <w:uiPriority w:val="0"/>
    <w:pPr>
      <w:widowControl w:val="0"/>
      <w:jc w:val="both"/>
    </w:pPr>
    <w:tblPr>
      <w:tblBorders>
        <w:bottom w:val="single" w:color="000000" w:sz="12" w:space="0"/>
      </w:tblBorders>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1436">
    <w:name w:val="古典型 121"/>
    <w:basedOn w:val="80"/>
    <w:unhideWhenUsed/>
    <w:qFormat/>
    <w:uiPriority w:val="0"/>
    <w:pPr>
      <w:widowControl w:val="0"/>
      <w:jc w:val="both"/>
    </w:pPr>
    <w:tblPr>
      <w:tblBorders>
        <w:top w:val="single" w:color="000000" w:sz="12" w:space="0"/>
        <w:bottom w:val="single" w:color="000000" w:sz="12" w:space="0"/>
      </w:tblBorders>
    </w:tbl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1437">
    <w:name w:val="网格型 521"/>
    <w:basedOn w:val="80"/>
    <w:qFormat/>
    <w:uiPriority w:val="0"/>
    <w:pPr>
      <w:widowControl w:val="0"/>
      <w:jc w:val="center"/>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rPr>
      <w:cantSplit/>
    </w:trPr>
    <w:tcPr>
      <w:shd w:val="clear" w:color="auto" w:fill="auto"/>
      <w:vAlign w:val="center"/>
    </w:tcPr>
    <w:tblStylePr w:type="firstRow">
      <w:pPr>
        <w:keepNext/>
        <w:wordWrap/>
      </w:pPr>
      <w:rPr>
        <w:rFonts w:ascii="仿宋_GB2312" w:hAnsi="仿宋_GB2312" w:eastAsia="宋体"/>
        <w:b/>
        <w:i w:val="0"/>
        <w:caps w:val="0"/>
        <w:smallCaps w:val="0"/>
        <w:strike w:val="0"/>
        <w:dstrike w:val="0"/>
        <w:vanish w:val="0"/>
        <w:sz w:val="21"/>
        <w:vertAlign w:val="baseline"/>
      </w:rPr>
      <w:tblPr/>
      <w:trPr>
        <w:tblHeader/>
      </w:trPr>
      <w:tcPr>
        <w:tcBorders>
          <w:bottom w:val="single" w:color="000000" w:sz="12" w:space="0"/>
        </w:tcBorders>
      </w:tcPr>
    </w:tblStylePr>
    <w:tblStylePr w:type="lastRow">
      <w:rPr>
        <w:rFonts w:eastAsia="宋体"/>
        <w:b w:val="0"/>
        <w:bCs/>
        <w:sz w:val="21"/>
      </w:rPr>
      <w:tcPr>
        <w:tcBorders>
          <w:tl2br w:val="nil"/>
          <w:tr2bl w:val="nil"/>
        </w:tcBorders>
      </w:tcPr>
    </w:tblStylePr>
    <w:tblStylePr w:type="firstCol">
      <w:rPr>
        <w:rFonts w:eastAsia="宋体"/>
        <w:sz w:val="21"/>
      </w:rPr>
    </w:tblStylePr>
    <w:tblStylePr w:type="lastCol">
      <w:rPr>
        <w:rFonts w:eastAsia="宋体"/>
        <w:b/>
        <w:bCs/>
        <w:sz w:val="21"/>
      </w:rPr>
      <w:tcPr>
        <w:tcBorders>
          <w:tl2br w:val="nil"/>
          <w:tr2bl w:val="nil"/>
        </w:tcBorders>
      </w:tcPr>
    </w:tblStylePr>
    <w:tblStylePr w:type="nwCell">
      <w:pPr>
        <w:wordWrap/>
        <w:jc w:val="center"/>
      </w:pPr>
      <w:rPr>
        <w:rFonts w:eastAsia="宋体"/>
        <w:sz w:val="21"/>
      </w:rPr>
      <w:tcPr>
        <w:tcBorders>
          <w:tl2br w:val="single" w:color="000000" w:sz="6" w:space="0"/>
        </w:tcBorders>
      </w:tcPr>
    </w:tblStylePr>
  </w:style>
  <w:style w:type="table" w:customStyle="1" w:styleId="1438">
    <w:name w:val="浅色底纹 - 着色 521"/>
    <w:basedOn w:val="80"/>
    <w:qFormat/>
    <w:uiPriority w:val="60"/>
    <w:rPr>
      <w:color w:val="31859C" w:themeColor="accent5" w:themeShade="BF"/>
    </w:rPr>
    <w:tblPr>
      <w:tblBorders>
        <w:top w:val="single" w:color="4BACC6" w:themeColor="accent5" w:sz="8" w:space="0"/>
        <w:bottom w:val="single" w:color="4BACC6" w:themeColor="accent5" w:sz="8" w:space="0"/>
      </w:tblBorders>
    </w:tblPr>
    <w:tblStylePr w:type="firstRow">
      <w:pPr>
        <w:spacing w:beforeLines="0" w:beforeAutospacing="0" w:afterLines="0" w:afterAutospacing="0" w:line="240" w:lineRule="auto"/>
      </w:pPr>
      <w:rPr>
        <w:b/>
        <w:bCs/>
      </w:r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2EAF0" w:themeFill="accent5" w:themeFillTint="3F"/>
      </w:tcPr>
    </w:tblStylePr>
    <w:tblStylePr w:type="band1Horz">
      <w:tcPr>
        <w:tcBorders>
          <w:left w:val="nil"/>
          <w:right w:val="nil"/>
          <w:insideH w:val="nil"/>
          <w:insideV w:val="nil"/>
        </w:tcBorders>
        <w:shd w:val="clear" w:color="auto" w:fill="D2EAF0" w:themeFill="accent5" w:themeFillTint="3F"/>
      </w:tcPr>
    </w:tblStylePr>
  </w:style>
  <w:style w:type="table" w:customStyle="1" w:styleId="1439">
    <w:name w:val="浅色列表 - 着色 12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440">
    <w:name w:val="浅色网格 - 着色 521"/>
    <w:basedOn w:val="80"/>
    <w:qFormat/>
    <w:uiPriority w:val="62"/>
    <w:pPr>
      <w:jc w:val="center"/>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vAlign w:val="center"/>
    </w:tcPr>
    <w:tblStylePr w:type="firstRow">
      <w:pPr>
        <w:spacing w:beforeLines="0" w:beforeAutospacing="0" w:afterLines="0" w:afterAutospacing="0" w:line="240" w:lineRule="auto"/>
        <w:jc w:val="center"/>
      </w:pPr>
      <w:rPr>
        <w:rFonts w:hint="eastAsia"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Lines="0" w:beforeAutospacing="0" w:afterLines="0" w:afterAutospacing="0" w:line="240" w:lineRule="auto"/>
      </w:pPr>
      <w:rPr>
        <w:rFonts w:hint="eastAsia" w:asciiTheme="majorHAnsi" w:hAnsiTheme="majorHAnsi" w:eastAsiaTheme="majorEastAsia" w:cstheme="majorBidi"/>
        <w:b/>
        <w:bCs/>
      </w:r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hint="eastAsia" w:asciiTheme="majorHAnsi" w:hAnsiTheme="majorHAnsi" w:eastAsiaTheme="majorEastAsia" w:cstheme="majorBidi"/>
        <w:b/>
        <w:bCs/>
      </w:rPr>
    </w:tblStylePr>
    <w:tblStylePr w:type="lastCol">
      <w:rPr>
        <w:rFonts w:hint="eastAsia"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customStyle="1" w:styleId="1441">
    <w:name w:val="中等深浅底纹 1 - 着色 12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442">
    <w:name w:val="中等深浅网格 1 - 着色 121"/>
    <w:basedOn w:val="80"/>
    <w:qFormat/>
    <w:uiPriority w:val="67"/>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vAlign w:val="center"/>
    </w:tcPr>
    <w:tblStylePr w:type="firstRow">
      <w:rPr>
        <w:b/>
        <w:bCs/>
      </w:rPr>
    </w:tblStylePr>
    <w:tblStylePr w:type="lastRow">
      <w:rPr>
        <w:b/>
        <w:bCs/>
      </w:rPr>
      <w:tcPr>
        <w:tcBorders>
          <w:top w:val="single" w:color="7BA0CD" w:themeColor="accent1" w:themeTint="BF" w:sz="18" w:space="0"/>
        </w:tcBorders>
      </w:tcPr>
    </w:tblStylePr>
    <w:tblStylePr w:type="firstCol">
      <w:rPr>
        <w:b/>
        <w:bCs/>
      </w:rPr>
    </w:tblStylePr>
    <w:tblStylePr w:type="lastCol">
      <w:rPr>
        <w:b/>
        <w:bCs/>
      </w:rPr>
    </w:tblStylePr>
    <w:tblStylePr w:type="band1Vert">
      <w:tcPr>
        <w:shd w:val="clear" w:color="auto" w:fill="A7C0DE" w:themeFill="accent1" w:themeFillTint="7F"/>
      </w:tcPr>
    </w:tblStylePr>
    <w:tblStylePr w:type="band1Horz">
      <w:tcPr>
        <w:shd w:val="clear" w:color="auto" w:fill="A7C0DE" w:themeFill="accent1" w:themeFillTint="7F"/>
      </w:tcPr>
    </w:tblStylePr>
  </w:style>
  <w:style w:type="table" w:customStyle="1" w:styleId="1443">
    <w:name w:val="表格（大字体）21"/>
    <w:basedOn w:val="80"/>
    <w:qFormat/>
    <w:uiPriority w:val="99"/>
    <w:pPr>
      <w:jc w:val="center"/>
    </w:pPr>
    <w:rPr>
      <w:rFonts w:ascii="微软雅黑"/>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tblStylePr w:type="firstRow">
      <w:pPr>
        <w:keepNext/>
        <w:keepLines/>
        <w:pageBreakBefore w:val="0"/>
        <w:widowControl/>
        <w:suppressLineNumbers w:val="0"/>
        <w:suppressAutoHyphens w:val="0"/>
        <w:wordWrap/>
        <w:jc w:val="center"/>
      </w:pPr>
      <w:rPr>
        <w:rFonts w:eastAsiaTheme="minorEastAsia"/>
        <w:b/>
        <w:sz w:val="21"/>
      </w:rPr>
      <w:tblPr/>
      <w:trPr>
        <w:cantSplit/>
        <w:tblHeader/>
      </w:trPr>
      <w:tcPr>
        <w:tcBorders>
          <w:top w:val="single" w:color="auto" w:sz="12" w:space="0"/>
          <w:left w:val="single" w:color="auto" w:sz="12" w:space="0"/>
          <w:bottom w:val="single" w:color="auto" w:sz="12" w:space="0"/>
          <w:right w:val="single" w:color="auto" w:sz="12" w:space="0"/>
        </w:tcBorders>
      </w:tcPr>
    </w:tblStylePr>
    <w:tblStylePr w:type="lastRow">
      <w:pPr>
        <w:jc w:val="center"/>
      </w:pPr>
      <w:rPr>
        <w:rFonts w:eastAsiaTheme="minorEastAsia"/>
        <w:b/>
        <w:sz w:val="21"/>
      </w:rPr>
      <w:tcPr>
        <w:tcBorders>
          <w:top w:val="single" w:color="auto" w:sz="12" w:space="0"/>
          <w:left w:val="single" w:color="auto" w:sz="12" w:space="0"/>
          <w:bottom w:val="single" w:color="auto" w:sz="12" w:space="0"/>
          <w:right w:val="single" w:color="auto" w:sz="12" w:space="0"/>
        </w:tcBorders>
      </w:tcPr>
    </w:tblStylePr>
    <w:tblStylePr w:type="firstCol">
      <w:pPr>
        <w:jc w:val="center"/>
      </w:pPr>
      <w:rPr>
        <w:b/>
      </w:rPr>
    </w:tblStylePr>
    <w:tblStylePr w:type="lastCol">
      <w:rPr>
        <w:b/>
      </w:rPr>
    </w:tblStylePr>
  </w:style>
  <w:style w:type="table" w:customStyle="1" w:styleId="1444">
    <w:name w:val="网格表 1 浅色 - 着色 5121"/>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445">
    <w:name w:val="网格表 4 - 着色 2121"/>
    <w:basedOn w:val="80"/>
    <w:qFormat/>
    <w:uiPriority w:val="49"/>
    <w:pPr>
      <w:jc w:val="center"/>
    </w:pPr>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cPr>
      <w:vAlign w:val="center"/>
    </w:tcPr>
    <w:tblStylePr w:type="firstRow">
      <w:rPr>
        <w:b/>
        <w:bCs/>
        <w:color w:val="FFFFFF" w:themeColor="background1"/>
        <w14:textFill>
          <w14:solidFill>
            <w14:schemeClr w14:val="bg1"/>
          </w14:solidFill>
        </w14:textFill>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446">
    <w:name w:val="浅色列表 - 强调文字颜色 112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447">
    <w:name w:val="浅色列表 - 强调文字颜色 122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448">
    <w:name w:val="中等深浅底纹 1 - 强调文字颜色 122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449">
    <w:name w:val="浅色列表 - 强调文字颜色 132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450">
    <w:name w:val="中等深浅底纹 1 - 强调文字颜色 132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451">
    <w:name w:val="浅色列表 - 强调文字颜色 142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452">
    <w:name w:val="中等深浅底纹 1 - 强调文字颜色 142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453">
    <w:name w:val="浅色列表 - 强调文字颜色 152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454">
    <w:name w:val="中等深浅底纹 1 - 强调文字颜色 152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455">
    <w:name w:val="浅色列表 - 强调文字颜色 162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456">
    <w:name w:val="中等深浅底纹 1 - 强调文字颜色 162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457">
    <w:name w:val="浅色列表 - 强调文字颜色 172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458">
    <w:name w:val="中等深浅底纹 1 - 强调文字颜色 172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459">
    <w:name w:val="浅色列表 - 强调文字颜色 182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460">
    <w:name w:val="中等深浅底纹 1 - 强调文字颜色 182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461">
    <w:name w:val="网格表 1 浅色 - 着色 5221"/>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462">
    <w:name w:val="网格表 4 - 着色 2221"/>
    <w:basedOn w:val="80"/>
    <w:qFormat/>
    <w:uiPriority w:val="49"/>
    <w:pPr>
      <w:jc w:val="center"/>
    </w:pPr>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cPr>
      <w:vAlign w:val="center"/>
    </w:tcPr>
    <w:tblStylePr w:type="firstRow">
      <w:rPr>
        <w:b/>
        <w:bCs/>
        <w:color w:val="FFFFFF" w:themeColor="background1"/>
        <w14:textFill>
          <w14:solidFill>
            <w14:schemeClr w14:val="bg1"/>
          </w14:solidFill>
        </w14:textFill>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463">
    <w:name w:val="网格表 1 浅色 - 着色 5321"/>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464">
    <w:name w:val="网格表 4 - 着色 2321"/>
    <w:basedOn w:val="80"/>
    <w:qFormat/>
    <w:uiPriority w:val="49"/>
    <w:pPr>
      <w:jc w:val="center"/>
    </w:pPr>
    <w:tblPr>
      <w:jc w:val="cente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rPr>
      <w:jc w:val="center"/>
    </w:trPr>
    <w:tcPr>
      <w:vAlign w:val="center"/>
    </w:tcPr>
    <w:tblStylePr w:type="firstRow">
      <w:rPr>
        <w:b/>
        <w:bCs/>
        <w:color w:val="FFFFFF" w:themeColor="background1"/>
        <w14:textFill>
          <w14:solidFill>
            <w14:schemeClr w14:val="bg1"/>
          </w14:solidFill>
        </w14:textFill>
      </w:rPr>
      <w:tblPr/>
      <w:trPr>
        <w:cantSplit/>
        <w:tblHeader/>
      </w:t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465">
    <w:name w:val="网格表 1 浅色 - 着色 5421"/>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466">
    <w:name w:val="网格表 4 - 着色 2421"/>
    <w:basedOn w:val="80"/>
    <w:qFormat/>
    <w:uiPriority w:val="49"/>
    <w:pPr>
      <w:jc w:val="center"/>
    </w:pPr>
    <w:tblPr>
      <w:jc w:val="cente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rPr>
      <w:jc w:val="center"/>
    </w:trPr>
    <w:tcPr>
      <w:vAlign w:val="center"/>
    </w:tcPr>
    <w:tblStylePr w:type="firstRow">
      <w:rPr>
        <w:b/>
        <w:bCs/>
        <w:color w:val="FFFFFF" w:themeColor="background1"/>
        <w14:textFill>
          <w14:solidFill>
            <w14:schemeClr w14:val="bg1"/>
          </w14:solidFill>
        </w14:textFill>
      </w:rPr>
      <w:tblPr/>
      <w:trPr>
        <w:cantSplit/>
        <w:tblHeader/>
      </w:t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467">
    <w:name w:val="网格表 1 浅色121"/>
    <w:basedOn w:val="80"/>
    <w:qFormat/>
    <w:uiPriority w:val="46"/>
    <w:rPr>
      <w:szCs w:val="22"/>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1468">
    <w:name w:val="网格表 1 浅色221"/>
    <w:basedOn w:val="80"/>
    <w:qFormat/>
    <w:uiPriority w:val="46"/>
    <w:rPr>
      <w:szCs w:val="22"/>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1469">
    <w:name w:val="网格型121"/>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0">
    <w:name w:val="网格型221"/>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1">
    <w:name w:val="网格型321"/>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2">
    <w:name w:val="网格型411"/>
    <w:basedOn w:val="8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3">
    <w:name w:val="表格主题111"/>
    <w:basedOn w:val="80"/>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4">
    <w:name w:val="彩色型 1111"/>
    <w:basedOn w:val="80"/>
    <w:unhideWhenUsed/>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1475">
    <w:name w:val="彩色型 2111"/>
    <w:basedOn w:val="80"/>
    <w:unhideWhenUsed/>
    <w:qFormat/>
    <w:uiPriority w:val="0"/>
    <w:pPr>
      <w:widowControl w:val="0"/>
      <w:jc w:val="both"/>
    </w:pPr>
    <w:tblPr>
      <w:tblBorders>
        <w:bottom w:val="single" w:color="000000" w:sz="12" w:space="0"/>
      </w:tblBorders>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1476">
    <w:name w:val="古典型 1111"/>
    <w:basedOn w:val="80"/>
    <w:unhideWhenUsed/>
    <w:qFormat/>
    <w:uiPriority w:val="0"/>
    <w:pPr>
      <w:widowControl w:val="0"/>
      <w:jc w:val="both"/>
    </w:pPr>
    <w:tblPr>
      <w:tblBorders>
        <w:top w:val="single" w:color="000000" w:sz="12" w:space="0"/>
        <w:bottom w:val="single" w:color="000000" w:sz="12" w:space="0"/>
      </w:tblBorders>
    </w:tbl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1477">
    <w:name w:val="网格型 5112"/>
    <w:basedOn w:val="80"/>
    <w:unhideWhenUsed/>
    <w:qFormat/>
    <w:uiPriority w:val="0"/>
    <w:pPr>
      <w:widowControl w:val="0"/>
      <w:jc w:val="center"/>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vAlign w:val="center"/>
    </w:tcPr>
    <w:tblStylePr w:type="firstRow">
      <w:pPr>
        <w:wordWrap/>
      </w:pPr>
      <w:rPr>
        <w:rFonts w:hint="default" w:ascii="Bahnschrift SemiBold" w:hAnsi="Bahnschrift SemiBold" w:eastAsia="宋体"/>
        <w:b/>
        <w:i w:val="0"/>
        <w:caps w:val="0"/>
        <w:smallCaps w:val="0"/>
        <w:strike w:val="0"/>
        <w:dstrike w:val="0"/>
        <w:vanish w:val="0"/>
        <w:sz w:val="21"/>
        <w:szCs w:val="21"/>
        <w:u w:val="none"/>
      </w:rPr>
      <w:tcPr>
        <w:tcBorders>
          <w:bottom w:val="single" w:color="000000" w:sz="12" w:space="0"/>
        </w:tcBorders>
        <w:vAlign w:val="bottom"/>
      </w:tcPr>
    </w:tblStylePr>
    <w:tblStylePr w:type="lastRow">
      <w:rPr>
        <w:rFonts w:hint="default" w:ascii="Times New Roman" w:hAnsi="Times New Roman" w:eastAsia="宋体" w:cs="Times New Roman"/>
        <w:b w:val="0"/>
        <w:bCs/>
        <w:sz w:val="21"/>
        <w:szCs w:val="21"/>
      </w:rPr>
      <w:tcPr>
        <w:tcBorders>
          <w:tl2br w:val="nil"/>
          <w:tr2bl w:val="nil"/>
        </w:tcBorders>
      </w:tcPr>
    </w:tblStylePr>
    <w:tblStylePr w:type="firstCol">
      <w:rPr>
        <w:rFonts w:hint="default" w:ascii="Times New Roman" w:hAnsi="Times New Roman" w:eastAsia="宋体" w:cs="Times New Roman"/>
        <w:sz w:val="21"/>
        <w:szCs w:val="21"/>
      </w:rPr>
    </w:tblStylePr>
    <w:tblStylePr w:type="lastCol">
      <w:rPr>
        <w:rFonts w:hint="default" w:ascii="Times New Roman" w:hAnsi="Times New Roman" w:eastAsia="宋体" w:cs="Times New Roman"/>
        <w:b/>
        <w:bCs/>
        <w:sz w:val="21"/>
        <w:szCs w:val="21"/>
      </w:rPr>
      <w:tcPr>
        <w:tcBorders>
          <w:tl2br w:val="nil"/>
          <w:tr2bl w:val="nil"/>
        </w:tcBorders>
      </w:tcPr>
    </w:tblStylePr>
    <w:tblStylePr w:type="nwCell">
      <w:pPr>
        <w:wordWrap/>
        <w:jc w:val="center"/>
      </w:pPr>
      <w:rPr>
        <w:rFonts w:hint="default" w:ascii="Times New Roman" w:hAnsi="Times New Roman" w:eastAsia="宋体" w:cs="Times New Roman"/>
        <w:sz w:val="21"/>
        <w:szCs w:val="21"/>
      </w:rPr>
      <w:tcPr>
        <w:tcBorders>
          <w:tl2br w:val="single" w:color="000000" w:sz="6" w:space="0"/>
        </w:tcBorders>
      </w:tcPr>
    </w:tblStylePr>
  </w:style>
  <w:style w:type="table" w:customStyle="1" w:styleId="1478">
    <w:name w:val="浅色底纹 - 着色 5111"/>
    <w:basedOn w:val="80"/>
    <w:qFormat/>
    <w:uiPriority w:val="60"/>
    <w:rPr>
      <w:color w:val="31859C" w:themeColor="accent5" w:themeShade="BF"/>
    </w:rPr>
    <w:tblPr>
      <w:tblBorders>
        <w:top w:val="single" w:color="4BACC6" w:themeColor="accent5" w:sz="8" w:space="0"/>
        <w:bottom w:val="single" w:color="4BACC6" w:themeColor="accent5" w:sz="8" w:space="0"/>
      </w:tblBorders>
    </w:tblPr>
    <w:tblStylePr w:type="firstRow">
      <w:pPr>
        <w:spacing w:beforeLines="0" w:beforeAutospacing="0" w:afterLines="0" w:afterAutospacing="0" w:line="240" w:lineRule="auto"/>
      </w:pPr>
      <w:rPr>
        <w:b/>
        <w:bCs/>
      </w:r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2EAF0" w:themeFill="accent5" w:themeFillTint="3F"/>
      </w:tcPr>
    </w:tblStylePr>
    <w:tblStylePr w:type="band1Horz">
      <w:tcPr>
        <w:tcBorders>
          <w:left w:val="nil"/>
          <w:right w:val="nil"/>
          <w:insideH w:val="nil"/>
          <w:insideV w:val="nil"/>
        </w:tcBorders>
        <w:shd w:val="clear" w:color="auto" w:fill="D2EAF0" w:themeFill="accent5" w:themeFillTint="3F"/>
      </w:tcPr>
    </w:tblStylePr>
  </w:style>
  <w:style w:type="table" w:customStyle="1" w:styleId="1479">
    <w:name w:val="浅色列表 - 着色 111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480">
    <w:name w:val="浅色网格 - 着色 5111"/>
    <w:basedOn w:val="80"/>
    <w:qFormat/>
    <w:uiPriority w:val="62"/>
    <w:pPr>
      <w:jc w:val="center"/>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vAlign w:val="center"/>
    </w:tcPr>
    <w:tblStylePr w:type="firstRow">
      <w:pPr>
        <w:spacing w:beforeLines="0" w:beforeAutospacing="0" w:afterLines="0" w:afterAutospacing="0" w:line="240" w:lineRule="auto"/>
        <w:jc w:val="center"/>
      </w:pPr>
      <w:rPr>
        <w:rFonts w:hint="eastAsia"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Lines="0" w:beforeAutospacing="0" w:afterLines="0" w:afterAutospacing="0" w:line="240" w:lineRule="auto"/>
      </w:pPr>
      <w:rPr>
        <w:rFonts w:hint="eastAsia" w:asciiTheme="majorHAnsi" w:hAnsiTheme="majorHAnsi" w:eastAsiaTheme="majorEastAsia" w:cstheme="majorBidi"/>
        <w:b/>
        <w:bCs/>
      </w:r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hint="eastAsia" w:asciiTheme="majorHAnsi" w:hAnsiTheme="majorHAnsi" w:eastAsiaTheme="majorEastAsia" w:cstheme="majorBidi"/>
        <w:b/>
        <w:bCs/>
      </w:rPr>
    </w:tblStylePr>
    <w:tblStylePr w:type="lastCol">
      <w:rPr>
        <w:rFonts w:hint="eastAsia"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customStyle="1" w:styleId="1481">
    <w:name w:val="中等深浅底纹 1 - 着色 111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482">
    <w:name w:val="中等深浅网格 1 - 着色 1111"/>
    <w:basedOn w:val="80"/>
    <w:qFormat/>
    <w:uiPriority w:val="67"/>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vAlign w:val="center"/>
    </w:tcPr>
    <w:tblStylePr w:type="firstRow">
      <w:rPr>
        <w:b/>
        <w:bCs/>
      </w:rPr>
    </w:tblStylePr>
    <w:tblStylePr w:type="lastRow">
      <w:rPr>
        <w:b/>
        <w:bCs/>
      </w:rPr>
      <w:tcPr>
        <w:tcBorders>
          <w:top w:val="single" w:color="7BA0CD" w:themeColor="accent1" w:themeTint="BF" w:sz="18" w:space="0"/>
        </w:tcBorders>
      </w:tcPr>
    </w:tblStylePr>
    <w:tblStylePr w:type="firstCol">
      <w:rPr>
        <w:b/>
        <w:bCs/>
      </w:rPr>
    </w:tblStylePr>
    <w:tblStylePr w:type="lastCol">
      <w:rPr>
        <w:b/>
        <w:bCs/>
      </w:rPr>
    </w:tblStylePr>
    <w:tblStylePr w:type="band1Vert">
      <w:tcPr>
        <w:shd w:val="clear" w:color="auto" w:fill="A7C0DE" w:themeFill="accent1" w:themeFillTint="7F"/>
      </w:tcPr>
    </w:tblStylePr>
    <w:tblStylePr w:type="band1Horz">
      <w:tcPr>
        <w:shd w:val="clear" w:color="auto" w:fill="A7C0DE" w:themeFill="accent1" w:themeFillTint="7F"/>
      </w:tcPr>
    </w:tblStylePr>
  </w:style>
  <w:style w:type="table" w:customStyle="1" w:styleId="1483">
    <w:name w:val="网格表 1 浅色 - 着色 51111"/>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484">
    <w:name w:val="网格表 4 - 着色 21111"/>
    <w:basedOn w:val="80"/>
    <w:qFormat/>
    <w:uiPriority w:val="49"/>
    <w:pPr>
      <w:jc w:val="center"/>
    </w:pPr>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cPr>
      <w:vAlign w:val="center"/>
    </w:tcPr>
    <w:tblStylePr w:type="firstRow">
      <w:rPr>
        <w:b/>
        <w:bCs/>
        <w:color w:val="FFFFFF" w:themeColor="background1"/>
        <w14:textFill>
          <w14:solidFill>
            <w14:schemeClr w14:val="bg1"/>
          </w14:solidFill>
        </w14:textFill>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485">
    <w:name w:val="浅色列表 - 强调文字颜色 1111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486">
    <w:name w:val="浅色列表 - 强调文字颜色 1211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487">
    <w:name w:val="中等深浅底纹 1 - 强调文字颜色 1211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488">
    <w:name w:val="浅色列表 - 强调文字颜色 1311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489">
    <w:name w:val="中等深浅底纹 1 - 强调文字颜色 1311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490">
    <w:name w:val="浅色列表 - 强调文字颜色 1411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491">
    <w:name w:val="中等深浅底纹 1 - 强调文字颜色 1411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492">
    <w:name w:val="浅色列表 - 强调文字颜色 1511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493">
    <w:name w:val="中等深浅底纹 1 - 强调文字颜色 1511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494">
    <w:name w:val="浅色列表 - 强调文字颜色 1611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495">
    <w:name w:val="中等深浅底纹 1 - 强调文字颜色 1611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496">
    <w:name w:val="浅色列表 - 强调文字颜色 1711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497">
    <w:name w:val="中等深浅底纹 1 - 强调文字颜色 1711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498">
    <w:name w:val="浅色列表 - 强调文字颜色 1811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499">
    <w:name w:val="中等深浅底纹 1 - 强调文字颜色 1811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500">
    <w:name w:val="网格表 1 浅色 - 着色 52111"/>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501">
    <w:name w:val="网格表 4 - 着色 22111"/>
    <w:basedOn w:val="80"/>
    <w:qFormat/>
    <w:uiPriority w:val="49"/>
    <w:pPr>
      <w:jc w:val="center"/>
    </w:pPr>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cPr>
      <w:vAlign w:val="center"/>
    </w:tcPr>
    <w:tblStylePr w:type="firstRow">
      <w:rPr>
        <w:b/>
        <w:bCs/>
        <w:color w:val="FFFFFF" w:themeColor="background1"/>
        <w14:textFill>
          <w14:solidFill>
            <w14:schemeClr w14:val="bg1"/>
          </w14:solidFill>
        </w14:textFill>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502">
    <w:name w:val="网格表 1 浅色 - 着色 53111"/>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503">
    <w:name w:val="网格表 4 - 着色 23111"/>
    <w:basedOn w:val="80"/>
    <w:qFormat/>
    <w:uiPriority w:val="49"/>
    <w:pPr>
      <w:jc w:val="center"/>
    </w:pPr>
    <w:tblPr>
      <w:jc w:val="cente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rPr>
      <w:jc w:val="center"/>
    </w:trPr>
    <w:tcPr>
      <w:vAlign w:val="center"/>
    </w:tcPr>
    <w:tblStylePr w:type="firstRow">
      <w:rPr>
        <w:b/>
        <w:bCs/>
        <w:color w:val="FFFFFF" w:themeColor="background1"/>
        <w14:textFill>
          <w14:solidFill>
            <w14:schemeClr w14:val="bg1"/>
          </w14:solidFill>
        </w14:textFill>
      </w:rPr>
      <w:tblPr/>
      <w:trPr>
        <w:cantSplit/>
        <w:tblHeader/>
      </w:t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504">
    <w:name w:val="网格表 1 浅色 - 着色 54111"/>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505">
    <w:name w:val="网格表 4 - 着色 24111"/>
    <w:basedOn w:val="80"/>
    <w:qFormat/>
    <w:uiPriority w:val="49"/>
    <w:pPr>
      <w:jc w:val="center"/>
    </w:pPr>
    <w:tblPr>
      <w:jc w:val="cente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rPr>
      <w:jc w:val="center"/>
    </w:trPr>
    <w:tcPr>
      <w:vAlign w:val="center"/>
    </w:tcPr>
    <w:tblStylePr w:type="firstRow">
      <w:rPr>
        <w:b/>
        <w:bCs/>
        <w:color w:val="FFFFFF" w:themeColor="background1"/>
        <w14:textFill>
          <w14:solidFill>
            <w14:schemeClr w14:val="bg1"/>
          </w14:solidFill>
        </w14:textFill>
      </w:rPr>
      <w:tblPr/>
      <w:trPr>
        <w:cantSplit/>
        <w:tblHeader/>
      </w:t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506">
    <w:name w:val="网格表 1 浅色1111"/>
    <w:basedOn w:val="80"/>
    <w:qFormat/>
    <w:uiPriority w:val="46"/>
    <w:rPr>
      <w:szCs w:val="22"/>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1507">
    <w:name w:val="网格表 1 浅色2111"/>
    <w:basedOn w:val="80"/>
    <w:qFormat/>
    <w:uiPriority w:val="46"/>
    <w:rPr>
      <w:szCs w:val="22"/>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1508">
    <w:name w:val="网格型1111"/>
    <w:basedOn w:val="80"/>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9">
    <w:name w:val="网格型2111"/>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0">
    <w:name w:val="网格型3111"/>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1">
    <w:name w:val="网格型 51111"/>
    <w:basedOn w:val="80"/>
    <w:unhideWhenUsed/>
    <w:qFormat/>
    <w:uiPriority w:val="0"/>
    <w:pPr>
      <w:widowControl w:val="0"/>
      <w:jc w:val="center"/>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vAlign w:val="center"/>
    </w:tcPr>
    <w:tblStylePr w:type="firstRow">
      <w:pPr>
        <w:wordWrap/>
      </w:pPr>
      <w:rPr>
        <w:rFonts w:hint="default" w:ascii="仿宋_GB2312" w:hAnsi="仿宋_GB2312" w:eastAsia="宋体"/>
        <w:b/>
        <w:i w:val="0"/>
        <w:caps w:val="0"/>
        <w:smallCaps w:val="0"/>
        <w:strike w:val="0"/>
        <w:dstrike w:val="0"/>
        <w:vanish w:val="0"/>
        <w:sz w:val="21"/>
        <w:szCs w:val="21"/>
        <w:u w:val="none"/>
      </w:rPr>
      <w:tcPr>
        <w:tcBorders>
          <w:bottom w:val="single" w:color="000000" w:sz="12" w:space="0"/>
        </w:tcBorders>
        <w:vAlign w:val="bottom"/>
      </w:tcPr>
    </w:tblStylePr>
    <w:tblStylePr w:type="lastRow">
      <w:rPr>
        <w:rFonts w:hint="default" w:ascii="Times New Roman" w:hAnsi="Times New Roman" w:eastAsia="宋体" w:cs="Times New Roman"/>
        <w:b w:val="0"/>
        <w:bCs/>
        <w:sz w:val="21"/>
        <w:szCs w:val="21"/>
      </w:rPr>
      <w:tcPr>
        <w:tcBorders>
          <w:tl2br w:val="nil"/>
          <w:tr2bl w:val="nil"/>
        </w:tcBorders>
      </w:tcPr>
    </w:tblStylePr>
    <w:tblStylePr w:type="firstCol">
      <w:rPr>
        <w:rFonts w:hint="default" w:ascii="Times New Roman" w:hAnsi="Times New Roman" w:eastAsia="宋体" w:cs="Times New Roman"/>
        <w:sz w:val="21"/>
        <w:szCs w:val="21"/>
      </w:rPr>
    </w:tblStylePr>
    <w:tblStylePr w:type="lastCol">
      <w:rPr>
        <w:rFonts w:hint="default" w:ascii="Times New Roman" w:hAnsi="Times New Roman" w:eastAsia="宋体" w:cs="Times New Roman"/>
        <w:b/>
        <w:bCs/>
        <w:sz w:val="21"/>
        <w:szCs w:val="21"/>
      </w:rPr>
      <w:tcPr>
        <w:tcBorders>
          <w:tl2br w:val="nil"/>
          <w:tr2bl w:val="nil"/>
        </w:tcBorders>
      </w:tcPr>
    </w:tblStylePr>
    <w:tblStylePr w:type="nwCell">
      <w:pPr>
        <w:wordWrap/>
        <w:jc w:val="center"/>
      </w:pPr>
      <w:rPr>
        <w:rFonts w:hint="default" w:ascii="Times New Roman" w:hAnsi="Times New Roman" w:eastAsia="宋体" w:cs="Times New Roman"/>
        <w:sz w:val="21"/>
        <w:szCs w:val="21"/>
      </w:rPr>
      <w:tcPr>
        <w:tcBorders>
          <w:tl2br w:val="single" w:color="000000" w:sz="6" w:space="0"/>
        </w:tcBorders>
      </w:tcPr>
    </w:tblStylePr>
  </w:style>
  <w:style w:type="table" w:customStyle="1" w:styleId="1512">
    <w:name w:val="网格型61"/>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3">
    <w:name w:val="表格主题31"/>
    <w:basedOn w:val="80"/>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4">
    <w:name w:val="彩色型 131"/>
    <w:basedOn w:val="80"/>
    <w:unhideWhenUsed/>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1515">
    <w:name w:val="彩色型 231"/>
    <w:basedOn w:val="80"/>
    <w:unhideWhenUsed/>
    <w:qFormat/>
    <w:uiPriority w:val="0"/>
    <w:pPr>
      <w:widowControl w:val="0"/>
      <w:jc w:val="both"/>
    </w:pPr>
    <w:tblPr>
      <w:tblBorders>
        <w:bottom w:val="single" w:color="000000" w:sz="12" w:space="0"/>
      </w:tblBorders>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1516">
    <w:name w:val="古典型 131"/>
    <w:basedOn w:val="80"/>
    <w:unhideWhenUsed/>
    <w:qFormat/>
    <w:uiPriority w:val="0"/>
    <w:pPr>
      <w:widowControl w:val="0"/>
      <w:jc w:val="both"/>
    </w:pPr>
    <w:tblPr>
      <w:tblBorders>
        <w:top w:val="single" w:color="000000" w:sz="12" w:space="0"/>
        <w:bottom w:val="single" w:color="000000" w:sz="12" w:space="0"/>
      </w:tblBorders>
    </w:tbl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1517">
    <w:name w:val="网格型 531"/>
    <w:basedOn w:val="80"/>
    <w:qFormat/>
    <w:uiPriority w:val="0"/>
    <w:pPr>
      <w:widowControl w:val="0"/>
      <w:jc w:val="center"/>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rPr>
      <w:cantSplit/>
    </w:trPr>
    <w:tcPr>
      <w:shd w:val="clear" w:color="auto" w:fill="auto"/>
      <w:vAlign w:val="center"/>
    </w:tcPr>
    <w:tblStylePr w:type="firstRow">
      <w:pPr>
        <w:keepNext/>
        <w:wordWrap/>
      </w:pPr>
      <w:rPr>
        <w:rFonts w:ascii="仿宋_GB2312" w:hAnsi="仿宋_GB2312" w:eastAsia="宋体"/>
        <w:b/>
        <w:i w:val="0"/>
        <w:caps w:val="0"/>
        <w:smallCaps w:val="0"/>
        <w:strike w:val="0"/>
        <w:dstrike w:val="0"/>
        <w:vanish w:val="0"/>
        <w:sz w:val="21"/>
        <w:vertAlign w:val="baseline"/>
      </w:rPr>
      <w:tblPr/>
      <w:trPr>
        <w:tblHeader/>
      </w:trPr>
      <w:tcPr>
        <w:tcBorders>
          <w:bottom w:val="single" w:color="000000" w:sz="12" w:space="0"/>
        </w:tcBorders>
      </w:tcPr>
    </w:tblStylePr>
    <w:tblStylePr w:type="lastRow">
      <w:rPr>
        <w:rFonts w:eastAsia="宋体"/>
        <w:b w:val="0"/>
        <w:bCs/>
        <w:sz w:val="21"/>
      </w:rPr>
      <w:tcPr>
        <w:tcBorders>
          <w:tl2br w:val="nil"/>
          <w:tr2bl w:val="nil"/>
        </w:tcBorders>
      </w:tcPr>
    </w:tblStylePr>
    <w:tblStylePr w:type="firstCol">
      <w:rPr>
        <w:rFonts w:eastAsia="宋体"/>
        <w:sz w:val="21"/>
      </w:rPr>
    </w:tblStylePr>
    <w:tblStylePr w:type="lastCol">
      <w:rPr>
        <w:rFonts w:eastAsia="宋体"/>
        <w:b/>
        <w:bCs/>
        <w:sz w:val="21"/>
      </w:rPr>
      <w:tcPr>
        <w:tcBorders>
          <w:tl2br w:val="nil"/>
          <w:tr2bl w:val="nil"/>
        </w:tcBorders>
      </w:tcPr>
    </w:tblStylePr>
    <w:tblStylePr w:type="nwCell">
      <w:pPr>
        <w:wordWrap/>
        <w:jc w:val="center"/>
      </w:pPr>
      <w:rPr>
        <w:rFonts w:eastAsia="宋体"/>
        <w:sz w:val="21"/>
      </w:rPr>
      <w:tcPr>
        <w:tcBorders>
          <w:tl2br w:val="single" w:color="000000" w:sz="6" w:space="0"/>
        </w:tcBorders>
      </w:tcPr>
    </w:tblStylePr>
  </w:style>
  <w:style w:type="table" w:customStyle="1" w:styleId="1518">
    <w:name w:val="浅色底纹 - 着色 531"/>
    <w:basedOn w:val="80"/>
    <w:qFormat/>
    <w:uiPriority w:val="60"/>
    <w:rPr>
      <w:color w:val="31859C" w:themeColor="accent5" w:themeShade="BF"/>
    </w:rPr>
    <w:tblPr>
      <w:tblBorders>
        <w:top w:val="single" w:color="4BACC6" w:themeColor="accent5" w:sz="8" w:space="0"/>
        <w:bottom w:val="single" w:color="4BACC6" w:themeColor="accent5" w:sz="8" w:space="0"/>
      </w:tblBorders>
    </w:tblPr>
    <w:tblStylePr w:type="firstRow">
      <w:pPr>
        <w:spacing w:beforeLines="0" w:beforeAutospacing="0" w:afterLines="0" w:afterAutospacing="0" w:line="240" w:lineRule="auto"/>
      </w:pPr>
      <w:rPr>
        <w:b/>
        <w:bCs/>
      </w:r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2EAF0" w:themeFill="accent5" w:themeFillTint="3F"/>
      </w:tcPr>
    </w:tblStylePr>
    <w:tblStylePr w:type="band1Horz">
      <w:tcPr>
        <w:tcBorders>
          <w:left w:val="nil"/>
          <w:right w:val="nil"/>
          <w:insideH w:val="nil"/>
          <w:insideV w:val="nil"/>
        </w:tcBorders>
        <w:shd w:val="clear" w:color="auto" w:fill="D2EAF0" w:themeFill="accent5" w:themeFillTint="3F"/>
      </w:tcPr>
    </w:tblStylePr>
  </w:style>
  <w:style w:type="table" w:customStyle="1" w:styleId="1519">
    <w:name w:val="浅色列表 - 着色 13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520">
    <w:name w:val="浅色网格 - 着色 531"/>
    <w:basedOn w:val="80"/>
    <w:qFormat/>
    <w:uiPriority w:val="62"/>
    <w:pPr>
      <w:jc w:val="center"/>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vAlign w:val="center"/>
    </w:tcPr>
    <w:tblStylePr w:type="firstRow">
      <w:pPr>
        <w:spacing w:beforeLines="0" w:beforeAutospacing="0" w:afterLines="0" w:afterAutospacing="0" w:line="240" w:lineRule="auto"/>
        <w:jc w:val="center"/>
      </w:pPr>
      <w:rPr>
        <w:rFonts w:hint="eastAsia"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Lines="0" w:beforeAutospacing="0" w:afterLines="0" w:afterAutospacing="0" w:line="240" w:lineRule="auto"/>
      </w:pPr>
      <w:rPr>
        <w:rFonts w:hint="eastAsia" w:asciiTheme="majorHAnsi" w:hAnsiTheme="majorHAnsi" w:eastAsiaTheme="majorEastAsia" w:cstheme="majorBidi"/>
        <w:b/>
        <w:bCs/>
      </w:r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hint="eastAsia" w:asciiTheme="majorHAnsi" w:hAnsiTheme="majorHAnsi" w:eastAsiaTheme="majorEastAsia" w:cstheme="majorBidi"/>
        <w:b/>
        <w:bCs/>
      </w:rPr>
    </w:tblStylePr>
    <w:tblStylePr w:type="lastCol">
      <w:rPr>
        <w:rFonts w:hint="eastAsia"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customStyle="1" w:styleId="1521">
    <w:name w:val="中等深浅底纹 1 - 着色 13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522">
    <w:name w:val="中等深浅网格 1 - 着色 131"/>
    <w:basedOn w:val="80"/>
    <w:qFormat/>
    <w:uiPriority w:val="67"/>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vAlign w:val="center"/>
    </w:tcPr>
    <w:tblStylePr w:type="firstRow">
      <w:rPr>
        <w:b/>
        <w:bCs/>
      </w:rPr>
    </w:tblStylePr>
    <w:tblStylePr w:type="lastRow">
      <w:rPr>
        <w:b/>
        <w:bCs/>
      </w:rPr>
      <w:tcPr>
        <w:tcBorders>
          <w:top w:val="single" w:color="7BA0CD" w:themeColor="accent1" w:themeTint="BF" w:sz="18" w:space="0"/>
        </w:tcBorders>
      </w:tcPr>
    </w:tblStylePr>
    <w:tblStylePr w:type="firstCol">
      <w:rPr>
        <w:b/>
        <w:bCs/>
      </w:rPr>
    </w:tblStylePr>
    <w:tblStylePr w:type="lastCol">
      <w:rPr>
        <w:b/>
        <w:bCs/>
      </w:rPr>
    </w:tblStylePr>
    <w:tblStylePr w:type="band1Vert">
      <w:tcPr>
        <w:shd w:val="clear" w:color="auto" w:fill="A7C0DE" w:themeFill="accent1" w:themeFillTint="7F"/>
      </w:tcPr>
    </w:tblStylePr>
    <w:tblStylePr w:type="band1Horz">
      <w:tcPr>
        <w:shd w:val="clear" w:color="auto" w:fill="A7C0DE" w:themeFill="accent1" w:themeFillTint="7F"/>
      </w:tcPr>
    </w:tblStylePr>
  </w:style>
  <w:style w:type="table" w:customStyle="1" w:styleId="1523">
    <w:name w:val="表格（大字体）31"/>
    <w:basedOn w:val="80"/>
    <w:qFormat/>
    <w:uiPriority w:val="99"/>
    <w:pPr>
      <w:jc w:val="center"/>
    </w:pPr>
    <w:rPr>
      <w:rFonts w:ascii="微软雅黑"/>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tblStylePr w:type="firstRow">
      <w:pPr>
        <w:keepNext/>
        <w:keepLines/>
        <w:pageBreakBefore w:val="0"/>
        <w:widowControl/>
        <w:suppressLineNumbers w:val="0"/>
        <w:suppressAutoHyphens w:val="0"/>
        <w:wordWrap/>
        <w:jc w:val="center"/>
      </w:pPr>
      <w:rPr>
        <w:rFonts w:eastAsiaTheme="minorEastAsia"/>
        <w:b/>
        <w:sz w:val="21"/>
      </w:rPr>
      <w:tblPr/>
      <w:trPr>
        <w:cantSplit/>
        <w:tblHeader/>
      </w:trPr>
      <w:tcPr>
        <w:tcBorders>
          <w:top w:val="single" w:color="auto" w:sz="12" w:space="0"/>
          <w:left w:val="single" w:color="auto" w:sz="12" w:space="0"/>
          <w:bottom w:val="single" w:color="auto" w:sz="12" w:space="0"/>
          <w:right w:val="single" w:color="auto" w:sz="12" w:space="0"/>
        </w:tcBorders>
      </w:tcPr>
    </w:tblStylePr>
    <w:tblStylePr w:type="lastRow">
      <w:pPr>
        <w:jc w:val="center"/>
      </w:pPr>
      <w:rPr>
        <w:rFonts w:eastAsiaTheme="minorEastAsia"/>
        <w:b/>
        <w:sz w:val="21"/>
      </w:rPr>
      <w:tcPr>
        <w:tcBorders>
          <w:top w:val="single" w:color="auto" w:sz="12" w:space="0"/>
          <w:left w:val="single" w:color="auto" w:sz="12" w:space="0"/>
          <w:bottom w:val="single" w:color="auto" w:sz="12" w:space="0"/>
          <w:right w:val="single" w:color="auto" w:sz="12" w:space="0"/>
        </w:tcBorders>
      </w:tcPr>
    </w:tblStylePr>
    <w:tblStylePr w:type="firstCol">
      <w:pPr>
        <w:jc w:val="center"/>
      </w:pPr>
      <w:rPr>
        <w:b/>
      </w:rPr>
    </w:tblStylePr>
    <w:tblStylePr w:type="lastCol">
      <w:rPr>
        <w:b/>
      </w:rPr>
    </w:tblStylePr>
  </w:style>
  <w:style w:type="table" w:customStyle="1" w:styleId="1524">
    <w:name w:val="网格表 1 浅色 - 着色 5131"/>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525">
    <w:name w:val="网格表 4 - 着色 2131"/>
    <w:basedOn w:val="80"/>
    <w:qFormat/>
    <w:uiPriority w:val="49"/>
    <w:pPr>
      <w:jc w:val="center"/>
    </w:pPr>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cPr>
      <w:vAlign w:val="center"/>
    </w:tcPr>
    <w:tblStylePr w:type="firstRow">
      <w:rPr>
        <w:b/>
        <w:bCs/>
        <w:color w:val="FFFFFF" w:themeColor="background1"/>
        <w14:textFill>
          <w14:solidFill>
            <w14:schemeClr w14:val="bg1"/>
          </w14:solidFill>
        </w14:textFill>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526">
    <w:name w:val="浅色列表 - 强调文字颜色 113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527">
    <w:name w:val="浅色列表 - 强调文字颜色 123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528">
    <w:name w:val="中等深浅底纹 1 - 强调文字颜色 123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529">
    <w:name w:val="浅色列表 - 强调文字颜色 133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530">
    <w:name w:val="中等深浅底纹 1 - 强调文字颜色 133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531">
    <w:name w:val="浅色列表 - 强调文字颜色 143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532">
    <w:name w:val="中等深浅底纹 1 - 强调文字颜色 143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533">
    <w:name w:val="浅色列表 - 强调文字颜色 153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534">
    <w:name w:val="中等深浅底纹 1 - 强调文字颜色 153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535">
    <w:name w:val="浅色列表 - 强调文字颜色 163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536">
    <w:name w:val="中等深浅底纹 1 - 强调文字颜色 163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537">
    <w:name w:val="浅色列表 - 强调文字颜色 173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538">
    <w:name w:val="中等深浅底纹 1 - 强调文字颜色 173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539">
    <w:name w:val="浅色列表 - 强调文字颜色 183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540">
    <w:name w:val="中等深浅底纹 1 - 强调文字颜色 183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541">
    <w:name w:val="网格表 1 浅色 - 着色 5231"/>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542">
    <w:name w:val="网格表 4 - 着色 2231"/>
    <w:basedOn w:val="80"/>
    <w:qFormat/>
    <w:uiPriority w:val="49"/>
    <w:pPr>
      <w:jc w:val="center"/>
    </w:pPr>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cPr>
      <w:vAlign w:val="center"/>
    </w:tcPr>
    <w:tblStylePr w:type="firstRow">
      <w:rPr>
        <w:b/>
        <w:bCs/>
        <w:color w:val="FFFFFF" w:themeColor="background1"/>
        <w14:textFill>
          <w14:solidFill>
            <w14:schemeClr w14:val="bg1"/>
          </w14:solidFill>
        </w14:textFill>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543">
    <w:name w:val="网格表 1 浅色 - 着色 5331"/>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544">
    <w:name w:val="网格表 4 - 着色 2331"/>
    <w:basedOn w:val="80"/>
    <w:qFormat/>
    <w:uiPriority w:val="49"/>
    <w:pPr>
      <w:jc w:val="center"/>
    </w:pPr>
    <w:tblPr>
      <w:jc w:val="cente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rPr>
      <w:jc w:val="center"/>
    </w:trPr>
    <w:tcPr>
      <w:vAlign w:val="center"/>
    </w:tcPr>
    <w:tblStylePr w:type="firstRow">
      <w:rPr>
        <w:b/>
        <w:bCs/>
        <w:color w:val="FFFFFF" w:themeColor="background1"/>
        <w14:textFill>
          <w14:solidFill>
            <w14:schemeClr w14:val="bg1"/>
          </w14:solidFill>
        </w14:textFill>
      </w:rPr>
      <w:tblPr/>
      <w:trPr>
        <w:cantSplit/>
        <w:tblHeader/>
      </w:t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545">
    <w:name w:val="网格表 1 浅色 - 着色 5431"/>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546">
    <w:name w:val="网格表 4 - 着色 2431"/>
    <w:basedOn w:val="80"/>
    <w:qFormat/>
    <w:uiPriority w:val="49"/>
    <w:pPr>
      <w:jc w:val="center"/>
    </w:pPr>
    <w:tblPr>
      <w:jc w:val="cente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rPr>
      <w:jc w:val="center"/>
    </w:trPr>
    <w:tcPr>
      <w:vAlign w:val="center"/>
    </w:tcPr>
    <w:tblStylePr w:type="firstRow">
      <w:rPr>
        <w:b/>
        <w:bCs/>
        <w:color w:val="FFFFFF" w:themeColor="background1"/>
        <w14:textFill>
          <w14:solidFill>
            <w14:schemeClr w14:val="bg1"/>
          </w14:solidFill>
        </w14:textFill>
      </w:rPr>
      <w:tblPr/>
      <w:trPr>
        <w:cantSplit/>
        <w:tblHeader/>
      </w:t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547">
    <w:name w:val="网格表 1 浅色131"/>
    <w:basedOn w:val="80"/>
    <w:qFormat/>
    <w:uiPriority w:val="46"/>
    <w:rPr>
      <w:szCs w:val="22"/>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1548">
    <w:name w:val="网格表 1 浅色231"/>
    <w:basedOn w:val="80"/>
    <w:qFormat/>
    <w:uiPriority w:val="46"/>
    <w:rPr>
      <w:szCs w:val="22"/>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1549">
    <w:name w:val="网格型131"/>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0">
    <w:name w:val="网格型231"/>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1">
    <w:name w:val="网格型331"/>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2">
    <w:name w:val="网格型421"/>
    <w:basedOn w:val="8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3">
    <w:name w:val="表格主题121"/>
    <w:basedOn w:val="80"/>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4">
    <w:name w:val="彩色型 1121"/>
    <w:basedOn w:val="80"/>
    <w:unhideWhenUsed/>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1555">
    <w:name w:val="彩色型 2121"/>
    <w:basedOn w:val="80"/>
    <w:unhideWhenUsed/>
    <w:qFormat/>
    <w:uiPriority w:val="0"/>
    <w:pPr>
      <w:widowControl w:val="0"/>
      <w:jc w:val="both"/>
    </w:pPr>
    <w:tblPr>
      <w:tblBorders>
        <w:bottom w:val="single" w:color="000000" w:sz="12" w:space="0"/>
      </w:tblBorders>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1556">
    <w:name w:val="古典型 1121"/>
    <w:basedOn w:val="80"/>
    <w:unhideWhenUsed/>
    <w:qFormat/>
    <w:uiPriority w:val="0"/>
    <w:pPr>
      <w:widowControl w:val="0"/>
      <w:jc w:val="both"/>
    </w:pPr>
    <w:tblPr>
      <w:tblBorders>
        <w:top w:val="single" w:color="000000" w:sz="12" w:space="0"/>
        <w:bottom w:val="single" w:color="000000" w:sz="12" w:space="0"/>
      </w:tblBorders>
    </w:tbl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1557">
    <w:name w:val="网格型 5121"/>
    <w:basedOn w:val="80"/>
    <w:unhideWhenUsed/>
    <w:qFormat/>
    <w:uiPriority w:val="0"/>
    <w:pPr>
      <w:widowControl w:val="0"/>
      <w:jc w:val="center"/>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vAlign w:val="center"/>
    </w:tcPr>
    <w:tblStylePr w:type="firstRow">
      <w:pPr>
        <w:wordWrap/>
      </w:pPr>
      <w:rPr>
        <w:rFonts w:hint="default" w:ascii="仿宋_GB2312" w:hAnsi="仿宋_GB2312" w:eastAsia="宋体"/>
        <w:b/>
        <w:i w:val="0"/>
        <w:caps w:val="0"/>
        <w:smallCaps w:val="0"/>
        <w:strike w:val="0"/>
        <w:dstrike w:val="0"/>
        <w:vanish w:val="0"/>
        <w:sz w:val="21"/>
        <w:szCs w:val="21"/>
        <w:u w:val="none"/>
      </w:rPr>
      <w:tcPr>
        <w:tcBorders>
          <w:bottom w:val="single" w:color="000000" w:sz="12" w:space="0"/>
        </w:tcBorders>
        <w:vAlign w:val="bottom"/>
      </w:tcPr>
    </w:tblStylePr>
    <w:tblStylePr w:type="lastRow">
      <w:rPr>
        <w:rFonts w:hint="default" w:ascii="Times New Roman" w:hAnsi="Times New Roman" w:eastAsia="宋体" w:cs="Times New Roman"/>
        <w:b w:val="0"/>
        <w:bCs/>
        <w:sz w:val="21"/>
        <w:szCs w:val="21"/>
      </w:rPr>
      <w:tcPr>
        <w:tcBorders>
          <w:tl2br w:val="nil"/>
          <w:tr2bl w:val="nil"/>
        </w:tcBorders>
      </w:tcPr>
    </w:tblStylePr>
    <w:tblStylePr w:type="firstCol">
      <w:rPr>
        <w:rFonts w:hint="default" w:ascii="Times New Roman" w:hAnsi="Times New Roman" w:eastAsia="宋体" w:cs="Times New Roman"/>
        <w:sz w:val="21"/>
        <w:szCs w:val="21"/>
      </w:rPr>
    </w:tblStylePr>
    <w:tblStylePr w:type="lastCol">
      <w:rPr>
        <w:rFonts w:hint="default" w:ascii="Times New Roman" w:hAnsi="Times New Roman" w:eastAsia="宋体" w:cs="Times New Roman"/>
        <w:b/>
        <w:bCs/>
        <w:sz w:val="21"/>
        <w:szCs w:val="21"/>
      </w:rPr>
      <w:tcPr>
        <w:tcBorders>
          <w:tl2br w:val="nil"/>
          <w:tr2bl w:val="nil"/>
        </w:tcBorders>
      </w:tcPr>
    </w:tblStylePr>
    <w:tblStylePr w:type="nwCell">
      <w:pPr>
        <w:wordWrap/>
        <w:jc w:val="center"/>
      </w:pPr>
      <w:rPr>
        <w:rFonts w:hint="default" w:ascii="Times New Roman" w:hAnsi="Times New Roman" w:eastAsia="宋体" w:cs="Times New Roman"/>
        <w:sz w:val="21"/>
        <w:szCs w:val="21"/>
      </w:rPr>
      <w:tcPr>
        <w:tcBorders>
          <w:tl2br w:val="single" w:color="000000" w:sz="6" w:space="0"/>
        </w:tcBorders>
      </w:tcPr>
    </w:tblStylePr>
  </w:style>
  <w:style w:type="table" w:customStyle="1" w:styleId="1558">
    <w:name w:val="浅色底纹 - 着色 5121"/>
    <w:basedOn w:val="80"/>
    <w:qFormat/>
    <w:uiPriority w:val="60"/>
    <w:rPr>
      <w:color w:val="31859C" w:themeColor="accent5" w:themeShade="BF"/>
    </w:rPr>
    <w:tblPr>
      <w:tblBorders>
        <w:top w:val="single" w:color="4BACC6" w:themeColor="accent5" w:sz="8" w:space="0"/>
        <w:bottom w:val="single" w:color="4BACC6" w:themeColor="accent5" w:sz="8" w:space="0"/>
      </w:tblBorders>
    </w:tblPr>
    <w:tblStylePr w:type="firstRow">
      <w:pPr>
        <w:spacing w:beforeLines="0" w:beforeAutospacing="0" w:afterLines="0" w:afterAutospacing="0" w:line="240" w:lineRule="auto"/>
      </w:pPr>
      <w:rPr>
        <w:b/>
        <w:bCs/>
      </w:r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2EAF0" w:themeFill="accent5" w:themeFillTint="3F"/>
      </w:tcPr>
    </w:tblStylePr>
    <w:tblStylePr w:type="band1Horz">
      <w:tcPr>
        <w:tcBorders>
          <w:left w:val="nil"/>
          <w:right w:val="nil"/>
          <w:insideH w:val="nil"/>
          <w:insideV w:val="nil"/>
        </w:tcBorders>
        <w:shd w:val="clear" w:color="auto" w:fill="D2EAF0" w:themeFill="accent5" w:themeFillTint="3F"/>
      </w:tcPr>
    </w:tblStylePr>
  </w:style>
  <w:style w:type="table" w:customStyle="1" w:styleId="1559">
    <w:name w:val="浅色列表 - 着色 112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560">
    <w:name w:val="浅色网格 - 着色 5121"/>
    <w:basedOn w:val="80"/>
    <w:qFormat/>
    <w:uiPriority w:val="62"/>
    <w:pPr>
      <w:jc w:val="center"/>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vAlign w:val="center"/>
    </w:tcPr>
    <w:tblStylePr w:type="firstRow">
      <w:pPr>
        <w:spacing w:beforeLines="0" w:beforeAutospacing="0" w:afterLines="0" w:afterAutospacing="0" w:line="240" w:lineRule="auto"/>
        <w:jc w:val="center"/>
      </w:pPr>
      <w:rPr>
        <w:rFonts w:hint="eastAsia"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Lines="0" w:beforeAutospacing="0" w:afterLines="0" w:afterAutospacing="0" w:line="240" w:lineRule="auto"/>
      </w:pPr>
      <w:rPr>
        <w:rFonts w:hint="eastAsia" w:asciiTheme="majorHAnsi" w:hAnsiTheme="majorHAnsi" w:eastAsiaTheme="majorEastAsia" w:cstheme="majorBidi"/>
        <w:b/>
        <w:bCs/>
      </w:r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hint="eastAsia" w:asciiTheme="majorHAnsi" w:hAnsiTheme="majorHAnsi" w:eastAsiaTheme="majorEastAsia" w:cstheme="majorBidi"/>
        <w:b/>
        <w:bCs/>
      </w:rPr>
    </w:tblStylePr>
    <w:tblStylePr w:type="lastCol">
      <w:rPr>
        <w:rFonts w:hint="eastAsia"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customStyle="1" w:styleId="1561">
    <w:name w:val="中等深浅底纹 1 - 着色 112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562">
    <w:name w:val="中等深浅网格 1 - 着色 1121"/>
    <w:basedOn w:val="80"/>
    <w:qFormat/>
    <w:uiPriority w:val="67"/>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vAlign w:val="center"/>
    </w:tcPr>
    <w:tblStylePr w:type="firstRow">
      <w:rPr>
        <w:b/>
        <w:bCs/>
      </w:rPr>
    </w:tblStylePr>
    <w:tblStylePr w:type="lastRow">
      <w:rPr>
        <w:b/>
        <w:bCs/>
      </w:rPr>
      <w:tcPr>
        <w:tcBorders>
          <w:top w:val="single" w:color="7BA0CD" w:themeColor="accent1" w:themeTint="BF" w:sz="18" w:space="0"/>
        </w:tcBorders>
      </w:tcPr>
    </w:tblStylePr>
    <w:tblStylePr w:type="firstCol">
      <w:rPr>
        <w:b/>
        <w:bCs/>
      </w:rPr>
    </w:tblStylePr>
    <w:tblStylePr w:type="lastCol">
      <w:rPr>
        <w:b/>
        <w:bCs/>
      </w:rPr>
    </w:tblStylePr>
    <w:tblStylePr w:type="band1Vert">
      <w:tcPr>
        <w:shd w:val="clear" w:color="auto" w:fill="A7C0DE" w:themeFill="accent1" w:themeFillTint="7F"/>
      </w:tcPr>
    </w:tblStylePr>
    <w:tblStylePr w:type="band1Horz">
      <w:tcPr>
        <w:shd w:val="clear" w:color="auto" w:fill="A7C0DE" w:themeFill="accent1" w:themeFillTint="7F"/>
      </w:tcPr>
    </w:tblStylePr>
  </w:style>
  <w:style w:type="table" w:customStyle="1" w:styleId="1563">
    <w:name w:val="表格（大字体）121"/>
    <w:basedOn w:val="80"/>
    <w:qFormat/>
    <w:uiPriority w:val="99"/>
    <w:pPr>
      <w:jc w:val="center"/>
    </w:pPr>
    <w:rPr>
      <w:rFonts w:ascii="微软雅黑"/>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pPr>
        <w:keepLines/>
        <w:widowControl/>
        <w:suppressLineNumbers w:val="0"/>
        <w:suppressAutoHyphens w:val="0"/>
        <w:wordWrap/>
        <w:jc w:val="center"/>
      </w:pPr>
      <w:rPr>
        <w:rFonts w:hint="eastAsia" w:ascii="Bahnschrift Light" w:hAnsi="Bahnschrift Light" w:eastAsiaTheme="minorEastAsia"/>
        <w:b/>
        <w:sz w:val="21"/>
        <w:szCs w:val="21"/>
      </w:rPr>
      <w:tcPr>
        <w:tcBorders>
          <w:top w:val="single" w:color="auto" w:sz="12" w:space="0"/>
          <w:left w:val="single" w:color="auto" w:sz="12" w:space="0"/>
          <w:bottom w:val="single" w:color="auto" w:sz="12" w:space="0"/>
          <w:right w:val="single" w:color="auto" w:sz="12" w:space="0"/>
        </w:tcBorders>
      </w:tcPr>
    </w:tblStylePr>
    <w:tblStylePr w:type="lastRow">
      <w:pPr>
        <w:jc w:val="center"/>
      </w:pPr>
      <w:rPr>
        <w:rFonts w:hint="eastAsia" w:ascii="Bahnschrift Light" w:hAnsi="Bahnschrift Light" w:eastAsiaTheme="minorEastAsia"/>
        <w:b/>
        <w:sz w:val="21"/>
        <w:szCs w:val="21"/>
      </w:rPr>
      <w:tcPr>
        <w:tcBorders>
          <w:top w:val="single" w:color="auto" w:sz="12" w:space="0"/>
          <w:left w:val="single" w:color="auto" w:sz="12" w:space="0"/>
          <w:bottom w:val="single" w:color="auto" w:sz="12" w:space="0"/>
          <w:right w:val="single" w:color="auto" w:sz="12" w:space="0"/>
        </w:tcBorders>
      </w:tcPr>
    </w:tblStylePr>
    <w:tblStylePr w:type="firstCol">
      <w:pPr>
        <w:jc w:val="center"/>
      </w:pPr>
      <w:rPr>
        <w:b/>
      </w:rPr>
    </w:tblStylePr>
    <w:tblStylePr w:type="lastCol">
      <w:rPr>
        <w:b/>
      </w:rPr>
    </w:tblStylePr>
  </w:style>
  <w:style w:type="table" w:customStyle="1" w:styleId="1564">
    <w:name w:val="网格表 1 浅色 - 着色 51121"/>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565">
    <w:name w:val="网格表 4 - 着色 21121"/>
    <w:basedOn w:val="80"/>
    <w:qFormat/>
    <w:uiPriority w:val="49"/>
    <w:pPr>
      <w:jc w:val="center"/>
    </w:pPr>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cPr>
      <w:vAlign w:val="center"/>
    </w:tcPr>
    <w:tblStylePr w:type="firstRow">
      <w:rPr>
        <w:b/>
        <w:bCs/>
        <w:color w:val="FFFFFF" w:themeColor="background1"/>
        <w14:textFill>
          <w14:solidFill>
            <w14:schemeClr w14:val="bg1"/>
          </w14:solidFill>
        </w14:textFill>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566">
    <w:name w:val="浅色列表 - 强调文字颜色 1112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567">
    <w:name w:val="浅色列表 - 强调文字颜色 1212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568">
    <w:name w:val="中等深浅底纹 1 - 强调文字颜色 1212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569">
    <w:name w:val="浅色列表 - 强调文字颜色 1312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570">
    <w:name w:val="中等深浅底纹 1 - 强调文字颜色 1312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571">
    <w:name w:val="浅色列表 - 强调文字颜色 1412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572">
    <w:name w:val="中等深浅底纹 1 - 强调文字颜色 1412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573">
    <w:name w:val="浅色列表 - 强调文字颜色 1512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574">
    <w:name w:val="中等深浅底纹 1 - 强调文字颜色 1512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575">
    <w:name w:val="浅色列表 - 强调文字颜色 1612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576">
    <w:name w:val="中等深浅底纹 1 - 强调文字颜色 1612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577">
    <w:name w:val="浅色列表 - 强调文字颜色 1712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578">
    <w:name w:val="中等深浅底纹 1 - 强调文字颜色 1712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579">
    <w:name w:val="浅色列表 - 强调文字颜色 1812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580">
    <w:name w:val="中等深浅底纹 1 - 强调文字颜色 1812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581">
    <w:name w:val="网格表 1 浅色 - 着色 52121"/>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582">
    <w:name w:val="网格表 4 - 着色 22121"/>
    <w:basedOn w:val="80"/>
    <w:qFormat/>
    <w:uiPriority w:val="49"/>
    <w:pPr>
      <w:jc w:val="center"/>
    </w:pPr>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cPr>
      <w:vAlign w:val="center"/>
    </w:tcPr>
    <w:tblStylePr w:type="firstRow">
      <w:rPr>
        <w:b/>
        <w:bCs/>
        <w:color w:val="FFFFFF" w:themeColor="background1"/>
        <w14:textFill>
          <w14:solidFill>
            <w14:schemeClr w14:val="bg1"/>
          </w14:solidFill>
        </w14:textFill>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583">
    <w:name w:val="网格表 1 浅色 - 着色 53121"/>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584">
    <w:name w:val="网格表 4 - 着色 23121"/>
    <w:basedOn w:val="80"/>
    <w:qFormat/>
    <w:uiPriority w:val="49"/>
    <w:pPr>
      <w:jc w:val="center"/>
    </w:pPr>
    <w:tblPr>
      <w:jc w:val="cente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rPr>
      <w:jc w:val="center"/>
    </w:trPr>
    <w:tcPr>
      <w:vAlign w:val="center"/>
    </w:tcPr>
    <w:tblStylePr w:type="firstRow">
      <w:rPr>
        <w:b/>
        <w:bCs/>
        <w:color w:val="FFFFFF" w:themeColor="background1"/>
        <w14:textFill>
          <w14:solidFill>
            <w14:schemeClr w14:val="bg1"/>
          </w14:solidFill>
        </w14:textFill>
      </w:rPr>
      <w:tblPr/>
      <w:trPr>
        <w:cantSplit/>
        <w:tblHeader/>
      </w:t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585">
    <w:name w:val="网格表 1 浅色 - 着色 54121"/>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586">
    <w:name w:val="网格表 4 - 着色 24121"/>
    <w:basedOn w:val="80"/>
    <w:qFormat/>
    <w:uiPriority w:val="49"/>
    <w:pPr>
      <w:jc w:val="center"/>
    </w:pPr>
    <w:tblPr>
      <w:jc w:val="cente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rPr>
      <w:jc w:val="center"/>
    </w:trPr>
    <w:tcPr>
      <w:vAlign w:val="center"/>
    </w:tcPr>
    <w:tblStylePr w:type="firstRow">
      <w:rPr>
        <w:b/>
        <w:bCs/>
        <w:color w:val="FFFFFF" w:themeColor="background1"/>
        <w14:textFill>
          <w14:solidFill>
            <w14:schemeClr w14:val="bg1"/>
          </w14:solidFill>
        </w14:textFill>
      </w:rPr>
      <w:tblPr/>
      <w:trPr>
        <w:cantSplit/>
        <w:tblHeader/>
      </w:t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587">
    <w:name w:val="网格表 1 浅色1121"/>
    <w:basedOn w:val="80"/>
    <w:qFormat/>
    <w:uiPriority w:val="46"/>
    <w:rPr>
      <w:szCs w:val="22"/>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1588">
    <w:name w:val="网格表 1 浅色2121"/>
    <w:basedOn w:val="80"/>
    <w:qFormat/>
    <w:uiPriority w:val="46"/>
    <w:rPr>
      <w:szCs w:val="22"/>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1589">
    <w:name w:val="网格型1121"/>
    <w:basedOn w:val="80"/>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0">
    <w:name w:val="网格型2121"/>
    <w:basedOn w:val="80"/>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1">
    <w:name w:val="网格型3121"/>
    <w:basedOn w:val="80"/>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2">
    <w:name w:val="网格表 1 浅色 - 着色 551"/>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593">
    <w:name w:val="网格表 4 - 着色 251"/>
    <w:basedOn w:val="80"/>
    <w:qFormat/>
    <w:uiPriority w:val="49"/>
    <w:pPr>
      <w:jc w:val="center"/>
    </w:pPr>
    <w:rPr>
      <w:szCs w:val="22"/>
    </w:rPr>
    <w:tblPr>
      <w:jc w:val="cente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rPr>
      <w:jc w:val="center"/>
    </w:trPr>
    <w:tcPr>
      <w:vAlign w:val="center"/>
    </w:tcPr>
    <w:tblStylePr w:type="firstRow">
      <w:rPr>
        <w:b/>
        <w:bCs/>
        <w:color w:val="FFFFFF" w:themeColor="background1"/>
        <w14:textFill>
          <w14:solidFill>
            <w14:schemeClr w14:val="bg1"/>
          </w14:solidFill>
        </w14:textFill>
      </w:rPr>
      <w:tblPr/>
      <w:trPr>
        <w:cantSplit/>
        <w:tblHeader/>
      </w:t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594">
    <w:name w:val="网格表 4 - 着色 511"/>
    <w:basedOn w:val="80"/>
    <w:qFormat/>
    <w:uiPriority w:val="49"/>
    <w:pPr>
      <w:jc w:val="center"/>
    </w:pPr>
    <w:rPr>
      <w:rFonts w:ascii="Calibri" w:hAnsi="Calibri"/>
      <w:szCs w:val="22"/>
    </w:rPr>
    <w:tblPr>
      <w:jc w:val="cente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rPr>
      <w:jc w:val="center"/>
    </w:trPr>
    <w:tcPr>
      <w:vAlign w:val="center"/>
    </w:tcPr>
    <w:tblStylePr w:type="firstRow">
      <w:rPr>
        <w:b/>
        <w:bCs/>
        <w:color w:val="FFFFFF" w:themeColor="background1"/>
        <w14:textFill>
          <w14:solidFill>
            <w14:schemeClr w14:val="bg1"/>
          </w14:solidFill>
        </w14:textFill>
      </w:rPr>
      <w:tblPr/>
      <w:trPr>
        <w:cantSplit/>
        <w:tblHeader/>
      </w:trPr>
      <w:tcPr>
        <w:tcBorders>
          <w:top w:val="single" w:color="4BACC6" w:themeColor="accent5" w:sz="4" w:space="0"/>
          <w:left w:val="single" w:color="4BACC6" w:themeColor="accent5" w:sz="4" w:space="0"/>
          <w:bottom w:val="single" w:color="4BACC6" w:themeColor="accent5" w:sz="4" w:space="0"/>
          <w:right w:val="single" w:color="4BACC6" w:themeColor="accent5" w:sz="4" w:space="0"/>
          <w:insideH w:val="nil"/>
          <w:insideV w:val="nil"/>
        </w:tcBorders>
        <w:shd w:val="clear" w:color="auto" w:fill="4BACC6" w:themeFill="accent5"/>
      </w:tcPr>
    </w:tblStylePr>
    <w:tblStylePr w:type="lastRow">
      <w:rPr>
        <w:b/>
        <w:bCs/>
      </w:rPr>
      <w:tcPr>
        <w:tcBorders>
          <w:top w:val="double" w:color="4BACC6" w:themeColor="accent5"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paragraph" w:customStyle="1" w:styleId="1595">
    <w:name w:val="font16"/>
    <w:basedOn w:val="1"/>
    <w:qFormat/>
    <w:uiPriority w:val="0"/>
    <w:pPr>
      <w:widowControl/>
      <w:snapToGrid/>
      <w:spacing w:before="100" w:beforeAutospacing="1" w:after="100" w:afterAutospacing="1" w:line="240" w:lineRule="auto"/>
      <w:jc w:val="left"/>
    </w:pPr>
    <w:rPr>
      <w:rFonts w:hAnsi="宋体"/>
      <w:color w:val="000000"/>
      <w:sz w:val="18"/>
      <w:szCs w:val="18"/>
    </w:rPr>
  </w:style>
  <w:style w:type="paragraph" w:customStyle="1" w:styleId="1596">
    <w:name w:val="font17"/>
    <w:basedOn w:val="1"/>
    <w:qFormat/>
    <w:uiPriority w:val="1"/>
    <w:pPr>
      <w:widowControl/>
      <w:snapToGrid/>
      <w:spacing w:before="100" w:beforeAutospacing="1" w:after="100" w:afterAutospacing="1" w:line="240" w:lineRule="auto"/>
      <w:jc w:val="left"/>
    </w:pPr>
    <w:rPr>
      <w:rFonts w:hAnsi="宋体"/>
      <w:b/>
      <w:bCs/>
      <w:color w:val="000000"/>
      <w:sz w:val="18"/>
      <w:szCs w:val="18"/>
    </w:rPr>
  </w:style>
  <w:style w:type="table" w:customStyle="1" w:styleId="1597">
    <w:name w:val="表格（大字体）8"/>
    <w:basedOn w:val="80"/>
    <w:qFormat/>
    <w:uiPriority w:val="99"/>
    <w:pPr>
      <w:jc w:val="center"/>
    </w:pPr>
    <w:rPr>
      <w:rFonts w:ascii="微软雅黑"/>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tblStylePr w:type="firstRow">
      <w:pPr>
        <w:keepNext/>
        <w:keepLines/>
        <w:pageBreakBefore w:val="0"/>
        <w:widowControl/>
        <w:suppressLineNumbers w:val="0"/>
        <w:suppressAutoHyphens w:val="0"/>
        <w:wordWrap/>
        <w:jc w:val="center"/>
      </w:pPr>
      <w:rPr>
        <w:rFonts w:eastAsia="宋体"/>
        <w:b/>
        <w:sz w:val="21"/>
      </w:rPr>
      <w:tblPr/>
      <w:trPr>
        <w:cantSplit/>
        <w:tblHeader/>
      </w:trPr>
      <w:tcPr>
        <w:tcBorders>
          <w:top w:val="single" w:color="auto" w:sz="12" w:space="0"/>
          <w:left w:val="single" w:color="auto" w:sz="12" w:space="0"/>
          <w:bottom w:val="single" w:color="auto" w:sz="12" w:space="0"/>
          <w:right w:val="single" w:color="auto" w:sz="12" w:space="0"/>
        </w:tcBorders>
      </w:tcPr>
    </w:tblStylePr>
    <w:tblStylePr w:type="lastRow">
      <w:pPr>
        <w:jc w:val="center"/>
      </w:pPr>
      <w:rPr>
        <w:rFonts w:eastAsia="宋体"/>
        <w:b/>
        <w:sz w:val="21"/>
      </w:rPr>
      <w:tcPr>
        <w:tcBorders>
          <w:top w:val="single" w:color="auto" w:sz="12" w:space="0"/>
          <w:left w:val="single" w:color="auto" w:sz="12" w:space="0"/>
          <w:bottom w:val="single" w:color="auto" w:sz="12" w:space="0"/>
          <w:right w:val="single" w:color="auto" w:sz="12" w:space="0"/>
        </w:tcBorders>
      </w:tcPr>
    </w:tblStylePr>
    <w:tblStylePr w:type="firstCol">
      <w:pPr>
        <w:jc w:val="center"/>
      </w:pPr>
      <w:rPr>
        <w:b/>
      </w:rPr>
    </w:tblStylePr>
    <w:tblStylePr w:type="lastCol">
      <w:rPr>
        <w:b/>
      </w:rPr>
    </w:tblStylePr>
  </w:style>
  <w:style w:type="character" w:customStyle="1" w:styleId="1598">
    <w:name w:val="不明显强调4"/>
    <w:basedOn w:val="91"/>
    <w:qFormat/>
    <w:uiPriority w:val="19"/>
    <w:rPr>
      <w:i/>
      <w:iCs/>
      <w:color w:val="808080"/>
    </w:rPr>
  </w:style>
  <w:style w:type="character" w:customStyle="1" w:styleId="1599">
    <w:name w:val="明显强调4"/>
    <w:basedOn w:val="91"/>
    <w:qFormat/>
    <w:uiPriority w:val="21"/>
    <w:rPr>
      <w:b/>
      <w:bCs/>
      <w:i/>
      <w:iCs/>
      <w:color w:val="4F81BD"/>
    </w:rPr>
  </w:style>
  <w:style w:type="character" w:customStyle="1" w:styleId="1600">
    <w:name w:val="不明显参考4"/>
    <w:basedOn w:val="91"/>
    <w:qFormat/>
    <w:uiPriority w:val="31"/>
    <w:rPr>
      <w:smallCaps/>
      <w:color w:val="C0504D"/>
      <w:u w:val="single"/>
    </w:rPr>
  </w:style>
  <w:style w:type="character" w:customStyle="1" w:styleId="1601">
    <w:name w:val="明显参考4"/>
    <w:basedOn w:val="91"/>
    <w:qFormat/>
    <w:uiPriority w:val="32"/>
    <w:rPr>
      <w:b/>
      <w:bCs/>
      <w:smallCaps/>
      <w:color w:val="C0504D"/>
      <w:spacing w:val="5"/>
      <w:u w:val="single"/>
    </w:rPr>
  </w:style>
  <w:style w:type="character" w:customStyle="1" w:styleId="1602">
    <w:name w:val="书籍标题4"/>
    <w:basedOn w:val="91"/>
    <w:qFormat/>
    <w:uiPriority w:val="33"/>
    <w:rPr>
      <w:b/>
      <w:bCs/>
      <w:smallCaps/>
      <w:spacing w:val="5"/>
    </w:rPr>
  </w:style>
  <w:style w:type="paragraph" w:customStyle="1" w:styleId="1603">
    <w:name w:val="TOC 标题5"/>
    <w:basedOn w:val="3"/>
    <w:next w:val="1"/>
    <w:unhideWhenUsed/>
    <w:qFormat/>
    <w:uiPriority w:val="39"/>
    <w:pPr>
      <w:pageBreakBefore/>
      <w:widowControl/>
      <w:snapToGrid/>
      <w:spacing w:before="120" w:line="276" w:lineRule="auto"/>
      <w:jc w:val="left"/>
      <w:outlineLvl w:val="9"/>
    </w:pPr>
    <w:rPr>
      <w:rFonts w:asciiTheme="majorHAnsi" w:hAnsiTheme="majorHAnsi" w:eastAsiaTheme="majorEastAsia" w:cstheme="majorBidi"/>
      <w:kern w:val="0"/>
      <w:sz w:val="24"/>
      <w:szCs w:val="28"/>
    </w:rPr>
  </w:style>
  <w:style w:type="character" w:customStyle="1" w:styleId="1604">
    <w:name w:val="正文缩进 Char3"/>
    <w:qFormat/>
    <w:uiPriority w:val="0"/>
    <w:rPr>
      <w:rFonts w:ascii="Arial" w:hAnsi="Arial"/>
      <w:sz w:val="28"/>
      <w:szCs w:val="24"/>
    </w:rPr>
  </w:style>
  <w:style w:type="character" w:customStyle="1" w:styleId="1605">
    <w:name w:val="页眉 Char4"/>
    <w:basedOn w:val="91"/>
    <w:qFormat/>
    <w:uiPriority w:val="99"/>
    <w:rPr>
      <w:rFonts w:ascii="Arial" w:hAnsi="Arial"/>
      <w:sz w:val="18"/>
      <w:szCs w:val="18"/>
    </w:rPr>
  </w:style>
  <w:style w:type="character" w:customStyle="1" w:styleId="1606">
    <w:name w:val="页脚 Char4"/>
    <w:basedOn w:val="91"/>
    <w:qFormat/>
    <w:uiPriority w:val="0"/>
    <w:rPr>
      <w:rFonts w:ascii="Arial" w:hAnsi="Arial"/>
      <w:kern w:val="2"/>
      <w:sz w:val="18"/>
      <w:szCs w:val="18"/>
    </w:rPr>
  </w:style>
  <w:style w:type="character" w:customStyle="1" w:styleId="1607">
    <w:name w:val="文档结构图 Char4"/>
    <w:basedOn w:val="91"/>
    <w:qFormat/>
    <w:uiPriority w:val="0"/>
    <w:rPr>
      <w:rFonts w:ascii="Arial" w:hAnsi="Arial"/>
      <w:kern w:val="2"/>
      <w:sz w:val="21"/>
      <w:szCs w:val="24"/>
      <w:shd w:val="clear" w:color="auto" w:fill="000080"/>
    </w:rPr>
  </w:style>
  <w:style w:type="character" w:customStyle="1" w:styleId="1608">
    <w:name w:val="副标题 Char4"/>
    <w:basedOn w:val="91"/>
    <w:qFormat/>
    <w:uiPriority w:val="0"/>
    <w:rPr>
      <w:rFonts w:ascii="Cambria" w:hAnsi="Cambria"/>
      <w:b/>
      <w:bCs/>
      <w:kern w:val="28"/>
      <w:sz w:val="32"/>
      <w:szCs w:val="32"/>
    </w:rPr>
  </w:style>
  <w:style w:type="character" w:customStyle="1" w:styleId="1609">
    <w:name w:val="引用 Char5"/>
    <w:basedOn w:val="91"/>
    <w:qFormat/>
    <w:uiPriority w:val="29"/>
    <w:rPr>
      <w:rFonts w:ascii="Arial" w:hAnsi="Arial"/>
      <w:i/>
      <w:iCs/>
      <w:color w:val="000000"/>
      <w:kern w:val="2"/>
      <w:sz w:val="21"/>
      <w:szCs w:val="24"/>
    </w:rPr>
  </w:style>
  <w:style w:type="character" w:customStyle="1" w:styleId="1610">
    <w:name w:val="明显引用 Char5"/>
    <w:basedOn w:val="91"/>
    <w:qFormat/>
    <w:uiPriority w:val="30"/>
    <w:rPr>
      <w:rFonts w:ascii="Arial" w:hAnsi="Arial"/>
      <w:b/>
      <w:bCs/>
      <w:i/>
      <w:iCs/>
      <w:color w:val="4F81BD"/>
      <w:kern w:val="2"/>
      <w:sz w:val="21"/>
      <w:szCs w:val="24"/>
    </w:rPr>
  </w:style>
  <w:style w:type="character" w:customStyle="1" w:styleId="1611">
    <w:name w:val="标题 1 Char4"/>
    <w:basedOn w:val="91"/>
    <w:qFormat/>
    <w:uiPriority w:val="0"/>
    <w:rPr>
      <w:rFonts w:ascii="Arial" w:hAnsi="Arial"/>
      <w:b/>
      <w:kern w:val="44"/>
      <w:sz w:val="28"/>
      <w:szCs w:val="32"/>
    </w:rPr>
  </w:style>
  <w:style w:type="character" w:customStyle="1" w:styleId="1612">
    <w:name w:val="标题 2 Char4"/>
    <w:basedOn w:val="91"/>
    <w:qFormat/>
    <w:uiPriority w:val="0"/>
    <w:rPr>
      <w:rFonts w:ascii="Arial" w:hAnsi="Arial"/>
      <w:b/>
      <w:sz w:val="28"/>
      <w:szCs w:val="28"/>
    </w:rPr>
  </w:style>
  <w:style w:type="character" w:customStyle="1" w:styleId="1613">
    <w:name w:val="标题 3 Char4"/>
    <w:basedOn w:val="91"/>
    <w:qFormat/>
    <w:uiPriority w:val="0"/>
    <w:rPr>
      <w:rFonts w:ascii="Arial" w:hAnsi="Arial"/>
      <w:b/>
      <w:sz w:val="28"/>
      <w:szCs w:val="24"/>
    </w:rPr>
  </w:style>
  <w:style w:type="character" w:customStyle="1" w:styleId="1614">
    <w:name w:val="标题 4 Char4"/>
    <w:basedOn w:val="91"/>
    <w:qFormat/>
    <w:uiPriority w:val="0"/>
    <w:rPr>
      <w:rFonts w:ascii="Arial" w:hAnsi="Arial"/>
      <w:sz w:val="28"/>
      <w:szCs w:val="24"/>
    </w:rPr>
  </w:style>
  <w:style w:type="character" w:customStyle="1" w:styleId="1615">
    <w:name w:val="标题 5 Char4"/>
    <w:basedOn w:val="91"/>
    <w:qFormat/>
    <w:uiPriority w:val="0"/>
    <w:rPr>
      <w:rFonts w:ascii="Arial" w:hAnsi="Arial"/>
      <w:sz w:val="28"/>
      <w:szCs w:val="24"/>
    </w:rPr>
  </w:style>
  <w:style w:type="character" w:customStyle="1" w:styleId="1616">
    <w:name w:val="无间隔 Char5"/>
    <w:basedOn w:val="91"/>
    <w:qFormat/>
    <w:uiPriority w:val="1"/>
    <w:rPr>
      <w:rFonts w:ascii="Calibri" w:hAnsi="Calibri"/>
      <w:sz w:val="22"/>
      <w:szCs w:val="22"/>
    </w:rPr>
  </w:style>
  <w:style w:type="character" w:customStyle="1" w:styleId="1617">
    <w:name w:val="正文文本 Char4"/>
    <w:basedOn w:val="91"/>
    <w:qFormat/>
    <w:uiPriority w:val="0"/>
    <w:rPr>
      <w:rFonts w:ascii="Arial" w:hAnsi="Arial"/>
      <w:kern w:val="2"/>
      <w:sz w:val="21"/>
      <w:szCs w:val="24"/>
    </w:rPr>
  </w:style>
  <w:style w:type="character" w:customStyle="1" w:styleId="1618">
    <w:name w:val="正文首行缩进 Char4"/>
    <w:basedOn w:val="1617"/>
    <w:qFormat/>
    <w:uiPriority w:val="0"/>
    <w:rPr>
      <w:rFonts w:ascii="Arial" w:hAnsi="Arial"/>
      <w:kern w:val="2"/>
      <w:sz w:val="28"/>
      <w:szCs w:val="24"/>
    </w:rPr>
  </w:style>
  <w:style w:type="character" w:customStyle="1" w:styleId="1619">
    <w:name w:val="正文文本缩进 Char4"/>
    <w:basedOn w:val="91"/>
    <w:qFormat/>
    <w:uiPriority w:val="0"/>
    <w:rPr>
      <w:rFonts w:ascii="Arial" w:hAnsi="Arial"/>
      <w:kern w:val="2"/>
      <w:sz w:val="21"/>
      <w:szCs w:val="24"/>
    </w:rPr>
  </w:style>
  <w:style w:type="character" w:customStyle="1" w:styleId="1620">
    <w:name w:val="标题 6 Char4"/>
    <w:basedOn w:val="91"/>
    <w:qFormat/>
    <w:uiPriority w:val="0"/>
    <w:rPr>
      <w:rFonts w:asciiTheme="majorHAnsi" w:hAnsiTheme="majorHAnsi" w:eastAsiaTheme="majorEastAsia" w:cstheme="majorBidi"/>
      <w:b/>
      <w:bCs/>
      <w:kern w:val="2"/>
      <w:sz w:val="24"/>
      <w:szCs w:val="24"/>
    </w:rPr>
  </w:style>
  <w:style w:type="character" w:customStyle="1" w:styleId="1621">
    <w:name w:val="标题 7 Char4"/>
    <w:basedOn w:val="91"/>
    <w:qFormat/>
    <w:uiPriority w:val="0"/>
    <w:rPr>
      <w:rFonts w:ascii="Arial" w:hAnsi="Arial"/>
      <w:b/>
      <w:bCs/>
      <w:kern w:val="2"/>
      <w:sz w:val="24"/>
      <w:szCs w:val="24"/>
    </w:rPr>
  </w:style>
  <w:style w:type="character" w:customStyle="1" w:styleId="1622">
    <w:name w:val="标题 8 Char4"/>
    <w:basedOn w:val="91"/>
    <w:qFormat/>
    <w:uiPriority w:val="0"/>
    <w:rPr>
      <w:rFonts w:asciiTheme="majorHAnsi" w:hAnsiTheme="majorHAnsi" w:eastAsiaTheme="majorEastAsia" w:cstheme="majorBidi"/>
      <w:kern w:val="2"/>
      <w:sz w:val="24"/>
      <w:szCs w:val="24"/>
    </w:rPr>
  </w:style>
  <w:style w:type="character" w:customStyle="1" w:styleId="1623">
    <w:name w:val="标题 9 Char4"/>
    <w:basedOn w:val="91"/>
    <w:qFormat/>
    <w:uiPriority w:val="0"/>
    <w:rPr>
      <w:rFonts w:asciiTheme="majorHAnsi" w:hAnsiTheme="majorHAnsi" w:eastAsiaTheme="majorEastAsia" w:cstheme="majorBidi"/>
      <w:kern w:val="2"/>
      <w:sz w:val="21"/>
      <w:szCs w:val="21"/>
    </w:rPr>
  </w:style>
  <w:style w:type="character" w:customStyle="1" w:styleId="1624">
    <w:name w:val="批注框文本 Char4"/>
    <w:basedOn w:val="91"/>
    <w:qFormat/>
    <w:uiPriority w:val="0"/>
    <w:rPr>
      <w:rFonts w:ascii="Arial" w:hAnsi="Arial"/>
      <w:kern w:val="2"/>
      <w:sz w:val="18"/>
      <w:szCs w:val="18"/>
    </w:rPr>
  </w:style>
  <w:style w:type="table" w:customStyle="1" w:styleId="1625">
    <w:name w:val="网格表 1 浅色 - 着色 56"/>
    <w:basedOn w:val="80"/>
    <w:qFormat/>
    <w:uiPriority w:val="46"/>
    <w:pPr>
      <w:jc w:val="center"/>
    </w:pPr>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cPr>
      <w:vAlign w:val="center"/>
    </w:tc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1626">
    <w:name w:val="网格表 4 - 着色 26"/>
    <w:basedOn w:val="80"/>
    <w:qFormat/>
    <w:uiPriority w:val="49"/>
    <w:pPr>
      <w:jc w:val="center"/>
    </w:pPr>
    <w:rPr>
      <w:szCs w:val="22"/>
    </w:rPr>
    <w:tblPr>
      <w:jc w:val="cente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rPr>
      <w:jc w:val="center"/>
    </w:trPr>
    <w:tcPr>
      <w:vAlign w:val="center"/>
    </w:tcPr>
    <w:tblStylePr w:type="firstRow">
      <w:rPr>
        <w:b/>
        <w:bCs/>
        <w:color w:val="FFFFFF" w:themeColor="background1"/>
        <w14:textFill>
          <w14:solidFill>
            <w14:schemeClr w14:val="bg1"/>
          </w14:solidFill>
        </w14:textFill>
      </w:rPr>
      <w:tblPr/>
      <w:trPr>
        <w:cantSplit/>
        <w:tblHeader/>
      </w:t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1627">
    <w:name w:val="网格表 4 - 着色 52"/>
    <w:basedOn w:val="80"/>
    <w:qFormat/>
    <w:uiPriority w:val="49"/>
    <w:pPr>
      <w:jc w:val="center"/>
    </w:pPr>
    <w:rPr>
      <w:rFonts w:ascii="Calibri" w:hAnsi="Calibri"/>
      <w:szCs w:val="22"/>
    </w:rPr>
    <w:tblPr>
      <w:jc w:val="cente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rPr>
      <w:jc w:val="center"/>
    </w:trPr>
    <w:tcPr>
      <w:vAlign w:val="center"/>
    </w:tcPr>
    <w:tblStylePr w:type="firstRow">
      <w:rPr>
        <w:b/>
        <w:bCs/>
        <w:color w:val="FFFFFF" w:themeColor="background1"/>
        <w14:textFill>
          <w14:solidFill>
            <w14:schemeClr w14:val="bg1"/>
          </w14:solidFill>
        </w14:textFill>
      </w:rPr>
      <w:tblPr/>
      <w:trPr>
        <w:cantSplit/>
        <w:tblHeader/>
      </w:trPr>
      <w:tcPr>
        <w:tcBorders>
          <w:top w:val="single" w:color="4BACC6" w:themeColor="accent5" w:sz="4" w:space="0"/>
          <w:left w:val="single" w:color="4BACC6" w:themeColor="accent5" w:sz="4" w:space="0"/>
          <w:bottom w:val="single" w:color="4BACC6" w:themeColor="accent5" w:sz="4" w:space="0"/>
          <w:right w:val="single" w:color="4BACC6" w:themeColor="accent5" w:sz="4" w:space="0"/>
          <w:insideH w:val="nil"/>
          <w:insideV w:val="nil"/>
        </w:tcBorders>
        <w:shd w:val="clear" w:color="auto" w:fill="4BACC6" w:themeFill="accent5"/>
      </w:tcPr>
    </w:tblStylePr>
    <w:tblStylePr w:type="lastRow">
      <w:rPr>
        <w:b/>
        <w:bCs/>
      </w:rPr>
      <w:tcPr>
        <w:tcBorders>
          <w:top w:val="double" w:color="4BACC6" w:themeColor="accent5"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paragraph" w:customStyle="1" w:styleId="1628">
    <w:name w:val="正文文本首行缩进 + 首行缩进:  2 字符"/>
    <w:basedOn w:val="79"/>
    <w:qFormat/>
    <w:uiPriority w:val="0"/>
    <w:pPr>
      <w:widowControl/>
      <w:adjustRightInd w:val="0"/>
      <w:snapToGrid w:val="0"/>
      <w:spacing w:before="50" w:beforeLines="50" w:after="50" w:afterLines="50" w:line="360" w:lineRule="auto"/>
      <w:ind w:firstLine="560" w:firstLineChars="0"/>
    </w:pPr>
    <w:rPr>
      <w:rFonts w:ascii="Arial" w:hAnsi="Arial" w:cs="宋体"/>
      <w:sz w:val="28"/>
      <w:szCs w:val="20"/>
    </w:rPr>
  </w:style>
  <w:style w:type="paragraph" w:customStyle="1" w:styleId="1629">
    <w:name w:val="正文首行缩进4"/>
    <w:basedOn w:val="1"/>
    <w:qFormat/>
    <w:uiPriority w:val="0"/>
    <w:pPr>
      <w:widowControl/>
      <w:snapToGrid/>
      <w:ind w:firstLine="200" w:firstLineChars="200"/>
    </w:pPr>
    <w:rPr>
      <w:rFonts w:ascii="Arial" w:hAnsi="Arial"/>
    </w:rPr>
  </w:style>
  <w:style w:type="paragraph" w:customStyle="1" w:styleId="1630">
    <w:name w:val="表格文字（紧缩）"/>
    <w:basedOn w:val="241"/>
    <w:qFormat/>
    <w:uiPriority w:val="0"/>
    <w:pPr>
      <w:spacing w:line="240" w:lineRule="auto"/>
    </w:pPr>
    <w:rPr>
      <w:rFonts w:ascii="Arial" w:hAnsi="Arial" w:eastAsia="宋体" w:cs="Times New Roman"/>
      <w:spacing w:val="-20"/>
      <w:szCs w:val="24"/>
    </w:rPr>
  </w:style>
  <w:style w:type="paragraph" w:customStyle="1" w:styleId="1631">
    <w:name w:val="修订4"/>
    <w:hidden/>
    <w:semiHidden/>
    <w:qFormat/>
    <w:uiPriority w:val="99"/>
    <w:rPr>
      <w:rFonts w:ascii="Arial" w:hAnsi="Arial" w:eastAsia="宋体" w:cs="Times New Roman"/>
      <w:kern w:val="2"/>
      <w:sz w:val="21"/>
      <w:szCs w:val="24"/>
      <w:lang w:val="en-US" w:eastAsia="zh-CN" w:bidi="ar-SA"/>
    </w:rPr>
  </w:style>
  <w:style w:type="character" w:customStyle="1" w:styleId="1632">
    <w:name w:val="表格标题 Char"/>
    <w:basedOn w:val="91"/>
    <w:link w:val="569"/>
    <w:qFormat/>
    <w:uiPriority w:val="0"/>
    <w:rPr>
      <w:rFonts w:ascii="Arial" w:hAnsi="Arial" w:eastAsia="黑体" w:cs="Times New Roman"/>
      <w:kern w:val="0"/>
      <w:sz w:val="24"/>
      <w:szCs w:val="20"/>
    </w:rPr>
  </w:style>
  <w:style w:type="character" w:customStyle="1" w:styleId="1633">
    <w:name w:val="未处理的提及9"/>
    <w:basedOn w:val="91"/>
    <w:semiHidden/>
    <w:unhideWhenUsed/>
    <w:qFormat/>
    <w:uiPriority w:val="99"/>
    <w:rPr>
      <w:color w:val="605E5C"/>
      <w:shd w:val="clear" w:color="auto" w:fill="E1DFDD"/>
    </w:rPr>
  </w:style>
  <w:style w:type="table" w:customStyle="1" w:styleId="1634">
    <w:name w:val="网格表 1 浅色3"/>
    <w:basedOn w:val="80"/>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1635">
    <w:name w:val="页眉 Char5"/>
    <w:basedOn w:val="91"/>
    <w:qFormat/>
    <w:uiPriority w:val="99"/>
    <w:rPr>
      <w:rFonts w:ascii="Arial" w:hAnsi="Arial"/>
      <w:sz w:val="18"/>
      <w:szCs w:val="18"/>
    </w:rPr>
  </w:style>
  <w:style w:type="character" w:customStyle="1" w:styleId="1636">
    <w:name w:val="页脚 Char5"/>
    <w:basedOn w:val="91"/>
    <w:qFormat/>
    <w:uiPriority w:val="0"/>
    <w:rPr>
      <w:rFonts w:ascii="Arial" w:hAnsi="Arial"/>
      <w:kern w:val="2"/>
      <w:sz w:val="18"/>
      <w:szCs w:val="18"/>
    </w:rPr>
  </w:style>
  <w:style w:type="character" w:customStyle="1" w:styleId="1637">
    <w:name w:val="文档结构图 Char5"/>
    <w:basedOn w:val="91"/>
    <w:qFormat/>
    <w:uiPriority w:val="0"/>
    <w:rPr>
      <w:rFonts w:ascii="Arial" w:hAnsi="Arial"/>
      <w:kern w:val="2"/>
      <w:sz w:val="21"/>
      <w:szCs w:val="24"/>
      <w:shd w:val="clear" w:color="auto" w:fill="000080"/>
    </w:rPr>
  </w:style>
  <w:style w:type="character" w:customStyle="1" w:styleId="1638">
    <w:name w:val="副标题 Char5"/>
    <w:basedOn w:val="91"/>
    <w:qFormat/>
    <w:uiPriority w:val="0"/>
    <w:rPr>
      <w:rFonts w:ascii="Cambria" w:hAnsi="Cambria"/>
      <w:b/>
      <w:bCs/>
      <w:kern w:val="28"/>
      <w:sz w:val="32"/>
      <w:szCs w:val="32"/>
    </w:rPr>
  </w:style>
  <w:style w:type="character" w:customStyle="1" w:styleId="1639">
    <w:name w:val="引用 Char6"/>
    <w:basedOn w:val="91"/>
    <w:qFormat/>
    <w:uiPriority w:val="29"/>
    <w:rPr>
      <w:rFonts w:ascii="Arial" w:hAnsi="Arial"/>
      <w:i/>
      <w:iCs/>
      <w:color w:val="000000"/>
      <w:kern w:val="2"/>
      <w:sz w:val="21"/>
      <w:szCs w:val="24"/>
    </w:rPr>
  </w:style>
  <w:style w:type="character" w:customStyle="1" w:styleId="1640">
    <w:name w:val="明显引用 Char6"/>
    <w:basedOn w:val="91"/>
    <w:qFormat/>
    <w:uiPriority w:val="30"/>
    <w:rPr>
      <w:rFonts w:ascii="Arial" w:hAnsi="Arial"/>
      <w:b/>
      <w:bCs/>
      <w:i/>
      <w:iCs/>
      <w:color w:val="4F81BD"/>
      <w:kern w:val="2"/>
      <w:sz w:val="21"/>
      <w:szCs w:val="24"/>
    </w:rPr>
  </w:style>
  <w:style w:type="character" w:customStyle="1" w:styleId="1641">
    <w:name w:val="标题 1 Char5"/>
    <w:basedOn w:val="91"/>
    <w:qFormat/>
    <w:uiPriority w:val="0"/>
    <w:rPr>
      <w:rFonts w:ascii="Arial" w:hAnsi="Arial"/>
      <w:b/>
      <w:kern w:val="44"/>
      <w:sz w:val="28"/>
      <w:szCs w:val="32"/>
    </w:rPr>
  </w:style>
  <w:style w:type="character" w:customStyle="1" w:styleId="1642">
    <w:name w:val="标题 2 Char5"/>
    <w:basedOn w:val="91"/>
    <w:qFormat/>
    <w:uiPriority w:val="0"/>
    <w:rPr>
      <w:rFonts w:ascii="Arial" w:hAnsi="Arial"/>
      <w:b/>
      <w:sz w:val="28"/>
      <w:szCs w:val="28"/>
    </w:rPr>
  </w:style>
  <w:style w:type="character" w:customStyle="1" w:styleId="1643">
    <w:name w:val="标题 3 Char5"/>
    <w:basedOn w:val="91"/>
    <w:qFormat/>
    <w:uiPriority w:val="0"/>
    <w:rPr>
      <w:rFonts w:ascii="Arial" w:hAnsi="Arial"/>
      <w:b/>
      <w:sz w:val="28"/>
      <w:szCs w:val="24"/>
    </w:rPr>
  </w:style>
  <w:style w:type="character" w:customStyle="1" w:styleId="1644">
    <w:name w:val="标题 4 Char5"/>
    <w:basedOn w:val="91"/>
    <w:qFormat/>
    <w:uiPriority w:val="0"/>
    <w:rPr>
      <w:rFonts w:ascii="Arial" w:hAnsi="Arial"/>
      <w:sz w:val="28"/>
      <w:szCs w:val="24"/>
    </w:rPr>
  </w:style>
  <w:style w:type="character" w:customStyle="1" w:styleId="1645">
    <w:name w:val="标题 5 Char5"/>
    <w:basedOn w:val="91"/>
    <w:qFormat/>
    <w:uiPriority w:val="0"/>
    <w:rPr>
      <w:rFonts w:ascii="Arial" w:hAnsi="Arial"/>
      <w:sz w:val="28"/>
      <w:szCs w:val="24"/>
    </w:rPr>
  </w:style>
  <w:style w:type="character" w:customStyle="1" w:styleId="1646">
    <w:name w:val="无间隔 Char6"/>
    <w:basedOn w:val="91"/>
    <w:qFormat/>
    <w:uiPriority w:val="1"/>
    <w:rPr>
      <w:rFonts w:ascii="Calibri" w:hAnsi="Calibri"/>
      <w:sz w:val="22"/>
      <w:szCs w:val="22"/>
    </w:rPr>
  </w:style>
  <w:style w:type="character" w:customStyle="1" w:styleId="1647">
    <w:name w:val="正文文本 Char5"/>
    <w:basedOn w:val="91"/>
    <w:qFormat/>
    <w:uiPriority w:val="0"/>
    <w:rPr>
      <w:rFonts w:ascii="Arial" w:hAnsi="Arial"/>
      <w:kern w:val="2"/>
      <w:sz w:val="21"/>
      <w:szCs w:val="24"/>
    </w:rPr>
  </w:style>
  <w:style w:type="character" w:customStyle="1" w:styleId="1648">
    <w:name w:val="正文首行缩进 Char5"/>
    <w:basedOn w:val="1647"/>
    <w:qFormat/>
    <w:uiPriority w:val="0"/>
    <w:rPr>
      <w:rFonts w:ascii="Arial" w:hAnsi="Arial"/>
      <w:kern w:val="2"/>
      <w:sz w:val="28"/>
      <w:szCs w:val="24"/>
    </w:rPr>
  </w:style>
  <w:style w:type="character" w:customStyle="1" w:styleId="1649">
    <w:name w:val="正文文本缩进 Char5"/>
    <w:basedOn w:val="91"/>
    <w:qFormat/>
    <w:uiPriority w:val="0"/>
    <w:rPr>
      <w:rFonts w:ascii="Arial" w:hAnsi="Arial"/>
      <w:kern w:val="2"/>
      <w:sz w:val="21"/>
      <w:szCs w:val="24"/>
    </w:rPr>
  </w:style>
  <w:style w:type="character" w:customStyle="1" w:styleId="1650">
    <w:name w:val="标题 6 Char5"/>
    <w:basedOn w:val="91"/>
    <w:qFormat/>
    <w:uiPriority w:val="0"/>
    <w:rPr>
      <w:rFonts w:asciiTheme="majorHAnsi" w:hAnsiTheme="majorHAnsi" w:eastAsiaTheme="majorEastAsia" w:cstheme="majorBidi"/>
      <w:b/>
      <w:bCs/>
      <w:kern w:val="2"/>
      <w:sz w:val="24"/>
      <w:szCs w:val="24"/>
    </w:rPr>
  </w:style>
  <w:style w:type="character" w:customStyle="1" w:styleId="1651">
    <w:name w:val="标题 7 Char5"/>
    <w:basedOn w:val="91"/>
    <w:qFormat/>
    <w:uiPriority w:val="0"/>
    <w:rPr>
      <w:rFonts w:ascii="Arial" w:hAnsi="Arial"/>
      <w:b/>
      <w:bCs/>
      <w:kern w:val="2"/>
      <w:sz w:val="24"/>
      <w:szCs w:val="24"/>
    </w:rPr>
  </w:style>
  <w:style w:type="character" w:customStyle="1" w:styleId="1652">
    <w:name w:val="标题 8 Char5"/>
    <w:basedOn w:val="91"/>
    <w:qFormat/>
    <w:uiPriority w:val="0"/>
    <w:rPr>
      <w:rFonts w:asciiTheme="majorHAnsi" w:hAnsiTheme="majorHAnsi" w:eastAsiaTheme="majorEastAsia" w:cstheme="majorBidi"/>
      <w:kern w:val="2"/>
      <w:sz w:val="24"/>
      <w:szCs w:val="24"/>
    </w:rPr>
  </w:style>
  <w:style w:type="character" w:customStyle="1" w:styleId="1653">
    <w:name w:val="标题 9 Char5"/>
    <w:basedOn w:val="91"/>
    <w:qFormat/>
    <w:uiPriority w:val="0"/>
    <w:rPr>
      <w:rFonts w:asciiTheme="majorHAnsi" w:hAnsiTheme="majorHAnsi" w:eastAsiaTheme="majorEastAsia" w:cstheme="majorBidi"/>
      <w:kern w:val="2"/>
      <w:sz w:val="21"/>
      <w:szCs w:val="21"/>
    </w:rPr>
  </w:style>
  <w:style w:type="character" w:customStyle="1" w:styleId="1654">
    <w:name w:val="批注框文本 Char5"/>
    <w:basedOn w:val="91"/>
    <w:qFormat/>
    <w:uiPriority w:val="0"/>
    <w:rPr>
      <w:rFonts w:ascii="Arial" w:hAnsi="Arial"/>
      <w:kern w:val="2"/>
      <w:sz w:val="18"/>
      <w:szCs w:val="18"/>
    </w:rPr>
  </w:style>
  <w:style w:type="character" w:customStyle="1" w:styleId="1655">
    <w:name w:val="正文缩进 Char2"/>
    <w:qFormat/>
    <w:uiPriority w:val="0"/>
    <w:rPr>
      <w:rFonts w:ascii="Arial" w:hAnsi="Arial"/>
      <w:sz w:val="28"/>
      <w:szCs w:val="24"/>
    </w:rPr>
  </w:style>
  <w:style w:type="paragraph" w:customStyle="1" w:styleId="1656">
    <w:name w:val="正文首行缩进5"/>
    <w:basedOn w:val="1"/>
    <w:qFormat/>
    <w:uiPriority w:val="0"/>
    <w:pPr>
      <w:widowControl/>
      <w:snapToGrid/>
      <w:ind w:firstLine="200" w:firstLineChars="200"/>
    </w:pPr>
    <w:rPr>
      <w:rFonts w:ascii="Arial" w:hAnsi="Arial"/>
    </w:rPr>
  </w:style>
  <w:style w:type="character" w:customStyle="1" w:styleId="1657">
    <w:name w:val="未处理的提及10"/>
    <w:basedOn w:val="91"/>
    <w:semiHidden/>
    <w:unhideWhenUsed/>
    <w:qFormat/>
    <w:uiPriority w:val="99"/>
    <w:rPr>
      <w:color w:val="605E5C"/>
      <w:shd w:val="clear" w:color="auto" w:fill="E1DFDD"/>
    </w:rPr>
  </w:style>
  <w:style w:type="character" w:customStyle="1" w:styleId="1658">
    <w:name w:val="页眉 Char6"/>
    <w:basedOn w:val="91"/>
    <w:qFormat/>
    <w:uiPriority w:val="99"/>
    <w:rPr>
      <w:rFonts w:ascii="Arial" w:hAnsi="Arial"/>
      <w:sz w:val="18"/>
      <w:szCs w:val="18"/>
    </w:rPr>
  </w:style>
  <w:style w:type="character" w:customStyle="1" w:styleId="1659">
    <w:name w:val="页脚 Char6"/>
    <w:basedOn w:val="91"/>
    <w:qFormat/>
    <w:uiPriority w:val="0"/>
    <w:rPr>
      <w:rFonts w:ascii="Arial" w:hAnsi="Arial"/>
      <w:kern w:val="2"/>
      <w:sz w:val="18"/>
      <w:szCs w:val="18"/>
    </w:rPr>
  </w:style>
  <w:style w:type="character" w:customStyle="1" w:styleId="1660">
    <w:name w:val="文档结构图 Char6"/>
    <w:basedOn w:val="91"/>
    <w:qFormat/>
    <w:uiPriority w:val="0"/>
    <w:rPr>
      <w:rFonts w:ascii="Arial" w:hAnsi="Arial"/>
      <w:kern w:val="2"/>
      <w:sz w:val="21"/>
      <w:szCs w:val="24"/>
      <w:shd w:val="clear" w:color="auto" w:fill="000080"/>
    </w:rPr>
  </w:style>
  <w:style w:type="character" w:customStyle="1" w:styleId="1661">
    <w:name w:val="副标题 Char6"/>
    <w:basedOn w:val="91"/>
    <w:qFormat/>
    <w:uiPriority w:val="0"/>
    <w:rPr>
      <w:rFonts w:ascii="Cambria" w:hAnsi="Cambria"/>
      <w:b/>
      <w:bCs/>
      <w:kern w:val="28"/>
      <w:sz w:val="32"/>
      <w:szCs w:val="32"/>
    </w:rPr>
  </w:style>
  <w:style w:type="character" w:customStyle="1" w:styleId="1662">
    <w:name w:val="引用 Char7"/>
    <w:basedOn w:val="91"/>
    <w:qFormat/>
    <w:uiPriority w:val="29"/>
    <w:rPr>
      <w:rFonts w:ascii="Arial" w:hAnsi="Arial"/>
      <w:i/>
      <w:iCs/>
      <w:color w:val="000000"/>
      <w:kern w:val="2"/>
      <w:sz w:val="21"/>
      <w:szCs w:val="24"/>
    </w:rPr>
  </w:style>
  <w:style w:type="character" w:customStyle="1" w:styleId="1663">
    <w:name w:val="明显引用 Char7"/>
    <w:basedOn w:val="91"/>
    <w:qFormat/>
    <w:uiPriority w:val="30"/>
    <w:rPr>
      <w:rFonts w:ascii="Arial" w:hAnsi="Arial"/>
      <w:b/>
      <w:bCs/>
      <w:i/>
      <w:iCs/>
      <w:color w:val="4F81BD"/>
      <w:kern w:val="2"/>
      <w:sz w:val="21"/>
      <w:szCs w:val="24"/>
    </w:rPr>
  </w:style>
  <w:style w:type="character" w:customStyle="1" w:styleId="1664">
    <w:name w:val="标题 1 Char6"/>
    <w:basedOn w:val="91"/>
    <w:qFormat/>
    <w:uiPriority w:val="0"/>
    <w:rPr>
      <w:rFonts w:ascii="Arial" w:hAnsi="Arial"/>
      <w:b/>
      <w:kern w:val="44"/>
      <w:sz w:val="28"/>
      <w:szCs w:val="32"/>
    </w:rPr>
  </w:style>
  <w:style w:type="character" w:customStyle="1" w:styleId="1665">
    <w:name w:val="标题 2 Char6"/>
    <w:basedOn w:val="91"/>
    <w:qFormat/>
    <w:uiPriority w:val="99"/>
    <w:rPr>
      <w:rFonts w:ascii="Arial" w:hAnsi="Arial"/>
      <w:b/>
      <w:sz w:val="28"/>
      <w:szCs w:val="28"/>
    </w:rPr>
  </w:style>
  <w:style w:type="character" w:customStyle="1" w:styleId="1666">
    <w:name w:val="标题 3 Char6"/>
    <w:basedOn w:val="91"/>
    <w:qFormat/>
    <w:uiPriority w:val="0"/>
    <w:rPr>
      <w:rFonts w:ascii="Arial" w:hAnsi="Arial"/>
      <w:b/>
      <w:sz w:val="28"/>
      <w:szCs w:val="24"/>
    </w:rPr>
  </w:style>
  <w:style w:type="character" w:customStyle="1" w:styleId="1667">
    <w:name w:val="标题 4 Char6"/>
    <w:basedOn w:val="91"/>
    <w:qFormat/>
    <w:uiPriority w:val="0"/>
    <w:rPr>
      <w:rFonts w:ascii="Arial" w:hAnsi="Arial"/>
      <w:sz w:val="28"/>
      <w:szCs w:val="24"/>
    </w:rPr>
  </w:style>
  <w:style w:type="character" w:customStyle="1" w:styleId="1668">
    <w:name w:val="标题 5 Char6"/>
    <w:basedOn w:val="91"/>
    <w:qFormat/>
    <w:uiPriority w:val="0"/>
    <w:rPr>
      <w:rFonts w:ascii="Arial" w:hAnsi="Arial"/>
      <w:sz w:val="28"/>
      <w:szCs w:val="24"/>
    </w:rPr>
  </w:style>
  <w:style w:type="character" w:customStyle="1" w:styleId="1669">
    <w:name w:val="无间隔 Char7"/>
    <w:basedOn w:val="91"/>
    <w:qFormat/>
    <w:uiPriority w:val="1"/>
    <w:rPr>
      <w:rFonts w:ascii="Calibri" w:hAnsi="Calibri"/>
      <w:sz w:val="22"/>
      <w:szCs w:val="22"/>
    </w:rPr>
  </w:style>
  <w:style w:type="character" w:customStyle="1" w:styleId="1670">
    <w:name w:val="正文文本 Char6"/>
    <w:basedOn w:val="91"/>
    <w:qFormat/>
    <w:uiPriority w:val="0"/>
    <w:rPr>
      <w:rFonts w:ascii="Arial" w:hAnsi="Arial"/>
      <w:kern w:val="2"/>
      <w:sz w:val="21"/>
      <w:szCs w:val="24"/>
    </w:rPr>
  </w:style>
  <w:style w:type="character" w:customStyle="1" w:styleId="1671">
    <w:name w:val="正文首行缩进 Char6"/>
    <w:basedOn w:val="1670"/>
    <w:qFormat/>
    <w:uiPriority w:val="0"/>
    <w:rPr>
      <w:rFonts w:ascii="Arial" w:hAnsi="Arial"/>
      <w:kern w:val="2"/>
      <w:sz w:val="28"/>
      <w:szCs w:val="24"/>
    </w:rPr>
  </w:style>
  <w:style w:type="character" w:customStyle="1" w:styleId="1672">
    <w:name w:val="正文文本缩进 Char6"/>
    <w:basedOn w:val="91"/>
    <w:qFormat/>
    <w:uiPriority w:val="0"/>
    <w:rPr>
      <w:rFonts w:ascii="Arial" w:hAnsi="Arial"/>
      <w:kern w:val="2"/>
      <w:sz w:val="21"/>
      <w:szCs w:val="24"/>
    </w:rPr>
  </w:style>
  <w:style w:type="character" w:customStyle="1" w:styleId="1673">
    <w:name w:val="标题 6 Char6"/>
    <w:basedOn w:val="91"/>
    <w:qFormat/>
    <w:uiPriority w:val="0"/>
    <w:rPr>
      <w:rFonts w:asciiTheme="majorHAnsi" w:hAnsiTheme="majorHAnsi" w:eastAsiaTheme="majorEastAsia" w:cstheme="majorBidi"/>
      <w:b/>
      <w:bCs/>
      <w:kern w:val="2"/>
      <w:sz w:val="24"/>
      <w:szCs w:val="24"/>
    </w:rPr>
  </w:style>
  <w:style w:type="character" w:customStyle="1" w:styleId="1674">
    <w:name w:val="标题 7 Char6"/>
    <w:basedOn w:val="91"/>
    <w:qFormat/>
    <w:uiPriority w:val="0"/>
    <w:rPr>
      <w:rFonts w:ascii="Arial" w:hAnsi="Arial"/>
      <w:b/>
      <w:bCs/>
      <w:kern w:val="2"/>
      <w:sz w:val="24"/>
      <w:szCs w:val="24"/>
    </w:rPr>
  </w:style>
  <w:style w:type="character" w:customStyle="1" w:styleId="1675">
    <w:name w:val="标题 8 Char6"/>
    <w:basedOn w:val="91"/>
    <w:qFormat/>
    <w:uiPriority w:val="0"/>
    <w:rPr>
      <w:rFonts w:asciiTheme="majorHAnsi" w:hAnsiTheme="majorHAnsi" w:eastAsiaTheme="majorEastAsia" w:cstheme="majorBidi"/>
      <w:kern w:val="2"/>
      <w:sz w:val="24"/>
      <w:szCs w:val="24"/>
    </w:rPr>
  </w:style>
  <w:style w:type="character" w:customStyle="1" w:styleId="1676">
    <w:name w:val="标题 9 Char6"/>
    <w:basedOn w:val="91"/>
    <w:qFormat/>
    <w:uiPriority w:val="0"/>
    <w:rPr>
      <w:rFonts w:asciiTheme="majorHAnsi" w:hAnsiTheme="majorHAnsi" w:eastAsiaTheme="majorEastAsia" w:cstheme="majorBidi"/>
      <w:kern w:val="2"/>
      <w:sz w:val="21"/>
      <w:szCs w:val="21"/>
    </w:rPr>
  </w:style>
  <w:style w:type="character" w:customStyle="1" w:styleId="1677">
    <w:name w:val="批注框文本 Char6"/>
    <w:basedOn w:val="91"/>
    <w:qFormat/>
    <w:uiPriority w:val="0"/>
    <w:rPr>
      <w:rFonts w:ascii="Arial" w:hAnsi="Arial"/>
      <w:kern w:val="2"/>
      <w:sz w:val="18"/>
      <w:szCs w:val="18"/>
    </w:rPr>
  </w:style>
  <w:style w:type="character" w:customStyle="1" w:styleId="1678">
    <w:name w:val="正文首行缩进 2 Char2"/>
    <w:basedOn w:val="1672"/>
    <w:qFormat/>
    <w:uiPriority w:val="0"/>
    <w:rPr>
      <w:rFonts w:ascii="Arial" w:hAnsi="Arial"/>
      <w:kern w:val="2"/>
      <w:sz w:val="21"/>
      <w:szCs w:val="24"/>
    </w:rPr>
  </w:style>
  <w:style w:type="character" w:customStyle="1" w:styleId="1679">
    <w:name w:val="未处理的提及11"/>
    <w:basedOn w:val="91"/>
    <w:semiHidden/>
    <w:unhideWhenUsed/>
    <w:qFormat/>
    <w:uiPriority w:val="99"/>
    <w:rPr>
      <w:color w:val="605E5C"/>
      <w:shd w:val="clear" w:color="auto" w:fill="E1DFDD"/>
    </w:rPr>
  </w:style>
  <w:style w:type="character" w:customStyle="1" w:styleId="1680">
    <w:name w:val="未处理的提及12"/>
    <w:basedOn w:val="91"/>
    <w:semiHidden/>
    <w:unhideWhenUsed/>
    <w:qFormat/>
    <w:uiPriority w:val="99"/>
    <w:rPr>
      <w:color w:val="605E5C"/>
      <w:shd w:val="clear" w:color="auto" w:fill="E1DFDD"/>
    </w:rPr>
  </w:style>
  <w:style w:type="paragraph" w:customStyle="1" w:styleId="1681">
    <w:name w:val="修订5"/>
    <w:hidden/>
    <w:semiHidden/>
    <w:qFormat/>
    <w:uiPriority w:val="99"/>
    <w:rPr>
      <w:rFonts w:ascii="Arial" w:hAnsi="Arial" w:eastAsia="宋体" w:cs="Times New Roman"/>
      <w:kern w:val="2"/>
      <w:sz w:val="13"/>
      <w:szCs w:val="24"/>
      <w:lang w:val="en-US" w:eastAsia="zh-CN" w:bidi="ar-SA"/>
    </w:rPr>
  </w:style>
  <w:style w:type="character" w:customStyle="1" w:styleId="1682">
    <w:name w:val="未处理的提及13"/>
    <w:basedOn w:val="91"/>
    <w:semiHidden/>
    <w:unhideWhenUsed/>
    <w:qFormat/>
    <w:uiPriority w:val="99"/>
    <w:rPr>
      <w:color w:val="605E5C"/>
      <w:shd w:val="clear" w:color="auto" w:fill="E1DFDD"/>
    </w:rPr>
  </w:style>
  <w:style w:type="character" w:customStyle="1" w:styleId="1683">
    <w:name w:val="不明显强调5"/>
    <w:basedOn w:val="91"/>
    <w:qFormat/>
    <w:uiPriority w:val="19"/>
    <w:rPr>
      <w:i/>
      <w:iCs/>
      <w:color w:val="808080"/>
    </w:rPr>
  </w:style>
  <w:style w:type="character" w:customStyle="1" w:styleId="1684">
    <w:name w:val="明显强调5"/>
    <w:basedOn w:val="91"/>
    <w:qFormat/>
    <w:uiPriority w:val="21"/>
    <w:rPr>
      <w:b/>
      <w:bCs/>
      <w:i/>
      <w:iCs/>
      <w:color w:val="4F81BD"/>
    </w:rPr>
  </w:style>
  <w:style w:type="character" w:customStyle="1" w:styleId="1685">
    <w:name w:val="不明显参考5"/>
    <w:basedOn w:val="91"/>
    <w:qFormat/>
    <w:uiPriority w:val="31"/>
    <w:rPr>
      <w:smallCaps/>
      <w:color w:val="C0504D"/>
      <w:u w:val="single"/>
    </w:rPr>
  </w:style>
  <w:style w:type="character" w:customStyle="1" w:styleId="1686">
    <w:name w:val="明显参考5"/>
    <w:basedOn w:val="91"/>
    <w:qFormat/>
    <w:uiPriority w:val="32"/>
    <w:rPr>
      <w:b/>
      <w:bCs/>
      <w:smallCaps/>
      <w:color w:val="C0504D"/>
      <w:spacing w:val="5"/>
      <w:u w:val="single"/>
    </w:rPr>
  </w:style>
  <w:style w:type="character" w:customStyle="1" w:styleId="1687">
    <w:name w:val="书籍标题5"/>
    <w:basedOn w:val="91"/>
    <w:qFormat/>
    <w:uiPriority w:val="33"/>
    <w:rPr>
      <w:b/>
      <w:bCs/>
      <w:smallCaps/>
      <w:spacing w:val="5"/>
    </w:rPr>
  </w:style>
  <w:style w:type="paragraph" w:customStyle="1" w:styleId="1688">
    <w:name w:val="TOC 标题6"/>
    <w:basedOn w:val="3"/>
    <w:next w:val="1"/>
    <w:unhideWhenUsed/>
    <w:qFormat/>
    <w:uiPriority w:val="39"/>
    <w:pPr>
      <w:pageBreakBefore/>
      <w:widowControl/>
      <w:snapToGrid/>
      <w:spacing w:before="120" w:line="276" w:lineRule="auto"/>
      <w:jc w:val="left"/>
      <w:outlineLvl w:val="9"/>
    </w:pPr>
    <w:rPr>
      <w:rFonts w:asciiTheme="majorHAnsi" w:hAnsiTheme="majorHAnsi" w:eastAsiaTheme="majorEastAsia" w:cstheme="majorBidi"/>
      <w:kern w:val="0"/>
      <w:sz w:val="24"/>
      <w:szCs w:val="28"/>
    </w:rPr>
  </w:style>
  <w:style w:type="character" w:customStyle="1" w:styleId="1689">
    <w:name w:val="不明显强调6"/>
    <w:basedOn w:val="91"/>
    <w:qFormat/>
    <w:uiPriority w:val="19"/>
    <w:rPr>
      <w:i/>
      <w:iCs/>
      <w:color w:val="808080"/>
    </w:rPr>
  </w:style>
  <w:style w:type="character" w:customStyle="1" w:styleId="1690">
    <w:name w:val="明显强调6"/>
    <w:basedOn w:val="91"/>
    <w:qFormat/>
    <w:uiPriority w:val="21"/>
    <w:rPr>
      <w:b/>
      <w:bCs/>
      <w:i/>
      <w:iCs/>
      <w:color w:val="4F81BD"/>
    </w:rPr>
  </w:style>
  <w:style w:type="character" w:customStyle="1" w:styleId="1691">
    <w:name w:val="不明显参考6"/>
    <w:basedOn w:val="91"/>
    <w:qFormat/>
    <w:uiPriority w:val="31"/>
    <w:rPr>
      <w:smallCaps/>
      <w:color w:val="C0504D"/>
      <w:u w:val="single"/>
    </w:rPr>
  </w:style>
  <w:style w:type="character" w:customStyle="1" w:styleId="1692">
    <w:name w:val="明显参考6"/>
    <w:basedOn w:val="91"/>
    <w:qFormat/>
    <w:uiPriority w:val="32"/>
    <w:rPr>
      <w:b/>
      <w:bCs/>
      <w:smallCaps/>
      <w:color w:val="C0504D"/>
      <w:spacing w:val="5"/>
      <w:u w:val="single"/>
    </w:rPr>
  </w:style>
  <w:style w:type="character" w:customStyle="1" w:styleId="1693">
    <w:name w:val="书籍标题6"/>
    <w:basedOn w:val="91"/>
    <w:qFormat/>
    <w:uiPriority w:val="33"/>
    <w:rPr>
      <w:b/>
      <w:bCs/>
      <w:smallCaps/>
      <w:spacing w:val="5"/>
    </w:rPr>
  </w:style>
  <w:style w:type="paragraph" w:customStyle="1" w:styleId="1694">
    <w:name w:val="TOC 标题7"/>
    <w:basedOn w:val="3"/>
    <w:next w:val="1"/>
    <w:unhideWhenUsed/>
    <w:qFormat/>
    <w:uiPriority w:val="39"/>
    <w:pPr>
      <w:pageBreakBefore/>
      <w:widowControl/>
      <w:snapToGrid/>
      <w:spacing w:before="120" w:line="276" w:lineRule="auto"/>
      <w:jc w:val="left"/>
      <w:outlineLvl w:val="9"/>
    </w:pPr>
    <w:rPr>
      <w:rFonts w:asciiTheme="majorHAnsi" w:hAnsiTheme="majorHAnsi" w:eastAsiaTheme="majorEastAsia" w:cstheme="majorBidi"/>
      <w:kern w:val="0"/>
      <w:sz w:val="24"/>
      <w:szCs w:val="28"/>
    </w:rPr>
  </w:style>
  <w:style w:type="character" w:customStyle="1" w:styleId="1695">
    <w:name w:val="正文文本 (2) + 间距 2 pt"/>
    <w:qFormat/>
    <w:uiPriority w:val="0"/>
    <w:rPr>
      <w:color w:val="000000"/>
      <w:spacing w:val="50"/>
      <w:w w:val="100"/>
      <w:position w:val="0"/>
      <w:lang w:val="zh-TW" w:eastAsia="zh-TW" w:bidi="zh-TW"/>
    </w:rPr>
  </w:style>
  <w:style w:type="character" w:customStyle="1" w:styleId="1696">
    <w:name w:val="正文文本 (2)_"/>
    <w:link w:val="1697"/>
    <w:qFormat/>
    <w:uiPriority w:val="0"/>
    <w:rPr>
      <w:rFonts w:ascii="MingLiU" w:hAnsi="MingLiU" w:eastAsia="MingLiU" w:cs="MingLiU"/>
      <w:spacing w:val="20"/>
      <w:sz w:val="26"/>
      <w:szCs w:val="26"/>
      <w:shd w:val="clear" w:color="auto" w:fill="FFFFFF"/>
    </w:rPr>
  </w:style>
  <w:style w:type="paragraph" w:customStyle="1" w:styleId="1697">
    <w:name w:val="正文文本 (2)7"/>
    <w:basedOn w:val="1"/>
    <w:link w:val="1696"/>
    <w:qFormat/>
    <w:uiPriority w:val="0"/>
    <w:pPr>
      <w:shd w:val="clear" w:color="auto" w:fill="FFFFFF"/>
      <w:snapToGrid/>
      <w:spacing w:after="600" w:line="0" w:lineRule="atLeast"/>
      <w:jc w:val="distribute"/>
    </w:pPr>
    <w:rPr>
      <w:rFonts w:ascii="MingLiU" w:hAnsi="MingLiU" w:eastAsia="MingLiU" w:cs="MingLiU"/>
      <w:spacing w:val="20"/>
      <w:sz w:val="26"/>
      <w:szCs w:val="26"/>
    </w:rPr>
  </w:style>
  <w:style w:type="character" w:customStyle="1" w:styleId="1698">
    <w:name w:val="正文文本 (2) + 11.5 pt"/>
    <w:qFormat/>
    <w:uiPriority w:val="0"/>
    <w:rPr>
      <w:color w:val="000000"/>
      <w:spacing w:val="0"/>
      <w:w w:val="100"/>
      <w:position w:val="0"/>
      <w:sz w:val="23"/>
      <w:szCs w:val="23"/>
      <w:lang w:val="en-US" w:eastAsia="en-US" w:bidi="en-US"/>
    </w:rPr>
  </w:style>
  <w:style w:type="character" w:customStyle="1" w:styleId="1699">
    <w:name w:val="正文文本 (2) + Georgia"/>
    <w:qFormat/>
    <w:uiPriority w:val="0"/>
    <w:rPr>
      <w:rFonts w:ascii="Georgia" w:hAnsi="Georgia" w:eastAsia="Georgia" w:cs="Georgia"/>
      <w:sz w:val="22"/>
      <w:szCs w:val="22"/>
      <w:u w:val="none"/>
      <w:lang w:val="en-US" w:eastAsia="en-US" w:bidi="en-US"/>
    </w:rPr>
  </w:style>
  <w:style w:type="character" w:customStyle="1" w:styleId="1700">
    <w:name w:val="正文文本 (2) + Impact"/>
    <w:qFormat/>
    <w:uiPriority w:val="0"/>
    <w:rPr>
      <w:rFonts w:ascii="Impact" w:hAnsi="Impact" w:eastAsia="Impact" w:cs="Impact"/>
      <w:b/>
      <w:bCs/>
      <w:color w:val="000000"/>
      <w:spacing w:val="0"/>
      <w:w w:val="100"/>
      <w:position w:val="0"/>
      <w:sz w:val="17"/>
      <w:szCs w:val="17"/>
      <w:lang w:val="zh-TW" w:eastAsia="zh-TW" w:bidi="zh-TW"/>
    </w:rPr>
  </w:style>
  <w:style w:type="character" w:customStyle="1" w:styleId="1701">
    <w:name w:val="font41"/>
    <w:qFormat/>
    <w:uiPriority w:val="0"/>
    <w:rPr>
      <w:rFonts w:hint="default" w:ascii="Times New Roman" w:hAnsi="Times New Roman" w:cs="Times New Roman"/>
      <w:color w:val="000000"/>
      <w:sz w:val="21"/>
      <w:szCs w:val="21"/>
      <w:u w:val="none"/>
    </w:rPr>
  </w:style>
  <w:style w:type="character" w:customStyle="1" w:styleId="1702">
    <w:name w:val="正文文本 (2) + 10 pt"/>
    <w:qFormat/>
    <w:uiPriority w:val="0"/>
    <w:rPr>
      <w:color w:val="000000"/>
      <w:spacing w:val="0"/>
      <w:w w:val="100"/>
      <w:position w:val="0"/>
      <w:sz w:val="20"/>
      <w:szCs w:val="20"/>
      <w:lang w:val="zh-TW" w:eastAsia="zh-TW" w:bidi="zh-TW"/>
    </w:rPr>
  </w:style>
  <w:style w:type="character" w:customStyle="1" w:styleId="1703">
    <w:name w:val="正文（首行缩进两字）m Char"/>
    <w:qFormat/>
    <w:uiPriority w:val="0"/>
    <w:rPr>
      <w:rFonts w:ascii="Calibri" w:hAnsi="Calibri"/>
      <w:color w:val="339966"/>
      <w:sz w:val="24"/>
    </w:rPr>
  </w:style>
  <w:style w:type="character" w:customStyle="1" w:styleId="1704">
    <w:name w:val="正文文本 (13) + MingLiU"/>
    <w:qFormat/>
    <w:uiPriority w:val="0"/>
    <w:rPr>
      <w:rFonts w:ascii="MingLiU" w:hAnsi="MingLiU" w:eastAsia="MingLiU" w:cs="MingLiU"/>
      <w:color w:val="000000"/>
      <w:spacing w:val="0"/>
      <w:w w:val="100"/>
      <w:position w:val="0"/>
      <w:lang w:val="zh-TW" w:eastAsia="zh-TW" w:bidi="zh-TW"/>
    </w:rPr>
  </w:style>
  <w:style w:type="character" w:customStyle="1" w:styleId="1705">
    <w:name w:val="正文文本 (13)_"/>
    <w:qFormat/>
    <w:uiPriority w:val="0"/>
    <w:rPr>
      <w:rFonts w:ascii="Georgia" w:hAnsi="Georgia" w:eastAsia="Georgia" w:cs="Georgia"/>
      <w:sz w:val="22"/>
      <w:szCs w:val="22"/>
      <w:u w:val="none"/>
      <w:lang w:val="en-US" w:eastAsia="en-US" w:bidi="en-US"/>
    </w:rPr>
  </w:style>
  <w:style w:type="character" w:customStyle="1" w:styleId="1706">
    <w:name w:val="标题 3 Char8"/>
    <w:basedOn w:val="91"/>
    <w:qFormat/>
    <w:locked/>
    <w:uiPriority w:val="0"/>
    <w:rPr>
      <w:rFonts w:ascii="Arial" w:hAnsi="Arial"/>
      <w:b/>
      <w:sz w:val="28"/>
      <w:szCs w:val="28"/>
    </w:rPr>
  </w:style>
  <w:style w:type="character" w:customStyle="1" w:styleId="1707">
    <w:name w:val="样式 正文首行缩进 + 首行缩进:  1 字符 Char"/>
    <w:link w:val="105"/>
    <w:qFormat/>
    <w:locked/>
    <w:uiPriority w:val="99"/>
    <w:rPr>
      <w:rFonts w:ascii="宋体" w:cs="宋体"/>
      <w:kern w:val="10"/>
      <w:sz w:val="28"/>
      <w:szCs w:val="28"/>
    </w:rPr>
  </w:style>
  <w:style w:type="character" w:customStyle="1" w:styleId="1708">
    <w:name w:val="表格标题 (4)"/>
    <w:qFormat/>
    <w:uiPriority w:val="0"/>
    <w:rPr>
      <w:rFonts w:ascii="MingLiU" w:hAnsi="MingLiU" w:eastAsia="MingLiU" w:cs="MingLiU"/>
      <w:b/>
      <w:bCs/>
      <w:color w:val="000000"/>
      <w:spacing w:val="0"/>
      <w:w w:val="100"/>
      <w:position w:val="0"/>
      <w:sz w:val="20"/>
      <w:szCs w:val="20"/>
      <w:u w:val="none"/>
      <w:lang w:val="zh-TW" w:eastAsia="zh-TW" w:bidi="zh-TW"/>
    </w:rPr>
  </w:style>
  <w:style w:type="character" w:customStyle="1" w:styleId="1709">
    <w:name w:val="正文文本 (2) + Gulim"/>
    <w:qFormat/>
    <w:uiPriority w:val="0"/>
    <w:rPr>
      <w:rFonts w:ascii="Gulim" w:hAnsi="Gulim" w:eastAsia="Gulim" w:cs="Gulim"/>
      <w:b/>
      <w:bCs/>
      <w:i/>
      <w:iCs/>
      <w:color w:val="000000"/>
      <w:spacing w:val="0"/>
      <w:w w:val="100"/>
      <w:position w:val="0"/>
      <w:sz w:val="18"/>
      <w:szCs w:val="18"/>
      <w:lang w:val="zh-TW" w:eastAsia="zh-TW" w:bidi="zh-TW"/>
    </w:rPr>
  </w:style>
  <w:style w:type="character" w:customStyle="1" w:styleId="1710">
    <w:name w:val="正文文本 (2) + 间距 -1 pt"/>
    <w:qFormat/>
    <w:uiPriority w:val="0"/>
    <w:rPr>
      <w:color w:val="000000"/>
      <w:spacing w:val="-20"/>
      <w:w w:val="100"/>
      <w:position w:val="0"/>
      <w:lang w:val="zh-TW" w:eastAsia="zh-TW" w:bidi="zh-TW"/>
    </w:rPr>
  </w:style>
  <w:style w:type="character" w:customStyle="1" w:styleId="1711">
    <w:name w:val="表格标题 (3)"/>
    <w:qFormat/>
    <w:uiPriority w:val="0"/>
    <w:rPr>
      <w:rFonts w:ascii="MingLiU" w:hAnsi="MingLiU" w:eastAsia="MingLiU" w:cs="MingLiU"/>
      <w:color w:val="000000"/>
      <w:spacing w:val="0"/>
      <w:w w:val="100"/>
      <w:position w:val="0"/>
      <w:sz w:val="22"/>
      <w:szCs w:val="22"/>
      <w:u w:val="none"/>
      <w:lang w:val="zh-TW" w:eastAsia="zh-TW" w:bidi="zh-TW"/>
    </w:rPr>
  </w:style>
  <w:style w:type="character" w:customStyle="1" w:styleId="1712">
    <w:name w:val="font71"/>
    <w:qFormat/>
    <w:uiPriority w:val="0"/>
    <w:rPr>
      <w:rFonts w:hint="eastAsia" w:ascii="宋体" w:hAnsi="宋体" w:eastAsia="宋体" w:cs="宋体"/>
      <w:color w:val="FF0000"/>
      <w:sz w:val="20"/>
      <w:szCs w:val="20"/>
      <w:u w:val="none"/>
    </w:rPr>
  </w:style>
  <w:style w:type="character" w:customStyle="1" w:styleId="1713">
    <w:name w:val="正文文本 (2) + 4 pt"/>
    <w:qFormat/>
    <w:uiPriority w:val="0"/>
    <w:rPr>
      <w:color w:val="000000"/>
      <w:spacing w:val="30"/>
      <w:w w:val="100"/>
      <w:position w:val="0"/>
      <w:sz w:val="8"/>
      <w:szCs w:val="8"/>
      <w:lang w:val="en-US" w:eastAsia="en-US" w:bidi="en-US"/>
    </w:rPr>
  </w:style>
  <w:style w:type="character" w:customStyle="1" w:styleId="1714">
    <w:name w:val="正文文本 (13)"/>
    <w:qFormat/>
    <w:uiPriority w:val="0"/>
    <w:rPr>
      <w:color w:val="000000"/>
      <w:spacing w:val="0"/>
      <w:w w:val="100"/>
      <w:position w:val="0"/>
      <w:lang w:val="en-US" w:eastAsia="en-US" w:bidi="en-US"/>
    </w:rPr>
  </w:style>
  <w:style w:type="character" w:customStyle="1" w:styleId="1715">
    <w:name w:val="标题 #5"/>
    <w:qFormat/>
    <w:uiPriority w:val="0"/>
    <w:rPr>
      <w:rFonts w:ascii="MingLiU" w:hAnsi="MingLiU" w:eastAsia="MingLiU" w:cs="MingLiU"/>
      <w:b/>
      <w:bCs/>
      <w:color w:val="000000"/>
      <w:spacing w:val="0"/>
      <w:w w:val="100"/>
      <w:position w:val="0"/>
      <w:sz w:val="22"/>
      <w:szCs w:val="22"/>
      <w:u w:val="none"/>
      <w:lang w:val="zh-TW" w:eastAsia="zh-TW" w:bidi="zh-TW"/>
    </w:rPr>
  </w:style>
  <w:style w:type="character" w:customStyle="1" w:styleId="1716">
    <w:name w:val="正文文本 (2)"/>
    <w:qFormat/>
    <w:uiPriority w:val="0"/>
    <w:rPr>
      <w:rFonts w:ascii="MingLiU" w:hAnsi="MingLiU" w:eastAsia="MingLiU" w:cs="MingLiU"/>
      <w:sz w:val="22"/>
      <w:szCs w:val="22"/>
      <w:u w:val="none"/>
    </w:rPr>
  </w:style>
  <w:style w:type="character" w:customStyle="1" w:styleId="1717">
    <w:name w:val="表格标题 (4) + 非粗体"/>
    <w:qFormat/>
    <w:uiPriority w:val="0"/>
    <w:rPr>
      <w:rFonts w:ascii="MingLiU" w:hAnsi="MingLiU" w:eastAsia="MingLiU" w:cs="MingLiU"/>
      <w:b/>
      <w:bCs/>
      <w:color w:val="000000"/>
      <w:spacing w:val="0"/>
      <w:w w:val="100"/>
      <w:position w:val="0"/>
      <w:sz w:val="20"/>
      <w:szCs w:val="20"/>
      <w:u w:val="none"/>
      <w:lang w:val="en-US" w:eastAsia="en-US" w:bidi="en-US"/>
    </w:rPr>
  </w:style>
  <w:style w:type="character" w:customStyle="1" w:styleId="1718">
    <w:name w:val="表格标题 (4) + Georgia"/>
    <w:qFormat/>
    <w:uiPriority w:val="0"/>
    <w:rPr>
      <w:rFonts w:ascii="Georgia" w:hAnsi="Georgia" w:eastAsia="Georgia" w:cs="Georgia"/>
      <w:b/>
      <w:bCs/>
      <w:color w:val="000000"/>
      <w:spacing w:val="0"/>
      <w:w w:val="100"/>
      <w:position w:val="0"/>
      <w:sz w:val="20"/>
      <w:szCs w:val="20"/>
      <w:u w:val="none"/>
      <w:lang w:val="en-US" w:eastAsia="en-US" w:bidi="en-US"/>
    </w:rPr>
  </w:style>
  <w:style w:type="paragraph" w:customStyle="1" w:styleId="1719">
    <w:name w:val="Table Paragraph"/>
    <w:basedOn w:val="1"/>
    <w:qFormat/>
    <w:uiPriority w:val="1"/>
    <w:pPr>
      <w:snapToGrid/>
      <w:spacing w:line="240" w:lineRule="auto"/>
    </w:pPr>
    <w:rPr>
      <w:rFonts w:ascii="Times New Roman" w:eastAsia="Times New Roman" w:cs="Times New Roman"/>
      <w:sz w:val="21"/>
      <w:szCs w:val="21"/>
    </w:rPr>
  </w:style>
  <w:style w:type="paragraph" w:customStyle="1" w:styleId="1720">
    <w:name w:val="图片"/>
    <w:basedOn w:val="1"/>
    <w:qFormat/>
    <w:uiPriority w:val="0"/>
    <w:pPr>
      <w:adjustRightInd w:val="0"/>
      <w:snapToGrid/>
      <w:spacing w:line="480" w:lineRule="exact"/>
      <w:jc w:val="center"/>
      <w:textAlignment w:val="baseline"/>
    </w:pPr>
    <w:rPr>
      <w:rFonts w:ascii="Times New Roman" w:cs="Times New Roman"/>
      <w:spacing w:val="-2"/>
      <w:szCs w:val="28"/>
    </w:rPr>
  </w:style>
  <w:style w:type="paragraph" w:customStyle="1" w:styleId="1721">
    <w:name w:val="IDC A-Head (2nd Line)"/>
    <w:basedOn w:val="1"/>
    <w:next w:val="1"/>
    <w:qFormat/>
    <w:uiPriority w:val="0"/>
    <w:pPr>
      <w:widowControl/>
      <w:snapToGrid/>
      <w:spacing w:line="240" w:lineRule="auto"/>
      <w:jc w:val="center"/>
    </w:pPr>
    <w:rPr>
      <w:rFonts w:ascii="Times New Roman" w:cs="Times New Roman"/>
      <w:caps/>
      <w:sz w:val="24"/>
    </w:rPr>
  </w:style>
  <w:style w:type="paragraph" w:customStyle="1" w:styleId="1722">
    <w:name w:val="ZF表标题"/>
    <w:basedOn w:val="1"/>
    <w:qFormat/>
    <w:uiPriority w:val="0"/>
    <w:pPr>
      <w:adjustRightInd w:val="0"/>
      <w:snapToGrid/>
      <w:spacing w:line="240" w:lineRule="auto"/>
      <w:jc w:val="center"/>
      <w:textAlignment w:val="baseline"/>
    </w:pPr>
    <w:rPr>
      <w:rFonts w:hAnsi="宋体" w:cs="Times New Roman"/>
      <w:b/>
      <w:sz w:val="21"/>
    </w:rPr>
  </w:style>
  <w:style w:type="paragraph" w:customStyle="1" w:styleId="1723">
    <w:name w:val="样式 首行缩进:  0 字符"/>
    <w:basedOn w:val="1"/>
    <w:next w:val="804"/>
    <w:qFormat/>
    <w:uiPriority w:val="0"/>
    <w:pPr>
      <w:snapToGrid/>
      <w:spacing w:line="240" w:lineRule="auto"/>
    </w:pPr>
    <w:rPr>
      <w:rFonts w:ascii="Times New Roman"/>
      <w:sz w:val="21"/>
    </w:rPr>
  </w:style>
  <w:style w:type="paragraph" w:customStyle="1" w:styleId="1724">
    <w:name w:val="LJ正文"/>
    <w:basedOn w:val="1"/>
    <w:qFormat/>
    <w:uiPriority w:val="0"/>
    <w:pPr>
      <w:adjustRightInd w:val="0"/>
      <w:ind w:firstLine="560" w:firstLineChars="200"/>
    </w:pPr>
    <w:rPr>
      <w:rFonts w:ascii="Times New Roman" w:eastAsia="仿宋_GB2312" w:cs="Times New Roman"/>
      <w:szCs w:val="28"/>
    </w:rPr>
  </w:style>
  <w:style w:type="paragraph" w:customStyle="1" w:styleId="1725">
    <w:name w:val="a5"/>
    <w:basedOn w:val="1"/>
    <w:qFormat/>
    <w:uiPriority w:val="0"/>
    <w:pPr>
      <w:widowControl/>
      <w:snapToGrid/>
      <w:spacing w:before="100" w:beforeAutospacing="1" w:after="100" w:afterAutospacing="1" w:line="240" w:lineRule="auto"/>
      <w:jc w:val="left"/>
    </w:pPr>
    <w:rPr>
      <w:rFonts w:ascii="Arial Unicode MS" w:hAnsi="Arial Unicode MS" w:eastAsia="Arial Unicode MS" w:cs="Arial Unicode MS"/>
      <w:sz w:val="17"/>
      <w:szCs w:val="17"/>
    </w:rPr>
  </w:style>
  <w:style w:type="paragraph" w:customStyle="1" w:styleId="1726">
    <w:name w:val="表标题1"/>
    <w:basedOn w:val="773"/>
    <w:qFormat/>
    <w:uiPriority w:val="0"/>
    <w:pPr>
      <w:spacing w:before="163"/>
      <w:jc w:val="center"/>
    </w:pPr>
    <w:rPr>
      <w:rFonts w:eastAsia="宋体" w:cs="Times New Roman"/>
      <w:szCs w:val="20"/>
    </w:rPr>
  </w:style>
  <w:style w:type="character" w:customStyle="1" w:styleId="1727">
    <w:name w:val="font31"/>
    <w:qFormat/>
    <w:uiPriority w:val="0"/>
    <w:rPr>
      <w:rFonts w:hint="default" w:ascii="Times New Roman" w:hAnsi="Times New Roman" w:cs="Times New Roman"/>
      <w:color w:val="0000FF"/>
      <w:sz w:val="21"/>
      <w:szCs w:val="21"/>
      <w:u w:val="none"/>
    </w:rPr>
  </w:style>
  <w:style w:type="paragraph" w:customStyle="1" w:styleId="1728">
    <w:name w:val="Other|1"/>
    <w:basedOn w:val="1"/>
    <w:qFormat/>
    <w:uiPriority w:val="0"/>
    <w:pPr>
      <w:snapToGrid/>
      <w:spacing w:line="240" w:lineRule="auto"/>
      <w:jc w:val="center"/>
    </w:pPr>
    <w:rPr>
      <w:rFonts w:hAnsi="宋体"/>
      <w:sz w:val="22"/>
      <w:szCs w:val="22"/>
      <w:lang w:val="zh-TW" w:eastAsia="zh-TW" w:bidi="zh-TW"/>
    </w:rPr>
  </w:style>
  <w:style w:type="character" w:customStyle="1" w:styleId="1729">
    <w:name w:val="font141"/>
    <w:qFormat/>
    <w:uiPriority w:val="0"/>
    <w:rPr>
      <w:rFonts w:hint="default" w:ascii="Arial" w:hAnsi="Arial" w:cs="Arial"/>
      <w:b/>
      <w:bCs/>
      <w:color w:val="000000"/>
      <w:sz w:val="24"/>
      <w:szCs w:val="24"/>
      <w:u w:val="none"/>
    </w:rPr>
  </w:style>
  <w:style w:type="character" w:customStyle="1" w:styleId="1730">
    <w:name w:val="font51"/>
    <w:qFormat/>
    <w:uiPriority w:val="0"/>
    <w:rPr>
      <w:rFonts w:hint="default" w:ascii="Times New Roman" w:hAnsi="Times New Roman" w:cs="Times New Roman"/>
      <w:color w:val="000000"/>
      <w:sz w:val="20"/>
      <w:szCs w:val="20"/>
      <w:u w:val="none"/>
    </w:rPr>
  </w:style>
  <w:style w:type="character" w:customStyle="1" w:styleId="1731">
    <w:name w:val="font61"/>
    <w:qFormat/>
    <w:uiPriority w:val="0"/>
    <w:rPr>
      <w:rFonts w:hint="eastAsia" w:ascii="宋体" w:hAnsi="宋体" w:eastAsia="宋体" w:cs="宋体"/>
      <w:color w:val="000000"/>
      <w:sz w:val="20"/>
      <w:szCs w:val="20"/>
      <w:u w:val="none"/>
    </w:rPr>
  </w:style>
  <w:style w:type="character" w:customStyle="1" w:styleId="1732">
    <w:name w:val="font112"/>
    <w:qFormat/>
    <w:uiPriority w:val="0"/>
    <w:rPr>
      <w:rFonts w:hint="default" w:ascii="Times New Roman" w:hAnsi="Times New Roman" w:cs="Times New Roman"/>
      <w:color w:val="000000"/>
      <w:sz w:val="22"/>
      <w:szCs w:val="22"/>
      <w:u w:val="none"/>
    </w:rPr>
  </w:style>
  <w:style w:type="character" w:customStyle="1" w:styleId="1733">
    <w:name w:val="font151"/>
    <w:qFormat/>
    <w:uiPriority w:val="0"/>
    <w:rPr>
      <w:rFonts w:hint="default" w:ascii="Times New Roman" w:hAnsi="Times New Roman" w:cs="Times New Roman"/>
      <w:color w:val="000000"/>
      <w:sz w:val="20"/>
      <w:szCs w:val="20"/>
      <w:u w:val="none"/>
      <w:vertAlign w:val="subscript"/>
    </w:rPr>
  </w:style>
  <w:style w:type="character" w:customStyle="1" w:styleId="1734">
    <w:name w:val="font161"/>
    <w:qFormat/>
    <w:uiPriority w:val="0"/>
    <w:rPr>
      <w:rFonts w:hint="default" w:ascii="Times New Roman" w:hAnsi="Times New Roman" w:cs="Times New Roman"/>
      <w:color w:val="000000"/>
      <w:sz w:val="24"/>
      <w:szCs w:val="24"/>
      <w:u w:val="none"/>
    </w:rPr>
  </w:style>
  <w:style w:type="character" w:customStyle="1" w:styleId="1735">
    <w:name w:val="font91"/>
    <w:qFormat/>
    <w:uiPriority w:val="0"/>
    <w:rPr>
      <w:rFonts w:hint="default" w:ascii="Times New Roman" w:hAnsi="Times New Roman" w:cs="Times New Roman"/>
      <w:color w:val="FF0000"/>
      <w:sz w:val="20"/>
      <w:szCs w:val="20"/>
      <w:u w:val="none"/>
    </w:rPr>
  </w:style>
  <w:style w:type="character" w:customStyle="1" w:styleId="1736">
    <w:name w:val="font171"/>
    <w:qFormat/>
    <w:uiPriority w:val="0"/>
    <w:rPr>
      <w:rFonts w:hint="default" w:ascii="Times New Roman" w:hAnsi="Times New Roman" w:cs="Times New Roman"/>
      <w:color w:val="000000"/>
      <w:sz w:val="24"/>
      <w:szCs w:val="24"/>
      <w:u w:val="none"/>
    </w:rPr>
  </w:style>
  <w:style w:type="character" w:customStyle="1" w:styleId="1737">
    <w:name w:val="font81"/>
    <w:qFormat/>
    <w:uiPriority w:val="0"/>
    <w:rPr>
      <w:rFonts w:hint="default" w:ascii="Arial" w:hAnsi="Arial" w:cs="Arial"/>
      <w:color w:val="000000"/>
      <w:sz w:val="24"/>
      <w:szCs w:val="24"/>
      <w:u w:val="none"/>
      <w:vertAlign w:val="superscript"/>
    </w:rPr>
  </w:style>
  <w:style w:type="character" w:customStyle="1" w:styleId="1738">
    <w:name w:val="font101"/>
    <w:qFormat/>
    <w:uiPriority w:val="0"/>
    <w:rPr>
      <w:rFonts w:hint="default" w:ascii="Arial" w:hAnsi="Arial" w:cs="Arial"/>
      <w:color w:val="000000"/>
      <w:sz w:val="24"/>
      <w:szCs w:val="24"/>
      <w:u w:val="none"/>
      <w:vertAlign w:val="superscript"/>
    </w:rPr>
  </w:style>
  <w:style w:type="paragraph" w:customStyle="1" w:styleId="1739">
    <w:name w:val="Body text|1"/>
    <w:basedOn w:val="1"/>
    <w:qFormat/>
    <w:uiPriority w:val="0"/>
    <w:pPr>
      <w:snapToGrid/>
      <w:spacing w:line="408" w:lineRule="auto"/>
      <w:ind w:firstLine="400"/>
    </w:pPr>
    <w:rPr>
      <w:rFonts w:hAnsi="宋体"/>
      <w:sz w:val="26"/>
      <w:szCs w:val="26"/>
      <w:lang w:val="zh-TW" w:eastAsia="zh-TW" w:bidi="zh-TW"/>
    </w:rPr>
  </w:style>
  <w:style w:type="character" w:customStyle="1" w:styleId="1740">
    <w:name w:val="font121"/>
    <w:qFormat/>
    <w:uiPriority w:val="0"/>
    <w:rPr>
      <w:rFonts w:hint="default" w:ascii="Arial" w:hAnsi="Arial" w:cs="Arial"/>
      <w:color w:val="000000"/>
      <w:sz w:val="24"/>
      <w:szCs w:val="24"/>
      <w:u w:val="none"/>
    </w:rPr>
  </w:style>
  <w:style w:type="table" w:customStyle="1" w:styleId="1741">
    <w:name w:val="表格（大字体）41"/>
    <w:basedOn w:val="80"/>
    <w:qFormat/>
    <w:uiPriority w:val="99"/>
    <w:pPr>
      <w:jc w:val="center"/>
    </w:pPr>
    <w:rPr>
      <w:rFonts w:ascii="微软雅黑"/>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tblStylePr w:type="firstRow">
      <w:pPr>
        <w:keepNext/>
        <w:keepLines/>
        <w:pageBreakBefore w:val="0"/>
        <w:widowControl/>
        <w:suppressLineNumbers w:val="0"/>
        <w:suppressAutoHyphens w:val="0"/>
        <w:wordWrap/>
        <w:jc w:val="center"/>
      </w:pPr>
      <w:rPr>
        <w:rFonts w:eastAsia="PMingLiU"/>
        <w:b/>
        <w:sz w:val="21"/>
      </w:rPr>
      <w:tblPr/>
      <w:trPr>
        <w:cantSplit/>
        <w:tblHeader/>
      </w:trPr>
      <w:tcPr>
        <w:tcBorders>
          <w:top w:val="single" w:color="auto" w:sz="12" w:space="0"/>
          <w:left w:val="single" w:color="auto" w:sz="12" w:space="0"/>
          <w:bottom w:val="single" w:color="auto" w:sz="12" w:space="0"/>
          <w:right w:val="single" w:color="auto" w:sz="12" w:space="0"/>
          <w:insideH w:val="nil"/>
          <w:insideV w:val="nil"/>
          <w:tl2br w:val="nil"/>
          <w:tr2bl w:val="nil"/>
        </w:tcBorders>
      </w:tcPr>
    </w:tblStylePr>
    <w:tblStylePr w:type="lastRow">
      <w:pPr>
        <w:jc w:val="center"/>
      </w:pPr>
      <w:rPr>
        <w:rFonts w:eastAsia="PMingLiU"/>
        <w:b/>
        <w:sz w:val="21"/>
      </w:rPr>
      <w:tcPr>
        <w:tcBorders>
          <w:top w:val="single" w:color="auto" w:sz="12" w:space="0"/>
          <w:left w:val="single" w:color="auto" w:sz="12" w:space="0"/>
          <w:bottom w:val="single" w:color="auto" w:sz="12" w:space="0"/>
          <w:right w:val="single" w:color="auto" w:sz="12" w:space="0"/>
          <w:insideH w:val="nil"/>
          <w:insideV w:val="nil"/>
          <w:tl2br w:val="nil"/>
          <w:tr2bl w:val="nil"/>
        </w:tcBorders>
      </w:tcPr>
    </w:tblStylePr>
    <w:tblStylePr w:type="firstCol">
      <w:pPr>
        <w:jc w:val="center"/>
      </w:pPr>
      <w:rPr>
        <w:b/>
      </w:rPr>
    </w:tblStylePr>
    <w:tblStylePr w:type="lastCol">
      <w:rPr>
        <w:b/>
      </w:rPr>
    </w:tblStylePr>
  </w:style>
  <w:style w:type="paragraph" w:customStyle="1" w:styleId="1742">
    <w:name w:val="修订6"/>
    <w:hidden/>
    <w:semiHidden/>
    <w:qFormat/>
    <w:uiPriority w:val="99"/>
    <w:rPr>
      <w:rFonts w:ascii="Times New Roman" w:hAnsi="Times New Roman" w:eastAsia="宋体" w:cs="Times New Roman"/>
      <w:kern w:val="2"/>
      <w:sz w:val="21"/>
      <w:szCs w:val="21"/>
      <w:lang w:val="en-US" w:eastAsia="zh-CN" w:bidi="ar-SA"/>
    </w:rPr>
  </w:style>
  <w:style w:type="character" w:customStyle="1" w:styleId="1743">
    <w:name w:val="不明显强调7"/>
    <w:basedOn w:val="91"/>
    <w:qFormat/>
    <w:uiPriority w:val="19"/>
    <w:rPr>
      <w:i/>
      <w:iCs/>
      <w:color w:val="808080"/>
    </w:rPr>
  </w:style>
  <w:style w:type="character" w:customStyle="1" w:styleId="1744">
    <w:name w:val="明显强调7"/>
    <w:basedOn w:val="91"/>
    <w:qFormat/>
    <w:uiPriority w:val="21"/>
    <w:rPr>
      <w:b/>
      <w:bCs/>
      <w:i/>
      <w:iCs/>
      <w:color w:val="4F81BD"/>
    </w:rPr>
  </w:style>
  <w:style w:type="character" w:customStyle="1" w:styleId="1745">
    <w:name w:val="不明显参考7"/>
    <w:basedOn w:val="91"/>
    <w:qFormat/>
    <w:uiPriority w:val="31"/>
    <w:rPr>
      <w:smallCaps/>
      <w:color w:val="C0504D"/>
      <w:u w:val="single"/>
    </w:rPr>
  </w:style>
  <w:style w:type="character" w:customStyle="1" w:styleId="1746">
    <w:name w:val="明显参考7"/>
    <w:basedOn w:val="91"/>
    <w:qFormat/>
    <w:uiPriority w:val="32"/>
    <w:rPr>
      <w:b/>
      <w:bCs/>
      <w:smallCaps/>
      <w:color w:val="C0504D"/>
      <w:spacing w:val="5"/>
      <w:u w:val="single"/>
    </w:rPr>
  </w:style>
  <w:style w:type="character" w:customStyle="1" w:styleId="1747">
    <w:name w:val="书籍标题7"/>
    <w:basedOn w:val="91"/>
    <w:qFormat/>
    <w:uiPriority w:val="33"/>
    <w:rPr>
      <w:b/>
      <w:bCs/>
      <w:smallCaps/>
      <w:spacing w:val="5"/>
    </w:rPr>
  </w:style>
  <w:style w:type="paragraph" w:customStyle="1" w:styleId="1748">
    <w:name w:val="TOC 标题8"/>
    <w:basedOn w:val="3"/>
    <w:next w:val="1"/>
    <w:unhideWhenUsed/>
    <w:qFormat/>
    <w:uiPriority w:val="39"/>
    <w:pPr>
      <w:pageBreakBefore/>
      <w:widowControl/>
      <w:snapToGrid/>
      <w:spacing w:before="120" w:line="276" w:lineRule="auto"/>
      <w:jc w:val="left"/>
      <w:outlineLvl w:val="9"/>
    </w:pPr>
    <w:rPr>
      <w:rFonts w:asciiTheme="majorHAnsi" w:hAnsiTheme="majorHAnsi" w:eastAsiaTheme="majorEastAsia" w:cstheme="majorBidi"/>
      <w:kern w:val="0"/>
      <w:sz w:val="24"/>
      <w:szCs w:val="28"/>
    </w:rPr>
  </w:style>
  <w:style w:type="table" w:customStyle="1" w:styleId="1749">
    <w:name w:val="浅色列表 - 着色 114"/>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0" w:after="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0" w:after="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750">
    <w:name w:val="中等深浅底纹 1 - 着色 114"/>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0" w:after="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751">
    <w:name w:val="浅色列表 - 着色 1141"/>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752">
    <w:name w:val="中等深浅底纹 1 - 着色 1141"/>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paragraph" w:customStyle="1" w:styleId="1753">
    <w:name w:val="修订7"/>
    <w:hidden/>
    <w:semiHidden/>
    <w:qFormat/>
    <w:uiPriority w:val="99"/>
    <w:rPr>
      <w:rFonts w:ascii="Times New Roman" w:hAnsi="Times New Roman" w:eastAsia="宋体" w:cs="Times New Roman"/>
      <w:kern w:val="2"/>
      <w:sz w:val="21"/>
      <w:szCs w:val="21"/>
      <w:lang w:val="en-US" w:eastAsia="zh-CN" w:bidi="ar-SA"/>
    </w:rPr>
  </w:style>
  <w:style w:type="table" w:customStyle="1" w:styleId="1754">
    <w:name w:val="浅色列表 - 着色 115"/>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0" w:after="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0" w:after="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755">
    <w:name w:val="中等深浅底纹 1 - 着色 115"/>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0" w:after="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customStyle="1" w:styleId="1756">
    <w:name w:val="浅色列表 - 着色 1142"/>
    <w:basedOn w:val="80"/>
    <w:qFormat/>
    <w:uiPriority w:val="61"/>
    <w:pPr>
      <w:jc w:val="center"/>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Lines="0" w:beforeAutospacing="0" w:afterLines="0" w:afterAutospacing="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customStyle="1" w:styleId="1757">
    <w:name w:val="中等深浅底纹 1 - 着色 1142"/>
    <w:basedOn w:val="80"/>
    <w:qFormat/>
    <w:uiPriority w:val="63"/>
    <w:pPr>
      <w:jc w:val="center"/>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vAlign w:val="center"/>
    </w:tcPr>
    <w:tblStylePr w:type="firstRow">
      <w:pPr>
        <w:spacing w:beforeLines="0" w:beforeAutospacing="0" w:afterLines="0" w:afterAutospacing="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Lines="0" w:beforeAutospacing="0" w:afterLines="0" w:afterAutospacing="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character" w:customStyle="1" w:styleId="1758">
    <w:name w:val="未处理的提及14"/>
    <w:basedOn w:val="91"/>
    <w:semiHidden/>
    <w:unhideWhenUsed/>
    <w:qFormat/>
    <w:uiPriority w:val="99"/>
    <w:rPr>
      <w:color w:val="605E5C"/>
      <w:shd w:val="clear" w:color="auto" w:fill="E1DFDD"/>
    </w:rPr>
  </w:style>
  <w:style w:type="character" w:customStyle="1" w:styleId="1759">
    <w:name w:val="未处理的提及15"/>
    <w:basedOn w:val="91"/>
    <w:semiHidden/>
    <w:unhideWhenUsed/>
    <w:qFormat/>
    <w:uiPriority w:val="99"/>
    <w:rPr>
      <w:color w:val="605E5C"/>
      <w:shd w:val="clear" w:color="auto" w:fill="E1DFDD"/>
    </w:rPr>
  </w:style>
  <w:style w:type="paragraph" w:customStyle="1" w:styleId="1760">
    <w:name w:val="Char8"/>
    <w:basedOn w:val="1"/>
    <w:qFormat/>
    <w:uiPriority w:val="0"/>
    <w:pPr>
      <w:snapToGrid/>
      <w:ind w:firstLine="200" w:firstLineChars="200"/>
    </w:pPr>
    <w:rPr>
      <w:rFonts w:ascii="Tahoma" w:hAnsi="Tahoma" w:cs="Times New Roman"/>
      <w:sz w:val="24"/>
    </w:rPr>
  </w:style>
  <w:style w:type="character" w:customStyle="1" w:styleId="1761">
    <w:name w:val="安专-标题3 Char"/>
    <w:link w:val="1762"/>
    <w:qFormat/>
    <w:uiPriority w:val="0"/>
    <w:rPr>
      <w:rFonts w:eastAsia="黑体"/>
      <w:b/>
      <w:sz w:val="28"/>
    </w:rPr>
  </w:style>
  <w:style w:type="paragraph" w:customStyle="1" w:styleId="1762">
    <w:name w:val="安专-标题3"/>
    <w:basedOn w:val="1"/>
    <w:next w:val="1"/>
    <w:link w:val="1761"/>
    <w:qFormat/>
    <w:uiPriority w:val="0"/>
    <w:pPr>
      <w:snapToGrid/>
      <w:spacing w:before="260" w:after="260"/>
      <w:ind w:firstLine="200" w:firstLineChars="200"/>
      <w:outlineLvl w:val="2"/>
    </w:pPr>
    <w:rPr>
      <w:rFonts w:eastAsia="黑体" w:asciiTheme="minorHAnsi" w:hAnsiTheme="minorHAnsi" w:cstheme="minorBidi"/>
      <w:b/>
      <w:szCs w:val="21"/>
    </w:rPr>
  </w:style>
  <w:style w:type="paragraph" w:customStyle="1" w:styleId="1763">
    <w:name w:val="安专-正文"/>
    <w:basedOn w:val="122"/>
    <w:qFormat/>
    <w:uiPriority w:val="0"/>
    <w:pPr>
      <w:snapToGrid/>
      <w:spacing w:after="200"/>
      <w:ind w:firstLine="560" w:firstLineChars="200"/>
    </w:pPr>
    <w:rPr>
      <w:rFonts w:ascii="Times New Roman" w:cs="Times New Roman"/>
      <w:kern w:val="2"/>
      <w:szCs w:val="28"/>
    </w:rPr>
  </w:style>
  <w:style w:type="paragraph" w:customStyle="1" w:styleId="1764">
    <w:name w:val="xl136"/>
    <w:basedOn w:val="1"/>
    <w:qFormat/>
    <w:uiPriority w:val="0"/>
    <w:pPr>
      <w:widowControl/>
      <w:pBdr>
        <w:top w:val="single" w:color="auto" w:sz="4" w:space="0"/>
        <w:left w:val="single" w:color="auto" w:sz="4" w:space="0"/>
        <w:right w:val="single" w:color="auto" w:sz="4" w:space="0"/>
      </w:pBdr>
      <w:shd w:val="clear" w:color="000000" w:fill="FFFFFF"/>
      <w:snapToGrid/>
      <w:spacing w:before="100" w:beforeAutospacing="1" w:after="100" w:afterAutospacing="1" w:line="240" w:lineRule="auto"/>
      <w:jc w:val="center"/>
      <w:textAlignment w:val="center"/>
    </w:pPr>
    <w:rPr>
      <w:rFonts w:hAnsi="宋体"/>
      <w:sz w:val="18"/>
      <w:szCs w:val="18"/>
    </w:rPr>
  </w:style>
  <w:style w:type="paragraph" w:customStyle="1" w:styleId="1765">
    <w:name w:val="xl137"/>
    <w:basedOn w:val="1"/>
    <w:qFormat/>
    <w:uiPriority w:val="0"/>
    <w:pPr>
      <w:widowControl/>
      <w:pBdr>
        <w:left w:val="single" w:color="auto" w:sz="4" w:space="0"/>
        <w:bottom w:val="single" w:color="auto" w:sz="4" w:space="0"/>
        <w:right w:val="single" w:color="auto" w:sz="4" w:space="0"/>
      </w:pBdr>
      <w:shd w:val="clear" w:color="000000" w:fill="FFFFFF"/>
      <w:snapToGrid/>
      <w:spacing w:before="100" w:beforeAutospacing="1" w:after="100" w:afterAutospacing="1" w:line="240" w:lineRule="auto"/>
      <w:jc w:val="center"/>
      <w:textAlignment w:val="center"/>
    </w:pPr>
    <w:rPr>
      <w:rFonts w:hAnsi="宋体"/>
      <w:sz w:val="24"/>
      <w:szCs w:val="24"/>
    </w:rPr>
  </w:style>
  <w:style w:type="paragraph" w:customStyle="1" w:styleId="1766">
    <w:name w:val="xl138"/>
    <w:basedOn w:val="1"/>
    <w:qFormat/>
    <w:uiPriority w:val="0"/>
    <w:pPr>
      <w:widowControl/>
      <w:pBdr>
        <w:left w:val="single" w:color="auto" w:sz="4" w:space="0"/>
        <w:bottom w:val="single" w:color="auto" w:sz="4" w:space="0"/>
        <w:right w:val="single" w:color="auto" w:sz="4" w:space="0"/>
      </w:pBdr>
      <w:shd w:val="clear" w:color="000000" w:fill="FFFFFF"/>
      <w:snapToGrid/>
      <w:spacing w:before="100" w:beforeAutospacing="1" w:after="100" w:afterAutospacing="1" w:line="240" w:lineRule="auto"/>
      <w:jc w:val="center"/>
      <w:textAlignment w:val="center"/>
    </w:pPr>
    <w:rPr>
      <w:rFonts w:hAnsi="宋体"/>
      <w:sz w:val="24"/>
      <w:szCs w:val="24"/>
    </w:rPr>
  </w:style>
  <w:style w:type="character" w:customStyle="1" w:styleId="1767">
    <w:name w:val="样式 正文文本缩进 + (符号) 宋体 五号 Char"/>
    <w:link w:val="1768"/>
    <w:qFormat/>
    <w:uiPriority w:val="0"/>
  </w:style>
  <w:style w:type="paragraph" w:customStyle="1" w:styleId="1768">
    <w:name w:val="样式 正文文本缩进 + (符号) 宋体 五号"/>
    <w:basedOn w:val="32"/>
    <w:link w:val="1767"/>
    <w:qFormat/>
    <w:uiPriority w:val="0"/>
    <w:pPr>
      <w:tabs>
        <w:tab w:val="left" w:pos="360"/>
      </w:tabs>
      <w:adjustRightInd/>
      <w:snapToGrid/>
      <w:spacing w:line="400" w:lineRule="exact"/>
      <w:ind w:firstLine="480" w:firstLineChars="200"/>
    </w:pPr>
    <w:rPr>
      <w:rFonts w:asciiTheme="minorHAnsi" w:hAnsiTheme="minorHAnsi" w:eastAsiaTheme="minorEastAsia"/>
      <w:sz w:val="21"/>
      <w:szCs w:val="21"/>
    </w:rPr>
  </w:style>
  <w:style w:type="character" w:customStyle="1" w:styleId="1769">
    <w:name w:val="正文缩进 字符"/>
    <w:qFormat/>
    <w:uiPriority w:val="0"/>
    <w:rPr>
      <w:kern w:val="2"/>
      <w:sz w:val="21"/>
      <w:szCs w:val="24"/>
    </w:rPr>
  </w:style>
  <w:style w:type="paragraph" w:customStyle="1" w:styleId="1770">
    <w:name w:val="toa"/>
    <w:basedOn w:val="1"/>
    <w:qFormat/>
    <w:uiPriority w:val="0"/>
    <w:pPr>
      <w:widowControl/>
      <w:tabs>
        <w:tab w:val="left" w:pos="9000"/>
        <w:tab w:val="right" w:pos="9360"/>
      </w:tabs>
      <w:suppressAutoHyphens/>
      <w:snapToGrid/>
      <w:ind w:firstLine="964" w:firstLineChars="200"/>
      <w:jc w:val="left"/>
    </w:pPr>
    <w:rPr>
      <w:rFonts w:ascii="Arial" w:hAnsi="Arial" w:cs="Times New Roman"/>
      <w:sz w:val="24"/>
      <w:szCs w:val="22"/>
      <w:lang w:eastAsia="en-US"/>
    </w:rPr>
  </w:style>
  <w:style w:type="paragraph" w:customStyle="1" w:styleId="1771">
    <w:name w:val="主文本"/>
    <w:basedOn w:val="1"/>
    <w:qFormat/>
    <w:uiPriority w:val="0"/>
    <w:pPr>
      <w:adjustRightInd w:val="0"/>
      <w:jc w:val="left"/>
    </w:pPr>
    <w:rPr>
      <w:rFonts w:ascii="Times New Roman"/>
    </w:rPr>
  </w:style>
  <w:style w:type="character" w:customStyle="1" w:styleId="1772">
    <w:name w:val="报告正文 Char1"/>
    <w:qFormat/>
    <w:uiPriority w:val="0"/>
    <w:rPr>
      <w:kern w:val="2"/>
      <w:sz w:val="24"/>
      <w:szCs w:val="24"/>
    </w:rPr>
  </w:style>
  <w:style w:type="character" w:customStyle="1" w:styleId="1773">
    <w:name w:val="安专-标题2 Char"/>
    <w:link w:val="1774"/>
    <w:qFormat/>
    <w:uiPriority w:val="0"/>
    <w:rPr>
      <w:rFonts w:eastAsia="楷体"/>
      <w:b/>
      <w:sz w:val="32"/>
    </w:rPr>
  </w:style>
  <w:style w:type="paragraph" w:customStyle="1" w:styleId="1774">
    <w:name w:val="安专-标题2"/>
    <w:basedOn w:val="1"/>
    <w:next w:val="1"/>
    <w:link w:val="1773"/>
    <w:qFormat/>
    <w:uiPriority w:val="0"/>
    <w:pPr>
      <w:snapToGrid/>
      <w:spacing w:beforeLines="100" w:after="200" w:afterLines="50" w:line="240" w:lineRule="auto"/>
      <w:ind w:firstLine="200" w:firstLineChars="200"/>
      <w:jc w:val="left"/>
      <w:outlineLvl w:val="1"/>
    </w:pPr>
    <w:rPr>
      <w:rFonts w:eastAsia="楷体" w:asciiTheme="minorHAnsi" w:hAnsiTheme="minorHAnsi" w:cstheme="minorBidi"/>
      <w:b/>
      <w:sz w:val="32"/>
      <w:szCs w:val="21"/>
    </w:rPr>
  </w:style>
  <w:style w:type="paragraph" w:customStyle="1" w:styleId="1775">
    <w:name w:val="初设正文"/>
    <w:qFormat/>
    <w:uiPriority w:val="0"/>
    <w:pPr>
      <w:tabs>
        <w:tab w:val="left" w:pos="1680"/>
        <w:tab w:val="left" w:pos="2940"/>
        <w:tab w:val="left" w:pos="5460"/>
        <w:tab w:val="right" w:pos="9240"/>
      </w:tabs>
      <w:spacing w:line="440" w:lineRule="exact"/>
      <w:ind w:firstLine="425"/>
      <w:jc w:val="both"/>
    </w:pPr>
    <w:rPr>
      <w:rFonts w:ascii="Times New Roman" w:hAnsi="Times New Roman" w:eastAsia="宋体" w:cs="宋体"/>
      <w:sz w:val="24"/>
      <w:szCs w:val="24"/>
      <w:lang w:val="en-US" w:eastAsia="zh-CN" w:bidi="ar-SA"/>
    </w:rPr>
  </w:style>
  <w:style w:type="paragraph" w:customStyle="1" w:styleId="1776">
    <w:name w:val="J【表头】"/>
    <w:basedOn w:val="1"/>
    <w:next w:val="581"/>
    <w:qFormat/>
    <w:uiPriority w:val="0"/>
    <w:pPr>
      <w:keepNext/>
      <w:tabs>
        <w:tab w:val="left" w:pos="900"/>
      </w:tabs>
      <w:wordWrap w:val="0"/>
      <w:jc w:val="center"/>
    </w:pPr>
    <w:rPr>
      <w:sz w:val="24"/>
      <w:szCs w:val="21"/>
    </w:rPr>
  </w:style>
  <w:style w:type="paragraph" w:customStyle="1" w:styleId="1777">
    <w:name w:val="安-表中"/>
    <w:basedOn w:val="1"/>
    <w:qFormat/>
    <w:uiPriority w:val="0"/>
    <w:pPr>
      <w:adjustRightInd w:val="0"/>
      <w:jc w:val="center"/>
    </w:pPr>
    <w:rPr>
      <w:sz w:val="21"/>
      <w:szCs w:val="21"/>
    </w:rPr>
  </w:style>
  <w:style w:type="paragraph" w:customStyle="1" w:styleId="1778">
    <w:name w:val="表格尾注"/>
    <w:qFormat/>
    <w:uiPriority w:val="99"/>
    <w:pPr>
      <w:spacing w:line="440" w:lineRule="exact"/>
      <w:ind w:left="851"/>
      <w:jc w:val="both"/>
    </w:pPr>
    <w:rPr>
      <w:rFonts w:ascii="Times New Roman" w:hAnsi="Times New Roman" w:eastAsia="楷体_GB2312" w:cs="Times New Roman"/>
      <w:sz w:val="21"/>
      <w:szCs w:val="21"/>
      <w:lang w:val="en-US" w:eastAsia="zh-CN" w:bidi="ar-SA"/>
    </w:rPr>
  </w:style>
  <w:style w:type="paragraph" w:customStyle="1" w:styleId="1779">
    <w:name w:val="J【表中文字】"/>
    <w:basedOn w:val="1"/>
    <w:qFormat/>
    <w:uiPriority w:val="0"/>
    <w:pPr>
      <w:adjustRightInd w:val="0"/>
      <w:jc w:val="center"/>
      <w:textAlignment w:val="center"/>
    </w:pPr>
    <w:rPr>
      <w:sz w:val="21"/>
      <w:szCs w:val="21"/>
    </w:rPr>
  </w:style>
  <w:style w:type="paragraph" w:customStyle="1" w:styleId="1780">
    <w:name w:val="样式 宋体 黑色"/>
    <w:basedOn w:val="1"/>
    <w:qFormat/>
    <w:uiPriority w:val="0"/>
    <w:rPr>
      <w:rFonts w:hAnsi="宋体"/>
      <w:color w:val="00000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endnotes" Target="endnotes.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jpeg"/><Relationship Id="rId3" Type="http://schemas.openxmlformats.org/officeDocument/2006/relationships/footnotes" Target="footnotes.xml"/><Relationship Id="rId29" Type="http://schemas.openxmlformats.org/officeDocument/2006/relationships/image" Target="media/image12.jpeg"/><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emf"/><Relationship Id="rId17" Type="http://schemas.openxmlformats.org/officeDocument/2006/relationships/oleObject" Target="embeddings/oleObject1.bin"/><Relationship Id="rId16" Type="http://schemas.openxmlformats.org/officeDocument/2006/relationships/theme" Target="theme/theme1.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7679BE-AC85-44E1-90A0-D235CFE987A3}">
  <ds:schemaRefs/>
</ds:datastoreItem>
</file>

<file path=docProps/app.xml><?xml version="1.0" encoding="utf-8"?>
<Properties xmlns="http://schemas.openxmlformats.org/officeDocument/2006/extended-properties" xmlns:vt="http://schemas.openxmlformats.org/officeDocument/2006/docPropsVTypes">
  <Template>Normal</Template>
  <Company>昆明阳光安全</Company>
  <Pages>202</Pages>
  <Words>131758</Words>
  <Characters>145617</Characters>
  <Lines>326</Lines>
  <Paragraphs>91</Paragraphs>
  <TotalTime>36</TotalTime>
  <ScaleCrop>false</ScaleCrop>
  <LinksUpToDate>false</LinksUpToDate>
  <CharactersWithSpaces>146980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2022-11-01T07:04:00Z</dcterms:created>
  <dc:creator>123</dc:creator>
  <cp:lastModifiedBy>--</cp:lastModifiedBy>
  <cp:lastPrinted>2022-12-08T04:07:00Z</cp:lastPrinted>
  <dcterms:modified xsi:type="dcterms:W3CDTF">2025-07-17T11:23:08Z</dcterms:modified>
  <cp:revision>151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33E342D34A3147F4B4CC0C82773BE96F_13</vt:lpwstr>
  </property>
  <property fmtid="{D5CDD505-2E9C-101B-9397-08002B2CF9AE}" pid="4" name="KSOTemplateDocerSaveRecord">
    <vt:lpwstr>eyJoZGlkIjoiYTc2ZTAzMGUzZTg1YjBhMWYxZGVjM2ZlMGMzNDdiZDIiLCJ1c2VySWQiOiI2NDM4MTI2NzYifQ==</vt:lpwstr>
  </property>
</Properties>
</file>